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EB662" w14:textId="77777777" w:rsidR="00085F16" w:rsidRPr="0067685A" w:rsidRDefault="00085F16" w:rsidP="00085F16">
      <w:pPr>
        <w:spacing w:line="276" w:lineRule="auto"/>
        <w:jc w:val="both"/>
        <w:rPr>
          <w:rStyle w:val="Corpsdutexte"/>
          <w:lang w:eastAsia="nl-NL"/>
        </w:rPr>
      </w:pPr>
      <w:bookmarkStart w:id="0" w:name="_Toc305488913"/>
      <w:bookmarkStart w:id="1" w:name="_Toc475950306"/>
    </w:p>
    <w:p w14:paraId="412794EF" w14:textId="77777777" w:rsidR="00085F16" w:rsidRPr="0067685A" w:rsidRDefault="00085F16" w:rsidP="00085F16">
      <w:pPr>
        <w:spacing w:line="276" w:lineRule="auto"/>
        <w:jc w:val="both"/>
        <w:rPr>
          <w:rStyle w:val="Corpsdutexte"/>
          <w:lang w:eastAsia="nl-NL"/>
        </w:rPr>
      </w:pPr>
    </w:p>
    <w:p w14:paraId="26896BAB" w14:textId="77777777" w:rsidR="00085F16" w:rsidRPr="0067685A" w:rsidRDefault="00085F16" w:rsidP="00085F16">
      <w:pPr>
        <w:spacing w:line="276" w:lineRule="auto"/>
        <w:jc w:val="center"/>
        <w:rPr>
          <w:rFonts w:eastAsia="MS Mincho"/>
        </w:rPr>
      </w:pPr>
      <w:bookmarkStart w:id="2" w:name="_Toc305488914"/>
      <w:bookmarkStart w:id="3" w:name="_Toc440290472"/>
      <w:bookmarkStart w:id="4" w:name="_Toc440290522"/>
      <w:bookmarkStart w:id="5" w:name="_Toc440290575"/>
      <w:bookmarkStart w:id="6" w:name="_Toc440290714"/>
      <w:bookmarkStart w:id="7" w:name="_Toc499840098"/>
      <w:bookmarkStart w:id="8" w:name="_Toc499840860"/>
      <w:bookmarkStart w:id="9" w:name="_Toc503555382"/>
      <w:bookmarkStart w:id="10" w:name="_Toc503556877"/>
      <w:bookmarkStart w:id="11" w:name="_Toc503557441"/>
      <w:bookmarkStart w:id="12" w:name="_Toc504051204"/>
      <w:bookmarkStart w:id="13" w:name="_Toc504051401"/>
      <w:bookmarkStart w:id="14" w:name="_Toc504338906"/>
      <w:bookmarkEnd w:id="0"/>
      <w:bookmarkEnd w:id="1"/>
      <w:r w:rsidRPr="0067685A">
        <w:rPr>
          <w:rFonts w:eastAsia="MS Mincho"/>
          <w:noProof/>
          <w:lang w:val="en-US"/>
        </w:rPr>
        <w:drawing>
          <wp:inline distT="0" distB="0" distL="0" distR="0" wp14:anchorId="19A73576" wp14:editId="3EBAABCF">
            <wp:extent cx="885825" cy="933450"/>
            <wp:effectExtent l="0" t="0" r="0" b="0"/>
            <wp:docPr id="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933450"/>
                    </a:xfrm>
                    <a:prstGeom prst="rect">
                      <a:avLst/>
                    </a:prstGeom>
                    <a:noFill/>
                    <a:ln>
                      <a:noFill/>
                    </a:ln>
                  </pic:spPr>
                </pic:pic>
              </a:graphicData>
            </a:graphic>
          </wp:inline>
        </w:drawing>
      </w:r>
    </w:p>
    <w:p w14:paraId="364566BA" w14:textId="77777777" w:rsidR="00085F16" w:rsidRPr="0067685A" w:rsidRDefault="00085F16" w:rsidP="00085F16">
      <w:pPr>
        <w:spacing w:line="276" w:lineRule="auto"/>
        <w:jc w:val="center"/>
        <w:rPr>
          <w:rFonts w:eastAsia="Batang"/>
          <w:b/>
          <w:bCs/>
        </w:rPr>
      </w:pPr>
      <w:r w:rsidRPr="0067685A">
        <w:rPr>
          <w:b/>
          <w:bCs/>
        </w:rPr>
        <w:t>Republika e Kosovës</w:t>
      </w:r>
    </w:p>
    <w:p w14:paraId="1F82ACD0" w14:textId="77777777" w:rsidR="00085F16" w:rsidRPr="0067685A" w:rsidRDefault="00085F16" w:rsidP="00085F16">
      <w:pPr>
        <w:spacing w:line="276" w:lineRule="auto"/>
        <w:jc w:val="center"/>
        <w:rPr>
          <w:rFonts w:eastAsia="MS Mincho"/>
          <w:b/>
          <w:bCs/>
        </w:rPr>
      </w:pPr>
      <w:r w:rsidRPr="0067685A">
        <w:rPr>
          <w:b/>
          <w:bCs/>
        </w:rPr>
        <w:t>Republika Kosova - Republic of Kosovo</w:t>
      </w:r>
    </w:p>
    <w:p w14:paraId="732C7230" w14:textId="77777777" w:rsidR="00085F16" w:rsidRPr="0067685A" w:rsidRDefault="00085F16" w:rsidP="00085F16">
      <w:pPr>
        <w:spacing w:line="276" w:lineRule="auto"/>
        <w:jc w:val="center"/>
        <w:rPr>
          <w:rFonts w:eastAsia="MS Mincho"/>
          <w:b/>
          <w:bCs/>
          <w:i/>
          <w:iCs/>
          <w:sz w:val="28"/>
          <w:szCs w:val="28"/>
        </w:rPr>
      </w:pPr>
      <w:bookmarkStart w:id="15" w:name="OLE_LINK3"/>
      <w:r w:rsidRPr="0067685A">
        <w:rPr>
          <w:b/>
          <w:bCs/>
          <w:i/>
          <w:iCs/>
          <w:sz w:val="28"/>
          <w:szCs w:val="28"/>
        </w:rPr>
        <w:t>Qeveria –Vlada–Government</w:t>
      </w:r>
      <w:bookmarkEnd w:id="15"/>
    </w:p>
    <w:p w14:paraId="0B259859" w14:textId="77777777" w:rsidR="00085F16" w:rsidRPr="0067685A" w:rsidRDefault="00085F16" w:rsidP="00085F16">
      <w:pPr>
        <w:spacing w:line="276" w:lineRule="auto"/>
        <w:jc w:val="both"/>
        <w:rPr>
          <w:rStyle w:val="Corpsdutexte"/>
          <w:lang w:eastAsia="nl-NL"/>
        </w:rPr>
      </w:pPr>
    </w:p>
    <w:p w14:paraId="3C523A04" w14:textId="77777777" w:rsidR="00085F16" w:rsidRPr="0067685A" w:rsidRDefault="00085F16" w:rsidP="00085F16">
      <w:pPr>
        <w:spacing w:line="276" w:lineRule="auto"/>
        <w:jc w:val="both"/>
        <w:rPr>
          <w:rStyle w:val="Corpsdutexte"/>
          <w:lang w:eastAsia="nl-NL"/>
        </w:rPr>
      </w:pPr>
    </w:p>
    <w:p w14:paraId="39888152" w14:textId="77777777" w:rsidR="00085F16" w:rsidRPr="0067685A" w:rsidRDefault="00085F16" w:rsidP="00085F16">
      <w:pPr>
        <w:spacing w:line="276" w:lineRule="auto"/>
        <w:jc w:val="both"/>
        <w:rPr>
          <w:rStyle w:val="Corpsdutexte"/>
          <w:lang w:eastAsia="nl-NL"/>
        </w:rPr>
      </w:pPr>
    </w:p>
    <w:p w14:paraId="44D606C6" w14:textId="77777777" w:rsidR="00085F16" w:rsidRPr="0067685A" w:rsidRDefault="00085F16" w:rsidP="00085F16">
      <w:pPr>
        <w:spacing w:line="276" w:lineRule="auto"/>
        <w:jc w:val="both"/>
        <w:rPr>
          <w:rStyle w:val="Corpsdutexte"/>
          <w:lang w:eastAsia="nl-NL"/>
        </w:rPr>
      </w:pPr>
    </w:p>
    <w:p w14:paraId="2C6B562B" w14:textId="77777777" w:rsidR="00180BF1" w:rsidRDefault="00085F16" w:rsidP="00180BF1">
      <w:pPr>
        <w:spacing w:after="240"/>
        <w:jc w:val="center"/>
        <w:rPr>
          <w:b/>
          <w:bCs/>
          <w:smallCaps/>
          <w:sz w:val="40"/>
          <w:szCs w:val="40"/>
        </w:rPr>
      </w:pPr>
      <w:r>
        <w:rPr>
          <w:b/>
          <w:bCs/>
          <w:smallCaps/>
          <w:sz w:val="40"/>
          <w:szCs w:val="40"/>
        </w:rPr>
        <w:t xml:space="preserve">Programi për Reforma në Ekonomi                  </w:t>
      </w:r>
    </w:p>
    <w:p w14:paraId="61CEA78E" w14:textId="2CD58BDC" w:rsidR="00085F16" w:rsidRDefault="00085F16" w:rsidP="00180BF1">
      <w:pPr>
        <w:spacing w:after="240"/>
        <w:jc w:val="center"/>
        <w:rPr>
          <w:b/>
          <w:bCs/>
          <w:smallCaps/>
          <w:sz w:val="40"/>
          <w:szCs w:val="40"/>
        </w:rPr>
      </w:pPr>
      <w:r>
        <w:rPr>
          <w:b/>
          <w:bCs/>
          <w:smallCaps/>
          <w:sz w:val="40"/>
          <w:szCs w:val="40"/>
        </w:rPr>
        <w:t xml:space="preserve">            (PRE</w:t>
      </w:r>
      <w:r w:rsidRPr="0067685A">
        <w:rPr>
          <w:b/>
          <w:bCs/>
          <w:smallCaps/>
          <w:sz w:val="40"/>
          <w:szCs w:val="40"/>
        </w:rPr>
        <w:t>) 2020-2022</w:t>
      </w:r>
    </w:p>
    <w:p w14:paraId="4FFED351" w14:textId="77777777" w:rsidR="00085F16" w:rsidRDefault="00085F16" w:rsidP="00085F16">
      <w:pPr>
        <w:spacing w:before="2160" w:after="240" w:line="276" w:lineRule="auto"/>
        <w:jc w:val="center"/>
        <w:rPr>
          <w:b/>
          <w:bCs/>
          <w:smallCaps/>
          <w:sz w:val="40"/>
          <w:szCs w:val="40"/>
        </w:rPr>
      </w:pPr>
    </w:p>
    <w:p w14:paraId="7DFDB75E" w14:textId="659BB23E" w:rsidR="00180BF1" w:rsidRDefault="00180BF1" w:rsidP="00180BF1"/>
    <w:p w14:paraId="2111DEA0" w14:textId="77777777" w:rsidR="00085F16" w:rsidRDefault="00085F16" w:rsidP="00180BF1">
      <w:pPr>
        <w:rPr>
          <w:rFonts w:eastAsia="Calibri"/>
          <w:sz w:val="40"/>
          <w:szCs w:val="40"/>
        </w:rPr>
      </w:pPr>
    </w:p>
    <w:p w14:paraId="4D4903CD" w14:textId="77777777" w:rsidR="00180BF1" w:rsidRDefault="00180BF1" w:rsidP="00180BF1">
      <w:pPr>
        <w:rPr>
          <w:rFonts w:eastAsia="Calibri"/>
          <w:sz w:val="40"/>
          <w:szCs w:val="40"/>
        </w:rPr>
      </w:pPr>
    </w:p>
    <w:p w14:paraId="74927F6F" w14:textId="77777777" w:rsidR="00180BF1" w:rsidRDefault="00180BF1" w:rsidP="00180BF1">
      <w:pPr>
        <w:jc w:val="center"/>
      </w:pPr>
    </w:p>
    <w:p w14:paraId="44BF31DF" w14:textId="77777777" w:rsidR="00180BF1" w:rsidRDefault="00180BF1" w:rsidP="00180BF1">
      <w:pPr>
        <w:jc w:val="center"/>
      </w:pPr>
    </w:p>
    <w:p w14:paraId="509AF512" w14:textId="0E0116E4" w:rsidR="00180BF1" w:rsidRPr="00180BF1" w:rsidRDefault="00180BF1" w:rsidP="00180BF1">
      <w:pPr>
        <w:jc w:val="center"/>
        <w:rPr>
          <w:rFonts w:ascii="Times New Roman" w:eastAsia="Calibri" w:hAnsi="Times New Roman" w:cs="Times New Roman"/>
          <w:b/>
          <w:sz w:val="24"/>
          <w:szCs w:val="24"/>
        </w:rPr>
        <w:sectPr w:rsidR="00180BF1" w:rsidRPr="00180BF1" w:rsidSect="00085F16">
          <w:headerReference w:type="even" r:id="rId9"/>
          <w:headerReference w:type="default" r:id="rId10"/>
          <w:footerReference w:type="default" r:id="rId11"/>
          <w:headerReference w:type="first" r:id="rId12"/>
          <w:pgSz w:w="11907" w:h="16839" w:code="9"/>
          <w:pgMar w:top="1440" w:right="1440" w:bottom="1440" w:left="1440" w:header="0" w:footer="360" w:gutter="0"/>
          <w:cols w:space="720"/>
          <w:noEndnote/>
          <w:docGrid w:linePitch="360"/>
        </w:sectPr>
      </w:pPr>
      <w:r w:rsidRPr="00180BF1">
        <w:rPr>
          <w:rFonts w:ascii="Times New Roman" w:eastAsia="Calibri" w:hAnsi="Times New Roman" w:cs="Times New Roman"/>
          <w:b/>
          <w:sz w:val="24"/>
          <w:szCs w:val="24"/>
        </w:rPr>
        <w:t>Prishtinë, nëntor 2019</w:t>
      </w:r>
    </w:p>
    <w:sdt>
      <w:sdtPr>
        <w:rPr>
          <w:rFonts w:ascii="Times New Roman" w:eastAsia="Times New Roman" w:hAnsi="Times New Roman" w:cstheme="minorBidi"/>
          <w:b/>
          <w:bCs/>
          <w:color w:val="auto"/>
          <w:sz w:val="24"/>
          <w:szCs w:val="24"/>
          <w:lang w:val="sq-AL"/>
        </w:rPr>
        <w:id w:val="820081651"/>
        <w:docPartObj>
          <w:docPartGallery w:val="Table of Contents"/>
          <w:docPartUnique/>
        </w:docPartObj>
      </w:sdtPr>
      <w:sdtEndPr>
        <w:rPr>
          <w:rFonts w:asciiTheme="minorHAnsi" w:eastAsiaTheme="minorHAnsi" w:hAnsiTheme="minorHAnsi"/>
          <w:b w:val="0"/>
          <w:bCs w:val="0"/>
          <w:noProof/>
          <w:sz w:val="22"/>
          <w:szCs w:val="22"/>
        </w:rPr>
      </w:sdtEndPr>
      <w:sdtContent>
        <w:p w14:paraId="09709567" w14:textId="4E7A7828" w:rsidR="00085F16" w:rsidRPr="00F12BC0" w:rsidRDefault="00180BF1" w:rsidP="00085F16">
          <w:pPr>
            <w:pStyle w:val="TOCHeading"/>
            <w:rPr>
              <w:rFonts w:ascii="Times New Roman" w:hAnsi="Times New Roman"/>
              <w:color w:val="auto"/>
            </w:rPr>
          </w:pPr>
          <w:r>
            <w:rPr>
              <w:rFonts w:ascii="Times New Roman" w:hAnsi="Times New Roman"/>
              <w:color w:val="auto"/>
            </w:rPr>
            <w:t xml:space="preserve">Përmbajtja </w:t>
          </w:r>
        </w:p>
        <w:p w14:paraId="2D962275" w14:textId="77777777" w:rsidR="00802FB3" w:rsidRDefault="00085F16">
          <w:pPr>
            <w:pStyle w:val="TOC1"/>
            <w:tabs>
              <w:tab w:val="right" w:leader="dot" w:pos="9739"/>
            </w:tabs>
            <w:rPr>
              <w:rFonts w:eastAsiaTheme="minorEastAsia"/>
              <w:noProof/>
              <w:lang w:val="en-US"/>
            </w:rPr>
          </w:pPr>
          <w:r w:rsidRPr="009F66F4">
            <w:rPr>
              <w:rFonts w:ascii="Times New Roman Bold" w:hAnsi="Times New Roman Bold"/>
              <w:iCs/>
              <w:smallCaps/>
              <w:kern w:val="28"/>
              <w:sz w:val="20"/>
              <w:szCs w:val="20"/>
              <w14:scene3d>
                <w14:camera w14:prst="orthographicFront"/>
                <w14:lightRig w14:rig="threePt" w14:dir="t">
                  <w14:rot w14:lat="0" w14:lon="0" w14:rev="0"/>
                </w14:lightRig>
              </w14:scene3d>
            </w:rPr>
            <w:fldChar w:fldCharType="begin"/>
          </w:r>
          <w:r w:rsidRPr="009F66F4">
            <w:instrText xml:space="preserve"> TOC \o "1-3" \h \z \u </w:instrText>
          </w:r>
          <w:r w:rsidRPr="009F66F4">
            <w:rPr>
              <w:rFonts w:ascii="Times New Roman Bold" w:hAnsi="Times New Roman Bold"/>
              <w:iCs/>
              <w:smallCaps/>
              <w:kern w:val="28"/>
              <w:sz w:val="20"/>
              <w:szCs w:val="20"/>
              <w14:scene3d>
                <w14:camera w14:prst="orthographicFront"/>
                <w14:lightRig w14:rig="threePt" w14:dir="t">
                  <w14:rot w14:lat="0" w14:lon="0" w14:rev="0"/>
                </w14:lightRig>
              </w14:scene3d>
            </w:rPr>
            <w:fldChar w:fldCharType="separate"/>
          </w:r>
          <w:hyperlink w:anchor="_Toc25873713" w:history="1">
            <w:r w:rsidR="00802FB3" w:rsidRPr="00AA2652">
              <w:rPr>
                <w:rStyle w:val="Hyperlink"/>
                <w:noProof/>
              </w:rPr>
              <w:t>1. KORNIZA E PËRGJITHSHME E POLITIKAVE DHE OBJEKTIVAT</w:t>
            </w:r>
            <w:r w:rsidR="00802FB3">
              <w:rPr>
                <w:noProof/>
                <w:webHidden/>
              </w:rPr>
              <w:tab/>
            </w:r>
            <w:r w:rsidR="00802FB3">
              <w:rPr>
                <w:noProof/>
                <w:webHidden/>
              </w:rPr>
              <w:fldChar w:fldCharType="begin"/>
            </w:r>
            <w:r w:rsidR="00802FB3">
              <w:rPr>
                <w:noProof/>
                <w:webHidden/>
              </w:rPr>
              <w:instrText xml:space="preserve"> PAGEREF _Toc25873713 \h </w:instrText>
            </w:r>
            <w:r w:rsidR="00802FB3">
              <w:rPr>
                <w:noProof/>
                <w:webHidden/>
              </w:rPr>
            </w:r>
            <w:r w:rsidR="00802FB3">
              <w:rPr>
                <w:noProof/>
                <w:webHidden/>
              </w:rPr>
              <w:fldChar w:fldCharType="separate"/>
            </w:r>
            <w:r w:rsidR="00802FB3">
              <w:rPr>
                <w:noProof/>
                <w:webHidden/>
              </w:rPr>
              <w:t>6</w:t>
            </w:r>
            <w:r w:rsidR="00802FB3">
              <w:rPr>
                <w:noProof/>
                <w:webHidden/>
              </w:rPr>
              <w:fldChar w:fldCharType="end"/>
            </w:r>
          </w:hyperlink>
        </w:p>
        <w:p w14:paraId="73B49E85" w14:textId="77777777" w:rsidR="00802FB3" w:rsidRDefault="00FC648F">
          <w:pPr>
            <w:pStyle w:val="TOC1"/>
            <w:tabs>
              <w:tab w:val="right" w:leader="dot" w:pos="9739"/>
            </w:tabs>
            <w:rPr>
              <w:rFonts w:eastAsiaTheme="minorEastAsia"/>
              <w:noProof/>
              <w:lang w:val="en-US"/>
            </w:rPr>
          </w:pPr>
          <w:hyperlink w:anchor="_Toc25873714" w:history="1">
            <w:r w:rsidR="00802FB3" w:rsidRPr="00AA2652">
              <w:rPr>
                <w:rStyle w:val="Hyperlink"/>
                <w:noProof/>
              </w:rPr>
              <w:t>2. Korniza Makroekonomike</w:t>
            </w:r>
            <w:r w:rsidR="00802FB3">
              <w:rPr>
                <w:noProof/>
                <w:webHidden/>
              </w:rPr>
              <w:tab/>
            </w:r>
            <w:r w:rsidR="00802FB3">
              <w:rPr>
                <w:noProof/>
                <w:webHidden/>
              </w:rPr>
              <w:fldChar w:fldCharType="begin"/>
            </w:r>
            <w:r w:rsidR="00802FB3">
              <w:rPr>
                <w:noProof/>
                <w:webHidden/>
              </w:rPr>
              <w:instrText xml:space="preserve"> PAGEREF _Toc25873714 \h </w:instrText>
            </w:r>
            <w:r w:rsidR="00802FB3">
              <w:rPr>
                <w:noProof/>
                <w:webHidden/>
              </w:rPr>
            </w:r>
            <w:r w:rsidR="00802FB3">
              <w:rPr>
                <w:noProof/>
                <w:webHidden/>
              </w:rPr>
              <w:fldChar w:fldCharType="separate"/>
            </w:r>
            <w:r w:rsidR="00802FB3">
              <w:rPr>
                <w:noProof/>
                <w:webHidden/>
              </w:rPr>
              <w:t>12</w:t>
            </w:r>
            <w:r w:rsidR="00802FB3">
              <w:rPr>
                <w:noProof/>
                <w:webHidden/>
              </w:rPr>
              <w:fldChar w:fldCharType="end"/>
            </w:r>
          </w:hyperlink>
        </w:p>
        <w:p w14:paraId="7332411C" w14:textId="77777777" w:rsidR="00802FB3" w:rsidRDefault="00FC648F">
          <w:pPr>
            <w:pStyle w:val="TOC1"/>
            <w:tabs>
              <w:tab w:val="left" w:pos="720"/>
              <w:tab w:val="right" w:leader="dot" w:pos="9739"/>
            </w:tabs>
            <w:rPr>
              <w:rFonts w:eastAsiaTheme="minorEastAsia"/>
              <w:noProof/>
              <w:lang w:val="en-US"/>
            </w:rPr>
          </w:pPr>
          <w:hyperlink w:anchor="_Toc25873715" w:history="1">
            <w:r w:rsidR="00802FB3" w:rsidRPr="00AA2652">
              <w:rPr>
                <w:rStyle w:val="Hyperlink"/>
                <w:rFonts w:ascii="Times New Roman" w:hAnsi="Times New Roman"/>
                <w:noProof/>
              </w:rPr>
              <w:t>2.1.</w:t>
            </w:r>
            <w:r w:rsidR="00802FB3">
              <w:rPr>
                <w:rFonts w:eastAsiaTheme="minorEastAsia"/>
                <w:noProof/>
                <w:lang w:val="en-US"/>
              </w:rPr>
              <w:tab/>
            </w:r>
            <w:r w:rsidR="00802FB3" w:rsidRPr="00AA2652">
              <w:rPr>
                <w:rStyle w:val="Hyperlink"/>
                <w:rFonts w:ascii="Times New Roman" w:hAnsi="Times New Roman"/>
                <w:noProof/>
              </w:rPr>
              <w:t>Zhvillimet e Jashtme Ekonomike dhe Projeksionet</w:t>
            </w:r>
            <w:r w:rsidR="00802FB3">
              <w:rPr>
                <w:noProof/>
                <w:webHidden/>
              </w:rPr>
              <w:tab/>
            </w:r>
            <w:r w:rsidR="00802FB3">
              <w:rPr>
                <w:noProof/>
                <w:webHidden/>
              </w:rPr>
              <w:fldChar w:fldCharType="begin"/>
            </w:r>
            <w:r w:rsidR="00802FB3">
              <w:rPr>
                <w:noProof/>
                <w:webHidden/>
              </w:rPr>
              <w:instrText xml:space="preserve"> PAGEREF _Toc25873715 \h </w:instrText>
            </w:r>
            <w:r w:rsidR="00802FB3">
              <w:rPr>
                <w:noProof/>
                <w:webHidden/>
              </w:rPr>
            </w:r>
            <w:r w:rsidR="00802FB3">
              <w:rPr>
                <w:noProof/>
                <w:webHidden/>
              </w:rPr>
              <w:fldChar w:fldCharType="separate"/>
            </w:r>
            <w:r w:rsidR="00802FB3">
              <w:rPr>
                <w:noProof/>
                <w:webHidden/>
              </w:rPr>
              <w:t>12</w:t>
            </w:r>
            <w:r w:rsidR="00802FB3">
              <w:rPr>
                <w:noProof/>
                <w:webHidden/>
              </w:rPr>
              <w:fldChar w:fldCharType="end"/>
            </w:r>
          </w:hyperlink>
        </w:p>
        <w:p w14:paraId="69F8C57B" w14:textId="77777777" w:rsidR="00802FB3" w:rsidRDefault="00FC648F">
          <w:pPr>
            <w:pStyle w:val="TOC1"/>
            <w:tabs>
              <w:tab w:val="left" w:pos="720"/>
              <w:tab w:val="right" w:leader="dot" w:pos="9739"/>
            </w:tabs>
            <w:rPr>
              <w:rFonts w:eastAsiaTheme="minorEastAsia"/>
              <w:noProof/>
              <w:lang w:val="en-US"/>
            </w:rPr>
          </w:pPr>
          <w:hyperlink w:anchor="_Toc25873716" w:history="1">
            <w:r w:rsidR="00802FB3" w:rsidRPr="00AA2652">
              <w:rPr>
                <w:rStyle w:val="Hyperlink"/>
                <w:noProof/>
              </w:rPr>
              <w:t>2.2.</w:t>
            </w:r>
            <w:r w:rsidR="00802FB3">
              <w:rPr>
                <w:rFonts w:eastAsiaTheme="minorEastAsia"/>
                <w:noProof/>
                <w:lang w:val="en-US"/>
              </w:rPr>
              <w:tab/>
            </w:r>
            <w:r w:rsidR="00802FB3" w:rsidRPr="00AA2652">
              <w:rPr>
                <w:rStyle w:val="Hyperlink"/>
                <w:noProof/>
              </w:rPr>
              <w:t>Zhvillimet e fundit në ekonominë Kosovare</w:t>
            </w:r>
            <w:r w:rsidR="00802FB3">
              <w:rPr>
                <w:noProof/>
                <w:webHidden/>
              </w:rPr>
              <w:tab/>
            </w:r>
            <w:r w:rsidR="00802FB3">
              <w:rPr>
                <w:noProof/>
                <w:webHidden/>
              </w:rPr>
              <w:fldChar w:fldCharType="begin"/>
            </w:r>
            <w:r w:rsidR="00802FB3">
              <w:rPr>
                <w:noProof/>
                <w:webHidden/>
              </w:rPr>
              <w:instrText xml:space="preserve"> PAGEREF _Toc25873716 \h </w:instrText>
            </w:r>
            <w:r w:rsidR="00802FB3">
              <w:rPr>
                <w:noProof/>
                <w:webHidden/>
              </w:rPr>
            </w:r>
            <w:r w:rsidR="00802FB3">
              <w:rPr>
                <w:noProof/>
                <w:webHidden/>
              </w:rPr>
              <w:fldChar w:fldCharType="separate"/>
            </w:r>
            <w:r w:rsidR="00802FB3">
              <w:rPr>
                <w:noProof/>
                <w:webHidden/>
              </w:rPr>
              <w:t>14</w:t>
            </w:r>
            <w:r w:rsidR="00802FB3">
              <w:rPr>
                <w:noProof/>
                <w:webHidden/>
              </w:rPr>
              <w:fldChar w:fldCharType="end"/>
            </w:r>
          </w:hyperlink>
        </w:p>
        <w:p w14:paraId="07BCF8B2" w14:textId="77777777" w:rsidR="00802FB3" w:rsidRDefault="00FC648F">
          <w:pPr>
            <w:pStyle w:val="TOC1"/>
            <w:tabs>
              <w:tab w:val="left" w:pos="960"/>
              <w:tab w:val="right" w:leader="dot" w:pos="9739"/>
            </w:tabs>
            <w:rPr>
              <w:rFonts w:eastAsiaTheme="minorEastAsia"/>
              <w:noProof/>
              <w:lang w:val="en-US"/>
            </w:rPr>
          </w:pPr>
          <w:hyperlink w:anchor="_Toc25873717" w:history="1">
            <w:r w:rsidR="00802FB3" w:rsidRPr="00AA2652">
              <w:rPr>
                <w:rStyle w:val="Hyperlink"/>
                <w:iCs/>
                <w:noProof/>
              </w:rPr>
              <w:t>2.2.1.</w:t>
            </w:r>
            <w:r w:rsidR="00802FB3">
              <w:rPr>
                <w:rFonts w:eastAsiaTheme="minorEastAsia"/>
                <w:noProof/>
                <w:lang w:val="en-US"/>
              </w:rPr>
              <w:tab/>
            </w:r>
            <w:r w:rsidR="00802FB3" w:rsidRPr="00AA2652">
              <w:rPr>
                <w:rStyle w:val="Hyperlink"/>
                <w:iCs/>
                <w:noProof/>
              </w:rPr>
              <w:t>Sektori Real</w:t>
            </w:r>
            <w:r w:rsidR="00802FB3">
              <w:rPr>
                <w:noProof/>
                <w:webHidden/>
              </w:rPr>
              <w:tab/>
            </w:r>
            <w:r w:rsidR="00802FB3">
              <w:rPr>
                <w:noProof/>
                <w:webHidden/>
              </w:rPr>
              <w:fldChar w:fldCharType="begin"/>
            </w:r>
            <w:r w:rsidR="00802FB3">
              <w:rPr>
                <w:noProof/>
                <w:webHidden/>
              </w:rPr>
              <w:instrText xml:space="preserve"> PAGEREF _Toc25873717 \h </w:instrText>
            </w:r>
            <w:r w:rsidR="00802FB3">
              <w:rPr>
                <w:noProof/>
                <w:webHidden/>
              </w:rPr>
            </w:r>
            <w:r w:rsidR="00802FB3">
              <w:rPr>
                <w:noProof/>
                <w:webHidden/>
              </w:rPr>
              <w:fldChar w:fldCharType="separate"/>
            </w:r>
            <w:r w:rsidR="00802FB3">
              <w:rPr>
                <w:noProof/>
                <w:webHidden/>
              </w:rPr>
              <w:t>14</w:t>
            </w:r>
            <w:r w:rsidR="00802FB3">
              <w:rPr>
                <w:noProof/>
                <w:webHidden/>
              </w:rPr>
              <w:fldChar w:fldCharType="end"/>
            </w:r>
          </w:hyperlink>
        </w:p>
        <w:p w14:paraId="779D858D" w14:textId="77777777" w:rsidR="00802FB3" w:rsidRDefault="00FC648F">
          <w:pPr>
            <w:pStyle w:val="TOC1"/>
            <w:tabs>
              <w:tab w:val="left" w:pos="720"/>
              <w:tab w:val="right" w:leader="dot" w:pos="9739"/>
            </w:tabs>
            <w:rPr>
              <w:rFonts w:eastAsiaTheme="minorEastAsia"/>
              <w:noProof/>
              <w:lang w:val="en-US"/>
            </w:rPr>
          </w:pPr>
          <w:hyperlink w:anchor="_Toc25873718" w:history="1">
            <w:r w:rsidR="00802FB3" w:rsidRPr="00AA2652">
              <w:rPr>
                <w:rStyle w:val="Hyperlink"/>
                <w:iCs/>
                <w:noProof/>
              </w:rPr>
              <w:t>2.2.2</w:t>
            </w:r>
            <w:r w:rsidR="00802FB3">
              <w:rPr>
                <w:rFonts w:eastAsiaTheme="minorEastAsia"/>
                <w:noProof/>
                <w:lang w:val="en-US"/>
              </w:rPr>
              <w:tab/>
            </w:r>
            <w:r w:rsidR="00802FB3" w:rsidRPr="00AA2652">
              <w:rPr>
                <w:rStyle w:val="Hyperlink"/>
                <w:iCs/>
                <w:noProof/>
              </w:rPr>
              <w:t>Klima e Biznesit</w:t>
            </w:r>
            <w:r w:rsidR="00802FB3">
              <w:rPr>
                <w:noProof/>
                <w:webHidden/>
              </w:rPr>
              <w:tab/>
            </w:r>
            <w:r w:rsidR="00802FB3">
              <w:rPr>
                <w:noProof/>
                <w:webHidden/>
              </w:rPr>
              <w:fldChar w:fldCharType="begin"/>
            </w:r>
            <w:r w:rsidR="00802FB3">
              <w:rPr>
                <w:noProof/>
                <w:webHidden/>
              </w:rPr>
              <w:instrText xml:space="preserve"> PAGEREF _Toc25873718 \h </w:instrText>
            </w:r>
            <w:r w:rsidR="00802FB3">
              <w:rPr>
                <w:noProof/>
                <w:webHidden/>
              </w:rPr>
            </w:r>
            <w:r w:rsidR="00802FB3">
              <w:rPr>
                <w:noProof/>
                <w:webHidden/>
              </w:rPr>
              <w:fldChar w:fldCharType="separate"/>
            </w:r>
            <w:r w:rsidR="00802FB3">
              <w:rPr>
                <w:noProof/>
                <w:webHidden/>
              </w:rPr>
              <w:t>18</w:t>
            </w:r>
            <w:r w:rsidR="00802FB3">
              <w:rPr>
                <w:noProof/>
                <w:webHidden/>
              </w:rPr>
              <w:fldChar w:fldCharType="end"/>
            </w:r>
          </w:hyperlink>
        </w:p>
        <w:p w14:paraId="71195799" w14:textId="77777777" w:rsidR="00802FB3" w:rsidRDefault="00FC648F">
          <w:pPr>
            <w:pStyle w:val="TOC1"/>
            <w:tabs>
              <w:tab w:val="left" w:pos="960"/>
              <w:tab w:val="right" w:leader="dot" w:pos="9739"/>
            </w:tabs>
            <w:rPr>
              <w:rFonts w:eastAsiaTheme="minorEastAsia"/>
              <w:noProof/>
              <w:lang w:val="en-US"/>
            </w:rPr>
          </w:pPr>
          <w:hyperlink w:anchor="_Toc25873719" w:history="1">
            <w:r w:rsidR="00802FB3" w:rsidRPr="00AA2652">
              <w:rPr>
                <w:rStyle w:val="Hyperlink"/>
                <w:iCs/>
                <w:noProof/>
              </w:rPr>
              <w:t>2.2.3.</w:t>
            </w:r>
            <w:r w:rsidR="00802FB3">
              <w:rPr>
                <w:rFonts w:eastAsiaTheme="minorEastAsia"/>
                <w:noProof/>
                <w:lang w:val="en-US"/>
              </w:rPr>
              <w:tab/>
            </w:r>
            <w:r w:rsidR="00802FB3" w:rsidRPr="00AA2652">
              <w:rPr>
                <w:rStyle w:val="Hyperlink"/>
                <w:rFonts w:ascii="Times New Roman" w:hAnsi="Times New Roman"/>
                <w:iCs/>
                <w:noProof/>
              </w:rPr>
              <w:t>Indikatorët kryesorë të tregut të punës, 2016-2019 TM2</w:t>
            </w:r>
            <w:r w:rsidR="00802FB3">
              <w:rPr>
                <w:noProof/>
                <w:webHidden/>
              </w:rPr>
              <w:tab/>
            </w:r>
            <w:r w:rsidR="00802FB3">
              <w:rPr>
                <w:noProof/>
                <w:webHidden/>
              </w:rPr>
              <w:fldChar w:fldCharType="begin"/>
            </w:r>
            <w:r w:rsidR="00802FB3">
              <w:rPr>
                <w:noProof/>
                <w:webHidden/>
              </w:rPr>
              <w:instrText xml:space="preserve"> PAGEREF _Toc25873719 \h </w:instrText>
            </w:r>
            <w:r w:rsidR="00802FB3">
              <w:rPr>
                <w:noProof/>
                <w:webHidden/>
              </w:rPr>
            </w:r>
            <w:r w:rsidR="00802FB3">
              <w:rPr>
                <w:noProof/>
                <w:webHidden/>
              </w:rPr>
              <w:fldChar w:fldCharType="separate"/>
            </w:r>
            <w:r w:rsidR="00802FB3">
              <w:rPr>
                <w:noProof/>
                <w:webHidden/>
              </w:rPr>
              <w:t>19</w:t>
            </w:r>
            <w:r w:rsidR="00802FB3">
              <w:rPr>
                <w:noProof/>
                <w:webHidden/>
              </w:rPr>
              <w:fldChar w:fldCharType="end"/>
            </w:r>
          </w:hyperlink>
        </w:p>
        <w:p w14:paraId="74427FA4" w14:textId="77777777" w:rsidR="00802FB3" w:rsidRDefault="00FC648F">
          <w:pPr>
            <w:pStyle w:val="TOC1"/>
            <w:tabs>
              <w:tab w:val="left" w:pos="960"/>
              <w:tab w:val="right" w:leader="dot" w:pos="9739"/>
            </w:tabs>
            <w:rPr>
              <w:rFonts w:eastAsiaTheme="minorEastAsia"/>
              <w:noProof/>
              <w:lang w:val="en-US"/>
            </w:rPr>
          </w:pPr>
          <w:hyperlink w:anchor="_Toc25873720" w:history="1">
            <w:r w:rsidR="00802FB3" w:rsidRPr="00AA2652">
              <w:rPr>
                <w:rStyle w:val="Hyperlink"/>
                <w:noProof/>
              </w:rPr>
              <w:t>2.3.1.</w:t>
            </w:r>
            <w:r w:rsidR="00802FB3">
              <w:rPr>
                <w:rFonts w:eastAsiaTheme="minorEastAsia"/>
                <w:noProof/>
                <w:lang w:val="en-US"/>
              </w:rPr>
              <w:tab/>
            </w:r>
            <w:r w:rsidR="00802FB3" w:rsidRPr="00AA2652">
              <w:rPr>
                <w:rStyle w:val="Hyperlink"/>
                <w:rFonts w:ascii="Times New Roman" w:hAnsi="Times New Roman"/>
                <w:noProof/>
              </w:rPr>
              <w:t>Projeksionet e sektorit real</w:t>
            </w:r>
            <w:r w:rsidR="00802FB3">
              <w:rPr>
                <w:noProof/>
                <w:webHidden/>
              </w:rPr>
              <w:tab/>
            </w:r>
            <w:r w:rsidR="00802FB3">
              <w:rPr>
                <w:noProof/>
                <w:webHidden/>
              </w:rPr>
              <w:fldChar w:fldCharType="begin"/>
            </w:r>
            <w:r w:rsidR="00802FB3">
              <w:rPr>
                <w:noProof/>
                <w:webHidden/>
              </w:rPr>
              <w:instrText xml:space="preserve"> PAGEREF _Toc25873720 \h </w:instrText>
            </w:r>
            <w:r w:rsidR="00802FB3">
              <w:rPr>
                <w:noProof/>
                <w:webHidden/>
              </w:rPr>
            </w:r>
            <w:r w:rsidR="00802FB3">
              <w:rPr>
                <w:noProof/>
                <w:webHidden/>
              </w:rPr>
              <w:fldChar w:fldCharType="separate"/>
            </w:r>
            <w:r w:rsidR="00802FB3">
              <w:rPr>
                <w:noProof/>
                <w:webHidden/>
              </w:rPr>
              <w:t>21</w:t>
            </w:r>
            <w:r w:rsidR="00802FB3">
              <w:rPr>
                <w:noProof/>
                <w:webHidden/>
              </w:rPr>
              <w:fldChar w:fldCharType="end"/>
            </w:r>
          </w:hyperlink>
        </w:p>
        <w:p w14:paraId="3627A88C" w14:textId="77777777" w:rsidR="00802FB3" w:rsidRDefault="00FC648F">
          <w:pPr>
            <w:pStyle w:val="TOC1"/>
            <w:tabs>
              <w:tab w:val="left" w:pos="720"/>
              <w:tab w:val="right" w:leader="dot" w:pos="9739"/>
            </w:tabs>
            <w:rPr>
              <w:rFonts w:eastAsiaTheme="minorEastAsia"/>
              <w:noProof/>
              <w:lang w:val="en-US"/>
            </w:rPr>
          </w:pPr>
          <w:hyperlink w:anchor="_Toc25873721" w:history="1">
            <w:r w:rsidR="00802FB3" w:rsidRPr="00AA2652">
              <w:rPr>
                <w:rStyle w:val="Hyperlink"/>
                <w:iCs/>
                <w:noProof/>
              </w:rPr>
              <w:t>2.3.2</w:t>
            </w:r>
            <w:r w:rsidR="00802FB3">
              <w:rPr>
                <w:rFonts w:eastAsiaTheme="minorEastAsia"/>
                <w:noProof/>
                <w:lang w:val="en-US"/>
              </w:rPr>
              <w:tab/>
            </w:r>
            <w:r w:rsidR="00802FB3" w:rsidRPr="00AA2652">
              <w:rPr>
                <w:rStyle w:val="Hyperlink"/>
                <w:iCs/>
                <w:noProof/>
              </w:rPr>
              <w:t>Politika monetare dhe e kursit të këmbimit dhe inflacioni</w:t>
            </w:r>
            <w:r w:rsidR="00802FB3">
              <w:rPr>
                <w:noProof/>
                <w:webHidden/>
              </w:rPr>
              <w:tab/>
            </w:r>
            <w:r w:rsidR="00802FB3">
              <w:rPr>
                <w:noProof/>
                <w:webHidden/>
              </w:rPr>
              <w:fldChar w:fldCharType="begin"/>
            </w:r>
            <w:r w:rsidR="00802FB3">
              <w:rPr>
                <w:noProof/>
                <w:webHidden/>
              </w:rPr>
              <w:instrText xml:space="preserve"> PAGEREF _Toc25873721 \h </w:instrText>
            </w:r>
            <w:r w:rsidR="00802FB3">
              <w:rPr>
                <w:noProof/>
                <w:webHidden/>
              </w:rPr>
            </w:r>
            <w:r w:rsidR="00802FB3">
              <w:rPr>
                <w:noProof/>
                <w:webHidden/>
              </w:rPr>
              <w:fldChar w:fldCharType="separate"/>
            </w:r>
            <w:r w:rsidR="00802FB3">
              <w:rPr>
                <w:noProof/>
                <w:webHidden/>
              </w:rPr>
              <w:t>23</w:t>
            </w:r>
            <w:r w:rsidR="00802FB3">
              <w:rPr>
                <w:noProof/>
                <w:webHidden/>
              </w:rPr>
              <w:fldChar w:fldCharType="end"/>
            </w:r>
          </w:hyperlink>
        </w:p>
        <w:p w14:paraId="2A79C0FA" w14:textId="77777777" w:rsidR="00802FB3" w:rsidRDefault="00FC648F">
          <w:pPr>
            <w:pStyle w:val="TOC1"/>
            <w:tabs>
              <w:tab w:val="left" w:pos="720"/>
              <w:tab w:val="right" w:leader="dot" w:pos="9739"/>
            </w:tabs>
            <w:rPr>
              <w:rFonts w:eastAsiaTheme="minorEastAsia"/>
              <w:noProof/>
              <w:lang w:val="en-US"/>
            </w:rPr>
          </w:pPr>
          <w:hyperlink w:anchor="_Toc25873722" w:history="1">
            <w:r w:rsidR="00802FB3" w:rsidRPr="00AA2652">
              <w:rPr>
                <w:rStyle w:val="Hyperlink"/>
                <w:iCs/>
                <w:noProof/>
              </w:rPr>
              <w:t>2.3.3</w:t>
            </w:r>
            <w:r w:rsidR="00802FB3">
              <w:rPr>
                <w:rFonts w:eastAsiaTheme="minorEastAsia"/>
                <w:noProof/>
                <w:lang w:val="en-US"/>
              </w:rPr>
              <w:tab/>
            </w:r>
            <w:r w:rsidR="00802FB3" w:rsidRPr="00AA2652">
              <w:rPr>
                <w:rStyle w:val="Hyperlink"/>
                <w:iCs/>
                <w:noProof/>
              </w:rPr>
              <w:t>Sektori i jashtëm dhe qëndrueshmëria e tij afatmesme</w:t>
            </w:r>
            <w:r w:rsidR="00802FB3">
              <w:rPr>
                <w:noProof/>
                <w:webHidden/>
              </w:rPr>
              <w:tab/>
            </w:r>
            <w:r w:rsidR="00802FB3">
              <w:rPr>
                <w:noProof/>
                <w:webHidden/>
              </w:rPr>
              <w:fldChar w:fldCharType="begin"/>
            </w:r>
            <w:r w:rsidR="00802FB3">
              <w:rPr>
                <w:noProof/>
                <w:webHidden/>
              </w:rPr>
              <w:instrText xml:space="preserve"> PAGEREF _Toc25873722 \h </w:instrText>
            </w:r>
            <w:r w:rsidR="00802FB3">
              <w:rPr>
                <w:noProof/>
                <w:webHidden/>
              </w:rPr>
            </w:r>
            <w:r w:rsidR="00802FB3">
              <w:rPr>
                <w:noProof/>
                <w:webHidden/>
              </w:rPr>
              <w:fldChar w:fldCharType="separate"/>
            </w:r>
            <w:r w:rsidR="00802FB3">
              <w:rPr>
                <w:noProof/>
                <w:webHidden/>
              </w:rPr>
              <w:t>24</w:t>
            </w:r>
            <w:r w:rsidR="00802FB3">
              <w:rPr>
                <w:noProof/>
                <w:webHidden/>
              </w:rPr>
              <w:fldChar w:fldCharType="end"/>
            </w:r>
          </w:hyperlink>
        </w:p>
        <w:p w14:paraId="1BED008D" w14:textId="77777777" w:rsidR="00802FB3" w:rsidRDefault="00FC648F">
          <w:pPr>
            <w:pStyle w:val="TOC1"/>
            <w:tabs>
              <w:tab w:val="left" w:pos="960"/>
              <w:tab w:val="right" w:leader="dot" w:pos="9739"/>
            </w:tabs>
            <w:rPr>
              <w:rFonts w:eastAsiaTheme="minorEastAsia"/>
              <w:noProof/>
              <w:lang w:val="en-US"/>
            </w:rPr>
          </w:pPr>
          <w:hyperlink w:anchor="_Toc25873723" w:history="1">
            <w:r w:rsidR="00802FB3" w:rsidRPr="00AA2652">
              <w:rPr>
                <w:rStyle w:val="Hyperlink"/>
                <w:iCs/>
                <w:noProof/>
              </w:rPr>
              <w:t>2.3.3.1.</w:t>
            </w:r>
            <w:r w:rsidR="00802FB3">
              <w:rPr>
                <w:rFonts w:eastAsiaTheme="minorEastAsia"/>
                <w:noProof/>
                <w:lang w:val="en-US"/>
              </w:rPr>
              <w:tab/>
            </w:r>
            <w:r w:rsidR="00802FB3" w:rsidRPr="00AA2652">
              <w:rPr>
                <w:rStyle w:val="Hyperlink"/>
                <w:iCs/>
                <w:noProof/>
              </w:rPr>
              <w:t>Llogaria Rrjedhëse</w:t>
            </w:r>
            <w:r w:rsidR="00802FB3">
              <w:rPr>
                <w:noProof/>
                <w:webHidden/>
              </w:rPr>
              <w:tab/>
            </w:r>
            <w:r w:rsidR="00802FB3">
              <w:rPr>
                <w:noProof/>
                <w:webHidden/>
              </w:rPr>
              <w:fldChar w:fldCharType="begin"/>
            </w:r>
            <w:r w:rsidR="00802FB3">
              <w:rPr>
                <w:noProof/>
                <w:webHidden/>
              </w:rPr>
              <w:instrText xml:space="preserve"> PAGEREF _Toc25873723 \h </w:instrText>
            </w:r>
            <w:r w:rsidR="00802FB3">
              <w:rPr>
                <w:noProof/>
                <w:webHidden/>
              </w:rPr>
            </w:r>
            <w:r w:rsidR="00802FB3">
              <w:rPr>
                <w:noProof/>
                <w:webHidden/>
              </w:rPr>
              <w:fldChar w:fldCharType="separate"/>
            </w:r>
            <w:r w:rsidR="00802FB3">
              <w:rPr>
                <w:noProof/>
                <w:webHidden/>
              </w:rPr>
              <w:t>24</w:t>
            </w:r>
            <w:r w:rsidR="00802FB3">
              <w:rPr>
                <w:noProof/>
                <w:webHidden/>
              </w:rPr>
              <w:fldChar w:fldCharType="end"/>
            </w:r>
          </w:hyperlink>
        </w:p>
        <w:p w14:paraId="6E3AF0DE" w14:textId="77777777" w:rsidR="00802FB3" w:rsidRDefault="00FC648F">
          <w:pPr>
            <w:pStyle w:val="TOC1"/>
            <w:tabs>
              <w:tab w:val="left" w:pos="960"/>
              <w:tab w:val="right" w:leader="dot" w:pos="9739"/>
            </w:tabs>
            <w:rPr>
              <w:rFonts w:eastAsiaTheme="minorEastAsia"/>
              <w:noProof/>
              <w:lang w:val="en-US"/>
            </w:rPr>
          </w:pPr>
          <w:hyperlink w:anchor="_Toc25873724" w:history="1">
            <w:r w:rsidR="00802FB3" w:rsidRPr="00AA2652">
              <w:rPr>
                <w:rStyle w:val="Hyperlink"/>
                <w:rFonts w:ascii="Times New Roman" w:hAnsi="Times New Roman"/>
                <w:iCs/>
                <w:noProof/>
              </w:rPr>
              <w:t>2.3.3.2.</w:t>
            </w:r>
            <w:r w:rsidR="00802FB3">
              <w:rPr>
                <w:rFonts w:eastAsiaTheme="minorEastAsia"/>
                <w:noProof/>
                <w:lang w:val="en-US"/>
              </w:rPr>
              <w:tab/>
            </w:r>
            <w:r w:rsidR="00802FB3" w:rsidRPr="00AA2652">
              <w:rPr>
                <w:rStyle w:val="Hyperlink"/>
                <w:rFonts w:ascii="Times New Roman" w:hAnsi="Times New Roman"/>
                <w:iCs/>
                <w:noProof/>
                <w:lang w:val="en-US"/>
              </w:rPr>
              <w:t>Llogaria Financiare</w:t>
            </w:r>
            <w:r w:rsidR="00802FB3">
              <w:rPr>
                <w:noProof/>
                <w:webHidden/>
              </w:rPr>
              <w:tab/>
            </w:r>
            <w:r w:rsidR="00802FB3">
              <w:rPr>
                <w:noProof/>
                <w:webHidden/>
              </w:rPr>
              <w:fldChar w:fldCharType="begin"/>
            </w:r>
            <w:r w:rsidR="00802FB3">
              <w:rPr>
                <w:noProof/>
                <w:webHidden/>
              </w:rPr>
              <w:instrText xml:space="preserve"> PAGEREF _Toc25873724 \h </w:instrText>
            </w:r>
            <w:r w:rsidR="00802FB3">
              <w:rPr>
                <w:noProof/>
                <w:webHidden/>
              </w:rPr>
            </w:r>
            <w:r w:rsidR="00802FB3">
              <w:rPr>
                <w:noProof/>
                <w:webHidden/>
              </w:rPr>
              <w:fldChar w:fldCharType="separate"/>
            </w:r>
            <w:r w:rsidR="00802FB3">
              <w:rPr>
                <w:noProof/>
                <w:webHidden/>
              </w:rPr>
              <w:t>28</w:t>
            </w:r>
            <w:r w:rsidR="00802FB3">
              <w:rPr>
                <w:noProof/>
                <w:webHidden/>
              </w:rPr>
              <w:fldChar w:fldCharType="end"/>
            </w:r>
          </w:hyperlink>
        </w:p>
        <w:p w14:paraId="66377812" w14:textId="77777777" w:rsidR="00802FB3" w:rsidRDefault="00FC648F">
          <w:pPr>
            <w:pStyle w:val="TOC1"/>
            <w:tabs>
              <w:tab w:val="left" w:pos="720"/>
              <w:tab w:val="right" w:leader="dot" w:pos="9739"/>
            </w:tabs>
            <w:rPr>
              <w:rFonts w:eastAsiaTheme="minorEastAsia"/>
              <w:noProof/>
              <w:lang w:val="en-US"/>
            </w:rPr>
          </w:pPr>
          <w:hyperlink w:anchor="_Toc25873725" w:history="1">
            <w:r w:rsidR="00802FB3" w:rsidRPr="00AA2652">
              <w:rPr>
                <w:rStyle w:val="Hyperlink"/>
                <w:rFonts w:ascii="Times New Roman" w:hAnsi="Times New Roman"/>
                <w:noProof/>
              </w:rPr>
              <w:t>2.3.</w:t>
            </w:r>
            <w:r w:rsidR="00802FB3">
              <w:rPr>
                <w:rFonts w:eastAsiaTheme="minorEastAsia"/>
                <w:noProof/>
                <w:lang w:val="en-US"/>
              </w:rPr>
              <w:tab/>
            </w:r>
            <w:r w:rsidR="00802FB3" w:rsidRPr="00AA2652">
              <w:rPr>
                <w:rStyle w:val="Hyperlink"/>
                <w:noProof/>
              </w:rPr>
              <w:t>Skenarët alternative dhe rreziqet</w:t>
            </w:r>
            <w:r w:rsidR="00802FB3">
              <w:rPr>
                <w:noProof/>
                <w:webHidden/>
              </w:rPr>
              <w:tab/>
            </w:r>
            <w:r w:rsidR="00802FB3">
              <w:rPr>
                <w:noProof/>
                <w:webHidden/>
              </w:rPr>
              <w:fldChar w:fldCharType="begin"/>
            </w:r>
            <w:r w:rsidR="00802FB3">
              <w:rPr>
                <w:noProof/>
                <w:webHidden/>
              </w:rPr>
              <w:instrText xml:space="preserve"> PAGEREF _Toc25873725 \h </w:instrText>
            </w:r>
            <w:r w:rsidR="00802FB3">
              <w:rPr>
                <w:noProof/>
                <w:webHidden/>
              </w:rPr>
            </w:r>
            <w:r w:rsidR="00802FB3">
              <w:rPr>
                <w:noProof/>
                <w:webHidden/>
              </w:rPr>
              <w:fldChar w:fldCharType="separate"/>
            </w:r>
            <w:r w:rsidR="00802FB3">
              <w:rPr>
                <w:noProof/>
                <w:webHidden/>
              </w:rPr>
              <w:t>33</w:t>
            </w:r>
            <w:r w:rsidR="00802FB3">
              <w:rPr>
                <w:noProof/>
                <w:webHidden/>
              </w:rPr>
              <w:fldChar w:fldCharType="end"/>
            </w:r>
          </w:hyperlink>
        </w:p>
        <w:p w14:paraId="79063B74" w14:textId="77777777" w:rsidR="00802FB3" w:rsidRDefault="00FC648F">
          <w:pPr>
            <w:pStyle w:val="TOC1"/>
            <w:tabs>
              <w:tab w:val="left" w:pos="720"/>
              <w:tab w:val="right" w:leader="dot" w:pos="9739"/>
            </w:tabs>
            <w:rPr>
              <w:rFonts w:eastAsiaTheme="minorEastAsia"/>
              <w:noProof/>
              <w:lang w:val="en-US"/>
            </w:rPr>
          </w:pPr>
          <w:hyperlink w:anchor="_Toc25873726" w:history="1">
            <w:r w:rsidR="00802FB3" w:rsidRPr="00AA2652">
              <w:rPr>
                <w:rStyle w:val="Hyperlink"/>
                <w:iCs/>
                <w:noProof/>
              </w:rPr>
              <w:t>2.5.1</w:t>
            </w:r>
            <w:r w:rsidR="00802FB3">
              <w:rPr>
                <w:rFonts w:eastAsiaTheme="minorEastAsia"/>
                <w:noProof/>
                <w:lang w:val="en-US"/>
              </w:rPr>
              <w:tab/>
            </w:r>
            <w:r w:rsidR="00802FB3" w:rsidRPr="00AA2652">
              <w:rPr>
                <w:rStyle w:val="Hyperlink"/>
                <w:iCs/>
                <w:noProof/>
              </w:rPr>
              <w:t>Rreziqet</w:t>
            </w:r>
            <w:r w:rsidR="00802FB3">
              <w:rPr>
                <w:noProof/>
                <w:webHidden/>
              </w:rPr>
              <w:tab/>
            </w:r>
            <w:r w:rsidR="00802FB3">
              <w:rPr>
                <w:noProof/>
                <w:webHidden/>
              </w:rPr>
              <w:fldChar w:fldCharType="begin"/>
            </w:r>
            <w:r w:rsidR="00802FB3">
              <w:rPr>
                <w:noProof/>
                <w:webHidden/>
              </w:rPr>
              <w:instrText xml:space="preserve"> PAGEREF _Toc25873726 \h </w:instrText>
            </w:r>
            <w:r w:rsidR="00802FB3">
              <w:rPr>
                <w:noProof/>
                <w:webHidden/>
              </w:rPr>
            </w:r>
            <w:r w:rsidR="00802FB3">
              <w:rPr>
                <w:noProof/>
                <w:webHidden/>
              </w:rPr>
              <w:fldChar w:fldCharType="separate"/>
            </w:r>
            <w:r w:rsidR="00802FB3">
              <w:rPr>
                <w:noProof/>
                <w:webHidden/>
              </w:rPr>
              <w:t>33</w:t>
            </w:r>
            <w:r w:rsidR="00802FB3">
              <w:rPr>
                <w:noProof/>
                <w:webHidden/>
              </w:rPr>
              <w:fldChar w:fldCharType="end"/>
            </w:r>
          </w:hyperlink>
        </w:p>
        <w:p w14:paraId="7F23C713" w14:textId="77777777" w:rsidR="00802FB3" w:rsidRDefault="00FC648F">
          <w:pPr>
            <w:pStyle w:val="TOC1"/>
            <w:tabs>
              <w:tab w:val="left" w:pos="720"/>
              <w:tab w:val="right" w:leader="dot" w:pos="9739"/>
            </w:tabs>
            <w:rPr>
              <w:rFonts w:eastAsiaTheme="minorEastAsia"/>
              <w:noProof/>
              <w:lang w:val="en-US"/>
            </w:rPr>
          </w:pPr>
          <w:hyperlink w:anchor="_Toc25873727" w:history="1">
            <w:r w:rsidR="00802FB3" w:rsidRPr="00AA2652">
              <w:rPr>
                <w:rStyle w:val="Hyperlink"/>
                <w:iCs/>
                <w:noProof/>
              </w:rPr>
              <w:t>2.5.2</w:t>
            </w:r>
            <w:r w:rsidR="00802FB3">
              <w:rPr>
                <w:rFonts w:eastAsiaTheme="minorEastAsia"/>
                <w:noProof/>
                <w:lang w:val="en-US"/>
              </w:rPr>
              <w:tab/>
            </w:r>
            <w:r w:rsidR="00802FB3" w:rsidRPr="00AA2652">
              <w:rPr>
                <w:rStyle w:val="Hyperlink"/>
                <w:iCs/>
                <w:noProof/>
              </w:rPr>
              <w:t>Potencialet</w:t>
            </w:r>
            <w:r w:rsidR="00802FB3">
              <w:rPr>
                <w:noProof/>
                <w:webHidden/>
              </w:rPr>
              <w:tab/>
            </w:r>
            <w:r w:rsidR="00802FB3">
              <w:rPr>
                <w:noProof/>
                <w:webHidden/>
              </w:rPr>
              <w:fldChar w:fldCharType="begin"/>
            </w:r>
            <w:r w:rsidR="00802FB3">
              <w:rPr>
                <w:noProof/>
                <w:webHidden/>
              </w:rPr>
              <w:instrText xml:space="preserve"> PAGEREF _Toc25873727 \h </w:instrText>
            </w:r>
            <w:r w:rsidR="00802FB3">
              <w:rPr>
                <w:noProof/>
                <w:webHidden/>
              </w:rPr>
            </w:r>
            <w:r w:rsidR="00802FB3">
              <w:rPr>
                <w:noProof/>
                <w:webHidden/>
              </w:rPr>
              <w:fldChar w:fldCharType="separate"/>
            </w:r>
            <w:r w:rsidR="00802FB3">
              <w:rPr>
                <w:noProof/>
                <w:webHidden/>
              </w:rPr>
              <w:t>36</w:t>
            </w:r>
            <w:r w:rsidR="00802FB3">
              <w:rPr>
                <w:noProof/>
                <w:webHidden/>
              </w:rPr>
              <w:fldChar w:fldCharType="end"/>
            </w:r>
          </w:hyperlink>
        </w:p>
        <w:p w14:paraId="1A992083" w14:textId="77777777" w:rsidR="00802FB3" w:rsidRDefault="00FC648F">
          <w:pPr>
            <w:pStyle w:val="TOC1"/>
            <w:tabs>
              <w:tab w:val="left" w:pos="720"/>
              <w:tab w:val="right" w:leader="dot" w:pos="9739"/>
            </w:tabs>
            <w:rPr>
              <w:rFonts w:eastAsiaTheme="minorEastAsia"/>
              <w:noProof/>
              <w:lang w:val="en-US"/>
            </w:rPr>
          </w:pPr>
          <w:hyperlink w:anchor="_Toc25873728" w:history="1">
            <w:r w:rsidR="00802FB3" w:rsidRPr="00AA2652">
              <w:rPr>
                <w:rStyle w:val="Hyperlink"/>
                <w:iCs/>
                <w:noProof/>
              </w:rPr>
              <w:t>2.5.3</w:t>
            </w:r>
            <w:r w:rsidR="00802FB3">
              <w:rPr>
                <w:rFonts w:eastAsiaTheme="minorEastAsia"/>
                <w:noProof/>
                <w:lang w:val="en-US"/>
              </w:rPr>
              <w:tab/>
            </w:r>
            <w:r w:rsidR="00802FB3" w:rsidRPr="00AA2652">
              <w:rPr>
                <w:rStyle w:val="Hyperlink"/>
                <w:iCs/>
                <w:noProof/>
              </w:rPr>
              <w:t>Rezultatet e skenarëve alternativë</w:t>
            </w:r>
            <w:r w:rsidR="00802FB3">
              <w:rPr>
                <w:noProof/>
                <w:webHidden/>
              </w:rPr>
              <w:tab/>
            </w:r>
            <w:r w:rsidR="00802FB3">
              <w:rPr>
                <w:noProof/>
                <w:webHidden/>
              </w:rPr>
              <w:fldChar w:fldCharType="begin"/>
            </w:r>
            <w:r w:rsidR="00802FB3">
              <w:rPr>
                <w:noProof/>
                <w:webHidden/>
              </w:rPr>
              <w:instrText xml:space="preserve"> PAGEREF _Toc25873728 \h </w:instrText>
            </w:r>
            <w:r w:rsidR="00802FB3">
              <w:rPr>
                <w:noProof/>
                <w:webHidden/>
              </w:rPr>
            </w:r>
            <w:r w:rsidR="00802FB3">
              <w:rPr>
                <w:noProof/>
                <w:webHidden/>
              </w:rPr>
              <w:fldChar w:fldCharType="separate"/>
            </w:r>
            <w:r w:rsidR="00802FB3">
              <w:rPr>
                <w:noProof/>
                <w:webHidden/>
              </w:rPr>
              <w:t>39</w:t>
            </w:r>
            <w:r w:rsidR="00802FB3">
              <w:rPr>
                <w:noProof/>
                <w:webHidden/>
              </w:rPr>
              <w:fldChar w:fldCharType="end"/>
            </w:r>
          </w:hyperlink>
        </w:p>
        <w:p w14:paraId="7F80F7C2" w14:textId="77777777" w:rsidR="00802FB3" w:rsidRDefault="00FC648F">
          <w:pPr>
            <w:pStyle w:val="TOC1"/>
            <w:tabs>
              <w:tab w:val="left" w:pos="440"/>
              <w:tab w:val="right" w:leader="dot" w:pos="9739"/>
            </w:tabs>
            <w:rPr>
              <w:rFonts w:eastAsiaTheme="minorEastAsia"/>
              <w:noProof/>
              <w:lang w:val="en-US"/>
            </w:rPr>
          </w:pPr>
          <w:hyperlink w:anchor="_Toc25873729" w:history="1">
            <w:r w:rsidR="00802FB3" w:rsidRPr="00AA2652">
              <w:rPr>
                <w:rStyle w:val="Hyperlink"/>
                <w:rFonts w:ascii="Times New Roman" w:hAnsi="Times New Roman"/>
                <w:noProof/>
              </w:rPr>
              <w:t>3.</w:t>
            </w:r>
            <w:r w:rsidR="00802FB3">
              <w:rPr>
                <w:rFonts w:eastAsiaTheme="minorEastAsia"/>
                <w:noProof/>
                <w:lang w:val="en-US"/>
              </w:rPr>
              <w:tab/>
            </w:r>
            <w:r w:rsidR="00802FB3" w:rsidRPr="00AA2652">
              <w:rPr>
                <w:rStyle w:val="Hyperlink"/>
                <w:rFonts w:ascii="Times New Roman" w:hAnsi="Times New Roman"/>
                <w:noProof/>
              </w:rPr>
              <w:t>Korniza Fiskale</w:t>
            </w:r>
            <w:r w:rsidR="00802FB3">
              <w:rPr>
                <w:noProof/>
                <w:webHidden/>
              </w:rPr>
              <w:tab/>
            </w:r>
            <w:r w:rsidR="00802FB3">
              <w:rPr>
                <w:noProof/>
                <w:webHidden/>
              </w:rPr>
              <w:fldChar w:fldCharType="begin"/>
            </w:r>
            <w:r w:rsidR="00802FB3">
              <w:rPr>
                <w:noProof/>
                <w:webHidden/>
              </w:rPr>
              <w:instrText xml:space="preserve"> PAGEREF _Toc25873729 \h </w:instrText>
            </w:r>
            <w:r w:rsidR="00802FB3">
              <w:rPr>
                <w:noProof/>
                <w:webHidden/>
              </w:rPr>
            </w:r>
            <w:r w:rsidR="00802FB3">
              <w:rPr>
                <w:noProof/>
                <w:webHidden/>
              </w:rPr>
              <w:fldChar w:fldCharType="separate"/>
            </w:r>
            <w:r w:rsidR="00802FB3">
              <w:rPr>
                <w:noProof/>
                <w:webHidden/>
              </w:rPr>
              <w:t>41</w:t>
            </w:r>
            <w:r w:rsidR="00802FB3">
              <w:rPr>
                <w:noProof/>
                <w:webHidden/>
              </w:rPr>
              <w:fldChar w:fldCharType="end"/>
            </w:r>
          </w:hyperlink>
        </w:p>
        <w:p w14:paraId="11ADDA32" w14:textId="77777777" w:rsidR="00802FB3" w:rsidRDefault="00FC648F">
          <w:pPr>
            <w:pStyle w:val="TOC1"/>
            <w:tabs>
              <w:tab w:val="left" w:pos="720"/>
              <w:tab w:val="right" w:leader="dot" w:pos="9739"/>
            </w:tabs>
            <w:rPr>
              <w:rFonts w:eastAsiaTheme="minorEastAsia"/>
              <w:noProof/>
              <w:lang w:val="en-US"/>
            </w:rPr>
          </w:pPr>
          <w:hyperlink w:anchor="_Toc25873730" w:history="1">
            <w:r w:rsidR="00802FB3" w:rsidRPr="00AA2652">
              <w:rPr>
                <w:rStyle w:val="Hyperlink"/>
                <w:b/>
                <w:noProof/>
                <w:kern w:val="28"/>
              </w:rPr>
              <w:t>3.1.</w:t>
            </w:r>
            <w:r w:rsidR="00802FB3">
              <w:rPr>
                <w:rFonts w:eastAsiaTheme="minorEastAsia"/>
                <w:noProof/>
                <w:lang w:val="en-US"/>
              </w:rPr>
              <w:tab/>
            </w:r>
            <w:r w:rsidR="00802FB3" w:rsidRPr="00AA2652">
              <w:rPr>
                <w:rStyle w:val="Hyperlink"/>
                <w:rFonts w:ascii="Times New Roman Bold" w:hAnsi="Times New Roman Bold"/>
                <w:b/>
                <w:noProof/>
                <w:kern w:val="28"/>
              </w:rPr>
              <w:t>Strategjia e politikave dhe objektivat afatmesme</w:t>
            </w:r>
            <w:r w:rsidR="00802FB3">
              <w:rPr>
                <w:noProof/>
                <w:webHidden/>
              </w:rPr>
              <w:tab/>
            </w:r>
            <w:r w:rsidR="00802FB3">
              <w:rPr>
                <w:noProof/>
                <w:webHidden/>
              </w:rPr>
              <w:fldChar w:fldCharType="begin"/>
            </w:r>
            <w:r w:rsidR="00802FB3">
              <w:rPr>
                <w:noProof/>
                <w:webHidden/>
              </w:rPr>
              <w:instrText xml:space="preserve"> PAGEREF _Toc25873730 \h </w:instrText>
            </w:r>
            <w:r w:rsidR="00802FB3">
              <w:rPr>
                <w:noProof/>
                <w:webHidden/>
              </w:rPr>
            </w:r>
            <w:r w:rsidR="00802FB3">
              <w:rPr>
                <w:noProof/>
                <w:webHidden/>
              </w:rPr>
              <w:fldChar w:fldCharType="separate"/>
            </w:r>
            <w:r w:rsidR="00802FB3">
              <w:rPr>
                <w:noProof/>
                <w:webHidden/>
              </w:rPr>
              <w:t>41</w:t>
            </w:r>
            <w:r w:rsidR="00802FB3">
              <w:rPr>
                <w:noProof/>
                <w:webHidden/>
              </w:rPr>
              <w:fldChar w:fldCharType="end"/>
            </w:r>
          </w:hyperlink>
        </w:p>
        <w:p w14:paraId="5598686F" w14:textId="77777777" w:rsidR="00802FB3" w:rsidRDefault="00FC648F">
          <w:pPr>
            <w:pStyle w:val="TOC1"/>
            <w:tabs>
              <w:tab w:val="left" w:pos="720"/>
              <w:tab w:val="right" w:leader="dot" w:pos="9739"/>
            </w:tabs>
            <w:rPr>
              <w:rFonts w:eastAsiaTheme="minorEastAsia"/>
              <w:noProof/>
              <w:lang w:val="en-US"/>
            </w:rPr>
          </w:pPr>
          <w:hyperlink w:anchor="_Toc25873731" w:history="1">
            <w:r w:rsidR="00802FB3" w:rsidRPr="00AA2652">
              <w:rPr>
                <w:rStyle w:val="Hyperlink"/>
                <w:noProof/>
              </w:rPr>
              <w:t>3.2.</w:t>
            </w:r>
            <w:r w:rsidR="00802FB3">
              <w:rPr>
                <w:rFonts w:eastAsiaTheme="minorEastAsia"/>
                <w:noProof/>
                <w:lang w:val="en-US"/>
              </w:rPr>
              <w:tab/>
            </w:r>
            <w:r w:rsidR="00802FB3" w:rsidRPr="00AA2652">
              <w:rPr>
                <w:rStyle w:val="Hyperlink"/>
                <w:noProof/>
              </w:rPr>
              <w:t xml:space="preserve">Implementimi i buxhetit 2019 </w:t>
            </w:r>
            <w:r w:rsidR="00802FB3" w:rsidRPr="00AA2652">
              <w:rPr>
                <w:rStyle w:val="Hyperlink"/>
                <w:iCs/>
                <w:noProof/>
              </w:rPr>
              <w:t>(janar-tetor)</w:t>
            </w:r>
            <w:r w:rsidR="00802FB3">
              <w:rPr>
                <w:noProof/>
                <w:webHidden/>
              </w:rPr>
              <w:tab/>
            </w:r>
            <w:r w:rsidR="00802FB3">
              <w:rPr>
                <w:noProof/>
                <w:webHidden/>
              </w:rPr>
              <w:fldChar w:fldCharType="begin"/>
            </w:r>
            <w:r w:rsidR="00802FB3">
              <w:rPr>
                <w:noProof/>
                <w:webHidden/>
              </w:rPr>
              <w:instrText xml:space="preserve"> PAGEREF _Toc25873731 \h </w:instrText>
            </w:r>
            <w:r w:rsidR="00802FB3">
              <w:rPr>
                <w:noProof/>
                <w:webHidden/>
              </w:rPr>
            </w:r>
            <w:r w:rsidR="00802FB3">
              <w:rPr>
                <w:noProof/>
                <w:webHidden/>
              </w:rPr>
              <w:fldChar w:fldCharType="separate"/>
            </w:r>
            <w:r w:rsidR="00802FB3">
              <w:rPr>
                <w:noProof/>
                <w:webHidden/>
              </w:rPr>
              <w:t>42</w:t>
            </w:r>
            <w:r w:rsidR="00802FB3">
              <w:rPr>
                <w:noProof/>
                <w:webHidden/>
              </w:rPr>
              <w:fldChar w:fldCharType="end"/>
            </w:r>
          </w:hyperlink>
        </w:p>
        <w:p w14:paraId="52EB53F9" w14:textId="77777777" w:rsidR="00802FB3" w:rsidRDefault="00FC648F">
          <w:pPr>
            <w:pStyle w:val="TOC1"/>
            <w:tabs>
              <w:tab w:val="left" w:pos="720"/>
              <w:tab w:val="right" w:leader="dot" w:pos="9739"/>
            </w:tabs>
            <w:rPr>
              <w:rFonts w:eastAsiaTheme="minorEastAsia"/>
              <w:noProof/>
              <w:lang w:val="en-US"/>
            </w:rPr>
          </w:pPr>
          <w:hyperlink w:anchor="_Toc25873732" w:history="1">
            <w:r w:rsidR="00802FB3" w:rsidRPr="00AA2652">
              <w:rPr>
                <w:rStyle w:val="Hyperlink"/>
                <w:b/>
                <w:noProof/>
                <w:kern w:val="28"/>
              </w:rPr>
              <w:t>3.3.</w:t>
            </w:r>
            <w:r w:rsidR="00802FB3">
              <w:rPr>
                <w:rFonts w:eastAsiaTheme="minorEastAsia"/>
                <w:noProof/>
                <w:lang w:val="en-US"/>
              </w:rPr>
              <w:tab/>
            </w:r>
            <w:r w:rsidR="00802FB3" w:rsidRPr="00AA2652">
              <w:rPr>
                <w:rStyle w:val="Hyperlink"/>
                <w:b/>
                <w:noProof/>
                <w:kern w:val="28"/>
              </w:rPr>
              <w:t>Parashikimet afatmesme buxhetore</w:t>
            </w:r>
            <w:r w:rsidR="00802FB3">
              <w:rPr>
                <w:noProof/>
                <w:webHidden/>
              </w:rPr>
              <w:tab/>
            </w:r>
            <w:r w:rsidR="00802FB3">
              <w:rPr>
                <w:noProof/>
                <w:webHidden/>
              </w:rPr>
              <w:fldChar w:fldCharType="begin"/>
            </w:r>
            <w:r w:rsidR="00802FB3">
              <w:rPr>
                <w:noProof/>
                <w:webHidden/>
              </w:rPr>
              <w:instrText xml:space="preserve"> PAGEREF _Toc25873732 \h </w:instrText>
            </w:r>
            <w:r w:rsidR="00802FB3">
              <w:rPr>
                <w:noProof/>
                <w:webHidden/>
              </w:rPr>
            </w:r>
            <w:r w:rsidR="00802FB3">
              <w:rPr>
                <w:noProof/>
                <w:webHidden/>
              </w:rPr>
              <w:fldChar w:fldCharType="separate"/>
            </w:r>
            <w:r w:rsidR="00802FB3">
              <w:rPr>
                <w:noProof/>
                <w:webHidden/>
              </w:rPr>
              <w:t>45</w:t>
            </w:r>
            <w:r w:rsidR="00802FB3">
              <w:rPr>
                <w:noProof/>
                <w:webHidden/>
              </w:rPr>
              <w:fldChar w:fldCharType="end"/>
            </w:r>
          </w:hyperlink>
        </w:p>
        <w:p w14:paraId="290155A5" w14:textId="77777777" w:rsidR="00802FB3" w:rsidRDefault="00FC648F">
          <w:pPr>
            <w:pStyle w:val="TOC1"/>
            <w:tabs>
              <w:tab w:val="left" w:pos="960"/>
              <w:tab w:val="right" w:leader="dot" w:pos="9739"/>
            </w:tabs>
            <w:rPr>
              <w:rFonts w:eastAsiaTheme="minorEastAsia"/>
              <w:noProof/>
              <w:lang w:val="en-US"/>
            </w:rPr>
          </w:pPr>
          <w:hyperlink w:anchor="_Toc25873733" w:history="1">
            <w:r w:rsidR="00802FB3" w:rsidRPr="00AA2652">
              <w:rPr>
                <w:rStyle w:val="Hyperlink"/>
                <w:b/>
                <w:iCs/>
                <w:noProof/>
                <w:kern w:val="28"/>
              </w:rPr>
              <w:t>3.3.1.</w:t>
            </w:r>
            <w:r w:rsidR="00802FB3">
              <w:rPr>
                <w:rFonts w:eastAsiaTheme="minorEastAsia"/>
                <w:noProof/>
                <w:lang w:val="en-US"/>
              </w:rPr>
              <w:tab/>
            </w:r>
            <w:r w:rsidR="00802FB3" w:rsidRPr="00AA2652">
              <w:rPr>
                <w:rStyle w:val="Hyperlink"/>
                <w:b/>
                <w:iCs/>
                <w:noProof/>
                <w:kern w:val="28"/>
              </w:rPr>
              <w:t>Parashikimi i të hyrave buxhetore</w:t>
            </w:r>
            <w:r w:rsidR="00802FB3">
              <w:rPr>
                <w:noProof/>
                <w:webHidden/>
              </w:rPr>
              <w:tab/>
            </w:r>
            <w:r w:rsidR="00802FB3">
              <w:rPr>
                <w:noProof/>
                <w:webHidden/>
              </w:rPr>
              <w:fldChar w:fldCharType="begin"/>
            </w:r>
            <w:r w:rsidR="00802FB3">
              <w:rPr>
                <w:noProof/>
                <w:webHidden/>
              </w:rPr>
              <w:instrText xml:space="preserve"> PAGEREF _Toc25873733 \h </w:instrText>
            </w:r>
            <w:r w:rsidR="00802FB3">
              <w:rPr>
                <w:noProof/>
                <w:webHidden/>
              </w:rPr>
            </w:r>
            <w:r w:rsidR="00802FB3">
              <w:rPr>
                <w:noProof/>
                <w:webHidden/>
              </w:rPr>
              <w:fldChar w:fldCharType="separate"/>
            </w:r>
            <w:r w:rsidR="00802FB3">
              <w:rPr>
                <w:noProof/>
                <w:webHidden/>
              </w:rPr>
              <w:t>46</w:t>
            </w:r>
            <w:r w:rsidR="00802FB3">
              <w:rPr>
                <w:noProof/>
                <w:webHidden/>
              </w:rPr>
              <w:fldChar w:fldCharType="end"/>
            </w:r>
          </w:hyperlink>
        </w:p>
        <w:p w14:paraId="333F5AC8" w14:textId="77777777" w:rsidR="00802FB3" w:rsidRDefault="00FC648F">
          <w:pPr>
            <w:pStyle w:val="TOC1"/>
            <w:tabs>
              <w:tab w:val="left" w:pos="960"/>
              <w:tab w:val="right" w:leader="dot" w:pos="9739"/>
            </w:tabs>
            <w:rPr>
              <w:rFonts w:eastAsiaTheme="minorEastAsia"/>
              <w:noProof/>
              <w:lang w:val="en-US"/>
            </w:rPr>
          </w:pPr>
          <w:hyperlink w:anchor="_Toc25873734" w:history="1">
            <w:r w:rsidR="00802FB3" w:rsidRPr="00AA2652">
              <w:rPr>
                <w:rStyle w:val="Hyperlink"/>
                <w:b/>
                <w:iCs/>
                <w:noProof/>
                <w:kern w:val="28"/>
              </w:rPr>
              <w:t>3.3.2.</w:t>
            </w:r>
            <w:r w:rsidR="00802FB3">
              <w:rPr>
                <w:rFonts w:eastAsiaTheme="minorEastAsia"/>
                <w:noProof/>
                <w:lang w:val="en-US"/>
              </w:rPr>
              <w:tab/>
            </w:r>
            <w:r w:rsidR="00802FB3" w:rsidRPr="00AA2652">
              <w:rPr>
                <w:rStyle w:val="Hyperlink"/>
                <w:b/>
                <w:iCs/>
                <w:noProof/>
                <w:kern w:val="28"/>
              </w:rPr>
              <w:t>Parashikimet e shpenzimeve buxhetore</w:t>
            </w:r>
            <w:r w:rsidR="00802FB3">
              <w:rPr>
                <w:noProof/>
                <w:webHidden/>
              </w:rPr>
              <w:tab/>
            </w:r>
            <w:r w:rsidR="00802FB3">
              <w:rPr>
                <w:noProof/>
                <w:webHidden/>
              </w:rPr>
              <w:fldChar w:fldCharType="begin"/>
            </w:r>
            <w:r w:rsidR="00802FB3">
              <w:rPr>
                <w:noProof/>
                <w:webHidden/>
              </w:rPr>
              <w:instrText xml:space="preserve"> PAGEREF _Toc25873734 \h </w:instrText>
            </w:r>
            <w:r w:rsidR="00802FB3">
              <w:rPr>
                <w:noProof/>
                <w:webHidden/>
              </w:rPr>
            </w:r>
            <w:r w:rsidR="00802FB3">
              <w:rPr>
                <w:noProof/>
                <w:webHidden/>
              </w:rPr>
              <w:fldChar w:fldCharType="separate"/>
            </w:r>
            <w:r w:rsidR="00802FB3">
              <w:rPr>
                <w:noProof/>
                <w:webHidden/>
              </w:rPr>
              <w:t>48</w:t>
            </w:r>
            <w:r w:rsidR="00802FB3">
              <w:rPr>
                <w:noProof/>
                <w:webHidden/>
              </w:rPr>
              <w:fldChar w:fldCharType="end"/>
            </w:r>
          </w:hyperlink>
        </w:p>
        <w:p w14:paraId="208A7B35" w14:textId="77777777" w:rsidR="00802FB3" w:rsidRDefault="00FC648F">
          <w:pPr>
            <w:pStyle w:val="TOC1"/>
            <w:tabs>
              <w:tab w:val="left" w:pos="720"/>
              <w:tab w:val="right" w:leader="dot" w:pos="9739"/>
            </w:tabs>
            <w:rPr>
              <w:rFonts w:eastAsiaTheme="minorEastAsia"/>
              <w:noProof/>
              <w:lang w:val="en-US"/>
            </w:rPr>
          </w:pPr>
          <w:hyperlink w:anchor="_Toc25873735" w:history="1">
            <w:r w:rsidR="00802FB3" w:rsidRPr="00AA2652">
              <w:rPr>
                <w:rStyle w:val="Hyperlink"/>
                <w:rFonts w:ascii="Times New Roman Bold" w:eastAsiaTheme="majorEastAsia" w:hAnsi="Times New Roman Bold"/>
                <w:bCs/>
                <w:iCs/>
                <w:noProof/>
                <w:kern w:val="28"/>
              </w:rPr>
              <w:t>3.3.3.</w:t>
            </w:r>
            <w:r w:rsidR="00802FB3">
              <w:rPr>
                <w:rFonts w:eastAsiaTheme="minorEastAsia"/>
                <w:noProof/>
                <w:lang w:val="en-US"/>
              </w:rPr>
              <w:tab/>
            </w:r>
            <w:r w:rsidR="00802FB3" w:rsidRPr="00AA2652">
              <w:rPr>
                <w:rStyle w:val="Hyperlink"/>
                <w:rFonts w:ascii="Times New Roman Bold" w:eastAsiaTheme="majorEastAsia" w:hAnsi="Times New Roman Bold"/>
                <w:bCs/>
                <w:iCs/>
                <w:noProof/>
                <w:kern w:val="28"/>
              </w:rPr>
              <w:t>Parashikimet e shpenzimeve sipas kategorive ekonomike</w:t>
            </w:r>
            <w:r w:rsidR="00802FB3">
              <w:rPr>
                <w:noProof/>
                <w:webHidden/>
              </w:rPr>
              <w:tab/>
            </w:r>
            <w:r w:rsidR="00802FB3">
              <w:rPr>
                <w:noProof/>
                <w:webHidden/>
              </w:rPr>
              <w:fldChar w:fldCharType="begin"/>
            </w:r>
            <w:r w:rsidR="00802FB3">
              <w:rPr>
                <w:noProof/>
                <w:webHidden/>
              </w:rPr>
              <w:instrText xml:space="preserve"> PAGEREF _Toc25873735 \h </w:instrText>
            </w:r>
            <w:r w:rsidR="00802FB3">
              <w:rPr>
                <w:noProof/>
                <w:webHidden/>
              </w:rPr>
            </w:r>
            <w:r w:rsidR="00802FB3">
              <w:rPr>
                <w:noProof/>
                <w:webHidden/>
              </w:rPr>
              <w:fldChar w:fldCharType="separate"/>
            </w:r>
            <w:r w:rsidR="00802FB3">
              <w:rPr>
                <w:noProof/>
                <w:webHidden/>
              </w:rPr>
              <w:t>50</w:t>
            </w:r>
            <w:r w:rsidR="00802FB3">
              <w:rPr>
                <w:noProof/>
                <w:webHidden/>
              </w:rPr>
              <w:fldChar w:fldCharType="end"/>
            </w:r>
          </w:hyperlink>
        </w:p>
        <w:p w14:paraId="7BA55DD7" w14:textId="77777777" w:rsidR="00802FB3" w:rsidRDefault="00FC648F">
          <w:pPr>
            <w:pStyle w:val="TOC1"/>
            <w:tabs>
              <w:tab w:val="left" w:pos="720"/>
              <w:tab w:val="right" w:leader="dot" w:pos="9739"/>
            </w:tabs>
            <w:rPr>
              <w:rFonts w:eastAsiaTheme="minorEastAsia"/>
              <w:noProof/>
              <w:lang w:val="en-US"/>
            </w:rPr>
          </w:pPr>
          <w:hyperlink w:anchor="_Toc25873736" w:history="1">
            <w:r w:rsidR="00802FB3" w:rsidRPr="00AA2652">
              <w:rPr>
                <w:rStyle w:val="Hyperlink"/>
                <w:rFonts w:ascii="Times New Roman Bold" w:hAnsi="Times New Roman Bold"/>
                <w:iCs/>
                <w:noProof/>
                <w:kern w:val="28"/>
              </w:rPr>
              <w:t>3.3.4.</w:t>
            </w:r>
            <w:r w:rsidR="00802FB3">
              <w:rPr>
                <w:rFonts w:eastAsiaTheme="minorEastAsia"/>
                <w:noProof/>
                <w:lang w:val="en-US"/>
              </w:rPr>
              <w:tab/>
            </w:r>
            <w:r w:rsidR="00802FB3" w:rsidRPr="00AA2652">
              <w:rPr>
                <w:rStyle w:val="Hyperlink"/>
                <w:rFonts w:ascii="Times New Roman Bold" w:hAnsi="Times New Roman Bold"/>
                <w:noProof/>
                <w:kern w:val="28"/>
              </w:rPr>
              <w:t>Parashikimet e shpenzimeve</w:t>
            </w:r>
            <w:r w:rsidR="00802FB3" w:rsidRPr="00AA2652">
              <w:rPr>
                <w:rStyle w:val="Hyperlink"/>
                <w:rFonts w:ascii="Times New Roman Bold" w:hAnsi="Times New Roman Bold"/>
                <w:i/>
                <w:noProof/>
                <w:kern w:val="28"/>
              </w:rPr>
              <w:t xml:space="preserve"> </w:t>
            </w:r>
            <w:r w:rsidR="00802FB3" w:rsidRPr="00AA2652">
              <w:rPr>
                <w:rStyle w:val="Hyperlink"/>
                <w:rFonts w:ascii="Times New Roman Bold" w:hAnsi="Times New Roman Bold"/>
                <w:iCs/>
                <w:noProof/>
                <w:kern w:val="28"/>
              </w:rPr>
              <w:t>për sektorët e politikave buxhetore</w:t>
            </w:r>
            <w:r w:rsidR="00802FB3">
              <w:rPr>
                <w:noProof/>
                <w:webHidden/>
              </w:rPr>
              <w:tab/>
            </w:r>
            <w:r w:rsidR="00802FB3">
              <w:rPr>
                <w:noProof/>
                <w:webHidden/>
              </w:rPr>
              <w:fldChar w:fldCharType="begin"/>
            </w:r>
            <w:r w:rsidR="00802FB3">
              <w:rPr>
                <w:noProof/>
                <w:webHidden/>
              </w:rPr>
              <w:instrText xml:space="preserve"> PAGEREF _Toc25873736 \h </w:instrText>
            </w:r>
            <w:r w:rsidR="00802FB3">
              <w:rPr>
                <w:noProof/>
                <w:webHidden/>
              </w:rPr>
            </w:r>
            <w:r w:rsidR="00802FB3">
              <w:rPr>
                <w:noProof/>
                <w:webHidden/>
              </w:rPr>
              <w:fldChar w:fldCharType="separate"/>
            </w:r>
            <w:r w:rsidR="00802FB3">
              <w:rPr>
                <w:noProof/>
                <w:webHidden/>
              </w:rPr>
              <w:t>52</w:t>
            </w:r>
            <w:r w:rsidR="00802FB3">
              <w:rPr>
                <w:noProof/>
                <w:webHidden/>
              </w:rPr>
              <w:fldChar w:fldCharType="end"/>
            </w:r>
          </w:hyperlink>
        </w:p>
        <w:p w14:paraId="120E0D26" w14:textId="77777777" w:rsidR="00802FB3" w:rsidRDefault="00FC648F">
          <w:pPr>
            <w:pStyle w:val="TOC1"/>
            <w:tabs>
              <w:tab w:val="left" w:pos="720"/>
              <w:tab w:val="right" w:leader="dot" w:pos="9739"/>
            </w:tabs>
            <w:rPr>
              <w:rFonts w:eastAsiaTheme="minorEastAsia"/>
              <w:noProof/>
              <w:lang w:val="en-US"/>
            </w:rPr>
          </w:pPr>
          <w:hyperlink w:anchor="_Toc25873737" w:history="1">
            <w:r w:rsidR="00802FB3" w:rsidRPr="00AA2652">
              <w:rPr>
                <w:rStyle w:val="Hyperlink"/>
                <w:rFonts w:ascii="Times New Roman" w:hAnsi="Times New Roman"/>
                <w:noProof/>
                <w14:scene3d>
                  <w14:camera w14:prst="orthographicFront"/>
                  <w14:lightRig w14:rig="threePt" w14:dir="t">
                    <w14:rot w14:lat="0" w14:lon="0" w14:rev="0"/>
                  </w14:lightRig>
                </w14:scene3d>
              </w:rPr>
              <w:t>3.4.</w:t>
            </w:r>
            <w:r w:rsidR="00802FB3">
              <w:rPr>
                <w:rFonts w:eastAsiaTheme="minorEastAsia"/>
                <w:noProof/>
                <w:lang w:val="en-US"/>
              </w:rPr>
              <w:tab/>
            </w:r>
            <w:r w:rsidR="00802FB3" w:rsidRPr="00AA2652">
              <w:rPr>
                <w:rStyle w:val="Hyperlink"/>
                <w:rFonts w:ascii="Times New Roman" w:hAnsi="Times New Roman"/>
                <w:noProof/>
              </w:rPr>
              <w:t>Bilanci Strukturor Fiskal</w:t>
            </w:r>
            <w:r w:rsidR="00802FB3">
              <w:rPr>
                <w:noProof/>
                <w:webHidden/>
              </w:rPr>
              <w:tab/>
            </w:r>
            <w:r w:rsidR="00802FB3">
              <w:rPr>
                <w:noProof/>
                <w:webHidden/>
              </w:rPr>
              <w:fldChar w:fldCharType="begin"/>
            </w:r>
            <w:r w:rsidR="00802FB3">
              <w:rPr>
                <w:noProof/>
                <w:webHidden/>
              </w:rPr>
              <w:instrText xml:space="preserve"> PAGEREF _Toc25873737 \h </w:instrText>
            </w:r>
            <w:r w:rsidR="00802FB3">
              <w:rPr>
                <w:noProof/>
                <w:webHidden/>
              </w:rPr>
            </w:r>
            <w:r w:rsidR="00802FB3">
              <w:rPr>
                <w:noProof/>
                <w:webHidden/>
              </w:rPr>
              <w:fldChar w:fldCharType="separate"/>
            </w:r>
            <w:r w:rsidR="00802FB3">
              <w:rPr>
                <w:noProof/>
                <w:webHidden/>
              </w:rPr>
              <w:t>54</w:t>
            </w:r>
            <w:r w:rsidR="00802FB3">
              <w:rPr>
                <w:noProof/>
                <w:webHidden/>
              </w:rPr>
              <w:fldChar w:fldCharType="end"/>
            </w:r>
          </w:hyperlink>
        </w:p>
        <w:p w14:paraId="401B3103" w14:textId="77777777" w:rsidR="00802FB3" w:rsidRDefault="00FC648F">
          <w:pPr>
            <w:pStyle w:val="TOC1"/>
            <w:tabs>
              <w:tab w:val="left" w:pos="720"/>
              <w:tab w:val="right" w:leader="dot" w:pos="9739"/>
            </w:tabs>
            <w:rPr>
              <w:rFonts w:eastAsiaTheme="minorEastAsia"/>
              <w:noProof/>
              <w:lang w:val="en-US"/>
            </w:rPr>
          </w:pPr>
          <w:hyperlink w:anchor="_Toc25873738" w:history="1">
            <w:r w:rsidR="00802FB3" w:rsidRPr="00AA2652">
              <w:rPr>
                <w:rStyle w:val="Hyperlink"/>
                <w:rFonts w:ascii="Times New Roman" w:hAnsi="Times New Roman"/>
                <w:noProof/>
              </w:rPr>
              <w:t>3.1.</w:t>
            </w:r>
            <w:r w:rsidR="00802FB3">
              <w:rPr>
                <w:rFonts w:eastAsiaTheme="minorEastAsia"/>
                <w:noProof/>
                <w:lang w:val="en-US"/>
              </w:rPr>
              <w:tab/>
            </w:r>
            <w:r w:rsidR="00802FB3" w:rsidRPr="00AA2652">
              <w:rPr>
                <w:rStyle w:val="Hyperlink"/>
                <w:rFonts w:ascii="Times New Roman" w:hAnsi="Times New Roman"/>
                <w:noProof/>
              </w:rPr>
              <w:t>Nivelet dhe zhvillimet e borxhit, analiza e operacioneve të mëposhtme dhe rregullimet e flukseve të stoqeve</w:t>
            </w:r>
            <w:r w:rsidR="00802FB3">
              <w:rPr>
                <w:noProof/>
                <w:webHidden/>
              </w:rPr>
              <w:tab/>
            </w:r>
            <w:r w:rsidR="00802FB3">
              <w:rPr>
                <w:noProof/>
                <w:webHidden/>
              </w:rPr>
              <w:fldChar w:fldCharType="begin"/>
            </w:r>
            <w:r w:rsidR="00802FB3">
              <w:rPr>
                <w:noProof/>
                <w:webHidden/>
              </w:rPr>
              <w:instrText xml:space="preserve"> PAGEREF _Toc25873738 \h </w:instrText>
            </w:r>
            <w:r w:rsidR="00802FB3">
              <w:rPr>
                <w:noProof/>
                <w:webHidden/>
              </w:rPr>
            </w:r>
            <w:r w:rsidR="00802FB3">
              <w:rPr>
                <w:noProof/>
                <w:webHidden/>
              </w:rPr>
              <w:fldChar w:fldCharType="separate"/>
            </w:r>
            <w:r w:rsidR="00802FB3">
              <w:rPr>
                <w:noProof/>
                <w:webHidden/>
              </w:rPr>
              <w:t>58</w:t>
            </w:r>
            <w:r w:rsidR="00802FB3">
              <w:rPr>
                <w:noProof/>
                <w:webHidden/>
              </w:rPr>
              <w:fldChar w:fldCharType="end"/>
            </w:r>
          </w:hyperlink>
        </w:p>
        <w:p w14:paraId="6E34217E" w14:textId="77777777" w:rsidR="00802FB3" w:rsidRDefault="00FC648F">
          <w:pPr>
            <w:pStyle w:val="TOC1"/>
            <w:tabs>
              <w:tab w:val="left" w:pos="720"/>
              <w:tab w:val="right" w:leader="dot" w:pos="9739"/>
            </w:tabs>
            <w:rPr>
              <w:rFonts w:eastAsiaTheme="minorEastAsia"/>
              <w:noProof/>
              <w:lang w:val="en-US"/>
            </w:rPr>
          </w:pPr>
          <w:hyperlink w:anchor="_Toc25873739" w:history="1">
            <w:r w:rsidR="00802FB3" w:rsidRPr="00AA2652">
              <w:rPr>
                <w:rStyle w:val="Hyperlink"/>
                <w:iCs/>
                <w:noProof/>
              </w:rPr>
              <w:t>3.5.3</w:t>
            </w:r>
            <w:r w:rsidR="00802FB3">
              <w:rPr>
                <w:rFonts w:eastAsiaTheme="minorEastAsia"/>
                <w:noProof/>
                <w:lang w:val="en-US"/>
              </w:rPr>
              <w:tab/>
            </w:r>
            <w:r w:rsidR="00802FB3" w:rsidRPr="00AA2652">
              <w:rPr>
                <w:rStyle w:val="Hyperlink"/>
                <w:iCs/>
                <w:noProof/>
              </w:rPr>
              <w:t>Detyrimet Kontigjente</w:t>
            </w:r>
            <w:r w:rsidR="00802FB3">
              <w:rPr>
                <w:noProof/>
                <w:webHidden/>
              </w:rPr>
              <w:tab/>
            </w:r>
            <w:r w:rsidR="00802FB3">
              <w:rPr>
                <w:noProof/>
                <w:webHidden/>
              </w:rPr>
              <w:fldChar w:fldCharType="begin"/>
            </w:r>
            <w:r w:rsidR="00802FB3">
              <w:rPr>
                <w:noProof/>
                <w:webHidden/>
              </w:rPr>
              <w:instrText xml:space="preserve"> PAGEREF _Toc25873739 \h </w:instrText>
            </w:r>
            <w:r w:rsidR="00802FB3">
              <w:rPr>
                <w:noProof/>
                <w:webHidden/>
              </w:rPr>
            </w:r>
            <w:r w:rsidR="00802FB3">
              <w:rPr>
                <w:noProof/>
                <w:webHidden/>
              </w:rPr>
              <w:fldChar w:fldCharType="separate"/>
            </w:r>
            <w:r w:rsidR="00802FB3">
              <w:rPr>
                <w:noProof/>
                <w:webHidden/>
              </w:rPr>
              <w:t>59</w:t>
            </w:r>
            <w:r w:rsidR="00802FB3">
              <w:rPr>
                <w:noProof/>
                <w:webHidden/>
              </w:rPr>
              <w:fldChar w:fldCharType="end"/>
            </w:r>
          </w:hyperlink>
        </w:p>
        <w:p w14:paraId="60F5E412" w14:textId="77777777" w:rsidR="00802FB3" w:rsidRDefault="00FC648F">
          <w:pPr>
            <w:pStyle w:val="TOC1"/>
            <w:tabs>
              <w:tab w:val="left" w:pos="720"/>
              <w:tab w:val="right" w:leader="dot" w:pos="9739"/>
            </w:tabs>
            <w:rPr>
              <w:rFonts w:eastAsiaTheme="minorEastAsia"/>
              <w:noProof/>
              <w:lang w:val="en-US"/>
            </w:rPr>
          </w:pPr>
          <w:hyperlink w:anchor="_Toc25873740" w:history="1">
            <w:r w:rsidR="00802FB3" w:rsidRPr="00AA2652">
              <w:rPr>
                <w:rStyle w:val="Hyperlink"/>
                <w:rFonts w:ascii="Times New Roman" w:hAnsi="Times New Roman"/>
                <w:noProof/>
              </w:rPr>
              <w:t>3.2.</w:t>
            </w:r>
            <w:r w:rsidR="00802FB3">
              <w:rPr>
                <w:rFonts w:eastAsiaTheme="minorEastAsia"/>
                <w:noProof/>
                <w:lang w:val="en-US"/>
              </w:rPr>
              <w:tab/>
            </w:r>
            <w:r w:rsidR="00802FB3" w:rsidRPr="00AA2652">
              <w:rPr>
                <w:rStyle w:val="Hyperlink"/>
                <w:noProof/>
              </w:rPr>
              <w:t>Analiza e ndjeshmërisë dhe krahasimi me programin e mëparshëm</w:t>
            </w:r>
            <w:r w:rsidR="00802FB3">
              <w:rPr>
                <w:noProof/>
                <w:webHidden/>
              </w:rPr>
              <w:tab/>
            </w:r>
            <w:r w:rsidR="00802FB3">
              <w:rPr>
                <w:noProof/>
                <w:webHidden/>
              </w:rPr>
              <w:fldChar w:fldCharType="begin"/>
            </w:r>
            <w:r w:rsidR="00802FB3">
              <w:rPr>
                <w:noProof/>
                <w:webHidden/>
              </w:rPr>
              <w:instrText xml:space="preserve"> PAGEREF _Toc25873740 \h </w:instrText>
            </w:r>
            <w:r w:rsidR="00802FB3">
              <w:rPr>
                <w:noProof/>
                <w:webHidden/>
              </w:rPr>
            </w:r>
            <w:r w:rsidR="00802FB3">
              <w:rPr>
                <w:noProof/>
                <w:webHidden/>
              </w:rPr>
              <w:fldChar w:fldCharType="separate"/>
            </w:r>
            <w:r w:rsidR="00802FB3">
              <w:rPr>
                <w:noProof/>
                <w:webHidden/>
              </w:rPr>
              <w:t>60</w:t>
            </w:r>
            <w:r w:rsidR="00802FB3">
              <w:rPr>
                <w:noProof/>
                <w:webHidden/>
              </w:rPr>
              <w:fldChar w:fldCharType="end"/>
            </w:r>
          </w:hyperlink>
        </w:p>
        <w:p w14:paraId="543B65C6" w14:textId="77777777" w:rsidR="00802FB3" w:rsidRDefault="00FC648F">
          <w:pPr>
            <w:pStyle w:val="TOC1"/>
            <w:tabs>
              <w:tab w:val="left" w:pos="720"/>
              <w:tab w:val="right" w:leader="dot" w:pos="9739"/>
            </w:tabs>
            <w:rPr>
              <w:rFonts w:eastAsiaTheme="minorEastAsia"/>
              <w:noProof/>
              <w:lang w:val="en-US"/>
            </w:rPr>
          </w:pPr>
          <w:hyperlink w:anchor="_Toc25873741" w:history="1">
            <w:r w:rsidR="00802FB3" w:rsidRPr="00AA2652">
              <w:rPr>
                <w:rStyle w:val="Hyperlink"/>
                <w:rFonts w:ascii="Times New Roman" w:hAnsi="Times New Roman"/>
                <w:noProof/>
              </w:rPr>
              <w:t>3.3.</w:t>
            </w:r>
            <w:r w:rsidR="00802FB3">
              <w:rPr>
                <w:rFonts w:eastAsiaTheme="minorEastAsia"/>
                <w:noProof/>
                <w:lang w:val="en-US"/>
              </w:rPr>
              <w:tab/>
            </w:r>
            <w:r w:rsidR="00802FB3" w:rsidRPr="00AA2652">
              <w:rPr>
                <w:rStyle w:val="Hyperlink"/>
                <w:rFonts w:ascii="Times New Roman" w:hAnsi="Times New Roman"/>
                <w:noProof/>
              </w:rPr>
              <w:t>Krahasimi me programin e kaluar</w:t>
            </w:r>
            <w:r w:rsidR="00802FB3">
              <w:rPr>
                <w:noProof/>
                <w:webHidden/>
              </w:rPr>
              <w:tab/>
            </w:r>
            <w:r w:rsidR="00802FB3">
              <w:rPr>
                <w:noProof/>
                <w:webHidden/>
              </w:rPr>
              <w:fldChar w:fldCharType="begin"/>
            </w:r>
            <w:r w:rsidR="00802FB3">
              <w:rPr>
                <w:noProof/>
                <w:webHidden/>
              </w:rPr>
              <w:instrText xml:space="preserve"> PAGEREF _Toc25873741 \h </w:instrText>
            </w:r>
            <w:r w:rsidR="00802FB3">
              <w:rPr>
                <w:noProof/>
                <w:webHidden/>
              </w:rPr>
            </w:r>
            <w:r w:rsidR="00802FB3">
              <w:rPr>
                <w:noProof/>
                <w:webHidden/>
              </w:rPr>
              <w:fldChar w:fldCharType="separate"/>
            </w:r>
            <w:r w:rsidR="00802FB3">
              <w:rPr>
                <w:noProof/>
                <w:webHidden/>
              </w:rPr>
              <w:t>60</w:t>
            </w:r>
            <w:r w:rsidR="00802FB3">
              <w:rPr>
                <w:noProof/>
                <w:webHidden/>
              </w:rPr>
              <w:fldChar w:fldCharType="end"/>
            </w:r>
          </w:hyperlink>
        </w:p>
        <w:p w14:paraId="05BC319A" w14:textId="77777777" w:rsidR="00802FB3" w:rsidRDefault="00FC648F">
          <w:pPr>
            <w:pStyle w:val="TOC1"/>
            <w:tabs>
              <w:tab w:val="left" w:pos="720"/>
              <w:tab w:val="right" w:leader="dot" w:pos="9739"/>
            </w:tabs>
            <w:rPr>
              <w:rFonts w:eastAsiaTheme="minorEastAsia"/>
              <w:noProof/>
              <w:lang w:val="en-US"/>
            </w:rPr>
          </w:pPr>
          <w:hyperlink w:anchor="_Toc25873742" w:history="1">
            <w:r w:rsidR="00802FB3" w:rsidRPr="00AA2652">
              <w:rPr>
                <w:rStyle w:val="Hyperlink"/>
                <w:rFonts w:ascii="Times New Roman" w:hAnsi="Times New Roman"/>
                <w:noProof/>
              </w:rPr>
              <w:t>3.4.</w:t>
            </w:r>
            <w:r w:rsidR="00802FB3">
              <w:rPr>
                <w:rFonts w:eastAsiaTheme="minorEastAsia"/>
                <w:noProof/>
                <w:lang w:val="en-US"/>
              </w:rPr>
              <w:tab/>
            </w:r>
            <w:r w:rsidR="00802FB3" w:rsidRPr="00AA2652">
              <w:rPr>
                <w:rStyle w:val="Hyperlink"/>
                <w:noProof/>
              </w:rPr>
              <w:t>Qeverisja fiskale dhe kornizat buxhetore</w:t>
            </w:r>
            <w:r w:rsidR="00802FB3">
              <w:rPr>
                <w:noProof/>
                <w:webHidden/>
              </w:rPr>
              <w:tab/>
            </w:r>
            <w:r w:rsidR="00802FB3">
              <w:rPr>
                <w:noProof/>
                <w:webHidden/>
              </w:rPr>
              <w:fldChar w:fldCharType="begin"/>
            </w:r>
            <w:r w:rsidR="00802FB3">
              <w:rPr>
                <w:noProof/>
                <w:webHidden/>
              </w:rPr>
              <w:instrText xml:space="preserve"> PAGEREF _Toc25873742 \h </w:instrText>
            </w:r>
            <w:r w:rsidR="00802FB3">
              <w:rPr>
                <w:noProof/>
                <w:webHidden/>
              </w:rPr>
            </w:r>
            <w:r w:rsidR="00802FB3">
              <w:rPr>
                <w:noProof/>
                <w:webHidden/>
              </w:rPr>
              <w:fldChar w:fldCharType="separate"/>
            </w:r>
            <w:r w:rsidR="00802FB3">
              <w:rPr>
                <w:noProof/>
                <w:webHidden/>
              </w:rPr>
              <w:t>60</w:t>
            </w:r>
            <w:r w:rsidR="00802FB3">
              <w:rPr>
                <w:noProof/>
                <w:webHidden/>
              </w:rPr>
              <w:fldChar w:fldCharType="end"/>
            </w:r>
          </w:hyperlink>
        </w:p>
        <w:p w14:paraId="1FC79E2A" w14:textId="77777777" w:rsidR="00802FB3" w:rsidRDefault="00FC648F">
          <w:pPr>
            <w:pStyle w:val="TOC1"/>
            <w:tabs>
              <w:tab w:val="left" w:pos="720"/>
              <w:tab w:val="right" w:leader="dot" w:pos="9739"/>
            </w:tabs>
            <w:rPr>
              <w:rFonts w:eastAsiaTheme="minorEastAsia"/>
              <w:noProof/>
              <w:lang w:val="en-US"/>
            </w:rPr>
          </w:pPr>
          <w:hyperlink w:anchor="_Toc25873743" w:history="1">
            <w:r w:rsidR="00802FB3" w:rsidRPr="00AA2652">
              <w:rPr>
                <w:rStyle w:val="Hyperlink"/>
                <w:rFonts w:ascii="Times New Roman" w:hAnsi="Times New Roman"/>
                <w:noProof/>
              </w:rPr>
              <w:t>3.5.</w:t>
            </w:r>
            <w:r w:rsidR="00802FB3">
              <w:rPr>
                <w:rFonts w:eastAsiaTheme="minorEastAsia"/>
                <w:noProof/>
                <w:lang w:val="en-US"/>
              </w:rPr>
              <w:tab/>
            </w:r>
            <w:r w:rsidR="00802FB3" w:rsidRPr="00AA2652">
              <w:rPr>
                <w:rStyle w:val="Hyperlink"/>
                <w:noProof/>
              </w:rPr>
              <w:t>Qëndrueshmëria e financave publike</w:t>
            </w:r>
            <w:r w:rsidR="00802FB3">
              <w:rPr>
                <w:noProof/>
                <w:webHidden/>
              </w:rPr>
              <w:tab/>
            </w:r>
            <w:r w:rsidR="00802FB3">
              <w:rPr>
                <w:noProof/>
                <w:webHidden/>
              </w:rPr>
              <w:fldChar w:fldCharType="begin"/>
            </w:r>
            <w:r w:rsidR="00802FB3">
              <w:rPr>
                <w:noProof/>
                <w:webHidden/>
              </w:rPr>
              <w:instrText xml:space="preserve"> PAGEREF _Toc25873743 \h </w:instrText>
            </w:r>
            <w:r w:rsidR="00802FB3">
              <w:rPr>
                <w:noProof/>
                <w:webHidden/>
              </w:rPr>
            </w:r>
            <w:r w:rsidR="00802FB3">
              <w:rPr>
                <w:noProof/>
                <w:webHidden/>
              </w:rPr>
              <w:fldChar w:fldCharType="separate"/>
            </w:r>
            <w:r w:rsidR="00802FB3">
              <w:rPr>
                <w:noProof/>
                <w:webHidden/>
              </w:rPr>
              <w:t>60</w:t>
            </w:r>
            <w:r w:rsidR="00802FB3">
              <w:rPr>
                <w:noProof/>
                <w:webHidden/>
              </w:rPr>
              <w:fldChar w:fldCharType="end"/>
            </w:r>
          </w:hyperlink>
        </w:p>
        <w:p w14:paraId="480B7418" w14:textId="77777777" w:rsidR="00802FB3" w:rsidRDefault="00FC648F">
          <w:pPr>
            <w:pStyle w:val="TOC1"/>
            <w:tabs>
              <w:tab w:val="right" w:leader="dot" w:pos="9739"/>
            </w:tabs>
            <w:rPr>
              <w:rFonts w:eastAsiaTheme="minorEastAsia"/>
              <w:noProof/>
              <w:lang w:val="en-US"/>
            </w:rPr>
          </w:pPr>
          <w:hyperlink w:anchor="_Toc25873744" w:history="1">
            <w:r w:rsidR="00802FB3" w:rsidRPr="00AA2652">
              <w:rPr>
                <w:rStyle w:val="Hyperlink"/>
                <w:noProof/>
                <w:spacing w:val="-1"/>
              </w:rPr>
              <w:t>4. REFORMAT</w:t>
            </w:r>
            <w:r w:rsidR="00802FB3" w:rsidRPr="00AA2652">
              <w:rPr>
                <w:rStyle w:val="Hyperlink"/>
                <w:noProof/>
              </w:rPr>
              <w:t xml:space="preserve"> </w:t>
            </w:r>
            <w:r w:rsidR="00802FB3" w:rsidRPr="00AA2652">
              <w:rPr>
                <w:rStyle w:val="Hyperlink"/>
                <w:noProof/>
                <w:spacing w:val="-1"/>
              </w:rPr>
              <w:t>S</w:t>
            </w:r>
            <w:r w:rsidR="00802FB3" w:rsidRPr="00AA2652">
              <w:rPr>
                <w:rStyle w:val="Hyperlink"/>
                <w:noProof/>
              </w:rPr>
              <w:t>TRUKTURORE PËR 2020-2022</w:t>
            </w:r>
            <w:r w:rsidR="00802FB3">
              <w:rPr>
                <w:noProof/>
                <w:webHidden/>
              </w:rPr>
              <w:tab/>
            </w:r>
            <w:r w:rsidR="00802FB3">
              <w:rPr>
                <w:noProof/>
                <w:webHidden/>
              </w:rPr>
              <w:fldChar w:fldCharType="begin"/>
            </w:r>
            <w:r w:rsidR="00802FB3">
              <w:rPr>
                <w:noProof/>
                <w:webHidden/>
              </w:rPr>
              <w:instrText xml:space="preserve"> PAGEREF _Toc25873744 \h </w:instrText>
            </w:r>
            <w:r w:rsidR="00802FB3">
              <w:rPr>
                <w:noProof/>
                <w:webHidden/>
              </w:rPr>
            </w:r>
            <w:r w:rsidR="00802FB3">
              <w:rPr>
                <w:noProof/>
                <w:webHidden/>
              </w:rPr>
              <w:fldChar w:fldCharType="separate"/>
            </w:r>
            <w:r w:rsidR="00802FB3">
              <w:rPr>
                <w:noProof/>
                <w:webHidden/>
              </w:rPr>
              <w:t>61</w:t>
            </w:r>
            <w:r w:rsidR="00802FB3">
              <w:rPr>
                <w:noProof/>
                <w:webHidden/>
              </w:rPr>
              <w:fldChar w:fldCharType="end"/>
            </w:r>
          </w:hyperlink>
        </w:p>
        <w:p w14:paraId="7A719774" w14:textId="77777777" w:rsidR="00802FB3" w:rsidRDefault="00FC648F">
          <w:pPr>
            <w:pStyle w:val="TOC1"/>
            <w:tabs>
              <w:tab w:val="right" w:leader="dot" w:pos="9739"/>
            </w:tabs>
            <w:rPr>
              <w:rFonts w:eastAsiaTheme="minorEastAsia"/>
              <w:noProof/>
              <w:lang w:val="en-US"/>
            </w:rPr>
          </w:pPr>
          <w:hyperlink w:anchor="_Toc25873745" w:history="1">
            <w:r w:rsidR="00802FB3" w:rsidRPr="00AA2652">
              <w:rPr>
                <w:rStyle w:val="Hyperlink"/>
                <w:noProof/>
              </w:rPr>
              <w:t>4.1. Identifikimi i pengesave kryesore për konkurrueshmërinë dhe rritjen gjithëpërfshirëse</w:t>
            </w:r>
            <w:r w:rsidR="00802FB3">
              <w:rPr>
                <w:noProof/>
                <w:webHidden/>
              </w:rPr>
              <w:tab/>
            </w:r>
            <w:r w:rsidR="00802FB3">
              <w:rPr>
                <w:noProof/>
                <w:webHidden/>
              </w:rPr>
              <w:fldChar w:fldCharType="begin"/>
            </w:r>
            <w:r w:rsidR="00802FB3">
              <w:rPr>
                <w:noProof/>
                <w:webHidden/>
              </w:rPr>
              <w:instrText xml:space="preserve"> PAGEREF _Toc25873745 \h </w:instrText>
            </w:r>
            <w:r w:rsidR="00802FB3">
              <w:rPr>
                <w:noProof/>
                <w:webHidden/>
              </w:rPr>
            </w:r>
            <w:r w:rsidR="00802FB3">
              <w:rPr>
                <w:noProof/>
                <w:webHidden/>
              </w:rPr>
              <w:fldChar w:fldCharType="separate"/>
            </w:r>
            <w:r w:rsidR="00802FB3">
              <w:rPr>
                <w:noProof/>
                <w:webHidden/>
              </w:rPr>
              <w:t>61</w:t>
            </w:r>
            <w:r w:rsidR="00802FB3">
              <w:rPr>
                <w:noProof/>
                <w:webHidden/>
              </w:rPr>
              <w:fldChar w:fldCharType="end"/>
            </w:r>
          </w:hyperlink>
        </w:p>
        <w:p w14:paraId="72CC3C11" w14:textId="77777777" w:rsidR="00802FB3" w:rsidRDefault="00FC648F">
          <w:pPr>
            <w:pStyle w:val="TOC1"/>
            <w:tabs>
              <w:tab w:val="right" w:leader="dot" w:pos="9739"/>
            </w:tabs>
            <w:rPr>
              <w:rFonts w:eastAsiaTheme="minorEastAsia"/>
              <w:noProof/>
              <w:lang w:val="en-US"/>
            </w:rPr>
          </w:pPr>
          <w:hyperlink w:anchor="_Toc25873746" w:history="1">
            <w:r w:rsidR="00802FB3" w:rsidRPr="00AA2652">
              <w:rPr>
                <w:rStyle w:val="Hyperlink"/>
                <w:noProof/>
              </w:rPr>
              <w:t>4.2. Përmbledhje e prioriteteve të reformave</w:t>
            </w:r>
            <w:r w:rsidR="00802FB3">
              <w:rPr>
                <w:noProof/>
                <w:webHidden/>
              </w:rPr>
              <w:tab/>
            </w:r>
            <w:r w:rsidR="00802FB3">
              <w:rPr>
                <w:noProof/>
                <w:webHidden/>
              </w:rPr>
              <w:fldChar w:fldCharType="begin"/>
            </w:r>
            <w:r w:rsidR="00802FB3">
              <w:rPr>
                <w:noProof/>
                <w:webHidden/>
              </w:rPr>
              <w:instrText xml:space="preserve"> PAGEREF _Toc25873746 \h </w:instrText>
            </w:r>
            <w:r w:rsidR="00802FB3">
              <w:rPr>
                <w:noProof/>
                <w:webHidden/>
              </w:rPr>
            </w:r>
            <w:r w:rsidR="00802FB3">
              <w:rPr>
                <w:noProof/>
                <w:webHidden/>
              </w:rPr>
              <w:fldChar w:fldCharType="separate"/>
            </w:r>
            <w:r w:rsidR="00802FB3">
              <w:rPr>
                <w:noProof/>
                <w:webHidden/>
              </w:rPr>
              <w:t>63</w:t>
            </w:r>
            <w:r w:rsidR="00802FB3">
              <w:rPr>
                <w:noProof/>
                <w:webHidden/>
              </w:rPr>
              <w:fldChar w:fldCharType="end"/>
            </w:r>
          </w:hyperlink>
        </w:p>
        <w:p w14:paraId="20294CFE" w14:textId="77777777" w:rsidR="00802FB3" w:rsidRDefault="00FC648F">
          <w:pPr>
            <w:pStyle w:val="TOC1"/>
            <w:tabs>
              <w:tab w:val="right" w:leader="dot" w:pos="9739"/>
            </w:tabs>
            <w:rPr>
              <w:rFonts w:eastAsiaTheme="minorEastAsia"/>
              <w:noProof/>
              <w:lang w:val="en-US"/>
            </w:rPr>
          </w:pPr>
          <w:hyperlink w:anchor="_Toc25873747" w:history="1">
            <w:r w:rsidR="00802FB3" w:rsidRPr="00AA2652">
              <w:rPr>
                <w:rStyle w:val="Hyperlink"/>
                <w:noProof/>
              </w:rPr>
              <w:t>4.3. Analiza sipas fushës dhe prioritetet e reformave strukturore</w:t>
            </w:r>
            <w:r w:rsidR="00802FB3">
              <w:rPr>
                <w:noProof/>
                <w:webHidden/>
              </w:rPr>
              <w:tab/>
            </w:r>
            <w:r w:rsidR="00802FB3">
              <w:rPr>
                <w:noProof/>
                <w:webHidden/>
              </w:rPr>
              <w:fldChar w:fldCharType="begin"/>
            </w:r>
            <w:r w:rsidR="00802FB3">
              <w:rPr>
                <w:noProof/>
                <w:webHidden/>
              </w:rPr>
              <w:instrText xml:space="preserve"> PAGEREF _Toc25873747 \h </w:instrText>
            </w:r>
            <w:r w:rsidR="00802FB3">
              <w:rPr>
                <w:noProof/>
                <w:webHidden/>
              </w:rPr>
            </w:r>
            <w:r w:rsidR="00802FB3">
              <w:rPr>
                <w:noProof/>
                <w:webHidden/>
              </w:rPr>
              <w:fldChar w:fldCharType="separate"/>
            </w:r>
            <w:r w:rsidR="00802FB3">
              <w:rPr>
                <w:noProof/>
                <w:webHidden/>
              </w:rPr>
              <w:t>65</w:t>
            </w:r>
            <w:r w:rsidR="00802FB3">
              <w:rPr>
                <w:noProof/>
                <w:webHidden/>
              </w:rPr>
              <w:fldChar w:fldCharType="end"/>
            </w:r>
          </w:hyperlink>
        </w:p>
        <w:p w14:paraId="6B7B66A4" w14:textId="77777777" w:rsidR="00802FB3" w:rsidRDefault="00FC648F">
          <w:pPr>
            <w:pStyle w:val="TOC1"/>
            <w:tabs>
              <w:tab w:val="right" w:leader="dot" w:pos="9739"/>
            </w:tabs>
            <w:rPr>
              <w:rFonts w:eastAsiaTheme="minorEastAsia"/>
              <w:noProof/>
              <w:lang w:val="en-US"/>
            </w:rPr>
          </w:pPr>
          <w:hyperlink w:anchor="_Toc25873748" w:history="1">
            <w:r w:rsidR="00802FB3" w:rsidRPr="00AA2652">
              <w:rPr>
                <w:rStyle w:val="Hyperlink"/>
                <w:noProof/>
              </w:rPr>
              <w:t>4.3.1. Reforma e tregjeve të energjisë dhe transportit</w:t>
            </w:r>
            <w:r w:rsidR="00802FB3">
              <w:rPr>
                <w:noProof/>
                <w:webHidden/>
              </w:rPr>
              <w:tab/>
            </w:r>
            <w:r w:rsidR="00802FB3">
              <w:rPr>
                <w:noProof/>
                <w:webHidden/>
              </w:rPr>
              <w:fldChar w:fldCharType="begin"/>
            </w:r>
            <w:r w:rsidR="00802FB3">
              <w:rPr>
                <w:noProof/>
                <w:webHidden/>
              </w:rPr>
              <w:instrText xml:space="preserve"> PAGEREF _Toc25873748 \h </w:instrText>
            </w:r>
            <w:r w:rsidR="00802FB3">
              <w:rPr>
                <w:noProof/>
                <w:webHidden/>
              </w:rPr>
            </w:r>
            <w:r w:rsidR="00802FB3">
              <w:rPr>
                <w:noProof/>
                <w:webHidden/>
              </w:rPr>
              <w:fldChar w:fldCharType="separate"/>
            </w:r>
            <w:r w:rsidR="00802FB3">
              <w:rPr>
                <w:noProof/>
                <w:webHidden/>
              </w:rPr>
              <w:t>65</w:t>
            </w:r>
            <w:r w:rsidR="00802FB3">
              <w:rPr>
                <w:noProof/>
                <w:webHidden/>
              </w:rPr>
              <w:fldChar w:fldCharType="end"/>
            </w:r>
          </w:hyperlink>
        </w:p>
        <w:p w14:paraId="781D8E85" w14:textId="77777777" w:rsidR="00802FB3" w:rsidRDefault="00FC648F">
          <w:pPr>
            <w:pStyle w:val="TOC1"/>
            <w:tabs>
              <w:tab w:val="right" w:leader="dot" w:pos="9739"/>
            </w:tabs>
            <w:rPr>
              <w:rFonts w:eastAsiaTheme="minorEastAsia"/>
              <w:noProof/>
              <w:lang w:val="en-US"/>
            </w:rPr>
          </w:pPr>
          <w:hyperlink w:anchor="_Toc25873749" w:history="1">
            <w:r w:rsidR="00802FB3" w:rsidRPr="00AA2652">
              <w:rPr>
                <w:rStyle w:val="Hyperlink"/>
                <w:noProof/>
              </w:rPr>
              <w:t>4.3.2.  Bujqësia, Industria dhe Shërbimet</w:t>
            </w:r>
            <w:r w:rsidR="00802FB3">
              <w:rPr>
                <w:noProof/>
                <w:webHidden/>
              </w:rPr>
              <w:tab/>
            </w:r>
            <w:r w:rsidR="00802FB3">
              <w:rPr>
                <w:noProof/>
                <w:webHidden/>
              </w:rPr>
              <w:fldChar w:fldCharType="begin"/>
            </w:r>
            <w:r w:rsidR="00802FB3">
              <w:rPr>
                <w:noProof/>
                <w:webHidden/>
              </w:rPr>
              <w:instrText xml:space="preserve"> PAGEREF _Toc25873749 \h </w:instrText>
            </w:r>
            <w:r w:rsidR="00802FB3">
              <w:rPr>
                <w:noProof/>
                <w:webHidden/>
              </w:rPr>
            </w:r>
            <w:r w:rsidR="00802FB3">
              <w:rPr>
                <w:noProof/>
                <w:webHidden/>
              </w:rPr>
              <w:fldChar w:fldCharType="separate"/>
            </w:r>
            <w:r w:rsidR="00802FB3">
              <w:rPr>
                <w:noProof/>
                <w:webHidden/>
              </w:rPr>
              <w:t>71</w:t>
            </w:r>
            <w:r w:rsidR="00802FB3">
              <w:rPr>
                <w:noProof/>
                <w:webHidden/>
              </w:rPr>
              <w:fldChar w:fldCharType="end"/>
            </w:r>
          </w:hyperlink>
        </w:p>
        <w:p w14:paraId="20F188B8" w14:textId="77777777" w:rsidR="00802FB3" w:rsidRDefault="00FC648F">
          <w:pPr>
            <w:pStyle w:val="TOC1"/>
            <w:tabs>
              <w:tab w:val="right" w:leader="dot" w:pos="9739"/>
            </w:tabs>
            <w:rPr>
              <w:rFonts w:eastAsiaTheme="minorEastAsia"/>
              <w:noProof/>
              <w:lang w:val="en-US"/>
            </w:rPr>
          </w:pPr>
          <w:hyperlink w:anchor="_Toc25873750" w:history="1">
            <w:r w:rsidR="00802FB3" w:rsidRPr="00AA2652">
              <w:rPr>
                <w:rStyle w:val="Hyperlink"/>
                <w:noProof/>
              </w:rPr>
              <w:t>4.3.3 Mjedisi i biznesit dhe reduktimi i ekonomisë informale</w:t>
            </w:r>
            <w:r w:rsidR="00802FB3">
              <w:rPr>
                <w:noProof/>
                <w:webHidden/>
              </w:rPr>
              <w:tab/>
            </w:r>
            <w:r w:rsidR="00802FB3">
              <w:rPr>
                <w:noProof/>
                <w:webHidden/>
              </w:rPr>
              <w:fldChar w:fldCharType="begin"/>
            </w:r>
            <w:r w:rsidR="00802FB3">
              <w:rPr>
                <w:noProof/>
                <w:webHidden/>
              </w:rPr>
              <w:instrText xml:space="preserve"> PAGEREF _Toc25873750 \h </w:instrText>
            </w:r>
            <w:r w:rsidR="00802FB3">
              <w:rPr>
                <w:noProof/>
                <w:webHidden/>
              </w:rPr>
            </w:r>
            <w:r w:rsidR="00802FB3">
              <w:rPr>
                <w:noProof/>
                <w:webHidden/>
              </w:rPr>
              <w:fldChar w:fldCharType="separate"/>
            </w:r>
            <w:r w:rsidR="00802FB3">
              <w:rPr>
                <w:noProof/>
                <w:webHidden/>
              </w:rPr>
              <w:t>82</w:t>
            </w:r>
            <w:r w:rsidR="00802FB3">
              <w:rPr>
                <w:noProof/>
                <w:webHidden/>
              </w:rPr>
              <w:fldChar w:fldCharType="end"/>
            </w:r>
          </w:hyperlink>
        </w:p>
        <w:p w14:paraId="6D16ACD2" w14:textId="77777777" w:rsidR="00802FB3" w:rsidRDefault="00FC648F">
          <w:pPr>
            <w:pStyle w:val="TOC1"/>
            <w:tabs>
              <w:tab w:val="right" w:leader="dot" w:pos="9739"/>
            </w:tabs>
            <w:rPr>
              <w:rFonts w:eastAsiaTheme="minorEastAsia"/>
              <w:noProof/>
              <w:lang w:val="en-US"/>
            </w:rPr>
          </w:pPr>
          <w:hyperlink w:anchor="_Toc25873751" w:history="1">
            <w:r w:rsidR="00802FB3" w:rsidRPr="00AA2652">
              <w:rPr>
                <w:rStyle w:val="Hyperlink"/>
                <w:noProof/>
              </w:rPr>
              <w:t>4.3.4.  Hulumtimi, zhvillimi dhe inovacioni dhe ekonomia digjitale</w:t>
            </w:r>
            <w:r w:rsidR="00802FB3">
              <w:rPr>
                <w:noProof/>
                <w:webHidden/>
              </w:rPr>
              <w:tab/>
            </w:r>
            <w:r w:rsidR="00802FB3">
              <w:rPr>
                <w:noProof/>
                <w:webHidden/>
              </w:rPr>
              <w:fldChar w:fldCharType="begin"/>
            </w:r>
            <w:r w:rsidR="00802FB3">
              <w:rPr>
                <w:noProof/>
                <w:webHidden/>
              </w:rPr>
              <w:instrText xml:space="preserve"> PAGEREF _Toc25873751 \h </w:instrText>
            </w:r>
            <w:r w:rsidR="00802FB3">
              <w:rPr>
                <w:noProof/>
                <w:webHidden/>
              </w:rPr>
            </w:r>
            <w:r w:rsidR="00802FB3">
              <w:rPr>
                <w:noProof/>
                <w:webHidden/>
              </w:rPr>
              <w:fldChar w:fldCharType="separate"/>
            </w:r>
            <w:r w:rsidR="00802FB3">
              <w:rPr>
                <w:noProof/>
                <w:webHidden/>
              </w:rPr>
              <w:t>94</w:t>
            </w:r>
            <w:r w:rsidR="00802FB3">
              <w:rPr>
                <w:noProof/>
                <w:webHidden/>
              </w:rPr>
              <w:fldChar w:fldCharType="end"/>
            </w:r>
          </w:hyperlink>
        </w:p>
        <w:p w14:paraId="19F0D40D" w14:textId="77777777" w:rsidR="00802FB3" w:rsidRDefault="00FC648F">
          <w:pPr>
            <w:pStyle w:val="TOC1"/>
            <w:tabs>
              <w:tab w:val="right" w:leader="dot" w:pos="9739"/>
            </w:tabs>
            <w:rPr>
              <w:rFonts w:eastAsiaTheme="minorEastAsia"/>
              <w:noProof/>
              <w:lang w:val="en-US"/>
            </w:rPr>
          </w:pPr>
          <w:hyperlink w:anchor="_Toc25873752" w:history="1">
            <w:r w:rsidR="00802FB3" w:rsidRPr="00AA2652">
              <w:rPr>
                <w:rStyle w:val="Hyperlink"/>
                <w:noProof/>
              </w:rPr>
              <w:t>4.3.5. Reformat në tregti</w:t>
            </w:r>
            <w:r w:rsidR="00802FB3">
              <w:rPr>
                <w:noProof/>
                <w:webHidden/>
              </w:rPr>
              <w:tab/>
            </w:r>
            <w:r w:rsidR="00802FB3">
              <w:rPr>
                <w:noProof/>
                <w:webHidden/>
              </w:rPr>
              <w:fldChar w:fldCharType="begin"/>
            </w:r>
            <w:r w:rsidR="00802FB3">
              <w:rPr>
                <w:noProof/>
                <w:webHidden/>
              </w:rPr>
              <w:instrText xml:space="preserve"> PAGEREF _Toc25873752 \h </w:instrText>
            </w:r>
            <w:r w:rsidR="00802FB3">
              <w:rPr>
                <w:noProof/>
                <w:webHidden/>
              </w:rPr>
            </w:r>
            <w:r w:rsidR="00802FB3">
              <w:rPr>
                <w:noProof/>
                <w:webHidden/>
              </w:rPr>
              <w:fldChar w:fldCharType="separate"/>
            </w:r>
            <w:r w:rsidR="00802FB3">
              <w:rPr>
                <w:noProof/>
                <w:webHidden/>
              </w:rPr>
              <w:t>101</w:t>
            </w:r>
            <w:r w:rsidR="00802FB3">
              <w:rPr>
                <w:noProof/>
                <w:webHidden/>
              </w:rPr>
              <w:fldChar w:fldCharType="end"/>
            </w:r>
          </w:hyperlink>
        </w:p>
        <w:p w14:paraId="4703AF98" w14:textId="77777777" w:rsidR="00802FB3" w:rsidRDefault="00FC648F">
          <w:pPr>
            <w:pStyle w:val="TOC1"/>
            <w:tabs>
              <w:tab w:val="right" w:leader="dot" w:pos="9739"/>
            </w:tabs>
            <w:rPr>
              <w:rFonts w:eastAsiaTheme="minorEastAsia"/>
              <w:noProof/>
              <w:lang w:val="en-US"/>
            </w:rPr>
          </w:pPr>
          <w:hyperlink w:anchor="_Toc25873753" w:history="1">
            <w:r w:rsidR="00802FB3" w:rsidRPr="00AA2652">
              <w:rPr>
                <w:rStyle w:val="Hyperlink"/>
                <w:noProof/>
              </w:rPr>
              <w:t>4.3.6.  Arsimi dhe shkathtësitë</w:t>
            </w:r>
            <w:r w:rsidR="00802FB3">
              <w:rPr>
                <w:noProof/>
                <w:webHidden/>
              </w:rPr>
              <w:tab/>
            </w:r>
            <w:r w:rsidR="00802FB3">
              <w:rPr>
                <w:noProof/>
                <w:webHidden/>
              </w:rPr>
              <w:fldChar w:fldCharType="begin"/>
            </w:r>
            <w:r w:rsidR="00802FB3">
              <w:rPr>
                <w:noProof/>
                <w:webHidden/>
              </w:rPr>
              <w:instrText xml:space="preserve"> PAGEREF _Toc25873753 \h </w:instrText>
            </w:r>
            <w:r w:rsidR="00802FB3">
              <w:rPr>
                <w:noProof/>
                <w:webHidden/>
              </w:rPr>
            </w:r>
            <w:r w:rsidR="00802FB3">
              <w:rPr>
                <w:noProof/>
                <w:webHidden/>
              </w:rPr>
              <w:fldChar w:fldCharType="separate"/>
            </w:r>
            <w:r w:rsidR="00802FB3">
              <w:rPr>
                <w:noProof/>
                <w:webHidden/>
              </w:rPr>
              <w:t>106</w:t>
            </w:r>
            <w:r w:rsidR="00802FB3">
              <w:rPr>
                <w:noProof/>
                <w:webHidden/>
              </w:rPr>
              <w:fldChar w:fldCharType="end"/>
            </w:r>
          </w:hyperlink>
        </w:p>
        <w:p w14:paraId="73742EE3" w14:textId="77777777" w:rsidR="00802FB3" w:rsidRDefault="00FC648F">
          <w:pPr>
            <w:pStyle w:val="TOC1"/>
            <w:tabs>
              <w:tab w:val="right" w:leader="dot" w:pos="9739"/>
            </w:tabs>
            <w:rPr>
              <w:rFonts w:eastAsiaTheme="minorEastAsia"/>
              <w:noProof/>
              <w:lang w:val="en-US"/>
            </w:rPr>
          </w:pPr>
          <w:hyperlink w:anchor="_Toc25873754" w:history="1">
            <w:r w:rsidR="00802FB3" w:rsidRPr="00AA2652">
              <w:rPr>
                <w:rStyle w:val="Hyperlink"/>
                <w:noProof/>
              </w:rPr>
              <w:t>4.3.7.  Punësimi dhe tregjet e punës</w:t>
            </w:r>
            <w:r w:rsidR="00802FB3">
              <w:rPr>
                <w:noProof/>
                <w:webHidden/>
              </w:rPr>
              <w:tab/>
            </w:r>
            <w:r w:rsidR="00802FB3">
              <w:rPr>
                <w:noProof/>
                <w:webHidden/>
              </w:rPr>
              <w:fldChar w:fldCharType="begin"/>
            </w:r>
            <w:r w:rsidR="00802FB3">
              <w:rPr>
                <w:noProof/>
                <w:webHidden/>
              </w:rPr>
              <w:instrText xml:space="preserve"> PAGEREF _Toc25873754 \h </w:instrText>
            </w:r>
            <w:r w:rsidR="00802FB3">
              <w:rPr>
                <w:noProof/>
                <w:webHidden/>
              </w:rPr>
            </w:r>
            <w:r w:rsidR="00802FB3">
              <w:rPr>
                <w:noProof/>
                <w:webHidden/>
              </w:rPr>
              <w:fldChar w:fldCharType="separate"/>
            </w:r>
            <w:r w:rsidR="00802FB3">
              <w:rPr>
                <w:noProof/>
                <w:webHidden/>
              </w:rPr>
              <w:t>117</w:t>
            </w:r>
            <w:r w:rsidR="00802FB3">
              <w:rPr>
                <w:noProof/>
                <w:webHidden/>
              </w:rPr>
              <w:fldChar w:fldCharType="end"/>
            </w:r>
          </w:hyperlink>
        </w:p>
        <w:p w14:paraId="4B379E0B" w14:textId="77777777" w:rsidR="00802FB3" w:rsidRDefault="00FC648F">
          <w:pPr>
            <w:pStyle w:val="TOC1"/>
            <w:tabs>
              <w:tab w:val="right" w:leader="dot" w:pos="9739"/>
            </w:tabs>
            <w:rPr>
              <w:rFonts w:eastAsiaTheme="minorEastAsia"/>
              <w:noProof/>
              <w:lang w:val="en-US"/>
            </w:rPr>
          </w:pPr>
          <w:hyperlink w:anchor="_Toc25873755" w:history="1">
            <w:r w:rsidR="00802FB3" w:rsidRPr="00AA2652">
              <w:rPr>
                <w:rStyle w:val="Hyperlink"/>
                <w:noProof/>
              </w:rPr>
              <w:t>4.3.8.  Përfshirja sociale, ulja e varfërisë dhe mundësitë e barabarta</w:t>
            </w:r>
            <w:r w:rsidR="00802FB3">
              <w:rPr>
                <w:noProof/>
                <w:webHidden/>
              </w:rPr>
              <w:tab/>
            </w:r>
            <w:r w:rsidR="00802FB3">
              <w:rPr>
                <w:noProof/>
                <w:webHidden/>
              </w:rPr>
              <w:fldChar w:fldCharType="begin"/>
            </w:r>
            <w:r w:rsidR="00802FB3">
              <w:rPr>
                <w:noProof/>
                <w:webHidden/>
              </w:rPr>
              <w:instrText xml:space="preserve"> PAGEREF _Toc25873755 \h </w:instrText>
            </w:r>
            <w:r w:rsidR="00802FB3">
              <w:rPr>
                <w:noProof/>
                <w:webHidden/>
              </w:rPr>
            </w:r>
            <w:r w:rsidR="00802FB3">
              <w:rPr>
                <w:noProof/>
                <w:webHidden/>
              </w:rPr>
              <w:fldChar w:fldCharType="separate"/>
            </w:r>
            <w:r w:rsidR="00802FB3">
              <w:rPr>
                <w:noProof/>
                <w:webHidden/>
              </w:rPr>
              <w:t>122</w:t>
            </w:r>
            <w:r w:rsidR="00802FB3">
              <w:rPr>
                <w:noProof/>
                <w:webHidden/>
              </w:rPr>
              <w:fldChar w:fldCharType="end"/>
            </w:r>
          </w:hyperlink>
        </w:p>
        <w:p w14:paraId="2FB6F546" w14:textId="77777777" w:rsidR="00802FB3" w:rsidRDefault="00FC648F">
          <w:pPr>
            <w:pStyle w:val="TOC1"/>
            <w:tabs>
              <w:tab w:val="right" w:leader="dot" w:pos="9739"/>
            </w:tabs>
            <w:rPr>
              <w:rFonts w:eastAsiaTheme="minorEastAsia"/>
              <w:noProof/>
              <w:lang w:val="en-US"/>
            </w:rPr>
          </w:pPr>
          <w:hyperlink w:anchor="_Toc25873756" w:history="1">
            <w:r w:rsidR="00802FB3" w:rsidRPr="00AA2652">
              <w:rPr>
                <w:rStyle w:val="Hyperlink"/>
                <w:noProof/>
              </w:rPr>
              <w:t>6. KOSTOT DHE FINANCIMI I REFORMAVE STRUKTURORE</w:t>
            </w:r>
            <w:r w:rsidR="00802FB3">
              <w:rPr>
                <w:noProof/>
                <w:webHidden/>
              </w:rPr>
              <w:tab/>
            </w:r>
            <w:r w:rsidR="00802FB3">
              <w:rPr>
                <w:noProof/>
                <w:webHidden/>
              </w:rPr>
              <w:fldChar w:fldCharType="begin"/>
            </w:r>
            <w:r w:rsidR="00802FB3">
              <w:rPr>
                <w:noProof/>
                <w:webHidden/>
              </w:rPr>
              <w:instrText xml:space="preserve"> PAGEREF _Toc25873756 \h </w:instrText>
            </w:r>
            <w:r w:rsidR="00802FB3">
              <w:rPr>
                <w:noProof/>
                <w:webHidden/>
              </w:rPr>
            </w:r>
            <w:r w:rsidR="00802FB3">
              <w:rPr>
                <w:noProof/>
                <w:webHidden/>
              </w:rPr>
              <w:fldChar w:fldCharType="separate"/>
            </w:r>
            <w:r w:rsidR="00802FB3">
              <w:rPr>
                <w:noProof/>
                <w:webHidden/>
              </w:rPr>
              <w:t>127</w:t>
            </w:r>
            <w:r w:rsidR="00802FB3">
              <w:rPr>
                <w:noProof/>
                <w:webHidden/>
              </w:rPr>
              <w:fldChar w:fldCharType="end"/>
            </w:r>
          </w:hyperlink>
        </w:p>
        <w:p w14:paraId="18EC39C7" w14:textId="77777777" w:rsidR="00802FB3" w:rsidRDefault="00FC648F">
          <w:pPr>
            <w:pStyle w:val="TOC1"/>
            <w:tabs>
              <w:tab w:val="right" w:leader="dot" w:pos="9739"/>
            </w:tabs>
            <w:rPr>
              <w:rFonts w:eastAsiaTheme="minorEastAsia"/>
              <w:noProof/>
              <w:lang w:val="en-US"/>
            </w:rPr>
          </w:pPr>
          <w:hyperlink w:anchor="_Toc25873757" w:history="1">
            <w:r w:rsidR="00802FB3" w:rsidRPr="00AA2652">
              <w:rPr>
                <w:rStyle w:val="Hyperlink"/>
                <w:noProof/>
              </w:rPr>
              <w:t>7. ÇËSHTJET INSTITUCIONALE DHE PËRFSHIRJA E PALËVE TË INTERESIT</w:t>
            </w:r>
            <w:r w:rsidR="00802FB3">
              <w:rPr>
                <w:noProof/>
                <w:webHidden/>
              </w:rPr>
              <w:tab/>
            </w:r>
            <w:r w:rsidR="00802FB3">
              <w:rPr>
                <w:noProof/>
                <w:webHidden/>
              </w:rPr>
              <w:fldChar w:fldCharType="begin"/>
            </w:r>
            <w:r w:rsidR="00802FB3">
              <w:rPr>
                <w:noProof/>
                <w:webHidden/>
              </w:rPr>
              <w:instrText xml:space="preserve"> PAGEREF _Toc25873757 \h </w:instrText>
            </w:r>
            <w:r w:rsidR="00802FB3">
              <w:rPr>
                <w:noProof/>
                <w:webHidden/>
              </w:rPr>
            </w:r>
            <w:r w:rsidR="00802FB3">
              <w:rPr>
                <w:noProof/>
                <w:webHidden/>
              </w:rPr>
              <w:fldChar w:fldCharType="separate"/>
            </w:r>
            <w:r w:rsidR="00802FB3">
              <w:rPr>
                <w:noProof/>
                <w:webHidden/>
              </w:rPr>
              <w:t>128</w:t>
            </w:r>
            <w:r w:rsidR="00802FB3">
              <w:rPr>
                <w:noProof/>
                <w:webHidden/>
              </w:rPr>
              <w:fldChar w:fldCharType="end"/>
            </w:r>
          </w:hyperlink>
        </w:p>
        <w:p w14:paraId="507FFA4D" w14:textId="77777777" w:rsidR="00085F16" w:rsidRPr="005E5D6B" w:rsidRDefault="00085F16" w:rsidP="00085F16">
          <w:pPr>
            <w:spacing w:line="276" w:lineRule="auto"/>
          </w:pPr>
          <w:r w:rsidRPr="009F66F4">
            <w:rPr>
              <w:noProof/>
            </w:rPr>
            <w:fldChar w:fldCharType="end"/>
          </w:r>
        </w:p>
      </w:sdtContent>
    </w:sdt>
    <w:p w14:paraId="58B22939" w14:textId="77777777" w:rsidR="00085F16" w:rsidRPr="0067685A" w:rsidRDefault="00085F16" w:rsidP="00085F16">
      <w:pPr>
        <w:spacing w:line="276" w:lineRule="auto"/>
        <w:jc w:val="both"/>
        <w:rPr>
          <w:sz w:val="20"/>
          <w:szCs w:val="20"/>
          <w:lang w:eastAsia="ja-JP"/>
        </w:rPr>
      </w:pPr>
    </w:p>
    <w:p w14:paraId="45E453F6" w14:textId="77777777" w:rsidR="00085F16" w:rsidRPr="0067685A" w:rsidRDefault="00085F16" w:rsidP="00085F16">
      <w:pPr>
        <w:rPr>
          <w:b/>
          <w:sz w:val="20"/>
          <w:szCs w:val="20"/>
          <w:lang w:eastAsia="ja-JP"/>
        </w:rPr>
      </w:pPr>
      <w:r w:rsidRPr="0067685A">
        <w:rPr>
          <w:b/>
          <w:sz w:val="20"/>
          <w:szCs w:val="20"/>
          <w:lang w:eastAsia="ja-JP"/>
        </w:rPr>
        <w:br w:type="page"/>
      </w:r>
    </w:p>
    <w:p w14:paraId="6375DF8E" w14:textId="77777777" w:rsidR="00085F16" w:rsidRPr="009676A6" w:rsidRDefault="00085F16" w:rsidP="00085F16">
      <w:pPr>
        <w:spacing w:line="276" w:lineRule="auto"/>
        <w:jc w:val="both"/>
        <w:rPr>
          <w:sz w:val="20"/>
          <w:szCs w:val="20"/>
          <w:lang w:eastAsia="ja-JP"/>
        </w:rPr>
      </w:pPr>
      <w:r w:rsidRPr="009676A6">
        <w:rPr>
          <w:sz w:val="20"/>
          <w:szCs w:val="20"/>
          <w:lang w:eastAsia="ja-JP"/>
        </w:rPr>
        <w:lastRenderedPageBreak/>
        <w:t>List of tables and figures</w:t>
      </w:r>
    </w:p>
    <w:p w14:paraId="3C0E2699" w14:textId="77777777" w:rsidR="00085F16" w:rsidRPr="009676A6" w:rsidRDefault="00085F16" w:rsidP="00085F16">
      <w:pPr>
        <w:spacing w:line="276" w:lineRule="auto"/>
        <w:ind w:firstLine="720"/>
        <w:jc w:val="both"/>
        <w:rPr>
          <w:sz w:val="20"/>
          <w:szCs w:val="20"/>
          <w:lang w:eastAsia="ja-JP"/>
        </w:rPr>
      </w:pPr>
    </w:p>
    <w:p w14:paraId="05EB9786" w14:textId="77777777" w:rsidR="00085F16" w:rsidRPr="009676A6" w:rsidRDefault="00085F16" w:rsidP="00085F16">
      <w:pPr>
        <w:pStyle w:val="TableofFigures"/>
        <w:tabs>
          <w:tab w:val="right" w:leader="dot" w:pos="9739"/>
        </w:tabs>
        <w:rPr>
          <w:rFonts w:eastAsiaTheme="minorEastAsia" w:cstheme="minorBidi"/>
          <w:b w:val="0"/>
          <w:bCs w:val="0"/>
          <w:noProof/>
          <w:color w:val="auto"/>
          <w:sz w:val="22"/>
          <w:szCs w:val="22"/>
          <w:lang w:val="en-US"/>
        </w:rPr>
      </w:pPr>
      <w:r w:rsidRPr="009676A6">
        <w:rPr>
          <w:rFonts w:ascii="Times New Roman" w:hAnsi="Times New Roman"/>
          <w:b w:val="0"/>
          <w:color w:val="auto"/>
          <w:lang w:eastAsia="ja-JP"/>
        </w:rPr>
        <w:fldChar w:fldCharType="begin"/>
      </w:r>
      <w:r w:rsidRPr="009676A6">
        <w:rPr>
          <w:rFonts w:ascii="Times New Roman" w:hAnsi="Times New Roman"/>
          <w:b w:val="0"/>
          <w:color w:val="auto"/>
          <w:lang w:eastAsia="ja-JP"/>
        </w:rPr>
        <w:instrText xml:space="preserve"> TOC \h \z \c "Grafiku" </w:instrText>
      </w:r>
      <w:r w:rsidRPr="009676A6">
        <w:rPr>
          <w:rFonts w:ascii="Times New Roman" w:hAnsi="Times New Roman"/>
          <w:b w:val="0"/>
          <w:color w:val="auto"/>
          <w:lang w:eastAsia="ja-JP"/>
        </w:rPr>
        <w:fldChar w:fldCharType="separate"/>
      </w:r>
      <w:hyperlink r:id="rId13" w:anchor="_Toc25673453" w:history="1">
        <w:r w:rsidRPr="009676A6">
          <w:rPr>
            <w:rStyle w:val="Hyperlink"/>
            <w:b w:val="0"/>
            <w:noProof/>
          </w:rPr>
          <w:t xml:space="preserve">Grafiku 1 </w:t>
        </w:r>
        <w:r w:rsidRPr="00987B75">
          <w:rPr>
            <w:rStyle w:val="Hyperlink"/>
            <w:rFonts w:ascii="Times New Roman" w:hAnsi="Times New Roman"/>
            <w:b w:val="0"/>
            <w:noProof/>
          </w:rPr>
          <w:t>Rritja reale vjetore e BPV-së, në %</w:t>
        </w:r>
        <w:r w:rsidRPr="009676A6">
          <w:rPr>
            <w:b w:val="0"/>
            <w:noProof/>
            <w:webHidden/>
          </w:rPr>
          <w:tab/>
        </w:r>
        <w:r w:rsidRPr="009676A6">
          <w:rPr>
            <w:b w:val="0"/>
            <w:noProof/>
            <w:webHidden/>
          </w:rPr>
          <w:fldChar w:fldCharType="begin"/>
        </w:r>
        <w:r w:rsidRPr="009676A6">
          <w:rPr>
            <w:b w:val="0"/>
            <w:noProof/>
            <w:webHidden/>
          </w:rPr>
          <w:instrText xml:space="preserve"> PAGEREF _Toc25673453 \h </w:instrText>
        </w:r>
        <w:r w:rsidRPr="009676A6">
          <w:rPr>
            <w:b w:val="0"/>
            <w:noProof/>
            <w:webHidden/>
          </w:rPr>
        </w:r>
        <w:r w:rsidRPr="009676A6">
          <w:rPr>
            <w:b w:val="0"/>
            <w:noProof/>
            <w:webHidden/>
          </w:rPr>
          <w:fldChar w:fldCharType="separate"/>
        </w:r>
        <w:r>
          <w:rPr>
            <w:b w:val="0"/>
            <w:noProof/>
            <w:webHidden/>
          </w:rPr>
          <w:t>10</w:t>
        </w:r>
        <w:r w:rsidRPr="009676A6">
          <w:rPr>
            <w:b w:val="0"/>
            <w:noProof/>
            <w:webHidden/>
          </w:rPr>
          <w:fldChar w:fldCharType="end"/>
        </w:r>
      </w:hyperlink>
    </w:p>
    <w:p w14:paraId="3A209E49" w14:textId="77777777" w:rsidR="00085F16" w:rsidRPr="009676A6" w:rsidRDefault="00FC648F" w:rsidP="00085F16">
      <w:pPr>
        <w:pStyle w:val="TableofFigures"/>
        <w:tabs>
          <w:tab w:val="right" w:leader="dot" w:pos="9739"/>
        </w:tabs>
        <w:rPr>
          <w:rFonts w:eastAsiaTheme="minorEastAsia" w:cstheme="minorBidi"/>
          <w:b w:val="0"/>
          <w:bCs w:val="0"/>
          <w:noProof/>
          <w:color w:val="auto"/>
          <w:sz w:val="22"/>
          <w:szCs w:val="22"/>
          <w:lang w:val="en-US"/>
        </w:rPr>
      </w:pPr>
      <w:hyperlink r:id="rId14" w:anchor="_Toc25673454" w:history="1">
        <w:r w:rsidR="00085F16" w:rsidRPr="009676A6">
          <w:rPr>
            <w:rStyle w:val="Hyperlink"/>
            <w:rFonts w:ascii="Times New Roman" w:hAnsi="Times New Roman"/>
            <w:b w:val="0"/>
            <w:noProof/>
          </w:rPr>
          <w:t>Grafiku 2 Inflacioni</w:t>
        </w:r>
        <w:r w:rsidR="00085F16" w:rsidRPr="009676A6">
          <w:rPr>
            <w:b w:val="0"/>
            <w:noProof/>
            <w:webHidden/>
          </w:rPr>
          <w:tab/>
        </w:r>
        <w:r w:rsidR="00085F16" w:rsidRPr="009676A6">
          <w:rPr>
            <w:b w:val="0"/>
            <w:noProof/>
            <w:webHidden/>
          </w:rPr>
          <w:fldChar w:fldCharType="begin"/>
        </w:r>
        <w:r w:rsidR="00085F16" w:rsidRPr="009676A6">
          <w:rPr>
            <w:b w:val="0"/>
            <w:noProof/>
            <w:webHidden/>
          </w:rPr>
          <w:instrText xml:space="preserve"> PAGEREF _Toc25673454 \h </w:instrText>
        </w:r>
        <w:r w:rsidR="00085F16" w:rsidRPr="009676A6">
          <w:rPr>
            <w:b w:val="0"/>
            <w:noProof/>
            <w:webHidden/>
          </w:rPr>
        </w:r>
        <w:r w:rsidR="00085F16" w:rsidRPr="009676A6">
          <w:rPr>
            <w:b w:val="0"/>
            <w:noProof/>
            <w:webHidden/>
          </w:rPr>
          <w:fldChar w:fldCharType="separate"/>
        </w:r>
        <w:r w:rsidR="00085F16">
          <w:rPr>
            <w:b w:val="0"/>
            <w:noProof/>
            <w:webHidden/>
          </w:rPr>
          <w:t>11</w:t>
        </w:r>
        <w:r w:rsidR="00085F16" w:rsidRPr="009676A6">
          <w:rPr>
            <w:b w:val="0"/>
            <w:noProof/>
            <w:webHidden/>
          </w:rPr>
          <w:fldChar w:fldCharType="end"/>
        </w:r>
      </w:hyperlink>
    </w:p>
    <w:p w14:paraId="10652F9D" w14:textId="77777777" w:rsidR="00085F16" w:rsidRPr="009676A6" w:rsidRDefault="00FC648F" w:rsidP="00085F16">
      <w:pPr>
        <w:pStyle w:val="TableofFigures"/>
        <w:tabs>
          <w:tab w:val="right" w:leader="dot" w:pos="9739"/>
        </w:tabs>
        <w:rPr>
          <w:rFonts w:eastAsiaTheme="minorEastAsia" w:cstheme="minorBidi"/>
          <w:b w:val="0"/>
          <w:bCs w:val="0"/>
          <w:noProof/>
          <w:color w:val="auto"/>
          <w:sz w:val="22"/>
          <w:szCs w:val="22"/>
          <w:lang w:val="en-US"/>
        </w:rPr>
      </w:pPr>
      <w:hyperlink w:anchor="_Toc25673455" w:history="1">
        <w:r w:rsidR="00085F16" w:rsidRPr="009676A6">
          <w:rPr>
            <w:rStyle w:val="Hyperlink"/>
            <w:rFonts w:ascii="Times New Roman" w:hAnsi="Times New Roman"/>
            <w:b w:val="0"/>
            <w:noProof/>
          </w:rPr>
          <w:t>Grafiku 3 Contribution of tradable and non-tradable inflation to total inflation</w:t>
        </w:r>
        <w:r w:rsidR="00085F16" w:rsidRPr="009676A6">
          <w:rPr>
            <w:b w:val="0"/>
            <w:noProof/>
            <w:webHidden/>
          </w:rPr>
          <w:tab/>
        </w:r>
        <w:r w:rsidR="00085F16" w:rsidRPr="009676A6">
          <w:rPr>
            <w:b w:val="0"/>
            <w:noProof/>
            <w:webHidden/>
          </w:rPr>
          <w:fldChar w:fldCharType="begin"/>
        </w:r>
        <w:r w:rsidR="00085F16" w:rsidRPr="009676A6">
          <w:rPr>
            <w:b w:val="0"/>
            <w:noProof/>
            <w:webHidden/>
          </w:rPr>
          <w:instrText xml:space="preserve"> PAGEREF _Toc25673455 \h </w:instrText>
        </w:r>
        <w:r w:rsidR="00085F16" w:rsidRPr="009676A6">
          <w:rPr>
            <w:b w:val="0"/>
            <w:noProof/>
            <w:webHidden/>
          </w:rPr>
        </w:r>
        <w:r w:rsidR="00085F16" w:rsidRPr="009676A6">
          <w:rPr>
            <w:b w:val="0"/>
            <w:noProof/>
            <w:webHidden/>
          </w:rPr>
          <w:fldChar w:fldCharType="separate"/>
        </w:r>
        <w:r w:rsidR="00085F16">
          <w:rPr>
            <w:b w:val="0"/>
            <w:noProof/>
            <w:webHidden/>
          </w:rPr>
          <w:t>14</w:t>
        </w:r>
        <w:r w:rsidR="00085F16" w:rsidRPr="009676A6">
          <w:rPr>
            <w:b w:val="0"/>
            <w:noProof/>
            <w:webHidden/>
          </w:rPr>
          <w:fldChar w:fldCharType="end"/>
        </w:r>
      </w:hyperlink>
    </w:p>
    <w:p w14:paraId="14E04C64" w14:textId="77777777" w:rsidR="00085F16" w:rsidRPr="009676A6" w:rsidRDefault="00FC648F" w:rsidP="00085F16">
      <w:pPr>
        <w:pStyle w:val="TableofFigures"/>
        <w:tabs>
          <w:tab w:val="right" w:leader="dot" w:pos="9739"/>
        </w:tabs>
        <w:rPr>
          <w:rFonts w:eastAsiaTheme="minorEastAsia" w:cstheme="minorBidi"/>
          <w:b w:val="0"/>
          <w:bCs w:val="0"/>
          <w:noProof/>
          <w:color w:val="auto"/>
          <w:sz w:val="22"/>
          <w:szCs w:val="22"/>
          <w:lang w:val="en-US"/>
        </w:rPr>
      </w:pPr>
      <w:hyperlink w:anchor="_Toc25673456" w:history="1">
        <w:r w:rsidR="00085F16" w:rsidRPr="009676A6">
          <w:rPr>
            <w:rStyle w:val="Hyperlink"/>
            <w:rFonts w:ascii="Times New Roman" w:hAnsi="Times New Roman"/>
            <w:b w:val="0"/>
            <w:noProof/>
          </w:rPr>
          <w:t>Grafiku 4 Indikatori i Klimës së Biznesit dhe Bilancet e vlerësimit të situatës aktuale të sektorëve të biznesit</w:t>
        </w:r>
        <w:r w:rsidR="00085F16" w:rsidRPr="009676A6">
          <w:rPr>
            <w:b w:val="0"/>
            <w:noProof/>
            <w:webHidden/>
          </w:rPr>
          <w:tab/>
        </w:r>
        <w:r w:rsidR="00085F16" w:rsidRPr="009676A6">
          <w:rPr>
            <w:b w:val="0"/>
            <w:noProof/>
            <w:webHidden/>
          </w:rPr>
          <w:fldChar w:fldCharType="begin"/>
        </w:r>
        <w:r w:rsidR="00085F16" w:rsidRPr="009676A6">
          <w:rPr>
            <w:b w:val="0"/>
            <w:noProof/>
            <w:webHidden/>
          </w:rPr>
          <w:instrText xml:space="preserve"> PAGEREF _Toc25673456 \h </w:instrText>
        </w:r>
        <w:r w:rsidR="00085F16" w:rsidRPr="009676A6">
          <w:rPr>
            <w:b w:val="0"/>
            <w:noProof/>
            <w:webHidden/>
          </w:rPr>
        </w:r>
        <w:r w:rsidR="00085F16" w:rsidRPr="009676A6">
          <w:rPr>
            <w:b w:val="0"/>
            <w:noProof/>
            <w:webHidden/>
          </w:rPr>
          <w:fldChar w:fldCharType="separate"/>
        </w:r>
        <w:r w:rsidR="00085F16">
          <w:rPr>
            <w:b w:val="0"/>
            <w:noProof/>
            <w:webHidden/>
          </w:rPr>
          <w:t>16</w:t>
        </w:r>
        <w:r w:rsidR="00085F16" w:rsidRPr="009676A6">
          <w:rPr>
            <w:b w:val="0"/>
            <w:noProof/>
            <w:webHidden/>
          </w:rPr>
          <w:fldChar w:fldCharType="end"/>
        </w:r>
      </w:hyperlink>
    </w:p>
    <w:p w14:paraId="7BDF4E33" w14:textId="77777777" w:rsidR="00085F16" w:rsidRPr="009676A6" w:rsidRDefault="00FC648F" w:rsidP="00085F16">
      <w:pPr>
        <w:pStyle w:val="TableofFigures"/>
        <w:tabs>
          <w:tab w:val="right" w:leader="dot" w:pos="9739"/>
        </w:tabs>
        <w:rPr>
          <w:rFonts w:eastAsiaTheme="minorEastAsia" w:cstheme="minorBidi"/>
          <w:b w:val="0"/>
          <w:bCs w:val="0"/>
          <w:noProof/>
          <w:color w:val="auto"/>
          <w:sz w:val="22"/>
          <w:szCs w:val="22"/>
          <w:lang w:val="en-US"/>
        </w:rPr>
      </w:pPr>
      <w:hyperlink r:id="rId15" w:anchor="_Toc25673457" w:history="1">
        <w:r w:rsidR="00085F16" w:rsidRPr="009676A6">
          <w:rPr>
            <w:rStyle w:val="Hyperlink"/>
            <w:rFonts w:ascii="Times New Roman" w:hAnsi="Times New Roman"/>
            <w:b w:val="0"/>
            <w:noProof/>
          </w:rPr>
          <w:t>Grafiku 5 Paga Mesatare Bruto, in Euro</w:t>
        </w:r>
        <w:r w:rsidR="00085F16" w:rsidRPr="009676A6">
          <w:rPr>
            <w:b w:val="0"/>
            <w:noProof/>
            <w:webHidden/>
          </w:rPr>
          <w:tab/>
        </w:r>
        <w:r w:rsidR="00085F16" w:rsidRPr="009676A6">
          <w:rPr>
            <w:b w:val="0"/>
            <w:noProof/>
            <w:webHidden/>
          </w:rPr>
          <w:fldChar w:fldCharType="begin"/>
        </w:r>
        <w:r w:rsidR="00085F16" w:rsidRPr="009676A6">
          <w:rPr>
            <w:b w:val="0"/>
            <w:noProof/>
            <w:webHidden/>
          </w:rPr>
          <w:instrText xml:space="preserve"> PAGEREF _Toc25673457 \h </w:instrText>
        </w:r>
        <w:r w:rsidR="00085F16" w:rsidRPr="009676A6">
          <w:rPr>
            <w:b w:val="0"/>
            <w:noProof/>
            <w:webHidden/>
          </w:rPr>
        </w:r>
        <w:r w:rsidR="00085F16" w:rsidRPr="009676A6">
          <w:rPr>
            <w:b w:val="0"/>
            <w:noProof/>
            <w:webHidden/>
          </w:rPr>
          <w:fldChar w:fldCharType="separate"/>
        </w:r>
        <w:r w:rsidR="00085F16">
          <w:rPr>
            <w:b w:val="0"/>
            <w:noProof/>
            <w:webHidden/>
          </w:rPr>
          <w:t>18</w:t>
        </w:r>
        <w:r w:rsidR="00085F16" w:rsidRPr="009676A6">
          <w:rPr>
            <w:b w:val="0"/>
            <w:noProof/>
            <w:webHidden/>
          </w:rPr>
          <w:fldChar w:fldCharType="end"/>
        </w:r>
      </w:hyperlink>
    </w:p>
    <w:p w14:paraId="40C7EB5F" w14:textId="77777777" w:rsidR="00085F16" w:rsidRPr="009676A6" w:rsidRDefault="00FC648F" w:rsidP="00085F16">
      <w:pPr>
        <w:pStyle w:val="TableofFigures"/>
        <w:tabs>
          <w:tab w:val="right" w:leader="dot" w:pos="9739"/>
        </w:tabs>
        <w:rPr>
          <w:rFonts w:eastAsiaTheme="minorEastAsia" w:cstheme="minorBidi"/>
          <w:b w:val="0"/>
          <w:bCs w:val="0"/>
          <w:noProof/>
          <w:color w:val="auto"/>
          <w:sz w:val="22"/>
          <w:szCs w:val="22"/>
          <w:lang w:val="en-US"/>
        </w:rPr>
      </w:pPr>
      <w:hyperlink r:id="rId16" w:anchor="_Toc25673458" w:history="1">
        <w:r w:rsidR="00085F16" w:rsidRPr="009676A6">
          <w:rPr>
            <w:rStyle w:val="Hyperlink"/>
            <w:rFonts w:ascii="Times New Roman" w:hAnsi="Times New Roman"/>
            <w:b w:val="0"/>
            <w:noProof/>
          </w:rPr>
          <w:t>Grafiku 6 Real GDP and its components</w:t>
        </w:r>
        <w:r w:rsidR="00085F16" w:rsidRPr="009676A6">
          <w:rPr>
            <w:b w:val="0"/>
            <w:noProof/>
            <w:webHidden/>
          </w:rPr>
          <w:tab/>
        </w:r>
        <w:r w:rsidR="00085F16" w:rsidRPr="009676A6">
          <w:rPr>
            <w:b w:val="0"/>
            <w:noProof/>
            <w:webHidden/>
          </w:rPr>
          <w:fldChar w:fldCharType="begin"/>
        </w:r>
        <w:r w:rsidR="00085F16" w:rsidRPr="009676A6">
          <w:rPr>
            <w:b w:val="0"/>
            <w:noProof/>
            <w:webHidden/>
          </w:rPr>
          <w:instrText xml:space="preserve"> PAGEREF _Toc25673458 \h </w:instrText>
        </w:r>
        <w:r w:rsidR="00085F16" w:rsidRPr="009676A6">
          <w:rPr>
            <w:b w:val="0"/>
            <w:noProof/>
            <w:webHidden/>
          </w:rPr>
        </w:r>
        <w:r w:rsidR="00085F16" w:rsidRPr="009676A6">
          <w:rPr>
            <w:b w:val="0"/>
            <w:noProof/>
            <w:webHidden/>
          </w:rPr>
          <w:fldChar w:fldCharType="separate"/>
        </w:r>
        <w:r w:rsidR="00085F16">
          <w:rPr>
            <w:b w:val="0"/>
            <w:noProof/>
            <w:webHidden/>
          </w:rPr>
          <w:t>20</w:t>
        </w:r>
        <w:r w:rsidR="00085F16" w:rsidRPr="009676A6">
          <w:rPr>
            <w:b w:val="0"/>
            <w:noProof/>
            <w:webHidden/>
          </w:rPr>
          <w:fldChar w:fldCharType="end"/>
        </w:r>
      </w:hyperlink>
    </w:p>
    <w:p w14:paraId="509D6444" w14:textId="77777777" w:rsidR="00085F16" w:rsidRPr="009676A6" w:rsidRDefault="00FC648F" w:rsidP="00085F16">
      <w:pPr>
        <w:pStyle w:val="TableofFigures"/>
        <w:tabs>
          <w:tab w:val="right" w:leader="dot" w:pos="9739"/>
        </w:tabs>
        <w:rPr>
          <w:rFonts w:eastAsiaTheme="minorEastAsia" w:cstheme="minorBidi"/>
          <w:b w:val="0"/>
          <w:bCs w:val="0"/>
          <w:noProof/>
          <w:color w:val="auto"/>
          <w:sz w:val="22"/>
          <w:szCs w:val="22"/>
          <w:lang w:val="en-US"/>
        </w:rPr>
      </w:pPr>
      <w:hyperlink r:id="rId17" w:anchor="_Toc25673459" w:history="1">
        <w:r w:rsidR="00085F16" w:rsidRPr="009676A6">
          <w:rPr>
            <w:rStyle w:val="Hyperlink"/>
            <w:b w:val="0"/>
            <w:noProof/>
          </w:rPr>
          <w:t xml:space="preserve">Grafiku 7 </w:t>
        </w:r>
        <w:r w:rsidR="00085F16" w:rsidRPr="00987B75">
          <w:rPr>
            <w:rStyle w:val="Hyperlink"/>
            <w:rFonts w:ascii="Times New Roman" w:hAnsi="Times New Roman"/>
            <w:b w:val="0"/>
            <w:noProof/>
          </w:rPr>
          <w:t>Herfindahl Hirchman Index</w:t>
        </w:r>
        <w:r w:rsidR="00085F16" w:rsidRPr="009676A6">
          <w:rPr>
            <w:b w:val="0"/>
            <w:noProof/>
            <w:webHidden/>
          </w:rPr>
          <w:tab/>
        </w:r>
        <w:r w:rsidR="00085F16" w:rsidRPr="009676A6">
          <w:rPr>
            <w:b w:val="0"/>
            <w:noProof/>
            <w:webHidden/>
          </w:rPr>
          <w:fldChar w:fldCharType="begin"/>
        </w:r>
        <w:r w:rsidR="00085F16" w:rsidRPr="009676A6">
          <w:rPr>
            <w:b w:val="0"/>
            <w:noProof/>
            <w:webHidden/>
          </w:rPr>
          <w:instrText xml:space="preserve"> PAGEREF _Toc25673459 \h </w:instrText>
        </w:r>
        <w:r w:rsidR="00085F16" w:rsidRPr="009676A6">
          <w:rPr>
            <w:b w:val="0"/>
            <w:noProof/>
            <w:webHidden/>
          </w:rPr>
        </w:r>
        <w:r w:rsidR="00085F16" w:rsidRPr="009676A6">
          <w:rPr>
            <w:b w:val="0"/>
            <w:noProof/>
            <w:webHidden/>
          </w:rPr>
          <w:fldChar w:fldCharType="separate"/>
        </w:r>
        <w:r w:rsidR="00085F16">
          <w:rPr>
            <w:b w:val="0"/>
            <w:noProof/>
            <w:webHidden/>
          </w:rPr>
          <w:t>22</w:t>
        </w:r>
        <w:r w:rsidR="00085F16" w:rsidRPr="009676A6">
          <w:rPr>
            <w:b w:val="0"/>
            <w:noProof/>
            <w:webHidden/>
          </w:rPr>
          <w:fldChar w:fldCharType="end"/>
        </w:r>
      </w:hyperlink>
    </w:p>
    <w:p w14:paraId="411C6CDB" w14:textId="77777777" w:rsidR="00085F16" w:rsidRPr="009676A6" w:rsidRDefault="00FC648F" w:rsidP="00085F16">
      <w:pPr>
        <w:pStyle w:val="TableofFigures"/>
        <w:tabs>
          <w:tab w:val="right" w:leader="dot" w:pos="9739"/>
        </w:tabs>
        <w:rPr>
          <w:rFonts w:eastAsiaTheme="minorEastAsia" w:cstheme="minorBidi"/>
          <w:b w:val="0"/>
          <w:bCs w:val="0"/>
          <w:noProof/>
          <w:color w:val="auto"/>
          <w:sz w:val="22"/>
          <w:szCs w:val="22"/>
          <w:lang w:val="en-US"/>
        </w:rPr>
      </w:pPr>
      <w:hyperlink r:id="rId18" w:anchor="_Toc25673460" w:history="1">
        <w:r w:rsidR="00085F16" w:rsidRPr="009676A6">
          <w:rPr>
            <w:rStyle w:val="Hyperlink"/>
            <w:rFonts w:ascii="Times New Roman" w:hAnsi="Times New Roman"/>
            <w:b w:val="0"/>
            <w:noProof/>
          </w:rPr>
          <w:t>Grafiku 8 Indeksi i Hapjes së Tregtisë</w:t>
        </w:r>
        <w:r w:rsidR="00085F16" w:rsidRPr="009676A6">
          <w:rPr>
            <w:b w:val="0"/>
            <w:noProof/>
            <w:webHidden/>
          </w:rPr>
          <w:tab/>
        </w:r>
        <w:r w:rsidR="00085F16" w:rsidRPr="009676A6">
          <w:rPr>
            <w:b w:val="0"/>
            <w:noProof/>
            <w:webHidden/>
          </w:rPr>
          <w:fldChar w:fldCharType="begin"/>
        </w:r>
        <w:r w:rsidR="00085F16" w:rsidRPr="009676A6">
          <w:rPr>
            <w:b w:val="0"/>
            <w:noProof/>
            <w:webHidden/>
          </w:rPr>
          <w:instrText xml:space="preserve"> PAGEREF _Toc25673460 \h </w:instrText>
        </w:r>
        <w:r w:rsidR="00085F16" w:rsidRPr="009676A6">
          <w:rPr>
            <w:b w:val="0"/>
            <w:noProof/>
            <w:webHidden/>
          </w:rPr>
        </w:r>
        <w:r w:rsidR="00085F16" w:rsidRPr="009676A6">
          <w:rPr>
            <w:b w:val="0"/>
            <w:noProof/>
            <w:webHidden/>
          </w:rPr>
          <w:fldChar w:fldCharType="separate"/>
        </w:r>
        <w:r w:rsidR="00085F16">
          <w:rPr>
            <w:b w:val="0"/>
            <w:noProof/>
            <w:webHidden/>
          </w:rPr>
          <w:t>23</w:t>
        </w:r>
        <w:r w:rsidR="00085F16" w:rsidRPr="009676A6">
          <w:rPr>
            <w:b w:val="0"/>
            <w:noProof/>
            <w:webHidden/>
          </w:rPr>
          <w:fldChar w:fldCharType="end"/>
        </w:r>
      </w:hyperlink>
    </w:p>
    <w:p w14:paraId="7A88D377" w14:textId="77777777" w:rsidR="00085F16" w:rsidRPr="009676A6" w:rsidRDefault="00FC648F" w:rsidP="00085F16">
      <w:pPr>
        <w:pStyle w:val="TableofFigures"/>
        <w:tabs>
          <w:tab w:val="right" w:leader="dot" w:pos="9739"/>
        </w:tabs>
        <w:rPr>
          <w:rFonts w:eastAsiaTheme="minorEastAsia" w:cstheme="minorBidi"/>
          <w:b w:val="0"/>
          <w:bCs w:val="0"/>
          <w:noProof/>
          <w:color w:val="auto"/>
          <w:sz w:val="22"/>
          <w:szCs w:val="22"/>
          <w:lang w:val="en-US"/>
        </w:rPr>
      </w:pPr>
      <w:hyperlink r:id="rId19" w:anchor="_Toc25673461" w:history="1">
        <w:r w:rsidR="00085F16" w:rsidRPr="009676A6">
          <w:rPr>
            <w:rStyle w:val="Hyperlink"/>
            <w:rFonts w:ascii="Times New Roman" w:hAnsi="Times New Roman"/>
            <w:b w:val="0"/>
            <w:noProof/>
          </w:rPr>
          <w:t>Grafiku 9 Komponentët e Llogarisë Financiare, % e BPV-së</w:t>
        </w:r>
        <w:r w:rsidR="00085F16" w:rsidRPr="009676A6">
          <w:rPr>
            <w:b w:val="0"/>
            <w:noProof/>
            <w:webHidden/>
          </w:rPr>
          <w:tab/>
        </w:r>
        <w:r w:rsidR="00085F16" w:rsidRPr="009676A6">
          <w:rPr>
            <w:b w:val="0"/>
            <w:noProof/>
            <w:webHidden/>
          </w:rPr>
          <w:fldChar w:fldCharType="begin"/>
        </w:r>
        <w:r w:rsidR="00085F16" w:rsidRPr="009676A6">
          <w:rPr>
            <w:b w:val="0"/>
            <w:noProof/>
            <w:webHidden/>
          </w:rPr>
          <w:instrText xml:space="preserve"> PAGEREF _Toc25673461 \h </w:instrText>
        </w:r>
        <w:r w:rsidR="00085F16" w:rsidRPr="009676A6">
          <w:rPr>
            <w:b w:val="0"/>
            <w:noProof/>
            <w:webHidden/>
          </w:rPr>
        </w:r>
        <w:r w:rsidR="00085F16" w:rsidRPr="009676A6">
          <w:rPr>
            <w:b w:val="0"/>
            <w:noProof/>
            <w:webHidden/>
          </w:rPr>
          <w:fldChar w:fldCharType="separate"/>
        </w:r>
        <w:r w:rsidR="00085F16">
          <w:rPr>
            <w:b w:val="0"/>
            <w:noProof/>
            <w:webHidden/>
          </w:rPr>
          <w:t>24</w:t>
        </w:r>
        <w:r w:rsidR="00085F16" w:rsidRPr="009676A6">
          <w:rPr>
            <w:b w:val="0"/>
            <w:noProof/>
            <w:webHidden/>
          </w:rPr>
          <w:fldChar w:fldCharType="end"/>
        </w:r>
      </w:hyperlink>
    </w:p>
    <w:p w14:paraId="6E256820" w14:textId="77777777" w:rsidR="00085F16" w:rsidRPr="009676A6" w:rsidRDefault="00FC648F" w:rsidP="00085F16">
      <w:pPr>
        <w:pStyle w:val="TableofFigures"/>
        <w:tabs>
          <w:tab w:val="right" w:leader="dot" w:pos="9739"/>
        </w:tabs>
        <w:rPr>
          <w:rFonts w:eastAsiaTheme="minorEastAsia" w:cstheme="minorBidi"/>
          <w:b w:val="0"/>
          <w:bCs w:val="0"/>
          <w:noProof/>
          <w:color w:val="auto"/>
          <w:sz w:val="22"/>
          <w:szCs w:val="22"/>
          <w:lang w:val="en-US"/>
        </w:rPr>
      </w:pPr>
      <w:hyperlink r:id="rId20" w:anchor="_Toc25673462" w:history="1">
        <w:r w:rsidR="00085F16" w:rsidRPr="009676A6">
          <w:rPr>
            <w:rStyle w:val="Hyperlink"/>
            <w:rFonts w:ascii="Times New Roman" w:hAnsi="Times New Roman"/>
            <w:b w:val="0"/>
            <w:noProof/>
          </w:rPr>
          <w:t>Grafiku 10 Pozicioni i Investimeve Ndërkombëtare Net</w:t>
        </w:r>
        <w:r w:rsidR="00085F16" w:rsidRPr="009676A6">
          <w:rPr>
            <w:b w:val="0"/>
            <w:noProof/>
            <w:webHidden/>
          </w:rPr>
          <w:tab/>
        </w:r>
        <w:r w:rsidR="00085F16" w:rsidRPr="009676A6">
          <w:rPr>
            <w:b w:val="0"/>
            <w:noProof/>
            <w:webHidden/>
          </w:rPr>
          <w:fldChar w:fldCharType="begin"/>
        </w:r>
        <w:r w:rsidR="00085F16" w:rsidRPr="009676A6">
          <w:rPr>
            <w:b w:val="0"/>
            <w:noProof/>
            <w:webHidden/>
          </w:rPr>
          <w:instrText xml:space="preserve"> PAGEREF _Toc25673462 \h </w:instrText>
        </w:r>
        <w:r w:rsidR="00085F16" w:rsidRPr="009676A6">
          <w:rPr>
            <w:b w:val="0"/>
            <w:noProof/>
            <w:webHidden/>
          </w:rPr>
        </w:r>
        <w:r w:rsidR="00085F16" w:rsidRPr="009676A6">
          <w:rPr>
            <w:b w:val="0"/>
            <w:noProof/>
            <w:webHidden/>
          </w:rPr>
          <w:fldChar w:fldCharType="separate"/>
        </w:r>
        <w:r w:rsidR="00085F16">
          <w:rPr>
            <w:b w:val="0"/>
            <w:noProof/>
            <w:webHidden/>
          </w:rPr>
          <w:t>25</w:t>
        </w:r>
        <w:r w:rsidR="00085F16" w:rsidRPr="009676A6">
          <w:rPr>
            <w:b w:val="0"/>
            <w:noProof/>
            <w:webHidden/>
          </w:rPr>
          <w:fldChar w:fldCharType="end"/>
        </w:r>
      </w:hyperlink>
    </w:p>
    <w:p w14:paraId="2C18830B" w14:textId="77777777" w:rsidR="00085F16" w:rsidRPr="009676A6" w:rsidRDefault="00FC648F" w:rsidP="00085F16">
      <w:pPr>
        <w:pStyle w:val="TableofFigures"/>
        <w:tabs>
          <w:tab w:val="right" w:leader="dot" w:pos="9739"/>
        </w:tabs>
        <w:rPr>
          <w:rFonts w:eastAsiaTheme="minorEastAsia" w:cstheme="minorBidi"/>
          <w:b w:val="0"/>
          <w:bCs w:val="0"/>
          <w:noProof/>
          <w:color w:val="auto"/>
          <w:sz w:val="22"/>
          <w:szCs w:val="22"/>
          <w:lang w:val="en-US"/>
        </w:rPr>
      </w:pPr>
      <w:hyperlink r:id="rId21" w:anchor="_Toc25673463" w:history="1">
        <w:r w:rsidR="00085F16" w:rsidRPr="009676A6">
          <w:rPr>
            <w:rStyle w:val="Hyperlink"/>
            <w:rFonts w:ascii="Times New Roman" w:hAnsi="Times New Roman"/>
            <w:b w:val="0"/>
            <w:noProof/>
          </w:rPr>
          <w:t>Grafiku 11 Rritja e kreditimit të sektorit privat</w:t>
        </w:r>
        <w:r w:rsidR="00085F16" w:rsidRPr="009676A6">
          <w:rPr>
            <w:b w:val="0"/>
            <w:noProof/>
            <w:webHidden/>
          </w:rPr>
          <w:tab/>
        </w:r>
        <w:r w:rsidR="00085F16" w:rsidRPr="009676A6">
          <w:rPr>
            <w:b w:val="0"/>
            <w:noProof/>
            <w:webHidden/>
          </w:rPr>
          <w:fldChar w:fldCharType="begin"/>
        </w:r>
        <w:r w:rsidR="00085F16" w:rsidRPr="009676A6">
          <w:rPr>
            <w:b w:val="0"/>
            <w:noProof/>
            <w:webHidden/>
          </w:rPr>
          <w:instrText xml:space="preserve"> PAGEREF _Toc25673463 \h </w:instrText>
        </w:r>
        <w:r w:rsidR="00085F16" w:rsidRPr="009676A6">
          <w:rPr>
            <w:b w:val="0"/>
            <w:noProof/>
            <w:webHidden/>
          </w:rPr>
        </w:r>
        <w:r w:rsidR="00085F16" w:rsidRPr="009676A6">
          <w:rPr>
            <w:b w:val="0"/>
            <w:noProof/>
            <w:webHidden/>
          </w:rPr>
          <w:fldChar w:fldCharType="separate"/>
        </w:r>
        <w:r w:rsidR="00085F16">
          <w:rPr>
            <w:b w:val="0"/>
            <w:noProof/>
            <w:webHidden/>
          </w:rPr>
          <w:t>27</w:t>
        </w:r>
        <w:r w:rsidR="00085F16" w:rsidRPr="009676A6">
          <w:rPr>
            <w:b w:val="0"/>
            <w:noProof/>
            <w:webHidden/>
          </w:rPr>
          <w:fldChar w:fldCharType="end"/>
        </w:r>
      </w:hyperlink>
    </w:p>
    <w:p w14:paraId="43681ABB" w14:textId="77777777" w:rsidR="00085F16" w:rsidRPr="009676A6" w:rsidRDefault="00FC648F" w:rsidP="00085F16">
      <w:pPr>
        <w:pStyle w:val="TableofFigures"/>
        <w:tabs>
          <w:tab w:val="right" w:leader="dot" w:pos="9739"/>
        </w:tabs>
        <w:rPr>
          <w:rFonts w:eastAsiaTheme="minorEastAsia" w:cstheme="minorBidi"/>
          <w:b w:val="0"/>
          <w:bCs w:val="0"/>
          <w:noProof/>
          <w:color w:val="auto"/>
          <w:sz w:val="22"/>
          <w:szCs w:val="22"/>
          <w:lang w:val="en-US"/>
        </w:rPr>
      </w:pPr>
      <w:hyperlink w:anchor="_Toc25673464" w:history="1">
        <w:r w:rsidR="00085F16" w:rsidRPr="009676A6">
          <w:rPr>
            <w:rStyle w:val="Hyperlink"/>
            <w:b w:val="0"/>
            <w:noProof/>
          </w:rPr>
          <w:t>Grafiku 12 BPV reale nën skenarë alternativë</w:t>
        </w:r>
        <w:r w:rsidR="00085F16" w:rsidRPr="009676A6">
          <w:rPr>
            <w:b w:val="0"/>
            <w:noProof/>
            <w:webHidden/>
          </w:rPr>
          <w:tab/>
        </w:r>
        <w:r w:rsidR="00085F16" w:rsidRPr="009676A6">
          <w:rPr>
            <w:b w:val="0"/>
            <w:noProof/>
            <w:webHidden/>
          </w:rPr>
          <w:fldChar w:fldCharType="begin"/>
        </w:r>
        <w:r w:rsidR="00085F16" w:rsidRPr="009676A6">
          <w:rPr>
            <w:b w:val="0"/>
            <w:noProof/>
            <w:webHidden/>
          </w:rPr>
          <w:instrText xml:space="preserve"> PAGEREF _Toc25673464 \h </w:instrText>
        </w:r>
        <w:r w:rsidR="00085F16" w:rsidRPr="009676A6">
          <w:rPr>
            <w:b w:val="0"/>
            <w:noProof/>
            <w:webHidden/>
          </w:rPr>
        </w:r>
        <w:r w:rsidR="00085F16" w:rsidRPr="009676A6">
          <w:rPr>
            <w:b w:val="0"/>
            <w:noProof/>
            <w:webHidden/>
          </w:rPr>
          <w:fldChar w:fldCharType="separate"/>
        </w:r>
        <w:r w:rsidR="00085F16">
          <w:rPr>
            <w:b w:val="0"/>
            <w:noProof/>
            <w:webHidden/>
          </w:rPr>
          <w:t>36</w:t>
        </w:r>
        <w:r w:rsidR="00085F16" w:rsidRPr="009676A6">
          <w:rPr>
            <w:b w:val="0"/>
            <w:noProof/>
            <w:webHidden/>
          </w:rPr>
          <w:fldChar w:fldCharType="end"/>
        </w:r>
      </w:hyperlink>
    </w:p>
    <w:p w14:paraId="0BD65AB1" w14:textId="77777777" w:rsidR="00085F16" w:rsidRPr="009676A6" w:rsidRDefault="00FC648F" w:rsidP="00085F16">
      <w:pPr>
        <w:pStyle w:val="TableofFigures"/>
        <w:tabs>
          <w:tab w:val="right" w:leader="dot" w:pos="9739"/>
        </w:tabs>
        <w:rPr>
          <w:rFonts w:eastAsiaTheme="minorEastAsia" w:cstheme="minorBidi"/>
          <w:b w:val="0"/>
          <w:bCs w:val="0"/>
          <w:noProof/>
          <w:color w:val="auto"/>
          <w:sz w:val="22"/>
          <w:szCs w:val="22"/>
          <w:lang w:val="en-US"/>
        </w:rPr>
      </w:pPr>
      <w:hyperlink w:anchor="_Toc25673465" w:history="1">
        <w:r w:rsidR="00085F16" w:rsidRPr="009676A6">
          <w:rPr>
            <w:rStyle w:val="Hyperlink"/>
            <w:rFonts w:ascii="Times New Roman" w:hAnsi="Times New Roman"/>
            <w:b w:val="0"/>
            <w:noProof/>
          </w:rPr>
          <w:t>Grafiku 13 Struktura e të hyrave 2017-2022</w:t>
        </w:r>
        <w:r w:rsidR="00085F16" w:rsidRPr="009676A6">
          <w:rPr>
            <w:b w:val="0"/>
            <w:noProof/>
            <w:webHidden/>
          </w:rPr>
          <w:tab/>
        </w:r>
        <w:r w:rsidR="00085F16" w:rsidRPr="009676A6">
          <w:rPr>
            <w:b w:val="0"/>
            <w:noProof/>
            <w:webHidden/>
          </w:rPr>
          <w:fldChar w:fldCharType="begin"/>
        </w:r>
        <w:r w:rsidR="00085F16" w:rsidRPr="009676A6">
          <w:rPr>
            <w:b w:val="0"/>
            <w:noProof/>
            <w:webHidden/>
          </w:rPr>
          <w:instrText xml:space="preserve"> PAGEREF _Toc25673465 \h </w:instrText>
        </w:r>
        <w:r w:rsidR="00085F16" w:rsidRPr="009676A6">
          <w:rPr>
            <w:b w:val="0"/>
            <w:noProof/>
            <w:webHidden/>
          </w:rPr>
        </w:r>
        <w:r w:rsidR="00085F16" w:rsidRPr="009676A6">
          <w:rPr>
            <w:b w:val="0"/>
            <w:noProof/>
            <w:webHidden/>
          </w:rPr>
          <w:fldChar w:fldCharType="separate"/>
        </w:r>
        <w:r w:rsidR="00085F16">
          <w:rPr>
            <w:b w:val="0"/>
            <w:noProof/>
            <w:webHidden/>
          </w:rPr>
          <w:t>43</w:t>
        </w:r>
        <w:r w:rsidR="00085F16" w:rsidRPr="009676A6">
          <w:rPr>
            <w:b w:val="0"/>
            <w:noProof/>
            <w:webHidden/>
          </w:rPr>
          <w:fldChar w:fldCharType="end"/>
        </w:r>
      </w:hyperlink>
    </w:p>
    <w:p w14:paraId="3961FB36" w14:textId="77777777" w:rsidR="00085F16" w:rsidRPr="009676A6" w:rsidRDefault="00FC648F" w:rsidP="00085F16">
      <w:pPr>
        <w:pStyle w:val="TableofFigures"/>
        <w:tabs>
          <w:tab w:val="right" w:leader="dot" w:pos="9739"/>
        </w:tabs>
        <w:rPr>
          <w:rFonts w:eastAsiaTheme="minorEastAsia" w:cstheme="minorBidi"/>
          <w:b w:val="0"/>
          <w:bCs w:val="0"/>
          <w:noProof/>
          <w:color w:val="auto"/>
          <w:sz w:val="22"/>
          <w:szCs w:val="22"/>
          <w:lang w:val="en-US"/>
        </w:rPr>
      </w:pPr>
      <w:hyperlink w:anchor="_Toc25673466" w:history="1">
        <w:r w:rsidR="00085F16" w:rsidRPr="009676A6">
          <w:rPr>
            <w:rStyle w:val="Hyperlink"/>
            <w:rFonts w:ascii="Times New Roman" w:hAnsi="Times New Roman"/>
            <w:b w:val="0"/>
            <w:noProof/>
          </w:rPr>
          <w:t>Grafiku 14 Struktura e Shpenzimeve</w:t>
        </w:r>
        <w:r w:rsidR="00085F16" w:rsidRPr="009676A6">
          <w:rPr>
            <w:b w:val="0"/>
            <w:noProof/>
            <w:webHidden/>
          </w:rPr>
          <w:tab/>
        </w:r>
        <w:r w:rsidR="00085F16" w:rsidRPr="009676A6">
          <w:rPr>
            <w:b w:val="0"/>
            <w:noProof/>
            <w:webHidden/>
          </w:rPr>
          <w:fldChar w:fldCharType="begin"/>
        </w:r>
        <w:r w:rsidR="00085F16" w:rsidRPr="009676A6">
          <w:rPr>
            <w:b w:val="0"/>
            <w:noProof/>
            <w:webHidden/>
          </w:rPr>
          <w:instrText xml:space="preserve"> PAGEREF _Toc25673466 \h </w:instrText>
        </w:r>
        <w:r w:rsidR="00085F16" w:rsidRPr="009676A6">
          <w:rPr>
            <w:b w:val="0"/>
            <w:noProof/>
            <w:webHidden/>
          </w:rPr>
        </w:r>
        <w:r w:rsidR="00085F16" w:rsidRPr="009676A6">
          <w:rPr>
            <w:b w:val="0"/>
            <w:noProof/>
            <w:webHidden/>
          </w:rPr>
          <w:fldChar w:fldCharType="separate"/>
        </w:r>
        <w:r w:rsidR="00085F16">
          <w:rPr>
            <w:b w:val="0"/>
            <w:noProof/>
            <w:webHidden/>
          </w:rPr>
          <w:t>46</w:t>
        </w:r>
        <w:r w:rsidR="00085F16" w:rsidRPr="009676A6">
          <w:rPr>
            <w:b w:val="0"/>
            <w:noProof/>
            <w:webHidden/>
          </w:rPr>
          <w:fldChar w:fldCharType="end"/>
        </w:r>
      </w:hyperlink>
    </w:p>
    <w:p w14:paraId="7EEF2852" w14:textId="77777777" w:rsidR="00085F16" w:rsidRPr="009676A6" w:rsidRDefault="00FC648F" w:rsidP="00085F16">
      <w:pPr>
        <w:pStyle w:val="TableofFigures"/>
        <w:tabs>
          <w:tab w:val="right" w:leader="dot" w:pos="9739"/>
        </w:tabs>
        <w:rPr>
          <w:rFonts w:eastAsiaTheme="minorEastAsia" w:cstheme="minorBidi"/>
          <w:b w:val="0"/>
          <w:bCs w:val="0"/>
          <w:noProof/>
          <w:color w:val="auto"/>
          <w:sz w:val="22"/>
          <w:szCs w:val="22"/>
          <w:lang w:val="en-US"/>
        </w:rPr>
      </w:pPr>
      <w:hyperlink r:id="rId22" w:anchor="_Toc25673467" w:history="1">
        <w:r w:rsidR="00085F16" w:rsidRPr="009676A6">
          <w:rPr>
            <w:rStyle w:val="Hyperlink"/>
            <w:rFonts w:ascii="Times New Roman" w:hAnsi="Times New Roman"/>
            <w:b w:val="0"/>
            <w:noProof/>
          </w:rPr>
          <w:t>Grafiku 15 BPV-ja aktuale dhe potenciale, 2010 TM1: 2019 TM2</w:t>
        </w:r>
        <w:r w:rsidR="00085F16" w:rsidRPr="009676A6">
          <w:rPr>
            <w:b w:val="0"/>
            <w:noProof/>
            <w:webHidden/>
          </w:rPr>
          <w:tab/>
        </w:r>
        <w:r w:rsidR="00085F16" w:rsidRPr="009676A6">
          <w:rPr>
            <w:b w:val="0"/>
            <w:noProof/>
            <w:webHidden/>
          </w:rPr>
          <w:fldChar w:fldCharType="begin"/>
        </w:r>
        <w:r w:rsidR="00085F16" w:rsidRPr="009676A6">
          <w:rPr>
            <w:b w:val="0"/>
            <w:noProof/>
            <w:webHidden/>
          </w:rPr>
          <w:instrText xml:space="preserve"> PAGEREF _Toc25673467 \h </w:instrText>
        </w:r>
        <w:r w:rsidR="00085F16" w:rsidRPr="009676A6">
          <w:rPr>
            <w:b w:val="0"/>
            <w:noProof/>
            <w:webHidden/>
          </w:rPr>
        </w:r>
        <w:r w:rsidR="00085F16" w:rsidRPr="009676A6">
          <w:rPr>
            <w:b w:val="0"/>
            <w:noProof/>
            <w:webHidden/>
          </w:rPr>
          <w:fldChar w:fldCharType="separate"/>
        </w:r>
        <w:r w:rsidR="00085F16">
          <w:rPr>
            <w:b w:val="0"/>
            <w:noProof/>
            <w:webHidden/>
          </w:rPr>
          <w:t>50</w:t>
        </w:r>
        <w:r w:rsidR="00085F16" w:rsidRPr="009676A6">
          <w:rPr>
            <w:b w:val="0"/>
            <w:noProof/>
            <w:webHidden/>
          </w:rPr>
          <w:fldChar w:fldCharType="end"/>
        </w:r>
      </w:hyperlink>
    </w:p>
    <w:p w14:paraId="37EACC99" w14:textId="77777777" w:rsidR="00085F16" w:rsidRPr="009676A6" w:rsidRDefault="00085F16" w:rsidP="00085F16">
      <w:pPr>
        <w:spacing w:line="276" w:lineRule="auto"/>
        <w:jc w:val="both"/>
        <w:rPr>
          <w:sz w:val="20"/>
          <w:szCs w:val="20"/>
          <w:lang w:eastAsia="ja-JP"/>
        </w:rPr>
      </w:pPr>
      <w:r w:rsidRPr="009676A6">
        <w:rPr>
          <w:lang w:eastAsia="ja-JP"/>
        </w:rPr>
        <w:fldChar w:fldCharType="end"/>
      </w:r>
    </w:p>
    <w:p w14:paraId="45B7D855" w14:textId="77777777" w:rsidR="00085F16" w:rsidRPr="009676A6" w:rsidRDefault="00085F16" w:rsidP="00085F16">
      <w:pPr>
        <w:spacing w:line="276" w:lineRule="auto"/>
        <w:rPr>
          <w:sz w:val="20"/>
          <w:szCs w:val="20"/>
          <w:lang w:eastAsia="ja-JP"/>
        </w:rPr>
      </w:pPr>
    </w:p>
    <w:p w14:paraId="38F30B0C" w14:textId="77777777" w:rsidR="00085F16" w:rsidRPr="009676A6" w:rsidRDefault="00085F16" w:rsidP="00085F16">
      <w:pPr>
        <w:pStyle w:val="TableofFigures"/>
        <w:tabs>
          <w:tab w:val="right" w:leader="dot" w:pos="9739"/>
        </w:tabs>
        <w:rPr>
          <w:rFonts w:eastAsiaTheme="minorEastAsia" w:cstheme="minorBidi"/>
          <w:b w:val="0"/>
          <w:bCs w:val="0"/>
          <w:noProof/>
          <w:color w:val="auto"/>
          <w:sz w:val="22"/>
          <w:szCs w:val="22"/>
          <w:lang w:val="en-US"/>
        </w:rPr>
      </w:pPr>
      <w:r w:rsidRPr="009676A6">
        <w:rPr>
          <w:rFonts w:ascii="Times New Roman" w:hAnsi="Times New Roman"/>
          <w:b w:val="0"/>
          <w:color w:val="auto"/>
          <w:lang w:eastAsia="ja-JP"/>
        </w:rPr>
        <w:fldChar w:fldCharType="begin"/>
      </w:r>
      <w:r w:rsidRPr="009676A6">
        <w:rPr>
          <w:rFonts w:ascii="Times New Roman" w:hAnsi="Times New Roman"/>
          <w:b w:val="0"/>
          <w:color w:val="auto"/>
          <w:lang w:eastAsia="ja-JP"/>
        </w:rPr>
        <w:instrText xml:space="preserve"> TOC \h \z \c "Tabela" </w:instrText>
      </w:r>
      <w:r w:rsidRPr="009676A6">
        <w:rPr>
          <w:rFonts w:ascii="Times New Roman" w:hAnsi="Times New Roman"/>
          <w:b w:val="0"/>
          <w:color w:val="auto"/>
          <w:lang w:eastAsia="ja-JP"/>
        </w:rPr>
        <w:fldChar w:fldCharType="separate"/>
      </w:r>
      <w:hyperlink w:anchor="_Toc25673439" w:history="1">
        <w:r w:rsidRPr="009676A6">
          <w:rPr>
            <w:rStyle w:val="Hyperlink"/>
            <w:rFonts w:ascii="Times New Roman" w:hAnsi="Times New Roman"/>
            <w:b w:val="0"/>
            <w:noProof/>
          </w:rPr>
          <w:t>Tabela 1 Indikatorët Ekonomikë</w:t>
        </w:r>
        <w:r w:rsidRPr="009676A6">
          <w:rPr>
            <w:b w:val="0"/>
            <w:noProof/>
            <w:webHidden/>
          </w:rPr>
          <w:tab/>
        </w:r>
        <w:r w:rsidRPr="009676A6">
          <w:rPr>
            <w:b w:val="0"/>
            <w:noProof/>
            <w:webHidden/>
          </w:rPr>
          <w:fldChar w:fldCharType="begin"/>
        </w:r>
        <w:r w:rsidRPr="009676A6">
          <w:rPr>
            <w:b w:val="0"/>
            <w:noProof/>
            <w:webHidden/>
          </w:rPr>
          <w:instrText xml:space="preserve"> PAGEREF _Toc25673439 \h </w:instrText>
        </w:r>
        <w:r w:rsidRPr="009676A6">
          <w:rPr>
            <w:b w:val="0"/>
            <w:noProof/>
            <w:webHidden/>
          </w:rPr>
        </w:r>
        <w:r w:rsidRPr="009676A6">
          <w:rPr>
            <w:b w:val="0"/>
            <w:noProof/>
            <w:webHidden/>
          </w:rPr>
          <w:fldChar w:fldCharType="separate"/>
        </w:r>
        <w:r>
          <w:rPr>
            <w:b w:val="0"/>
            <w:noProof/>
            <w:webHidden/>
          </w:rPr>
          <w:t>11</w:t>
        </w:r>
        <w:r w:rsidRPr="009676A6">
          <w:rPr>
            <w:b w:val="0"/>
            <w:noProof/>
            <w:webHidden/>
          </w:rPr>
          <w:fldChar w:fldCharType="end"/>
        </w:r>
      </w:hyperlink>
    </w:p>
    <w:p w14:paraId="5EFBA0DA" w14:textId="77777777" w:rsidR="00085F16" w:rsidRPr="009676A6" w:rsidRDefault="00FC648F" w:rsidP="00085F16">
      <w:pPr>
        <w:pStyle w:val="TableofFigures"/>
        <w:tabs>
          <w:tab w:val="right" w:leader="dot" w:pos="9739"/>
        </w:tabs>
        <w:rPr>
          <w:rFonts w:eastAsiaTheme="minorEastAsia" w:cstheme="minorBidi"/>
          <w:b w:val="0"/>
          <w:bCs w:val="0"/>
          <w:noProof/>
          <w:color w:val="auto"/>
          <w:sz w:val="22"/>
          <w:szCs w:val="22"/>
          <w:lang w:val="en-US"/>
        </w:rPr>
      </w:pPr>
      <w:hyperlink w:anchor="_Toc25673440" w:history="1">
        <w:r w:rsidR="00085F16" w:rsidRPr="009676A6">
          <w:rPr>
            <w:rStyle w:val="Hyperlink"/>
            <w:rFonts w:ascii="Times New Roman" w:hAnsi="Times New Roman"/>
            <w:b w:val="0"/>
            <w:noProof/>
          </w:rPr>
          <w:t>Tabela 2 Leading and Coincidence Indicators for Aggregate Demand Components</w:t>
        </w:r>
        <w:r w:rsidR="00085F16" w:rsidRPr="009676A6">
          <w:rPr>
            <w:b w:val="0"/>
            <w:noProof/>
            <w:webHidden/>
          </w:rPr>
          <w:tab/>
        </w:r>
        <w:r w:rsidR="00085F16" w:rsidRPr="009676A6">
          <w:rPr>
            <w:b w:val="0"/>
            <w:noProof/>
            <w:webHidden/>
          </w:rPr>
          <w:fldChar w:fldCharType="begin"/>
        </w:r>
        <w:r w:rsidR="00085F16" w:rsidRPr="009676A6">
          <w:rPr>
            <w:b w:val="0"/>
            <w:noProof/>
            <w:webHidden/>
          </w:rPr>
          <w:instrText xml:space="preserve"> PAGEREF _Toc25673440 \h </w:instrText>
        </w:r>
        <w:r w:rsidR="00085F16" w:rsidRPr="009676A6">
          <w:rPr>
            <w:b w:val="0"/>
            <w:noProof/>
            <w:webHidden/>
          </w:rPr>
        </w:r>
        <w:r w:rsidR="00085F16" w:rsidRPr="009676A6">
          <w:rPr>
            <w:b w:val="0"/>
            <w:noProof/>
            <w:webHidden/>
          </w:rPr>
          <w:fldChar w:fldCharType="separate"/>
        </w:r>
        <w:r w:rsidR="00085F16">
          <w:rPr>
            <w:b w:val="0"/>
            <w:noProof/>
            <w:webHidden/>
          </w:rPr>
          <w:t>13</w:t>
        </w:r>
        <w:r w:rsidR="00085F16" w:rsidRPr="009676A6">
          <w:rPr>
            <w:b w:val="0"/>
            <w:noProof/>
            <w:webHidden/>
          </w:rPr>
          <w:fldChar w:fldCharType="end"/>
        </w:r>
      </w:hyperlink>
    </w:p>
    <w:p w14:paraId="7656AEB2" w14:textId="77777777" w:rsidR="00085F16" w:rsidRPr="009676A6" w:rsidRDefault="00FC648F" w:rsidP="00085F16">
      <w:pPr>
        <w:pStyle w:val="TableofFigures"/>
        <w:tabs>
          <w:tab w:val="right" w:leader="dot" w:pos="9739"/>
        </w:tabs>
        <w:rPr>
          <w:rFonts w:eastAsiaTheme="minorEastAsia" w:cstheme="minorBidi"/>
          <w:b w:val="0"/>
          <w:bCs w:val="0"/>
          <w:noProof/>
          <w:color w:val="auto"/>
          <w:sz w:val="22"/>
          <w:szCs w:val="22"/>
          <w:lang w:val="en-US"/>
        </w:rPr>
      </w:pPr>
      <w:hyperlink w:anchor="_Toc25673441" w:history="1">
        <w:r w:rsidR="00085F16" w:rsidRPr="009676A6">
          <w:rPr>
            <w:rStyle w:val="Hyperlink"/>
            <w:rFonts w:ascii="Times New Roman" w:hAnsi="Times New Roman"/>
            <w:b w:val="0"/>
            <w:noProof/>
          </w:rPr>
          <w:t>Tabela 3 Indikatorët Kryesorë të Tregut të Punës</w:t>
        </w:r>
        <w:r w:rsidR="00085F16" w:rsidRPr="009676A6">
          <w:rPr>
            <w:b w:val="0"/>
            <w:noProof/>
            <w:webHidden/>
          </w:rPr>
          <w:tab/>
        </w:r>
        <w:r w:rsidR="00085F16" w:rsidRPr="009676A6">
          <w:rPr>
            <w:b w:val="0"/>
            <w:noProof/>
            <w:webHidden/>
          </w:rPr>
          <w:fldChar w:fldCharType="begin"/>
        </w:r>
        <w:r w:rsidR="00085F16" w:rsidRPr="009676A6">
          <w:rPr>
            <w:b w:val="0"/>
            <w:noProof/>
            <w:webHidden/>
          </w:rPr>
          <w:instrText xml:space="preserve"> PAGEREF _Toc25673441 \h </w:instrText>
        </w:r>
        <w:r w:rsidR="00085F16" w:rsidRPr="009676A6">
          <w:rPr>
            <w:b w:val="0"/>
            <w:noProof/>
            <w:webHidden/>
          </w:rPr>
        </w:r>
        <w:r w:rsidR="00085F16" w:rsidRPr="009676A6">
          <w:rPr>
            <w:b w:val="0"/>
            <w:noProof/>
            <w:webHidden/>
          </w:rPr>
          <w:fldChar w:fldCharType="separate"/>
        </w:r>
        <w:r w:rsidR="00085F16">
          <w:rPr>
            <w:b w:val="0"/>
            <w:noProof/>
            <w:webHidden/>
          </w:rPr>
          <w:t>17</w:t>
        </w:r>
        <w:r w:rsidR="00085F16" w:rsidRPr="009676A6">
          <w:rPr>
            <w:b w:val="0"/>
            <w:noProof/>
            <w:webHidden/>
          </w:rPr>
          <w:fldChar w:fldCharType="end"/>
        </w:r>
      </w:hyperlink>
    </w:p>
    <w:p w14:paraId="7678EB41" w14:textId="77777777" w:rsidR="00085F16" w:rsidRPr="009676A6" w:rsidRDefault="00FC648F" w:rsidP="00085F16">
      <w:pPr>
        <w:pStyle w:val="TableofFigures"/>
        <w:tabs>
          <w:tab w:val="right" w:leader="dot" w:pos="9739"/>
        </w:tabs>
        <w:rPr>
          <w:rFonts w:eastAsiaTheme="minorEastAsia" w:cstheme="minorBidi"/>
          <w:b w:val="0"/>
          <w:bCs w:val="0"/>
          <w:noProof/>
          <w:color w:val="auto"/>
          <w:sz w:val="22"/>
          <w:szCs w:val="22"/>
          <w:lang w:val="en-US"/>
        </w:rPr>
      </w:pPr>
      <w:hyperlink w:anchor="_Toc25673442" w:history="1">
        <w:r w:rsidR="00085F16" w:rsidRPr="009676A6">
          <w:rPr>
            <w:rStyle w:val="Hyperlink"/>
            <w:rFonts w:ascii="Times New Roman" w:hAnsi="Times New Roman"/>
            <w:b w:val="0"/>
            <w:noProof/>
          </w:rPr>
          <w:t>Tabela 4 Produktiviteti i punës dhe Kostot për Njësi të Punës – KPNJ 2015-2018</w:t>
        </w:r>
        <w:r w:rsidR="00085F16" w:rsidRPr="009676A6">
          <w:rPr>
            <w:b w:val="0"/>
            <w:noProof/>
            <w:webHidden/>
          </w:rPr>
          <w:tab/>
        </w:r>
        <w:r w:rsidR="00085F16" w:rsidRPr="009676A6">
          <w:rPr>
            <w:b w:val="0"/>
            <w:noProof/>
            <w:webHidden/>
          </w:rPr>
          <w:fldChar w:fldCharType="begin"/>
        </w:r>
        <w:r w:rsidR="00085F16" w:rsidRPr="009676A6">
          <w:rPr>
            <w:b w:val="0"/>
            <w:noProof/>
            <w:webHidden/>
          </w:rPr>
          <w:instrText xml:space="preserve"> PAGEREF _Toc25673442 \h </w:instrText>
        </w:r>
        <w:r w:rsidR="00085F16" w:rsidRPr="009676A6">
          <w:rPr>
            <w:b w:val="0"/>
            <w:noProof/>
            <w:webHidden/>
          </w:rPr>
        </w:r>
        <w:r w:rsidR="00085F16" w:rsidRPr="009676A6">
          <w:rPr>
            <w:b w:val="0"/>
            <w:noProof/>
            <w:webHidden/>
          </w:rPr>
          <w:fldChar w:fldCharType="separate"/>
        </w:r>
        <w:r w:rsidR="00085F16">
          <w:rPr>
            <w:b w:val="0"/>
            <w:noProof/>
            <w:webHidden/>
          </w:rPr>
          <w:t>17</w:t>
        </w:r>
        <w:r w:rsidR="00085F16" w:rsidRPr="009676A6">
          <w:rPr>
            <w:b w:val="0"/>
            <w:noProof/>
            <w:webHidden/>
          </w:rPr>
          <w:fldChar w:fldCharType="end"/>
        </w:r>
      </w:hyperlink>
    </w:p>
    <w:p w14:paraId="17E621EA" w14:textId="77777777" w:rsidR="00085F16" w:rsidRPr="009676A6" w:rsidRDefault="00FC648F" w:rsidP="00085F16">
      <w:pPr>
        <w:pStyle w:val="TableofFigures"/>
        <w:tabs>
          <w:tab w:val="right" w:leader="dot" w:pos="9739"/>
        </w:tabs>
        <w:rPr>
          <w:rFonts w:eastAsiaTheme="minorEastAsia" w:cstheme="minorBidi"/>
          <w:b w:val="0"/>
          <w:bCs w:val="0"/>
          <w:noProof/>
          <w:color w:val="auto"/>
          <w:sz w:val="22"/>
          <w:szCs w:val="22"/>
          <w:lang w:val="en-US"/>
        </w:rPr>
      </w:pPr>
      <w:hyperlink w:anchor="_Toc25673443" w:history="1">
        <w:r w:rsidR="00085F16" w:rsidRPr="009676A6">
          <w:rPr>
            <w:rStyle w:val="Hyperlink"/>
            <w:rFonts w:ascii="Times New Roman" w:hAnsi="Times New Roman"/>
            <w:b w:val="0"/>
            <w:noProof/>
          </w:rPr>
          <w:t>Tabela 5 Eksporti dhe Importi i Mallrave dhe Shërbimeve</w:t>
        </w:r>
        <w:r w:rsidR="00085F16" w:rsidRPr="009676A6">
          <w:rPr>
            <w:b w:val="0"/>
            <w:noProof/>
            <w:webHidden/>
          </w:rPr>
          <w:tab/>
        </w:r>
        <w:r w:rsidR="00085F16" w:rsidRPr="009676A6">
          <w:rPr>
            <w:b w:val="0"/>
            <w:noProof/>
            <w:webHidden/>
          </w:rPr>
          <w:fldChar w:fldCharType="begin"/>
        </w:r>
        <w:r w:rsidR="00085F16" w:rsidRPr="009676A6">
          <w:rPr>
            <w:b w:val="0"/>
            <w:noProof/>
            <w:webHidden/>
          </w:rPr>
          <w:instrText xml:space="preserve"> PAGEREF _Toc25673443 \h </w:instrText>
        </w:r>
        <w:r w:rsidR="00085F16" w:rsidRPr="009676A6">
          <w:rPr>
            <w:b w:val="0"/>
            <w:noProof/>
            <w:webHidden/>
          </w:rPr>
        </w:r>
        <w:r w:rsidR="00085F16" w:rsidRPr="009676A6">
          <w:rPr>
            <w:b w:val="0"/>
            <w:noProof/>
            <w:webHidden/>
          </w:rPr>
          <w:fldChar w:fldCharType="separate"/>
        </w:r>
        <w:r w:rsidR="00085F16">
          <w:rPr>
            <w:b w:val="0"/>
            <w:noProof/>
            <w:webHidden/>
          </w:rPr>
          <w:t>21</w:t>
        </w:r>
        <w:r w:rsidR="00085F16" w:rsidRPr="009676A6">
          <w:rPr>
            <w:b w:val="0"/>
            <w:noProof/>
            <w:webHidden/>
          </w:rPr>
          <w:fldChar w:fldCharType="end"/>
        </w:r>
      </w:hyperlink>
    </w:p>
    <w:p w14:paraId="72AFC6E0" w14:textId="77777777" w:rsidR="00085F16" w:rsidRPr="009676A6" w:rsidRDefault="00FC648F" w:rsidP="00085F16">
      <w:pPr>
        <w:pStyle w:val="TableofFigures"/>
        <w:tabs>
          <w:tab w:val="right" w:leader="dot" w:pos="9739"/>
        </w:tabs>
        <w:rPr>
          <w:rFonts w:eastAsiaTheme="minorEastAsia" w:cstheme="minorBidi"/>
          <w:b w:val="0"/>
          <w:bCs w:val="0"/>
          <w:noProof/>
          <w:color w:val="auto"/>
          <w:sz w:val="22"/>
          <w:szCs w:val="22"/>
          <w:lang w:val="en-US"/>
        </w:rPr>
      </w:pPr>
      <w:hyperlink w:anchor="_Toc25673444" w:history="1">
        <w:r w:rsidR="00085F16" w:rsidRPr="009676A6">
          <w:rPr>
            <w:rStyle w:val="Hyperlink"/>
            <w:rFonts w:ascii="Times New Roman" w:hAnsi="Times New Roman"/>
            <w:b w:val="0"/>
            <w:noProof/>
          </w:rPr>
          <w:t>Tabela 6 Dallimet në projeksionet e WEO (tetor 2019) and Komision Evropian (Vjeshtë 2019)</w:t>
        </w:r>
        <w:r w:rsidR="00085F16" w:rsidRPr="009676A6">
          <w:rPr>
            <w:b w:val="0"/>
            <w:noProof/>
            <w:webHidden/>
          </w:rPr>
          <w:tab/>
        </w:r>
        <w:r w:rsidR="00085F16" w:rsidRPr="009676A6">
          <w:rPr>
            <w:b w:val="0"/>
            <w:noProof/>
            <w:webHidden/>
          </w:rPr>
          <w:fldChar w:fldCharType="begin"/>
        </w:r>
        <w:r w:rsidR="00085F16" w:rsidRPr="009676A6">
          <w:rPr>
            <w:b w:val="0"/>
            <w:noProof/>
            <w:webHidden/>
          </w:rPr>
          <w:instrText xml:space="preserve"> PAGEREF _Toc25673444 \h </w:instrText>
        </w:r>
        <w:r w:rsidR="00085F16" w:rsidRPr="009676A6">
          <w:rPr>
            <w:b w:val="0"/>
            <w:noProof/>
            <w:webHidden/>
          </w:rPr>
        </w:r>
        <w:r w:rsidR="00085F16" w:rsidRPr="009676A6">
          <w:rPr>
            <w:b w:val="0"/>
            <w:noProof/>
            <w:webHidden/>
          </w:rPr>
          <w:fldChar w:fldCharType="separate"/>
        </w:r>
        <w:r w:rsidR="00085F16">
          <w:rPr>
            <w:b w:val="0"/>
            <w:noProof/>
            <w:webHidden/>
          </w:rPr>
          <w:t>30</w:t>
        </w:r>
        <w:r w:rsidR="00085F16" w:rsidRPr="009676A6">
          <w:rPr>
            <w:b w:val="0"/>
            <w:noProof/>
            <w:webHidden/>
          </w:rPr>
          <w:fldChar w:fldCharType="end"/>
        </w:r>
      </w:hyperlink>
    </w:p>
    <w:p w14:paraId="5C6D7A68" w14:textId="77777777" w:rsidR="00085F16" w:rsidRPr="009676A6" w:rsidRDefault="00FC648F" w:rsidP="00085F16">
      <w:pPr>
        <w:pStyle w:val="TableofFigures"/>
        <w:tabs>
          <w:tab w:val="right" w:leader="dot" w:pos="9739"/>
        </w:tabs>
        <w:rPr>
          <w:rFonts w:eastAsiaTheme="minorEastAsia" w:cstheme="minorBidi"/>
          <w:b w:val="0"/>
          <w:bCs w:val="0"/>
          <w:noProof/>
          <w:color w:val="auto"/>
          <w:sz w:val="22"/>
          <w:szCs w:val="22"/>
          <w:lang w:val="en-US"/>
        </w:rPr>
      </w:pPr>
      <w:hyperlink w:anchor="_Toc25673445" w:history="1">
        <w:r w:rsidR="00085F16" w:rsidRPr="009676A6">
          <w:rPr>
            <w:rStyle w:val="Hyperlink"/>
            <w:rFonts w:ascii="Times New Roman" w:hAnsi="Times New Roman"/>
            <w:b w:val="0"/>
            <w:noProof/>
          </w:rPr>
          <w:t>Tabela 7 Veprimtaria e Qeverisë së Përgjithshme, në miliona Euro</w:t>
        </w:r>
        <w:r w:rsidR="00085F16" w:rsidRPr="009676A6">
          <w:rPr>
            <w:b w:val="0"/>
            <w:noProof/>
            <w:webHidden/>
          </w:rPr>
          <w:tab/>
        </w:r>
        <w:r w:rsidR="00085F16" w:rsidRPr="009676A6">
          <w:rPr>
            <w:b w:val="0"/>
            <w:noProof/>
            <w:webHidden/>
          </w:rPr>
          <w:fldChar w:fldCharType="begin"/>
        </w:r>
        <w:r w:rsidR="00085F16" w:rsidRPr="009676A6">
          <w:rPr>
            <w:b w:val="0"/>
            <w:noProof/>
            <w:webHidden/>
          </w:rPr>
          <w:instrText xml:space="preserve"> PAGEREF _Toc25673445 \h </w:instrText>
        </w:r>
        <w:r w:rsidR="00085F16" w:rsidRPr="009676A6">
          <w:rPr>
            <w:b w:val="0"/>
            <w:noProof/>
            <w:webHidden/>
          </w:rPr>
        </w:r>
        <w:r w:rsidR="00085F16" w:rsidRPr="009676A6">
          <w:rPr>
            <w:b w:val="0"/>
            <w:noProof/>
            <w:webHidden/>
          </w:rPr>
          <w:fldChar w:fldCharType="separate"/>
        </w:r>
        <w:r w:rsidR="00085F16">
          <w:rPr>
            <w:b w:val="0"/>
            <w:noProof/>
            <w:webHidden/>
          </w:rPr>
          <w:t>40</w:t>
        </w:r>
        <w:r w:rsidR="00085F16" w:rsidRPr="009676A6">
          <w:rPr>
            <w:b w:val="0"/>
            <w:noProof/>
            <w:webHidden/>
          </w:rPr>
          <w:fldChar w:fldCharType="end"/>
        </w:r>
      </w:hyperlink>
    </w:p>
    <w:p w14:paraId="6EFDCB82" w14:textId="77777777" w:rsidR="00085F16" w:rsidRPr="009676A6" w:rsidRDefault="00FC648F" w:rsidP="00085F16">
      <w:pPr>
        <w:pStyle w:val="TableofFigures"/>
        <w:tabs>
          <w:tab w:val="right" w:leader="dot" w:pos="9739"/>
        </w:tabs>
        <w:rPr>
          <w:rFonts w:eastAsiaTheme="minorEastAsia" w:cstheme="minorBidi"/>
          <w:b w:val="0"/>
          <w:bCs w:val="0"/>
          <w:noProof/>
          <w:color w:val="auto"/>
          <w:sz w:val="22"/>
          <w:szCs w:val="22"/>
          <w:lang w:val="en-US"/>
        </w:rPr>
      </w:pPr>
      <w:hyperlink w:anchor="_Toc25673446" w:history="1">
        <w:r w:rsidR="00085F16" w:rsidRPr="009676A6">
          <w:rPr>
            <w:rStyle w:val="Hyperlink"/>
            <w:rFonts w:ascii="Times New Roman" w:hAnsi="Times New Roman"/>
            <w:b w:val="0"/>
            <w:noProof/>
          </w:rPr>
          <w:t>Tabela 8 Shpenzimet në nivelin lokal</w:t>
        </w:r>
        <w:r w:rsidR="00085F16" w:rsidRPr="009676A6">
          <w:rPr>
            <w:b w:val="0"/>
            <w:noProof/>
            <w:webHidden/>
          </w:rPr>
          <w:tab/>
        </w:r>
        <w:r w:rsidR="00085F16" w:rsidRPr="009676A6">
          <w:rPr>
            <w:b w:val="0"/>
            <w:noProof/>
            <w:webHidden/>
          </w:rPr>
          <w:fldChar w:fldCharType="begin"/>
        </w:r>
        <w:r w:rsidR="00085F16" w:rsidRPr="009676A6">
          <w:rPr>
            <w:b w:val="0"/>
            <w:noProof/>
            <w:webHidden/>
          </w:rPr>
          <w:instrText xml:space="preserve"> PAGEREF _Toc25673446 \h </w:instrText>
        </w:r>
        <w:r w:rsidR="00085F16" w:rsidRPr="009676A6">
          <w:rPr>
            <w:b w:val="0"/>
            <w:noProof/>
            <w:webHidden/>
          </w:rPr>
        </w:r>
        <w:r w:rsidR="00085F16" w:rsidRPr="009676A6">
          <w:rPr>
            <w:b w:val="0"/>
            <w:noProof/>
            <w:webHidden/>
          </w:rPr>
          <w:fldChar w:fldCharType="separate"/>
        </w:r>
        <w:r w:rsidR="00085F16">
          <w:rPr>
            <w:b w:val="0"/>
            <w:noProof/>
            <w:webHidden/>
          </w:rPr>
          <w:t>45</w:t>
        </w:r>
        <w:r w:rsidR="00085F16" w:rsidRPr="009676A6">
          <w:rPr>
            <w:b w:val="0"/>
            <w:noProof/>
            <w:webHidden/>
          </w:rPr>
          <w:fldChar w:fldCharType="end"/>
        </w:r>
      </w:hyperlink>
    </w:p>
    <w:p w14:paraId="1975315E" w14:textId="77777777" w:rsidR="00085F16" w:rsidRPr="009676A6" w:rsidRDefault="00FC648F" w:rsidP="00085F16">
      <w:pPr>
        <w:pStyle w:val="TableofFigures"/>
        <w:tabs>
          <w:tab w:val="right" w:leader="dot" w:pos="9739"/>
        </w:tabs>
        <w:rPr>
          <w:rFonts w:eastAsiaTheme="minorEastAsia" w:cstheme="minorBidi"/>
          <w:b w:val="0"/>
          <w:bCs w:val="0"/>
          <w:noProof/>
          <w:color w:val="auto"/>
          <w:sz w:val="22"/>
          <w:szCs w:val="22"/>
          <w:lang w:val="en-US"/>
        </w:rPr>
      </w:pPr>
      <w:hyperlink w:anchor="_Toc25673447" w:history="1">
        <w:r w:rsidR="00085F16" w:rsidRPr="009676A6">
          <w:rPr>
            <w:rStyle w:val="Hyperlink"/>
            <w:rFonts w:ascii="Times New Roman" w:hAnsi="Times New Roman"/>
            <w:b w:val="0"/>
            <w:noProof/>
          </w:rPr>
          <w:t>Tabela 9 Shpenzimet në nivelin qendror</w:t>
        </w:r>
        <w:r w:rsidR="00085F16" w:rsidRPr="009676A6">
          <w:rPr>
            <w:b w:val="0"/>
            <w:noProof/>
            <w:webHidden/>
          </w:rPr>
          <w:tab/>
        </w:r>
        <w:r w:rsidR="00085F16" w:rsidRPr="009676A6">
          <w:rPr>
            <w:b w:val="0"/>
            <w:noProof/>
            <w:webHidden/>
          </w:rPr>
          <w:fldChar w:fldCharType="begin"/>
        </w:r>
        <w:r w:rsidR="00085F16" w:rsidRPr="009676A6">
          <w:rPr>
            <w:b w:val="0"/>
            <w:noProof/>
            <w:webHidden/>
          </w:rPr>
          <w:instrText xml:space="preserve"> PAGEREF _Toc25673447 \h </w:instrText>
        </w:r>
        <w:r w:rsidR="00085F16" w:rsidRPr="009676A6">
          <w:rPr>
            <w:b w:val="0"/>
            <w:noProof/>
            <w:webHidden/>
          </w:rPr>
        </w:r>
        <w:r w:rsidR="00085F16" w:rsidRPr="009676A6">
          <w:rPr>
            <w:b w:val="0"/>
            <w:noProof/>
            <w:webHidden/>
          </w:rPr>
          <w:fldChar w:fldCharType="separate"/>
        </w:r>
        <w:r w:rsidR="00085F16">
          <w:rPr>
            <w:b w:val="0"/>
            <w:noProof/>
            <w:webHidden/>
          </w:rPr>
          <w:t>45</w:t>
        </w:r>
        <w:r w:rsidR="00085F16" w:rsidRPr="009676A6">
          <w:rPr>
            <w:b w:val="0"/>
            <w:noProof/>
            <w:webHidden/>
          </w:rPr>
          <w:fldChar w:fldCharType="end"/>
        </w:r>
      </w:hyperlink>
    </w:p>
    <w:p w14:paraId="3FF38F6E" w14:textId="77777777" w:rsidR="00085F16" w:rsidRPr="009676A6" w:rsidRDefault="00FC648F" w:rsidP="00085F16">
      <w:pPr>
        <w:pStyle w:val="TableofFigures"/>
        <w:tabs>
          <w:tab w:val="right" w:leader="dot" w:pos="9739"/>
        </w:tabs>
        <w:rPr>
          <w:rFonts w:eastAsiaTheme="minorEastAsia" w:cstheme="minorBidi"/>
          <w:b w:val="0"/>
          <w:bCs w:val="0"/>
          <w:noProof/>
          <w:color w:val="auto"/>
          <w:sz w:val="22"/>
          <w:szCs w:val="22"/>
          <w:lang w:val="en-US"/>
        </w:rPr>
      </w:pPr>
      <w:hyperlink w:anchor="_Toc25673448" w:history="1">
        <w:r w:rsidR="00085F16" w:rsidRPr="009676A6">
          <w:rPr>
            <w:rStyle w:val="Hyperlink"/>
            <w:rFonts w:ascii="Times New Roman" w:hAnsi="Times New Roman"/>
            <w:b w:val="0"/>
            <w:noProof/>
          </w:rPr>
          <w:t>Tabela 10 Shpenzimet buxhetore sipas kategorive ekonomike, 2017- 2022</w:t>
        </w:r>
        <w:r w:rsidR="00085F16" w:rsidRPr="009676A6">
          <w:rPr>
            <w:b w:val="0"/>
            <w:noProof/>
            <w:webHidden/>
          </w:rPr>
          <w:tab/>
        </w:r>
        <w:r w:rsidR="00085F16" w:rsidRPr="009676A6">
          <w:rPr>
            <w:b w:val="0"/>
            <w:noProof/>
            <w:webHidden/>
          </w:rPr>
          <w:fldChar w:fldCharType="begin"/>
        </w:r>
        <w:r w:rsidR="00085F16" w:rsidRPr="009676A6">
          <w:rPr>
            <w:b w:val="0"/>
            <w:noProof/>
            <w:webHidden/>
          </w:rPr>
          <w:instrText xml:space="preserve"> PAGEREF _Toc25673448 \h </w:instrText>
        </w:r>
        <w:r w:rsidR="00085F16" w:rsidRPr="009676A6">
          <w:rPr>
            <w:b w:val="0"/>
            <w:noProof/>
            <w:webHidden/>
          </w:rPr>
        </w:r>
        <w:r w:rsidR="00085F16" w:rsidRPr="009676A6">
          <w:rPr>
            <w:b w:val="0"/>
            <w:noProof/>
            <w:webHidden/>
          </w:rPr>
          <w:fldChar w:fldCharType="separate"/>
        </w:r>
        <w:r w:rsidR="00085F16">
          <w:rPr>
            <w:b w:val="0"/>
            <w:noProof/>
            <w:webHidden/>
          </w:rPr>
          <w:t>47</w:t>
        </w:r>
        <w:r w:rsidR="00085F16" w:rsidRPr="009676A6">
          <w:rPr>
            <w:b w:val="0"/>
            <w:noProof/>
            <w:webHidden/>
          </w:rPr>
          <w:fldChar w:fldCharType="end"/>
        </w:r>
      </w:hyperlink>
    </w:p>
    <w:p w14:paraId="7DD25635" w14:textId="77777777" w:rsidR="00085F16" w:rsidRPr="009676A6" w:rsidRDefault="00FC648F" w:rsidP="00085F16">
      <w:pPr>
        <w:pStyle w:val="TableofFigures"/>
        <w:tabs>
          <w:tab w:val="right" w:leader="dot" w:pos="9739"/>
        </w:tabs>
        <w:rPr>
          <w:rFonts w:eastAsiaTheme="minorEastAsia" w:cstheme="minorBidi"/>
          <w:b w:val="0"/>
          <w:bCs w:val="0"/>
          <w:noProof/>
          <w:color w:val="auto"/>
          <w:sz w:val="22"/>
          <w:szCs w:val="22"/>
          <w:lang w:val="en-US"/>
        </w:rPr>
      </w:pPr>
      <w:hyperlink w:anchor="_Toc25673449" w:history="1">
        <w:r w:rsidR="00085F16" w:rsidRPr="009676A6">
          <w:rPr>
            <w:rStyle w:val="Hyperlink"/>
            <w:rFonts w:ascii="Times New Roman" w:hAnsi="Times New Roman"/>
            <w:b w:val="0"/>
            <w:noProof/>
          </w:rPr>
          <w:t>Tabela 11 Elasticiteti i të hyrave tatimore ndaj BPV-së</w:t>
        </w:r>
        <w:r w:rsidR="00085F16" w:rsidRPr="009676A6">
          <w:rPr>
            <w:b w:val="0"/>
            <w:noProof/>
            <w:webHidden/>
          </w:rPr>
          <w:tab/>
        </w:r>
        <w:r w:rsidR="00085F16" w:rsidRPr="009676A6">
          <w:rPr>
            <w:b w:val="0"/>
            <w:noProof/>
            <w:webHidden/>
          </w:rPr>
          <w:fldChar w:fldCharType="begin"/>
        </w:r>
        <w:r w:rsidR="00085F16" w:rsidRPr="009676A6">
          <w:rPr>
            <w:b w:val="0"/>
            <w:noProof/>
            <w:webHidden/>
          </w:rPr>
          <w:instrText xml:space="preserve"> PAGEREF _Toc25673449 \h </w:instrText>
        </w:r>
        <w:r w:rsidR="00085F16" w:rsidRPr="009676A6">
          <w:rPr>
            <w:b w:val="0"/>
            <w:noProof/>
            <w:webHidden/>
          </w:rPr>
        </w:r>
        <w:r w:rsidR="00085F16" w:rsidRPr="009676A6">
          <w:rPr>
            <w:b w:val="0"/>
            <w:noProof/>
            <w:webHidden/>
          </w:rPr>
          <w:fldChar w:fldCharType="separate"/>
        </w:r>
        <w:r w:rsidR="00085F16">
          <w:rPr>
            <w:b w:val="0"/>
            <w:noProof/>
            <w:webHidden/>
          </w:rPr>
          <w:t>51</w:t>
        </w:r>
        <w:r w:rsidR="00085F16" w:rsidRPr="009676A6">
          <w:rPr>
            <w:b w:val="0"/>
            <w:noProof/>
            <w:webHidden/>
          </w:rPr>
          <w:fldChar w:fldCharType="end"/>
        </w:r>
      </w:hyperlink>
    </w:p>
    <w:p w14:paraId="09423B00" w14:textId="77777777" w:rsidR="00085F16" w:rsidRPr="009676A6" w:rsidRDefault="00FC648F" w:rsidP="00085F16">
      <w:pPr>
        <w:pStyle w:val="TableofFigures"/>
        <w:tabs>
          <w:tab w:val="right" w:leader="dot" w:pos="9739"/>
        </w:tabs>
        <w:rPr>
          <w:rFonts w:eastAsiaTheme="minorEastAsia" w:cstheme="minorBidi"/>
          <w:b w:val="0"/>
          <w:bCs w:val="0"/>
          <w:noProof/>
          <w:color w:val="auto"/>
          <w:sz w:val="22"/>
          <w:szCs w:val="22"/>
          <w:lang w:val="en-US"/>
        </w:rPr>
      </w:pPr>
      <w:hyperlink w:anchor="_Toc25673450" w:history="1">
        <w:r w:rsidR="00085F16" w:rsidRPr="009676A6">
          <w:rPr>
            <w:rStyle w:val="Hyperlink"/>
            <w:rFonts w:ascii="Times New Roman" w:hAnsi="Times New Roman"/>
            <w:b w:val="0"/>
            <w:noProof/>
          </w:rPr>
          <w:t>Tabela 12 Bilanci i përgjithshëm fiskal; Bilanci i përmirësuar ndaj ciklit të biznesit; komponenti ciklik i bilancit të buxhetit dhe hendeku i prodhimit</w:t>
        </w:r>
        <w:r w:rsidR="00085F16" w:rsidRPr="009676A6">
          <w:rPr>
            <w:b w:val="0"/>
            <w:noProof/>
            <w:webHidden/>
          </w:rPr>
          <w:tab/>
        </w:r>
        <w:r w:rsidR="00085F16" w:rsidRPr="009676A6">
          <w:rPr>
            <w:b w:val="0"/>
            <w:noProof/>
            <w:webHidden/>
          </w:rPr>
          <w:fldChar w:fldCharType="begin"/>
        </w:r>
        <w:r w:rsidR="00085F16" w:rsidRPr="009676A6">
          <w:rPr>
            <w:b w:val="0"/>
            <w:noProof/>
            <w:webHidden/>
          </w:rPr>
          <w:instrText xml:space="preserve"> PAGEREF _Toc25673450 \h </w:instrText>
        </w:r>
        <w:r w:rsidR="00085F16" w:rsidRPr="009676A6">
          <w:rPr>
            <w:b w:val="0"/>
            <w:noProof/>
            <w:webHidden/>
          </w:rPr>
        </w:r>
        <w:r w:rsidR="00085F16" w:rsidRPr="009676A6">
          <w:rPr>
            <w:b w:val="0"/>
            <w:noProof/>
            <w:webHidden/>
          </w:rPr>
          <w:fldChar w:fldCharType="separate"/>
        </w:r>
        <w:r w:rsidR="00085F16">
          <w:rPr>
            <w:b w:val="0"/>
            <w:noProof/>
            <w:webHidden/>
          </w:rPr>
          <w:t>52</w:t>
        </w:r>
        <w:r w:rsidR="00085F16" w:rsidRPr="009676A6">
          <w:rPr>
            <w:b w:val="0"/>
            <w:noProof/>
            <w:webHidden/>
          </w:rPr>
          <w:fldChar w:fldCharType="end"/>
        </w:r>
      </w:hyperlink>
    </w:p>
    <w:p w14:paraId="4CDE1956" w14:textId="77777777" w:rsidR="00085F16" w:rsidRPr="009676A6" w:rsidRDefault="00FC648F" w:rsidP="00085F16">
      <w:pPr>
        <w:pStyle w:val="TableofFigures"/>
        <w:tabs>
          <w:tab w:val="right" w:leader="dot" w:pos="9739"/>
        </w:tabs>
        <w:rPr>
          <w:rFonts w:eastAsiaTheme="minorEastAsia" w:cstheme="minorBidi"/>
          <w:b w:val="0"/>
          <w:bCs w:val="0"/>
          <w:noProof/>
          <w:color w:val="auto"/>
          <w:sz w:val="22"/>
          <w:szCs w:val="22"/>
          <w:lang w:val="en-US"/>
        </w:rPr>
      </w:pPr>
      <w:hyperlink w:anchor="_Toc25673451" w:history="1">
        <w:r w:rsidR="00085F16" w:rsidRPr="009676A6">
          <w:rPr>
            <w:rStyle w:val="Hyperlink"/>
            <w:rFonts w:ascii="Times New Roman" w:hAnsi="Times New Roman"/>
            <w:b w:val="0"/>
            <w:noProof/>
          </w:rPr>
          <w:t>Tabela 13 Borxhi i përgjithshëm (në milionë Euro)</w:t>
        </w:r>
        <w:r w:rsidR="00085F16" w:rsidRPr="009676A6">
          <w:rPr>
            <w:b w:val="0"/>
            <w:noProof/>
            <w:webHidden/>
          </w:rPr>
          <w:tab/>
        </w:r>
        <w:r w:rsidR="00085F16" w:rsidRPr="009676A6">
          <w:rPr>
            <w:b w:val="0"/>
            <w:noProof/>
            <w:webHidden/>
          </w:rPr>
          <w:fldChar w:fldCharType="begin"/>
        </w:r>
        <w:r w:rsidR="00085F16" w:rsidRPr="009676A6">
          <w:rPr>
            <w:b w:val="0"/>
            <w:noProof/>
            <w:webHidden/>
          </w:rPr>
          <w:instrText xml:space="preserve"> PAGEREF _Toc25673451 \h </w:instrText>
        </w:r>
        <w:r w:rsidR="00085F16" w:rsidRPr="009676A6">
          <w:rPr>
            <w:b w:val="0"/>
            <w:noProof/>
            <w:webHidden/>
          </w:rPr>
        </w:r>
        <w:r w:rsidR="00085F16" w:rsidRPr="009676A6">
          <w:rPr>
            <w:b w:val="0"/>
            <w:noProof/>
            <w:webHidden/>
          </w:rPr>
          <w:fldChar w:fldCharType="separate"/>
        </w:r>
        <w:r w:rsidR="00085F16">
          <w:rPr>
            <w:b w:val="0"/>
            <w:noProof/>
            <w:webHidden/>
          </w:rPr>
          <w:t>53</w:t>
        </w:r>
        <w:r w:rsidR="00085F16" w:rsidRPr="009676A6">
          <w:rPr>
            <w:b w:val="0"/>
            <w:noProof/>
            <w:webHidden/>
          </w:rPr>
          <w:fldChar w:fldCharType="end"/>
        </w:r>
      </w:hyperlink>
    </w:p>
    <w:p w14:paraId="7F7EC3C4" w14:textId="77777777" w:rsidR="00085F16" w:rsidRPr="009676A6" w:rsidRDefault="00FC648F" w:rsidP="00085F16">
      <w:pPr>
        <w:pStyle w:val="TableofFigures"/>
        <w:tabs>
          <w:tab w:val="right" w:leader="dot" w:pos="9739"/>
        </w:tabs>
        <w:rPr>
          <w:rFonts w:eastAsiaTheme="minorEastAsia" w:cstheme="minorBidi"/>
          <w:b w:val="0"/>
          <w:bCs w:val="0"/>
          <w:noProof/>
          <w:color w:val="auto"/>
          <w:sz w:val="22"/>
          <w:szCs w:val="22"/>
          <w:lang w:val="en-US"/>
        </w:rPr>
      </w:pPr>
      <w:hyperlink w:anchor="_Toc25673452" w:history="1">
        <w:r w:rsidR="00085F16" w:rsidRPr="009676A6">
          <w:rPr>
            <w:rStyle w:val="Hyperlink"/>
            <w:rFonts w:ascii="Times New Roman" w:hAnsi="Times New Roman"/>
            <w:b w:val="0"/>
            <w:noProof/>
          </w:rPr>
          <w:t>Tabela 14 Garancitë shtetërore</w:t>
        </w:r>
        <w:r w:rsidR="00085F16" w:rsidRPr="009676A6">
          <w:rPr>
            <w:b w:val="0"/>
            <w:noProof/>
            <w:webHidden/>
          </w:rPr>
          <w:tab/>
        </w:r>
        <w:r w:rsidR="00085F16" w:rsidRPr="009676A6">
          <w:rPr>
            <w:b w:val="0"/>
            <w:noProof/>
            <w:webHidden/>
          </w:rPr>
          <w:fldChar w:fldCharType="begin"/>
        </w:r>
        <w:r w:rsidR="00085F16" w:rsidRPr="009676A6">
          <w:rPr>
            <w:b w:val="0"/>
            <w:noProof/>
            <w:webHidden/>
          </w:rPr>
          <w:instrText xml:space="preserve"> PAGEREF _Toc25673452 \h </w:instrText>
        </w:r>
        <w:r w:rsidR="00085F16" w:rsidRPr="009676A6">
          <w:rPr>
            <w:b w:val="0"/>
            <w:noProof/>
            <w:webHidden/>
          </w:rPr>
        </w:r>
        <w:r w:rsidR="00085F16" w:rsidRPr="009676A6">
          <w:rPr>
            <w:b w:val="0"/>
            <w:noProof/>
            <w:webHidden/>
          </w:rPr>
          <w:fldChar w:fldCharType="separate"/>
        </w:r>
        <w:r w:rsidR="00085F16">
          <w:rPr>
            <w:b w:val="0"/>
            <w:noProof/>
            <w:webHidden/>
          </w:rPr>
          <w:t>54</w:t>
        </w:r>
        <w:r w:rsidR="00085F16" w:rsidRPr="009676A6">
          <w:rPr>
            <w:b w:val="0"/>
            <w:noProof/>
            <w:webHidden/>
          </w:rPr>
          <w:fldChar w:fldCharType="end"/>
        </w:r>
      </w:hyperlink>
    </w:p>
    <w:p w14:paraId="3D293A01" w14:textId="77777777" w:rsidR="00085F16" w:rsidRPr="0067685A" w:rsidRDefault="00085F16" w:rsidP="00085F16">
      <w:pPr>
        <w:spacing w:line="276" w:lineRule="auto"/>
        <w:rPr>
          <w:sz w:val="20"/>
          <w:szCs w:val="20"/>
          <w:lang w:eastAsia="ja-JP"/>
        </w:rPr>
      </w:pPr>
      <w:r w:rsidRPr="009676A6">
        <w:rPr>
          <w:lang w:eastAsia="ja-JP"/>
        </w:rPr>
        <w:fldChar w:fldCharType="end"/>
      </w:r>
    </w:p>
    <w:p w14:paraId="71A2FF51" w14:textId="77777777" w:rsidR="00085F16" w:rsidRPr="0067685A" w:rsidRDefault="00085F16" w:rsidP="00085F16">
      <w:pPr>
        <w:spacing w:line="276" w:lineRule="auto"/>
        <w:rPr>
          <w:sz w:val="20"/>
          <w:szCs w:val="20"/>
          <w:lang w:eastAsia="ja-JP"/>
        </w:rPr>
      </w:pPr>
      <w:r w:rsidRPr="0067685A">
        <w:rPr>
          <w:sz w:val="20"/>
          <w:szCs w:val="20"/>
          <w:lang w:eastAsia="ja-JP"/>
        </w:rPr>
        <w:br w:type="page"/>
      </w:r>
    </w:p>
    <w:p w14:paraId="1529C728" w14:textId="77777777" w:rsidR="00085F16" w:rsidRPr="00DB424C" w:rsidRDefault="00085F16" w:rsidP="00085F16">
      <w:pPr>
        <w:spacing w:line="276" w:lineRule="auto"/>
        <w:rPr>
          <w:b/>
          <w:bCs/>
          <w:caps/>
          <w:szCs w:val="28"/>
        </w:rPr>
      </w:pPr>
      <w:r w:rsidRPr="00DB424C">
        <w:rPr>
          <w:b/>
          <w:bCs/>
          <w:caps/>
          <w:szCs w:val="28"/>
        </w:rPr>
        <w:lastRenderedPageBreak/>
        <w:t>Shkurtesat</w:t>
      </w:r>
    </w:p>
    <w:tbl>
      <w:tblPr>
        <w:tblStyle w:val="TableGrid3"/>
        <w:tblW w:w="5000" w:type="pct"/>
        <w:tblLook w:val="04A0" w:firstRow="1" w:lastRow="0" w:firstColumn="1" w:lastColumn="0" w:noHBand="0" w:noVBand="1"/>
      </w:tblPr>
      <w:tblGrid>
        <w:gridCol w:w="822"/>
        <w:gridCol w:w="4227"/>
        <w:gridCol w:w="744"/>
        <w:gridCol w:w="3946"/>
      </w:tblGrid>
      <w:tr w:rsidR="00085F16" w:rsidRPr="00FE2833" w14:paraId="69EF6AEB" w14:textId="77777777" w:rsidTr="00085F16">
        <w:trPr>
          <w:trHeight w:val="19"/>
        </w:trPr>
        <w:tc>
          <w:tcPr>
            <w:tcW w:w="422" w:type="pct"/>
            <w:noWrap/>
            <w:hideMark/>
          </w:tcPr>
          <w:p w14:paraId="7EC9FF67"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AFP</w:t>
            </w:r>
          </w:p>
        </w:tc>
        <w:tc>
          <w:tcPr>
            <w:tcW w:w="2170" w:type="pct"/>
            <w:noWrap/>
            <w:hideMark/>
          </w:tcPr>
          <w:p w14:paraId="26580343"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Anketa e Fuqisë Punëtore</w:t>
            </w:r>
          </w:p>
        </w:tc>
        <w:tc>
          <w:tcPr>
            <w:tcW w:w="382" w:type="pct"/>
            <w:noWrap/>
            <w:hideMark/>
          </w:tcPr>
          <w:p w14:paraId="1981EA19"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USAID</w:t>
            </w:r>
          </w:p>
        </w:tc>
        <w:tc>
          <w:tcPr>
            <w:tcW w:w="2026" w:type="pct"/>
            <w:noWrap/>
            <w:hideMark/>
          </w:tcPr>
          <w:p w14:paraId="27FE82DF"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Agjencia e Shteteve të Bashkuara për Zhvillim Ndërkombëtar</w:t>
            </w:r>
          </w:p>
        </w:tc>
      </w:tr>
      <w:tr w:rsidR="00085F16" w:rsidRPr="00FE2833" w14:paraId="2926F7B7" w14:textId="77777777" w:rsidTr="00085F16">
        <w:trPr>
          <w:trHeight w:val="19"/>
        </w:trPr>
        <w:tc>
          <w:tcPr>
            <w:tcW w:w="422" w:type="pct"/>
            <w:noWrap/>
            <w:hideMark/>
          </w:tcPr>
          <w:p w14:paraId="20E5A545"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BE</w:t>
            </w:r>
          </w:p>
        </w:tc>
        <w:tc>
          <w:tcPr>
            <w:tcW w:w="2170" w:type="pct"/>
            <w:noWrap/>
            <w:hideMark/>
          </w:tcPr>
          <w:p w14:paraId="25021120"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Bashkimi Evropian</w:t>
            </w:r>
          </w:p>
        </w:tc>
        <w:tc>
          <w:tcPr>
            <w:tcW w:w="382" w:type="pct"/>
            <w:noWrap/>
            <w:hideMark/>
          </w:tcPr>
          <w:p w14:paraId="5B57AFEC"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MFP</w:t>
            </w:r>
          </w:p>
        </w:tc>
        <w:tc>
          <w:tcPr>
            <w:tcW w:w="2026" w:type="pct"/>
            <w:noWrap/>
            <w:hideMark/>
          </w:tcPr>
          <w:p w14:paraId="4E04CC85"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Menaxhimi i Financave Publike</w:t>
            </w:r>
          </w:p>
        </w:tc>
      </w:tr>
      <w:tr w:rsidR="00085F16" w:rsidRPr="00FE2833" w14:paraId="115CC49F" w14:textId="77777777" w:rsidTr="00085F16">
        <w:trPr>
          <w:trHeight w:val="19"/>
        </w:trPr>
        <w:tc>
          <w:tcPr>
            <w:tcW w:w="422" w:type="pct"/>
            <w:noWrap/>
            <w:hideMark/>
          </w:tcPr>
          <w:p w14:paraId="56F9E273"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BEI</w:t>
            </w:r>
          </w:p>
        </w:tc>
        <w:tc>
          <w:tcPr>
            <w:tcW w:w="2170" w:type="pct"/>
            <w:noWrap/>
            <w:hideMark/>
          </w:tcPr>
          <w:p w14:paraId="4B712DBE"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Banka Evropiane e Investimeve</w:t>
            </w:r>
          </w:p>
        </w:tc>
        <w:tc>
          <w:tcPr>
            <w:tcW w:w="382" w:type="pct"/>
            <w:noWrap/>
            <w:hideMark/>
          </w:tcPr>
          <w:p w14:paraId="4FF4B54E"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PEFA</w:t>
            </w:r>
          </w:p>
        </w:tc>
        <w:tc>
          <w:tcPr>
            <w:tcW w:w="2026" w:type="pct"/>
            <w:noWrap/>
            <w:hideMark/>
          </w:tcPr>
          <w:p w14:paraId="79DC3EA9"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Shpenzimet Publike dhe Llogaridhënia Financiare</w:t>
            </w:r>
          </w:p>
        </w:tc>
      </w:tr>
      <w:tr w:rsidR="00085F16" w:rsidRPr="00FE2833" w14:paraId="35E36D37" w14:textId="77777777" w:rsidTr="00085F16">
        <w:trPr>
          <w:trHeight w:val="19"/>
        </w:trPr>
        <w:tc>
          <w:tcPr>
            <w:tcW w:w="422" w:type="pct"/>
            <w:noWrap/>
            <w:hideMark/>
          </w:tcPr>
          <w:p w14:paraId="2EEFB88B"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BERZH</w:t>
            </w:r>
          </w:p>
        </w:tc>
        <w:tc>
          <w:tcPr>
            <w:tcW w:w="2170" w:type="pct"/>
            <w:noWrap/>
            <w:hideMark/>
          </w:tcPr>
          <w:p w14:paraId="3D87697D"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Banka Evropiane për Rindërtim dhe Zhvillim</w:t>
            </w:r>
          </w:p>
        </w:tc>
        <w:tc>
          <w:tcPr>
            <w:tcW w:w="382" w:type="pct"/>
            <w:noWrap/>
            <w:hideMark/>
          </w:tcPr>
          <w:p w14:paraId="0EE6B4B5"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ZSP</w:t>
            </w:r>
          </w:p>
        </w:tc>
        <w:tc>
          <w:tcPr>
            <w:tcW w:w="2026" w:type="pct"/>
            <w:noWrap/>
            <w:hideMark/>
          </w:tcPr>
          <w:p w14:paraId="43AF447E"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Zyra për Planifikim Strategjik</w:t>
            </w:r>
          </w:p>
        </w:tc>
      </w:tr>
      <w:tr w:rsidR="00085F16" w:rsidRPr="00FE2833" w14:paraId="6215A23C" w14:textId="77777777" w:rsidTr="00085F16">
        <w:trPr>
          <w:trHeight w:val="19"/>
        </w:trPr>
        <w:tc>
          <w:tcPr>
            <w:tcW w:w="422" w:type="pct"/>
            <w:noWrap/>
            <w:hideMark/>
          </w:tcPr>
          <w:p w14:paraId="70E1AFD8"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BPV</w:t>
            </w:r>
          </w:p>
        </w:tc>
        <w:tc>
          <w:tcPr>
            <w:tcW w:w="2170" w:type="pct"/>
            <w:noWrap/>
            <w:hideMark/>
          </w:tcPr>
          <w:p w14:paraId="1D23DBA5"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 xml:space="preserve">Bruto Produkti Vendor  </w:t>
            </w:r>
          </w:p>
        </w:tc>
        <w:tc>
          <w:tcPr>
            <w:tcW w:w="382" w:type="pct"/>
            <w:noWrap/>
            <w:hideMark/>
          </w:tcPr>
          <w:p w14:paraId="03AE0B42"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PTK</w:t>
            </w:r>
          </w:p>
        </w:tc>
        <w:tc>
          <w:tcPr>
            <w:tcW w:w="2026" w:type="pct"/>
            <w:noWrap/>
            <w:hideMark/>
          </w:tcPr>
          <w:p w14:paraId="46F28CF0"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Posta dhe Telekomunikacioni i Kosovës</w:t>
            </w:r>
          </w:p>
        </w:tc>
      </w:tr>
      <w:tr w:rsidR="00085F16" w:rsidRPr="00FE2833" w14:paraId="2D010FDA" w14:textId="77777777" w:rsidTr="00085F16">
        <w:trPr>
          <w:trHeight w:val="19"/>
        </w:trPr>
        <w:tc>
          <w:tcPr>
            <w:tcW w:w="422" w:type="pct"/>
            <w:noWrap/>
            <w:hideMark/>
          </w:tcPr>
          <w:p w14:paraId="72FDC9D6" w14:textId="77777777" w:rsidR="00085F16" w:rsidRPr="00FE2833" w:rsidRDefault="00085F16" w:rsidP="00085F16">
            <w:pPr>
              <w:rPr>
                <w:rFonts w:ascii="Times New Roman" w:hAnsi="Times New Roman" w:cs="Times New Roman"/>
                <w:sz w:val="18"/>
                <w:szCs w:val="18"/>
              </w:rPr>
            </w:pPr>
            <w:r w:rsidRPr="00FE2833">
              <w:rPr>
                <w:rFonts w:ascii="Times New Roman" w:hAnsi="Times New Roman" w:cs="Times New Roman"/>
                <w:sz w:val="18"/>
                <w:szCs w:val="18"/>
              </w:rPr>
              <w:t>BQK</w:t>
            </w:r>
          </w:p>
        </w:tc>
        <w:tc>
          <w:tcPr>
            <w:tcW w:w="2170" w:type="pct"/>
            <w:noWrap/>
            <w:hideMark/>
          </w:tcPr>
          <w:p w14:paraId="0D35021E" w14:textId="77777777" w:rsidR="00085F16" w:rsidRPr="00FE2833" w:rsidRDefault="00085F16" w:rsidP="00085F16">
            <w:pPr>
              <w:rPr>
                <w:rFonts w:ascii="Times New Roman" w:hAnsi="Times New Roman" w:cs="Times New Roman"/>
                <w:sz w:val="18"/>
                <w:szCs w:val="18"/>
              </w:rPr>
            </w:pPr>
            <w:r w:rsidRPr="00FE2833">
              <w:rPr>
                <w:rFonts w:ascii="Times New Roman" w:hAnsi="Times New Roman" w:cs="Times New Roman"/>
                <w:sz w:val="18"/>
                <w:szCs w:val="18"/>
              </w:rPr>
              <w:t xml:space="preserve">Banka Qendrore e Kosovës </w:t>
            </w:r>
          </w:p>
        </w:tc>
        <w:tc>
          <w:tcPr>
            <w:tcW w:w="382" w:type="pct"/>
            <w:noWrap/>
            <w:hideMark/>
          </w:tcPr>
          <w:p w14:paraId="459EF79D"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SKZH</w:t>
            </w:r>
          </w:p>
        </w:tc>
        <w:tc>
          <w:tcPr>
            <w:tcW w:w="2026" w:type="pct"/>
            <w:noWrap/>
            <w:hideMark/>
          </w:tcPr>
          <w:p w14:paraId="7E8E1D25"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Strategjia Kombëtare për Zhvillim</w:t>
            </w:r>
          </w:p>
        </w:tc>
      </w:tr>
      <w:tr w:rsidR="00085F16" w:rsidRPr="00FE2833" w14:paraId="2CBB5B1E" w14:textId="77777777" w:rsidTr="00085F16">
        <w:trPr>
          <w:trHeight w:val="19"/>
        </w:trPr>
        <w:tc>
          <w:tcPr>
            <w:tcW w:w="422" w:type="pct"/>
            <w:noWrap/>
            <w:hideMark/>
          </w:tcPr>
          <w:p w14:paraId="1CC9D7F8"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CEFTA</w:t>
            </w:r>
          </w:p>
        </w:tc>
        <w:tc>
          <w:tcPr>
            <w:tcW w:w="2170" w:type="pct"/>
            <w:noWrap/>
            <w:hideMark/>
          </w:tcPr>
          <w:p w14:paraId="066EFA4C"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Marrëveshja për Tregti të lire e Evropës Qendrore</w:t>
            </w:r>
          </w:p>
        </w:tc>
        <w:tc>
          <w:tcPr>
            <w:tcW w:w="382" w:type="pct"/>
            <w:noWrap/>
            <w:hideMark/>
          </w:tcPr>
          <w:p w14:paraId="6A84E7BC"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KKI</w:t>
            </w:r>
          </w:p>
        </w:tc>
        <w:tc>
          <w:tcPr>
            <w:tcW w:w="2026" w:type="pct"/>
            <w:noWrap/>
            <w:hideMark/>
          </w:tcPr>
          <w:p w14:paraId="07BB04FF"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Komiteti Kombëtar për Investime</w:t>
            </w:r>
          </w:p>
        </w:tc>
      </w:tr>
      <w:tr w:rsidR="00085F16" w:rsidRPr="00FE2833" w14:paraId="64AAED98" w14:textId="77777777" w:rsidTr="00085F16">
        <w:trPr>
          <w:trHeight w:val="19"/>
        </w:trPr>
        <w:tc>
          <w:tcPr>
            <w:tcW w:w="422" w:type="pct"/>
            <w:noWrap/>
            <w:hideMark/>
          </w:tcPr>
          <w:p w14:paraId="2AA35562"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DPEP</w:t>
            </w:r>
          </w:p>
        </w:tc>
        <w:tc>
          <w:tcPr>
            <w:tcW w:w="2170" w:type="pct"/>
            <w:noWrap/>
            <w:hideMark/>
          </w:tcPr>
          <w:p w14:paraId="570F4F04"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Departamenti për Politika Ekonomike dhe Publike (MF)</w:t>
            </w:r>
          </w:p>
        </w:tc>
        <w:tc>
          <w:tcPr>
            <w:tcW w:w="382" w:type="pct"/>
            <w:noWrap/>
            <w:hideMark/>
          </w:tcPr>
          <w:p w14:paraId="0157320F"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OECD</w:t>
            </w:r>
          </w:p>
        </w:tc>
        <w:tc>
          <w:tcPr>
            <w:tcW w:w="2026" w:type="pct"/>
            <w:noWrap/>
            <w:hideMark/>
          </w:tcPr>
          <w:p w14:paraId="0928289E"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Organizata për Bashkëpunim Ekonomik dhe Zhvillim</w:t>
            </w:r>
          </w:p>
        </w:tc>
      </w:tr>
      <w:tr w:rsidR="00085F16" w:rsidRPr="00FE2833" w14:paraId="471BCEBA" w14:textId="77777777" w:rsidTr="00085F16">
        <w:trPr>
          <w:trHeight w:val="19"/>
        </w:trPr>
        <w:tc>
          <w:tcPr>
            <w:tcW w:w="422" w:type="pct"/>
            <w:noWrap/>
            <w:hideMark/>
          </w:tcPr>
          <w:p w14:paraId="0C69CE67"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EDK</w:t>
            </w:r>
          </w:p>
        </w:tc>
        <w:tc>
          <w:tcPr>
            <w:tcW w:w="2170" w:type="pct"/>
            <w:noWrap/>
            <w:hideMark/>
          </w:tcPr>
          <w:p w14:paraId="5220100C"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Ekonomia Digjitale e Kosovës</w:t>
            </w:r>
          </w:p>
        </w:tc>
        <w:tc>
          <w:tcPr>
            <w:tcW w:w="382" w:type="pct"/>
            <w:noWrap/>
            <w:hideMark/>
          </w:tcPr>
          <w:p w14:paraId="331472E7"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TAK</w:t>
            </w:r>
          </w:p>
        </w:tc>
        <w:tc>
          <w:tcPr>
            <w:tcW w:w="2026" w:type="pct"/>
            <w:noWrap/>
            <w:hideMark/>
          </w:tcPr>
          <w:p w14:paraId="3288D9E4"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Administrata Tatimore e Kosovës</w:t>
            </w:r>
          </w:p>
        </w:tc>
      </w:tr>
      <w:tr w:rsidR="00085F16" w:rsidRPr="00FE2833" w14:paraId="38E5E3F9" w14:textId="77777777" w:rsidTr="00085F16">
        <w:trPr>
          <w:trHeight w:val="19"/>
        </w:trPr>
        <w:tc>
          <w:tcPr>
            <w:tcW w:w="422" w:type="pct"/>
            <w:noWrap/>
            <w:hideMark/>
          </w:tcPr>
          <w:p w14:paraId="10D699AD"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EE</w:t>
            </w:r>
          </w:p>
        </w:tc>
        <w:tc>
          <w:tcPr>
            <w:tcW w:w="2170" w:type="pct"/>
            <w:noWrap/>
            <w:hideMark/>
          </w:tcPr>
          <w:p w14:paraId="13D24F1A"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Efiçienca e energjisë</w:t>
            </w:r>
          </w:p>
        </w:tc>
        <w:tc>
          <w:tcPr>
            <w:tcW w:w="382" w:type="pct"/>
            <w:noWrap/>
            <w:hideMark/>
          </w:tcPr>
          <w:p w14:paraId="06315657"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PPP</w:t>
            </w:r>
          </w:p>
        </w:tc>
        <w:tc>
          <w:tcPr>
            <w:tcW w:w="2026" w:type="pct"/>
            <w:noWrap/>
            <w:hideMark/>
          </w:tcPr>
          <w:p w14:paraId="2DC9FC6E"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Partneriteti Publiko Privat</w:t>
            </w:r>
          </w:p>
        </w:tc>
      </w:tr>
      <w:tr w:rsidR="00085F16" w:rsidRPr="00FE2833" w14:paraId="15EC2014" w14:textId="77777777" w:rsidTr="00085F16">
        <w:trPr>
          <w:trHeight w:val="19"/>
        </w:trPr>
        <w:tc>
          <w:tcPr>
            <w:tcW w:w="422" w:type="pct"/>
            <w:noWrap/>
            <w:hideMark/>
          </w:tcPr>
          <w:p w14:paraId="6667A364"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FKGK</w:t>
            </w:r>
          </w:p>
        </w:tc>
        <w:tc>
          <w:tcPr>
            <w:tcW w:w="2170" w:type="pct"/>
            <w:noWrap/>
            <w:hideMark/>
          </w:tcPr>
          <w:p w14:paraId="30F42EA9"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 xml:space="preserve">Fondi Kosovar për Garanci Kreditore  </w:t>
            </w:r>
          </w:p>
        </w:tc>
        <w:tc>
          <w:tcPr>
            <w:tcW w:w="382" w:type="pct"/>
            <w:noWrap/>
            <w:hideMark/>
          </w:tcPr>
          <w:p w14:paraId="22AEE27D"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NVM</w:t>
            </w:r>
          </w:p>
        </w:tc>
        <w:tc>
          <w:tcPr>
            <w:tcW w:w="2026" w:type="pct"/>
            <w:noWrap/>
            <w:hideMark/>
          </w:tcPr>
          <w:p w14:paraId="2A3387C3"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Ndërmarrjet e vogla dhe të mesme</w:t>
            </w:r>
          </w:p>
        </w:tc>
      </w:tr>
      <w:tr w:rsidR="00085F16" w:rsidRPr="00FE2833" w14:paraId="75CB9418" w14:textId="77777777" w:rsidTr="00085F16">
        <w:trPr>
          <w:trHeight w:val="19"/>
        </w:trPr>
        <w:tc>
          <w:tcPr>
            <w:tcW w:w="422" w:type="pct"/>
            <w:noWrap/>
            <w:hideMark/>
          </w:tcPr>
          <w:p w14:paraId="1E9769BF"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 xml:space="preserve">FMN </w:t>
            </w:r>
          </w:p>
        </w:tc>
        <w:tc>
          <w:tcPr>
            <w:tcW w:w="2170" w:type="pct"/>
            <w:noWrap/>
            <w:hideMark/>
          </w:tcPr>
          <w:p w14:paraId="31C08CFE"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Fondi Monetar Ndërkombëtar</w:t>
            </w:r>
          </w:p>
        </w:tc>
        <w:tc>
          <w:tcPr>
            <w:tcW w:w="382" w:type="pct"/>
            <w:noWrap/>
            <w:hideMark/>
          </w:tcPr>
          <w:p w14:paraId="42EDC67D"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MSA</w:t>
            </w:r>
          </w:p>
        </w:tc>
        <w:tc>
          <w:tcPr>
            <w:tcW w:w="2026" w:type="pct"/>
            <w:noWrap/>
            <w:hideMark/>
          </w:tcPr>
          <w:p w14:paraId="36E47790"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Marrëveshja e Stabilizim-Asociimit</w:t>
            </w:r>
          </w:p>
        </w:tc>
      </w:tr>
      <w:tr w:rsidR="00085F16" w:rsidRPr="00FE2833" w14:paraId="65AF119A" w14:textId="77777777" w:rsidTr="00085F16">
        <w:trPr>
          <w:trHeight w:val="19"/>
        </w:trPr>
        <w:tc>
          <w:tcPr>
            <w:tcW w:w="422" w:type="pct"/>
            <w:noWrap/>
            <w:hideMark/>
          </w:tcPr>
          <w:p w14:paraId="1DFD532F"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IÇK</w:t>
            </w:r>
          </w:p>
        </w:tc>
        <w:tc>
          <w:tcPr>
            <w:tcW w:w="2170" w:type="pct"/>
            <w:noWrap/>
            <w:hideMark/>
          </w:tcPr>
          <w:p w14:paraId="1A6CEC4C"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Indeksi i Çmimeve të Konsumit</w:t>
            </w:r>
          </w:p>
        </w:tc>
        <w:tc>
          <w:tcPr>
            <w:tcW w:w="382" w:type="pct"/>
            <w:noWrap/>
            <w:hideMark/>
          </w:tcPr>
          <w:p w14:paraId="5FB1D841"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PKZMA</w:t>
            </w:r>
          </w:p>
        </w:tc>
        <w:tc>
          <w:tcPr>
            <w:tcW w:w="2026" w:type="pct"/>
            <w:noWrap/>
            <w:hideMark/>
          </w:tcPr>
          <w:p w14:paraId="44C21BBE"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Programi Kombëtar për Zbatimin e MSA-së</w:t>
            </w:r>
          </w:p>
        </w:tc>
      </w:tr>
      <w:tr w:rsidR="00085F16" w:rsidRPr="00FE2833" w14:paraId="5FE3E3E7" w14:textId="77777777" w:rsidTr="00085F16">
        <w:trPr>
          <w:trHeight w:val="19"/>
        </w:trPr>
        <w:tc>
          <w:tcPr>
            <w:tcW w:w="422" w:type="pct"/>
            <w:noWrap/>
            <w:hideMark/>
          </w:tcPr>
          <w:p w14:paraId="08432906"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IHD</w:t>
            </w:r>
          </w:p>
        </w:tc>
        <w:tc>
          <w:tcPr>
            <w:tcW w:w="2170" w:type="pct"/>
            <w:noWrap/>
            <w:hideMark/>
          </w:tcPr>
          <w:p w14:paraId="13898A1F"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Investimet e Huaja Direkte</w:t>
            </w:r>
          </w:p>
        </w:tc>
        <w:tc>
          <w:tcPr>
            <w:tcW w:w="382" w:type="pct"/>
            <w:noWrap/>
            <w:hideMark/>
          </w:tcPr>
          <w:p w14:paraId="1E8490EB"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RFP</w:t>
            </w:r>
          </w:p>
        </w:tc>
        <w:tc>
          <w:tcPr>
            <w:tcW w:w="2026" w:type="pct"/>
            <w:noWrap/>
            <w:hideMark/>
          </w:tcPr>
          <w:p w14:paraId="5EB8500D"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Rishikimi i Financave Publike</w:t>
            </w:r>
          </w:p>
        </w:tc>
      </w:tr>
      <w:tr w:rsidR="00085F16" w:rsidRPr="00FE2833" w14:paraId="2A5442E4" w14:textId="77777777" w:rsidTr="00085F16">
        <w:trPr>
          <w:trHeight w:val="19"/>
        </w:trPr>
        <w:tc>
          <w:tcPr>
            <w:tcW w:w="422" w:type="pct"/>
            <w:noWrap/>
            <w:hideMark/>
          </w:tcPr>
          <w:p w14:paraId="44AB054F"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KASH</w:t>
            </w:r>
          </w:p>
        </w:tc>
        <w:tc>
          <w:tcPr>
            <w:tcW w:w="2170" w:type="pct"/>
            <w:noWrap/>
            <w:hideMark/>
          </w:tcPr>
          <w:p w14:paraId="6FF79338"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Korniza Afatmesme e Shpenzimeve</w:t>
            </w:r>
          </w:p>
        </w:tc>
        <w:tc>
          <w:tcPr>
            <w:tcW w:w="382" w:type="pct"/>
            <w:noWrap/>
          </w:tcPr>
          <w:p w14:paraId="07D7BE4A" w14:textId="77777777" w:rsidR="00085F16" w:rsidRPr="00FE2833" w:rsidRDefault="00085F16" w:rsidP="00085F16">
            <w:pPr>
              <w:pStyle w:val="NoSpacing"/>
              <w:rPr>
                <w:rFonts w:ascii="Times New Roman" w:hAnsi="Times New Roman"/>
                <w:sz w:val="18"/>
                <w:szCs w:val="18"/>
                <w:lang w:val="sq-AL"/>
              </w:rPr>
            </w:pPr>
          </w:p>
        </w:tc>
        <w:tc>
          <w:tcPr>
            <w:tcW w:w="2026" w:type="pct"/>
            <w:noWrap/>
          </w:tcPr>
          <w:p w14:paraId="7AABC292" w14:textId="77777777" w:rsidR="00085F16" w:rsidRPr="00FE2833" w:rsidRDefault="00085F16" w:rsidP="00085F16">
            <w:pPr>
              <w:pStyle w:val="NoSpacing"/>
              <w:rPr>
                <w:rFonts w:ascii="Times New Roman" w:hAnsi="Times New Roman"/>
                <w:sz w:val="18"/>
                <w:szCs w:val="18"/>
                <w:lang w:val="sq-AL"/>
              </w:rPr>
            </w:pPr>
          </w:p>
        </w:tc>
      </w:tr>
      <w:tr w:rsidR="00085F16" w:rsidRPr="00FE2833" w14:paraId="42958754" w14:textId="77777777" w:rsidTr="00085F16">
        <w:trPr>
          <w:trHeight w:val="19"/>
        </w:trPr>
        <w:tc>
          <w:tcPr>
            <w:tcW w:w="422" w:type="pct"/>
            <w:noWrap/>
            <w:hideMark/>
          </w:tcPr>
          <w:p w14:paraId="7D96F55F"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KE</w:t>
            </w:r>
          </w:p>
        </w:tc>
        <w:tc>
          <w:tcPr>
            <w:tcW w:w="2170" w:type="pct"/>
            <w:noWrap/>
            <w:hideMark/>
          </w:tcPr>
          <w:p w14:paraId="235047D5"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Komisioni Evropian</w:t>
            </w:r>
          </w:p>
        </w:tc>
        <w:tc>
          <w:tcPr>
            <w:tcW w:w="382" w:type="pct"/>
            <w:noWrap/>
            <w:hideMark/>
          </w:tcPr>
          <w:p w14:paraId="59E075D8"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AKP</w:t>
            </w:r>
          </w:p>
        </w:tc>
        <w:tc>
          <w:tcPr>
            <w:tcW w:w="2026" w:type="pct"/>
            <w:noWrap/>
            <w:hideMark/>
          </w:tcPr>
          <w:p w14:paraId="1315B38B"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Agjencia Kosovare e Privatizimit</w:t>
            </w:r>
          </w:p>
        </w:tc>
      </w:tr>
      <w:tr w:rsidR="00085F16" w:rsidRPr="00FE2833" w14:paraId="5295EEF5" w14:textId="77777777" w:rsidTr="00085F16">
        <w:trPr>
          <w:trHeight w:val="19"/>
        </w:trPr>
        <w:tc>
          <w:tcPr>
            <w:tcW w:w="422" w:type="pct"/>
            <w:noWrap/>
            <w:hideMark/>
          </w:tcPr>
          <w:p w14:paraId="7D758551"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KIESA</w:t>
            </w:r>
          </w:p>
        </w:tc>
        <w:tc>
          <w:tcPr>
            <w:tcW w:w="2170" w:type="pct"/>
            <w:noWrap/>
            <w:hideMark/>
          </w:tcPr>
          <w:p w14:paraId="20887288" w14:textId="77777777" w:rsidR="00085F16" w:rsidRPr="00FE2833" w:rsidRDefault="00085F16" w:rsidP="00085F16">
            <w:pPr>
              <w:pStyle w:val="NoSpacing"/>
              <w:ind w:right="-280"/>
              <w:rPr>
                <w:rFonts w:ascii="Times New Roman" w:hAnsi="Times New Roman"/>
                <w:sz w:val="18"/>
                <w:szCs w:val="18"/>
                <w:lang w:val="sq-AL"/>
              </w:rPr>
            </w:pPr>
            <w:r w:rsidRPr="00FE2833">
              <w:rPr>
                <w:rFonts w:ascii="Times New Roman" w:hAnsi="Times New Roman"/>
                <w:sz w:val="18"/>
                <w:szCs w:val="18"/>
                <w:lang w:val="sq-AL"/>
              </w:rPr>
              <w:t>Agjencia për Investime dhe Përkrahjen e Ndërmarrjeve në Kosovë</w:t>
            </w:r>
          </w:p>
        </w:tc>
        <w:tc>
          <w:tcPr>
            <w:tcW w:w="382" w:type="pct"/>
            <w:noWrap/>
            <w:hideMark/>
          </w:tcPr>
          <w:p w14:paraId="2D9E99DC"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EJL</w:t>
            </w:r>
          </w:p>
        </w:tc>
        <w:tc>
          <w:tcPr>
            <w:tcW w:w="2026" w:type="pct"/>
            <w:noWrap/>
            <w:hideMark/>
          </w:tcPr>
          <w:p w14:paraId="38814738"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Evropa Juglindore</w:t>
            </w:r>
          </w:p>
        </w:tc>
      </w:tr>
      <w:tr w:rsidR="00085F16" w:rsidRPr="00FE2833" w14:paraId="32294014" w14:textId="77777777" w:rsidTr="00085F16">
        <w:trPr>
          <w:trHeight w:val="19"/>
        </w:trPr>
        <w:tc>
          <w:tcPr>
            <w:tcW w:w="422" w:type="pct"/>
            <w:noWrap/>
            <w:hideMark/>
          </w:tcPr>
          <w:p w14:paraId="5CFD0F02"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KOSTT</w:t>
            </w:r>
          </w:p>
        </w:tc>
        <w:tc>
          <w:tcPr>
            <w:tcW w:w="2170" w:type="pct"/>
            <w:noWrap/>
            <w:hideMark/>
          </w:tcPr>
          <w:p w14:paraId="7335B00B"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Operator Sistemi, Transmisioni  dhe Tregu</w:t>
            </w:r>
          </w:p>
        </w:tc>
        <w:tc>
          <w:tcPr>
            <w:tcW w:w="382" w:type="pct"/>
            <w:noWrap/>
            <w:hideMark/>
          </w:tcPr>
          <w:p w14:paraId="6DAF7A8C"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TC</w:t>
            </w:r>
          </w:p>
        </w:tc>
        <w:tc>
          <w:tcPr>
            <w:tcW w:w="2026" w:type="pct"/>
            <w:noWrap/>
            <w:hideMark/>
          </w:tcPr>
          <w:p w14:paraId="7FFD4411"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Termocentrali</w:t>
            </w:r>
          </w:p>
        </w:tc>
      </w:tr>
      <w:tr w:rsidR="00085F16" w:rsidRPr="00FE2833" w14:paraId="3D566A55" w14:textId="77777777" w:rsidTr="00085F16">
        <w:trPr>
          <w:trHeight w:val="19"/>
        </w:trPr>
        <w:tc>
          <w:tcPr>
            <w:tcW w:w="422" w:type="pct"/>
            <w:noWrap/>
            <w:hideMark/>
          </w:tcPr>
          <w:p w14:paraId="738C1B80"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LMFPP</w:t>
            </w:r>
          </w:p>
        </w:tc>
        <w:tc>
          <w:tcPr>
            <w:tcW w:w="2170" w:type="pct"/>
            <w:noWrap/>
            <w:hideMark/>
          </w:tcPr>
          <w:p w14:paraId="6107EE57"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Ligji për Menaxhimin e Financave Publike dhe Përgjegjësitë</w:t>
            </w:r>
          </w:p>
        </w:tc>
        <w:tc>
          <w:tcPr>
            <w:tcW w:w="382" w:type="pct"/>
            <w:noWrap/>
            <w:hideMark/>
          </w:tcPr>
          <w:p w14:paraId="084F6EBA"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TVSH</w:t>
            </w:r>
          </w:p>
        </w:tc>
        <w:tc>
          <w:tcPr>
            <w:tcW w:w="2026" w:type="pct"/>
            <w:noWrap/>
            <w:hideMark/>
          </w:tcPr>
          <w:p w14:paraId="6A57975B"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Tatimi mbi vlerën e shtuar</w:t>
            </w:r>
          </w:p>
        </w:tc>
      </w:tr>
      <w:tr w:rsidR="00085F16" w:rsidRPr="00FE2833" w14:paraId="457087EB" w14:textId="77777777" w:rsidTr="00085F16">
        <w:trPr>
          <w:trHeight w:val="19"/>
        </w:trPr>
        <w:tc>
          <w:tcPr>
            <w:tcW w:w="422" w:type="pct"/>
            <w:noWrap/>
            <w:hideMark/>
          </w:tcPr>
          <w:p w14:paraId="373A046A"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MASHT</w:t>
            </w:r>
          </w:p>
        </w:tc>
        <w:tc>
          <w:tcPr>
            <w:tcW w:w="2170" w:type="pct"/>
            <w:noWrap/>
            <w:hideMark/>
          </w:tcPr>
          <w:p w14:paraId="47C81F90"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Ministria e Arsimit, Shkencës dhe Teknologjisë</w:t>
            </w:r>
          </w:p>
        </w:tc>
        <w:tc>
          <w:tcPr>
            <w:tcW w:w="382" w:type="pct"/>
            <w:noWrap/>
            <w:hideMark/>
          </w:tcPr>
          <w:p w14:paraId="636FB4F9"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BB</w:t>
            </w:r>
          </w:p>
        </w:tc>
        <w:tc>
          <w:tcPr>
            <w:tcW w:w="2026" w:type="pct"/>
            <w:noWrap/>
            <w:hideMark/>
          </w:tcPr>
          <w:p w14:paraId="4F7E903E"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Banka Botërore</w:t>
            </w:r>
          </w:p>
        </w:tc>
      </w:tr>
      <w:tr w:rsidR="00085F16" w:rsidRPr="00FE2833" w14:paraId="4D194788" w14:textId="77777777" w:rsidTr="00085F16">
        <w:trPr>
          <w:trHeight w:val="19"/>
        </w:trPr>
        <w:tc>
          <w:tcPr>
            <w:tcW w:w="422" w:type="pct"/>
            <w:noWrap/>
            <w:hideMark/>
          </w:tcPr>
          <w:p w14:paraId="091B23B5" w14:textId="77777777" w:rsidR="00085F16" w:rsidRPr="00FE2833" w:rsidRDefault="00085F16" w:rsidP="00085F16">
            <w:pPr>
              <w:pStyle w:val="NoSpacing"/>
              <w:ind w:hanging="108"/>
              <w:rPr>
                <w:rFonts w:ascii="Times New Roman" w:hAnsi="Times New Roman"/>
                <w:sz w:val="18"/>
                <w:szCs w:val="18"/>
                <w:lang w:val="sq-AL"/>
              </w:rPr>
            </w:pPr>
            <w:r w:rsidRPr="00FE2833">
              <w:rPr>
                <w:rFonts w:ascii="Times New Roman" w:hAnsi="Times New Roman"/>
                <w:sz w:val="18"/>
                <w:szCs w:val="18"/>
                <w:lang w:val="sq-AL"/>
              </w:rPr>
              <w:t>MBPZHR</w:t>
            </w:r>
          </w:p>
        </w:tc>
        <w:tc>
          <w:tcPr>
            <w:tcW w:w="2170" w:type="pct"/>
            <w:noWrap/>
            <w:hideMark/>
          </w:tcPr>
          <w:p w14:paraId="7135885B"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Ministria e Bujqësisë, Pylltarisë dhe Zhvillimit Rural</w:t>
            </w:r>
          </w:p>
        </w:tc>
        <w:tc>
          <w:tcPr>
            <w:tcW w:w="382" w:type="pct"/>
            <w:noWrap/>
            <w:hideMark/>
          </w:tcPr>
          <w:p w14:paraId="2DBCEE57"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VECM</w:t>
            </w:r>
          </w:p>
        </w:tc>
        <w:tc>
          <w:tcPr>
            <w:tcW w:w="2026" w:type="pct"/>
            <w:noWrap/>
            <w:hideMark/>
          </w:tcPr>
          <w:p w14:paraId="44104D02"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 xml:space="preserve">Modeli për korrigjimin e gabimit </w:t>
            </w:r>
          </w:p>
          <w:p w14:paraId="4067118E"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vektorial</w:t>
            </w:r>
          </w:p>
        </w:tc>
      </w:tr>
      <w:tr w:rsidR="00085F16" w:rsidRPr="00FE2833" w14:paraId="49B79086" w14:textId="77777777" w:rsidTr="00085F16">
        <w:trPr>
          <w:trHeight w:val="19"/>
        </w:trPr>
        <w:tc>
          <w:tcPr>
            <w:tcW w:w="422" w:type="pct"/>
            <w:noWrap/>
            <w:hideMark/>
          </w:tcPr>
          <w:p w14:paraId="5DDA092A"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MF</w:t>
            </w:r>
          </w:p>
        </w:tc>
        <w:tc>
          <w:tcPr>
            <w:tcW w:w="2170" w:type="pct"/>
            <w:noWrap/>
            <w:hideMark/>
          </w:tcPr>
          <w:p w14:paraId="109E8B85"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Ministria e Financave</w:t>
            </w:r>
          </w:p>
        </w:tc>
        <w:tc>
          <w:tcPr>
            <w:tcW w:w="382" w:type="pct"/>
            <w:noWrap/>
          </w:tcPr>
          <w:p w14:paraId="2D5B1913" w14:textId="77777777" w:rsidR="00085F16" w:rsidRPr="00FE2833" w:rsidRDefault="00085F16" w:rsidP="00085F16">
            <w:pPr>
              <w:pStyle w:val="NoSpacing"/>
              <w:rPr>
                <w:rFonts w:ascii="Times New Roman" w:hAnsi="Times New Roman"/>
                <w:sz w:val="18"/>
                <w:szCs w:val="18"/>
                <w:lang w:val="sq-AL"/>
              </w:rPr>
            </w:pPr>
          </w:p>
        </w:tc>
        <w:tc>
          <w:tcPr>
            <w:tcW w:w="2026" w:type="pct"/>
            <w:noWrap/>
          </w:tcPr>
          <w:p w14:paraId="1ADDCABE" w14:textId="77777777" w:rsidR="00085F16" w:rsidRPr="00FE2833" w:rsidRDefault="00085F16" w:rsidP="00085F16">
            <w:pPr>
              <w:pStyle w:val="NoSpacing"/>
              <w:rPr>
                <w:rFonts w:ascii="Times New Roman" w:hAnsi="Times New Roman"/>
                <w:sz w:val="18"/>
                <w:szCs w:val="18"/>
                <w:lang w:val="sq-AL"/>
              </w:rPr>
            </w:pPr>
          </w:p>
        </w:tc>
      </w:tr>
      <w:tr w:rsidR="00085F16" w:rsidRPr="00FE2833" w14:paraId="66B9F020" w14:textId="77777777" w:rsidTr="00085F16">
        <w:trPr>
          <w:trHeight w:val="19"/>
        </w:trPr>
        <w:tc>
          <w:tcPr>
            <w:tcW w:w="422" w:type="pct"/>
            <w:noWrap/>
            <w:hideMark/>
          </w:tcPr>
          <w:p w14:paraId="223032AF" w14:textId="77777777" w:rsidR="00085F16" w:rsidRPr="00FE2833" w:rsidRDefault="00085F16" w:rsidP="00085F16">
            <w:pPr>
              <w:pStyle w:val="NoSpacing"/>
              <w:ind w:right="-99"/>
              <w:rPr>
                <w:rFonts w:ascii="Times New Roman" w:hAnsi="Times New Roman"/>
                <w:sz w:val="18"/>
                <w:szCs w:val="18"/>
                <w:lang w:val="sq-AL"/>
              </w:rPr>
            </w:pPr>
            <w:r w:rsidRPr="00FE2833">
              <w:rPr>
                <w:rFonts w:ascii="Times New Roman" w:hAnsi="Times New Roman"/>
                <w:sz w:val="18"/>
                <w:szCs w:val="18"/>
                <w:lang w:val="sq-AL"/>
              </w:rPr>
              <w:t>NjMB</w:t>
            </w:r>
          </w:p>
        </w:tc>
        <w:tc>
          <w:tcPr>
            <w:tcW w:w="2170" w:type="pct"/>
            <w:noWrap/>
            <w:hideMark/>
          </w:tcPr>
          <w:p w14:paraId="2E151A6C"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Njësia për Menaxhimin e Borxhit (MF)</w:t>
            </w:r>
          </w:p>
        </w:tc>
        <w:tc>
          <w:tcPr>
            <w:tcW w:w="382" w:type="pct"/>
            <w:noWrap/>
            <w:hideMark/>
          </w:tcPr>
          <w:p w14:paraId="7AA37992"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HP</w:t>
            </w:r>
          </w:p>
        </w:tc>
        <w:tc>
          <w:tcPr>
            <w:tcW w:w="2026" w:type="pct"/>
            <w:noWrap/>
            <w:hideMark/>
          </w:tcPr>
          <w:p w14:paraId="6C7BDC29"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Hendeku i prodhimit</w:t>
            </w:r>
          </w:p>
        </w:tc>
      </w:tr>
      <w:tr w:rsidR="00085F16" w:rsidRPr="00FE2833" w14:paraId="2B07FDB0" w14:textId="77777777" w:rsidTr="00085F16">
        <w:trPr>
          <w:trHeight w:val="19"/>
        </w:trPr>
        <w:tc>
          <w:tcPr>
            <w:tcW w:w="422" w:type="pct"/>
            <w:noWrap/>
            <w:hideMark/>
          </w:tcPr>
          <w:p w14:paraId="063DF6BC"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OEK</w:t>
            </w:r>
          </w:p>
        </w:tc>
        <w:tc>
          <w:tcPr>
            <w:tcW w:w="2170" w:type="pct"/>
            <w:noWrap/>
            <w:hideMark/>
          </w:tcPr>
          <w:p w14:paraId="122F4E7C"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Oda Ekonomike e Kosovës</w:t>
            </w:r>
          </w:p>
        </w:tc>
        <w:tc>
          <w:tcPr>
            <w:tcW w:w="382" w:type="pct"/>
            <w:noWrap/>
            <w:hideMark/>
          </w:tcPr>
          <w:p w14:paraId="3BE2A9C3"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OTEJL</w:t>
            </w:r>
          </w:p>
        </w:tc>
        <w:tc>
          <w:tcPr>
            <w:tcW w:w="2026" w:type="pct"/>
            <w:noWrap/>
            <w:hideMark/>
          </w:tcPr>
          <w:p w14:paraId="019778F5"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Obzervatori Transportit për Evropën Juglindore</w:t>
            </w:r>
          </w:p>
        </w:tc>
      </w:tr>
      <w:tr w:rsidR="00085F16" w:rsidRPr="00FE2833" w14:paraId="464D90D3" w14:textId="77777777" w:rsidTr="00085F16">
        <w:trPr>
          <w:trHeight w:val="19"/>
        </w:trPr>
        <w:tc>
          <w:tcPr>
            <w:tcW w:w="422" w:type="pct"/>
            <w:noWrap/>
            <w:hideMark/>
          </w:tcPr>
          <w:p w14:paraId="6C9C02A2"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PIN</w:t>
            </w:r>
          </w:p>
        </w:tc>
        <w:tc>
          <w:tcPr>
            <w:tcW w:w="2170" w:type="pct"/>
            <w:noWrap/>
            <w:hideMark/>
          </w:tcPr>
          <w:p w14:paraId="381DE0F3"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Pozicioni i Investimeve Ndërkombëtare</w:t>
            </w:r>
          </w:p>
        </w:tc>
        <w:tc>
          <w:tcPr>
            <w:tcW w:w="382" w:type="pct"/>
            <w:noWrap/>
            <w:hideMark/>
          </w:tcPr>
          <w:p w14:paraId="6D4B8F49"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HZHI</w:t>
            </w:r>
          </w:p>
        </w:tc>
        <w:tc>
          <w:tcPr>
            <w:tcW w:w="2026" w:type="pct"/>
            <w:noWrap/>
            <w:hideMark/>
          </w:tcPr>
          <w:p w14:paraId="06C4C887"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Hulumtim, Zhvillim dhe Inovacion</w:t>
            </w:r>
          </w:p>
        </w:tc>
      </w:tr>
      <w:tr w:rsidR="00085F16" w:rsidRPr="00FE2833" w14:paraId="02C41D40" w14:textId="77777777" w:rsidTr="00085F16">
        <w:trPr>
          <w:trHeight w:val="483"/>
        </w:trPr>
        <w:tc>
          <w:tcPr>
            <w:tcW w:w="422" w:type="pct"/>
            <w:noWrap/>
            <w:hideMark/>
          </w:tcPr>
          <w:p w14:paraId="28B9C7D2"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PZHRB</w:t>
            </w:r>
          </w:p>
        </w:tc>
        <w:tc>
          <w:tcPr>
            <w:tcW w:w="2170" w:type="pct"/>
            <w:noWrap/>
            <w:hideMark/>
          </w:tcPr>
          <w:p w14:paraId="7A337C9B"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Programi i Zhvillimit Rural dhe të Bujqësisë</w:t>
            </w:r>
          </w:p>
        </w:tc>
        <w:tc>
          <w:tcPr>
            <w:tcW w:w="382" w:type="pct"/>
            <w:noWrap/>
            <w:hideMark/>
          </w:tcPr>
          <w:p w14:paraId="244044CA"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MTI</w:t>
            </w:r>
          </w:p>
        </w:tc>
        <w:tc>
          <w:tcPr>
            <w:tcW w:w="2026" w:type="pct"/>
            <w:noWrap/>
            <w:hideMark/>
          </w:tcPr>
          <w:p w14:paraId="509BC43C"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Ministria e Tregtisë dhe Industrisë</w:t>
            </w:r>
          </w:p>
        </w:tc>
      </w:tr>
      <w:tr w:rsidR="00085F16" w:rsidRPr="00FE2833" w14:paraId="6580D65A" w14:textId="77777777" w:rsidTr="00085F16">
        <w:trPr>
          <w:trHeight w:val="19"/>
        </w:trPr>
        <w:tc>
          <w:tcPr>
            <w:tcW w:w="422" w:type="pct"/>
            <w:noWrap/>
            <w:hideMark/>
          </w:tcPr>
          <w:p w14:paraId="38A2BF7F"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QeK</w:t>
            </w:r>
          </w:p>
        </w:tc>
        <w:tc>
          <w:tcPr>
            <w:tcW w:w="2170" w:type="pct"/>
            <w:noWrap/>
            <w:hideMark/>
          </w:tcPr>
          <w:p w14:paraId="56993B29"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Qeveria e Kosovës</w:t>
            </w:r>
          </w:p>
        </w:tc>
        <w:tc>
          <w:tcPr>
            <w:tcW w:w="382" w:type="pct"/>
            <w:noWrap/>
            <w:hideMark/>
          </w:tcPr>
          <w:p w14:paraId="4F7F8470"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ER</w:t>
            </w:r>
          </w:p>
        </w:tc>
        <w:tc>
          <w:tcPr>
            <w:tcW w:w="2026" w:type="pct"/>
            <w:noWrap/>
            <w:hideMark/>
          </w:tcPr>
          <w:p w14:paraId="6A088FC8"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 xml:space="preserve">Energjia e ripërtritshme  </w:t>
            </w:r>
          </w:p>
        </w:tc>
      </w:tr>
      <w:tr w:rsidR="00085F16" w:rsidRPr="00FE2833" w14:paraId="03CEDD88" w14:textId="77777777" w:rsidTr="00085F16">
        <w:trPr>
          <w:trHeight w:val="19"/>
        </w:trPr>
        <w:tc>
          <w:tcPr>
            <w:tcW w:w="422" w:type="pct"/>
            <w:noWrap/>
            <w:hideMark/>
          </w:tcPr>
          <w:p w14:paraId="1AAC2DB6"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RDPP</w:t>
            </w:r>
          </w:p>
        </w:tc>
        <w:tc>
          <w:tcPr>
            <w:tcW w:w="2170" w:type="pct"/>
            <w:noWrap/>
            <w:hideMark/>
          </w:tcPr>
          <w:p w14:paraId="5A6271FD"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Regjistri i të drejtave të pronës së paluajtshme</w:t>
            </w:r>
          </w:p>
        </w:tc>
        <w:tc>
          <w:tcPr>
            <w:tcW w:w="382" w:type="pct"/>
            <w:noWrap/>
            <w:hideMark/>
          </w:tcPr>
          <w:p w14:paraId="0DBBCCB5"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ASK</w:t>
            </w:r>
          </w:p>
        </w:tc>
        <w:tc>
          <w:tcPr>
            <w:tcW w:w="2026" w:type="pct"/>
            <w:noWrap/>
            <w:hideMark/>
          </w:tcPr>
          <w:p w14:paraId="78A8EE67"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Agjencia e Statistikave të Kosovës</w:t>
            </w:r>
          </w:p>
        </w:tc>
      </w:tr>
      <w:tr w:rsidR="00085F16" w:rsidRPr="00FE2833" w14:paraId="4118CA8C" w14:textId="77777777" w:rsidTr="00085F16">
        <w:trPr>
          <w:trHeight w:val="19"/>
        </w:trPr>
        <w:tc>
          <w:tcPr>
            <w:tcW w:w="422" w:type="pct"/>
            <w:noWrap/>
            <w:hideMark/>
          </w:tcPr>
          <w:p w14:paraId="3215647A"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SMIL</w:t>
            </w:r>
          </w:p>
        </w:tc>
        <w:tc>
          <w:tcPr>
            <w:tcW w:w="2170" w:type="pct"/>
            <w:noWrap/>
            <w:hideMark/>
          </w:tcPr>
          <w:p w14:paraId="79BC6D64"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Sistemi i Menaxhimit të Lëndëve dhe Informacionit</w:t>
            </w:r>
          </w:p>
        </w:tc>
        <w:tc>
          <w:tcPr>
            <w:tcW w:w="382" w:type="pct"/>
            <w:noWrap/>
            <w:hideMark/>
          </w:tcPr>
          <w:p w14:paraId="4CBD83B2"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KPJ</w:t>
            </w:r>
          </w:p>
        </w:tc>
        <w:tc>
          <w:tcPr>
            <w:tcW w:w="2026" w:type="pct"/>
            <w:noWrap/>
            <w:hideMark/>
          </w:tcPr>
          <w:p w14:paraId="1D7232EF"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 xml:space="preserve">Kredi jo-performuese  </w:t>
            </w:r>
          </w:p>
        </w:tc>
      </w:tr>
      <w:tr w:rsidR="00085F16" w:rsidRPr="00FE2833" w14:paraId="41B139CD" w14:textId="77777777" w:rsidTr="00085F16">
        <w:trPr>
          <w:trHeight w:val="19"/>
        </w:trPr>
        <w:tc>
          <w:tcPr>
            <w:tcW w:w="422" w:type="pct"/>
            <w:noWrap/>
            <w:hideMark/>
          </w:tcPr>
          <w:p w14:paraId="6F1F40E3"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TIK</w:t>
            </w:r>
          </w:p>
        </w:tc>
        <w:tc>
          <w:tcPr>
            <w:tcW w:w="2170" w:type="pct"/>
            <w:noWrap/>
            <w:hideMark/>
          </w:tcPr>
          <w:p w14:paraId="1D09311D"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Teknologjia Informative dhe Komunikimi</w:t>
            </w:r>
          </w:p>
        </w:tc>
        <w:tc>
          <w:tcPr>
            <w:tcW w:w="382" w:type="pct"/>
            <w:noWrap/>
            <w:hideMark/>
          </w:tcPr>
          <w:p w14:paraId="04ADE7B3"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KBR</w:t>
            </w:r>
          </w:p>
        </w:tc>
        <w:tc>
          <w:tcPr>
            <w:tcW w:w="2026" w:type="pct"/>
            <w:noWrap/>
            <w:hideMark/>
          </w:tcPr>
          <w:p w14:paraId="1E9E806B"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Këshilli për Bashkëpunim Rajonal</w:t>
            </w:r>
          </w:p>
        </w:tc>
      </w:tr>
      <w:tr w:rsidR="00085F16" w:rsidRPr="00FE2833" w14:paraId="56AB4C94" w14:textId="77777777" w:rsidTr="00085F16">
        <w:trPr>
          <w:trHeight w:val="19"/>
        </w:trPr>
        <w:tc>
          <w:tcPr>
            <w:tcW w:w="422" w:type="pct"/>
            <w:noWrap/>
            <w:hideMark/>
          </w:tcPr>
          <w:p w14:paraId="47033867"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TKPK</w:t>
            </w:r>
          </w:p>
        </w:tc>
        <w:tc>
          <w:tcPr>
            <w:tcW w:w="2170" w:type="pct"/>
            <w:noWrap/>
            <w:hideMark/>
          </w:tcPr>
          <w:p w14:paraId="61979378"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Trusti i Kursimeve Pensionale të Kosovës</w:t>
            </w:r>
          </w:p>
        </w:tc>
        <w:tc>
          <w:tcPr>
            <w:tcW w:w="382" w:type="pct"/>
            <w:noWrap/>
            <w:hideMark/>
          </w:tcPr>
          <w:p w14:paraId="0F014A73"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SPP</w:t>
            </w:r>
          </w:p>
        </w:tc>
        <w:tc>
          <w:tcPr>
            <w:tcW w:w="2026" w:type="pct"/>
            <w:noWrap/>
            <w:hideMark/>
          </w:tcPr>
          <w:p w14:paraId="3F91C7D0" w14:textId="77777777" w:rsidR="00085F16" w:rsidRPr="00FE2833" w:rsidRDefault="00085F16" w:rsidP="00085F16">
            <w:pPr>
              <w:pStyle w:val="NoSpacing"/>
              <w:rPr>
                <w:rFonts w:ascii="Times New Roman" w:hAnsi="Times New Roman"/>
                <w:sz w:val="18"/>
                <w:szCs w:val="18"/>
                <w:lang w:val="sq-AL"/>
              </w:rPr>
            </w:pPr>
            <w:r w:rsidRPr="00FE2833">
              <w:rPr>
                <w:rFonts w:ascii="Times New Roman" w:hAnsi="Times New Roman"/>
                <w:sz w:val="18"/>
                <w:szCs w:val="18"/>
                <w:lang w:val="sq-AL"/>
              </w:rPr>
              <w:t xml:space="preserve">Renditja e projekteve </w:t>
            </w:r>
          </w:p>
        </w:tc>
      </w:tr>
    </w:tbl>
    <w:p w14:paraId="04A5B7B0" w14:textId="77777777" w:rsidR="00085F16" w:rsidRPr="00DB424C" w:rsidRDefault="00085F16" w:rsidP="00802FB3">
      <w:pPr>
        <w:pStyle w:val="ListParagraph"/>
        <w:numPr>
          <w:ilvl w:val="0"/>
          <w:numId w:val="96"/>
        </w:numPr>
        <w:spacing w:line="276" w:lineRule="auto"/>
        <w:rPr>
          <w:sz w:val="20"/>
          <w:szCs w:val="20"/>
          <w:lang w:eastAsia="ja-JP"/>
        </w:rPr>
        <w:sectPr w:rsidR="00085F16" w:rsidRPr="00DB424C" w:rsidSect="00085F16">
          <w:headerReference w:type="even" r:id="rId23"/>
          <w:headerReference w:type="default" r:id="rId24"/>
          <w:headerReference w:type="first" r:id="rId25"/>
          <w:pgSz w:w="11909" w:h="16834"/>
          <w:pgMar w:top="1440" w:right="1080" w:bottom="1440" w:left="1080" w:header="0" w:footer="360" w:gutter="0"/>
          <w:cols w:space="720"/>
          <w:noEndnote/>
          <w:docGrid w:linePitch="360"/>
        </w:sectPr>
      </w:pPr>
    </w:p>
    <w:p w14:paraId="6484A052" w14:textId="0F10D7F9" w:rsidR="00085F16" w:rsidRPr="00CD59E1" w:rsidRDefault="00085F16" w:rsidP="00085F16">
      <w:pPr>
        <w:pStyle w:val="ERPL1"/>
      </w:pPr>
      <w:bookmarkStart w:id="16" w:name="_Toc25873713"/>
      <w:r>
        <w:t xml:space="preserve">1. </w:t>
      </w:r>
      <w:r w:rsidRPr="00CD59E1">
        <w:t>KO</w:t>
      </w:r>
      <w:r>
        <w:t>RNIZA E PËRGJITHSHME E POLITIKAVE</w:t>
      </w:r>
      <w:r w:rsidRPr="00CD59E1">
        <w:t xml:space="preserve"> DHE OBJEKTIVAT</w:t>
      </w:r>
      <w:bookmarkEnd w:id="16"/>
    </w:p>
    <w:p w14:paraId="4F074B45" w14:textId="77777777" w:rsidR="00085F16" w:rsidRPr="00B922C3" w:rsidRDefault="00085F16" w:rsidP="00085F16">
      <w:pPr>
        <w:spacing w:after="120" w:line="276" w:lineRule="auto"/>
        <w:jc w:val="both"/>
        <w:rPr>
          <w:rFonts w:ascii="Times New Roman" w:hAnsi="Times New Roman" w:cs="Times New Roman"/>
          <w:sz w:val="24"/>
          <w:szCs w:val="24"/>
        </w:rPr>
      </w:pPr>
      <w:r w:rsidRPr="00B922C3">
        <w:rPr>
          <w:rFonts w:ascii="Times New Roman" w:hAnsi="Times New Roman" w:cs="Times New Roman"/>
          <w:sz w:val="24"/>
          <w:szCs w:val="24"/>
        </w:rPr>
        <w:t>Procesi i hartimit të Programit të Reformave në Ekonomi (PRE) 2020-2022 është udhëhequr nga Ministri i Financave si Koordinator Nacional dhe është koordinuar nga Ministria e Financave, Zyra për Planifikim Strategjik (ZPS) e Zyrës së Kryeministrit, si dhe koordinatorët e fushave nga ministritë e linjës. Koordinatorët janë takuar rregullisht për të diskutuar përmbajtjen e masave, konsistencën e tyre me dokumentet përkatëse strategjike dhe rekomandimet e politikave që kanë rezultuar nga Dialogu Ekonomik dhe Fiskal me Komisionin Evropian</w:t>
      </w:r>
    </w:p>
    <w:p w14:paraId="65DF7BF8" w14:textId="77777777" w:rsidR="00085F16" w:rsidRPr="00B922C3" w:rsidRDefault="00085F16" w:rsidP="00085F16">
      <w:pPr>
        <w:spacing w:after="120" w:line="276" w:lineRule="auto"/>
        <w:jc w:val="both"/>
        <w:rPr>
          <w:rFonts w:ascii="Times New Roman" w:hAnsi="Times New Roman" w:cs="Times New Roman"/>
          <w:sz w:val="24"/>
          <w:szCs w:val="24"/>
        </w:rPr>
      </w:pPr>
      <w:r w:rsidRPr="00B922C3">
        <w:rPr>
          <w:rFonts w:ascii="Times New Roman" w:hAnsi="Times New Roman" w:cs="Times New Roman"/>
          <w:sz w:val="24"/>
          <w:szCs w:val="24"/>
        </w:rPr>
        <w:t>Grupet punuese ndërministrore janë takuar për të siguruar që aktivitetet afatshkurtra nga PRE janë të përfshira në Planin Vjetor të Punës së Qeverisë (PVPQ) për vitin 2020 dhe janë në përputhje me Planin Kombëtar për Zbatimin e MSA-së (PKZMSA) dhe Agjendën e Reformave Evropiane (ERA), si dhe propozim-buxhetin për vitin 2020. ZPS në bashkëpunim me koordinatorët e fushave ka siguruar se shumica e masave janë drejtpërdrejt të ndërlidhura me Strategjinë Kombëtare për Zhvillim dhe Udhërrëfyesin për Zbatimin e saj.</w:t>
      </w:r>
    </w:p>
    <w:p w14:paraId="49A3B422" w14:textId="77777777" w:rsidR="00085F16" w:rsidRPr="00B922C3" w:rsidRDefault="00085F16" w:rsidP="00085F16">
      <w:pPr>
        <w:spacing w:after="120" w:line="276" w:lineRule="auto"/>
        <w:jc w:val="both"/>
        <w:rPr>
          <w:rFonts w:ascii="Times New Roman" w:hAnsi="Times New Roman" w:cs="Times New Roman"/>
          <w:sz w:val="24"/>
          <w:szCs w:val="24"/>
        </w:rPr>
      </w:pPr>
      <w:r w:rsidRPr="00B922C3">
        <w:rPr>
          <w:rFonts w:ascii="Times New Roman" w:hAnsi="Times New Roman" w:cs="Times New Roman"/>
          <w:sz w:val="24"/>
          <w:szCs w:val="24"/>
        </w:rPr>
        <w:t>Qeveria mbetet e përkushtuar në ruajtjen e një mjedisi të qëndrueshëm makroekonomik, fuqizimin e rritjes ekonomike dhe perspektivës më të mirë të punësimit. Korniza e përgjithshme e politikave të PRE-së është një kombinim i: (1) politikave fiskale të bazuara në rregulla të orientuara drejt stabilitetit të financave publike brenda hapësirës së disponueshme fiskale, në mbështetje të rritjes ekonomike përmes investimeve kapitale, rritjes së financimit për fushat prioritare, dhe lehtësirave tatimore për prodhuesit vendor; dhe (2) reformave prioritare strukturore që adresojnë pengesat kryesore për rritje ekonomike, në mbështetje të zhvillimit të sektorëve ekonomik konkurrues dhe sigurojnë se rritja ekonomike është gjithëpërfshirëse dhe synon rritjen e mirëqenies.</w:t>
      </w:r>
    </w:p>
    <w:p w14:paraId="28424A6E" w14:textId="77777777" w:rsidR="00085F16" w:rsidRPr="00B922C3" w:rsidRDefault="00085F16" w:rsidP="00085F16">
      <w:pPr>
        <w:spacing w:after="120" w:line="276" w:lineRule="auto"/>
        <w:jc w:val="both"/>
        <w:rPr>
          <w:rFonts w:ascii="Times New Roman" w:hAnsi="Times New Roman" w:cs="Times New Roman"/>
          <w:sz w:val="24"/>
          <w:szCs w:val="24"/>
        </w:rPr>
      </w:pPr>
      <w:r w:rsidRPr="00B922C3">
        <w:rPr>
          <w:rFonts w:ascii="Times New Roman" w:hAnsi="Times New Roman" w:cs="Times New Roman"/>
          <w:sz w:val="24"/>
          <w:szCs w:val="24"/>
        </w:rPr>
        <w:t>Politikat fiskale të planifikuara në PRE dhe KASH mbështesin rritje ekonomike dhe agjendë të reformave strukturore, duke siguruar që shpenzimet për investime publike mbarëvahen në mbi 10% të BPV-së, dhe veç përmirësimit të infrastukturës në transport, përfshijnë investime në institucionet arsimore dhe shëndetësore, bujqësi dhe zhvillim rural, ujitje dhe trajtim të ujërave të zeza. Gjithashtu, propozim-buxheti për vitin 2020 përfshin rritje substanciale të financimit për fushat prioritare: përmirësimin e kualitetit të gjyqësorit, dhe ngritjen e cilësisë së arsimit dhe shëndetësisë.</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1" w:themeFillTint="33"/>
        <w:tblLook w:val="04A0" w:firstRow="1" w:lastRow="0" w:firstColumn="1" w:lastColumn="0" w:noHBand="0" w:noVBand="1"/>
      </w:tblPr>
      <w:tblGrid>
        <w:gridCol w:w="9350"/>
      </w:tblGrid>
      <w:tr w:rsidR="00085F16" w:rsidRPr="00B922C3" w14:paraId="443EA05E" w14:textId="77777777" w:rsidTr="00B922C3">
        <w:tc>
          <w:tcPr>
            <w:tcW w:w="5000" w:type="pct"/>
            <w:shd w:val="clear" w:color="auto" w:fill="DEEAF6" w:themeFill="accent1" w:themeFillTint="33"/>
          </w:tcPr>
          <w:p w14:paraId="122E1BC8" w14:textId="77777777" w:rsidR="00085F16" w:rsidRPr="00B922C3" w:rsidRDefault="00085F16" w:rsidP="00085F16">
            <w:pPr>
              <w:pBdr>
                <w:bottom w:val="single" w:sz="4" w:space="1" w:color="auto"/>
              </w:pBdr>
              <w:spacing w:before="100" w:after="100"/>
              <w:jc w:val="both"/>
              <w:rPr>
                <w:rFonts w:ascii="Times New Roman" w:hAnsi="Times New Roman" w:cs="Times New Roman"/>
                <w:b/>
              </w:rPr>
            </w:pPr>
            <w:r w:rsidRPr="00B922C3">
              <w:rPr>
                <w:rFonts w:ascii="Times New Roman" w:hAnsi="Times New Roman" w:cs="Times New Roman"/>
                <w:b/>
              </w:rPr>
              <w:t>Kutia informuese 1. Adresimi i rekomandimeve të politikave nga Dialogu Ekonomik dhe Financiar në Maj 2019</w:t>
            </w:r>
          </w:p>
          <w:p w14:paraId="0DEC7584" w14:textId="77777777" w:rsidR="00085F16" w:rsidRPr="00B922C3" w:rsidRDefault="00085F16" w:rsidP="00085F16">
            <w:pPr>
              <w:spacing w:before="120"/>
              <w:jc w:val="both"/>
              <w:rPr>
                <w:rFonts w:ascii="Times New Roman" w:hAnsi="Times New Roman" w:cs="Times New Roman"/>
                <w:i/>
              </w:rPr>
            </w:pPr>
            <w:r w:rsidRPr="00B922C3">
              <w:rPr>
                <w:rFonts w:ascii="Times New Roman" w:hAnsi="Times New Roman" w:cs="Times New Roman"/>
                <w:i/>
              </w:rPr>
              <w:t xml:space="preserve">1. “[1.A.] Të përfundohen proceset e certifikimit dhe riklasifikimit të veteranëve të luftës, në mënyrë që të ulen kostot e skemës së pensioneve të veteranëve të luftës, në përputhje me legjislacionin aktual. [1.B.] Të sigurohet, nëse është e nevojshme përmes legjislacionit sekondar të Ligjit për Paga që buxheti i vitit 2020 të jetë në përputhje me rregullat ekzistuese fiskale, veçanërisht me rregullin e faturës së pagave. [1.C] Të përmirësohet mledhja e të hyrave tatimore në mënyrë që parashikimet ambicioze të të hyrave për vitin 2019 të përmbushen plotësisht" </w:t>
            </w:r>
          </w:p>
          <w:p w14:paraId="436502B9" w14:textId="77777777" w:rsidR="00085F16" w:rsidRPr="00B922C3" w:rsidRDefault="00085F16" w:rsidP="00085F16">
            <w:pPr>
              <w:spacing w:before="120"/>
              <w:jc w:val="both"/>
              <w:rPr>
                <w:rFonts w:ascii="Times New Roman" w:hAnsi="Times New Roman" w:cs="Times New Roman"/>
              </w:rPr>
            </w:pPr>
            <w:r w:rsidRPr="00B922C3">
              <w:rPr>
                <w:rFonts w:ascii="Times New Roman" w:hAnsi="Times New Roman" w:cs="Times New Roman"/>
                <w:i/>
              </w:rPr>
              <w:t xml:space="preserve"> </w:t>
            </w:r>
            <w:r w:rsidRPr="00B922C3">
              <w:rPr>
                <w:rFonts w:ascii="Times New Roman" w:hAnsi="Times New Roman" w:cs="Times New Roman"/>
              </w:rPr>
              <w:t xml:space="preserve">[1.A.] Është krijuar një komision i posaçëm për kategorizimin e listës së veteranëve. Deri më tani, rregullat e procedurave të Komisionit janë përgatitur dhe pritet të nënshkruhe nga qeveria. Sidoqoftë, në buxhetin e vitit 2019, dhe parashikimet e buxhetit për vitin 2020, Ministria e Financave ka planifikuar burime buxhetore për të paguar skemën e veteranëve të luftës, në përputhje me detyrimet ligjore aktuale në fuqi. </w:t>
            </w:r>
          </w:p>
          <w:p w14:paraId="15264EC6" w14:textId="77777777" w:rsidR="00085F16" w:rsidRPr="00B922C3" w:rsidRDefault="00085F16" w:rsidP="00085F16">
            <w:pPr>
              <w:spacing w:before="120"/>
              <w:jc w:val="both"/>
              <w:rPr>
                <w:rFonts w:ascii="Times New Roman" w:hAnsi="Times New Roman" w:cs="Times New Roman"/>
              </w:rPr>
            </w:pPr>
            <w:r w:rsidRPr="00B922C3">
              <w:rPr>
                <w:rFonts w:ascii="Times New Roman" w:hAnsi="Times New Roman" w:cs="Times New Roman"/>
              </w:rPr>
              <w:t>[1.B.] Grupet punuese për aktet nënligjore që rrjedhin nga Ligji i Pagave, janë duke punuar në hartimin e akteve nënligjore që janë të nevojshme për fillimin e zbatimit të këtij ligji në dhjetor 2019, duke mbajtur fokusin në pajtueshmëri me rregullin e pagës.</w:t>
            </w:r>
          </w:p>
          <w:p w14:paraId="79A8B40E" w14:textId="77777777" w:rsidR="00085F16" w:rsidRPr="00B922C3" w:rsidRDefault="00085F16" w:rsidP="00085F16">
            <w:pPr>
              <w:spacing w:before="120"/>
              <w:jc w:val="both"/>
              <w:rPr>
                <w:rFonts w:ascii="Times New Roman" w:hAnsi="Times New Roman" w:cs="Times New Roman"/>
              </w:rPr>
            </w:pPr>
            <w:r w:rsidRPr="00B922C3">
              <w:rPr>
                <w:rFonts w:ascii="Times New Roman" w:hAnsi="Times New Roman" w:cs="Times New Roman"/>
              </w:rPr>
              <w:t>[1.C] Gjatë periudhës janar - tetor 2019, Administrata Tatimore e Kosovës (ATK) ka mbledhur 432.4 milion euro, e cila në krahasim me të njëjtën periudhë të vitit të kaluar ka mbledhur 40.7 milion euro ose 10.4% më shumë (më shumë se dy herë rritja e BPV-së). Për më tepër, stoku i borxhit tatimor ka rënë për 5.6% (20.9 milion) krahasuar me fundin e vitit të kaluar. Për më tepër, mbledhja e borxhit tatimor këtë vit arriti në 83.7 milion euro që reflekton një rritje prej 32% krahasuar me 63.4 milion euro të vitit të kaluar.</w:t>
            </w:r>
          </w:p>
          <w:p w14:paraId="58106AC8" w14:textId="77777777" w:rsidR="00085F16" w:rsidRPr="00B922C3" w:rsidRDefault="00085F16" w:rsidP="00085F16">
            <w:pPr>
              <w:spacing w:before="120"/>
              <w:jc w:val="both"/>
              <w:rPr>
                <w:rFonts w:ascii="Times New Roman" w:hAnsi="Times New Roman" w:cs="Times New Roman"/>
              </w:rPr>
            </w:pPr>
            <w:r w:rsidRPr="00B922C3">
              <w:rPr>
                <w:rFonts w:ascii="Times New Roman" w:hAnsi="Times New Roman" w:cs="Times New Roman"/>
              </w:rPr>
              <w:t>2. “[2.A.] Të përmirësohet mbikëqyrja financiare dhe përgjegjshmëria e ndërmarrjeve në pronësi publike [2.B.] Të forcohen  kapacitetet institucionale në nivelet e qeverisjes qendrore dhe lokale për planifikimin e investimeve shumëvjeçare dhe menaxhimin e projekeve investive në mënyrë që të përmirësohet ekzekutimi i shpenzimeve kapitale. "[2.C.] Të përgatitet një dokument që shtjellon mundësitë për krijimin e një organi të pavarur për mbikëqyrjen fiskale për konsultime të mëtutjeshme me palët e interesuara, përfshirë BE-në"</w:t>
            </w:r>
          </w:p>
          <w:p w14:paraId="08DD5180" w14:textId="77777777" w:rsidR="00085F16" w:rsidRPr="00B922C3" w:rsidRDefault="00085F16" w:rsidP="00085F16">
            <w:pPr>
              <w:tabs>
                <w:tab w:val="left" w:pos="850"/>
                <w:tab w:val="left" w:pos="1191"/>
                <w:tab w:val="left" w:pos="1531"/>
              </w:tabs>
              <w:spacing w:before="240"/>
              <w:jc w:val="both"/>
              <w:rPr>
                <w:rFonts w:ascii="Times New Roman" w:hAnsi="Times New Roman" w:cs="Times New Roman"/>
                <w:i/>
              </w:rPr>
            </w:pPr>
            <w:r w:rsidRPr="00B922C3">
              <w:rPr>
                <w:rFonts w:ascii="Times New Roman" w:hAnsi="Times New Roman" w:cs="Times New Roman"/>
                <w:i/>
              </w:rPr>
              <w:t>2. “[2.A.] Të përmirësohet mbikëqyrja financiare dhe përgjegjshmëria e ndërmarrjeve në pronësi publike [2.B.] Të forcohen  kapacitetet institucionale në nivelet e qeverisjes qendrore dhe lokale për planifikimin e investimeve shumëvjeçare dhe menaxhimin e projekeve investive në mënyrë që të përmirësohet ekzekutimi i shpenzimeve kapitale. "[2.C.] Të përgatitet një dokument që shtjellon mundësitë për krijimin e një organi të pavarur për mbikëqyrjen fiskale për konsultime të mëtutjeshme me palët e interesuara, përfshirë BE-në"</w:t>
            </w:r>
          </w:p>
          <w:p w14:paraId="2D8C62FC" w14:textId="77777777" w:rsidR="00085F16" w:rsidRPr="00B922C3" w:rsidRDefault="00085F16" w:rsidP="00085F16">
            <w:pPr>
              <w:spacing w:before="120" w:after="240"/>
              <w:jc w:val="both"/>
              <w:rPr>
                <w:rFonts w:ascii="Times New Roman" w:hAnsi="Times New Roman" w:cs="Times New Roman"/>
                <w:color w:val="FF0000"/>
              </w:rPr>
            </w:pPr>
            <w:r w:rsidRPr="00B922C3">
              <w:rPr>
                <w:rFonts w:ascii="Times New Roman" w:hAnsi="Times New Roman" w:cs="Times New Roman"/>
                <w:color w:val="FF0000"/>
              </w:rPr>
              <w:t xml:space="preserve">[2.A]. </w:t>
            </w:r>
          </w:p>
          <w:p w14:paraId="7DBE1BF5" w14:textId="77777777" w:rsidR="00085F16" w:rsidRPr="00B922C3" w:rsidRDefault="00085F16" w:rsidP="00085F16">
            <w:pPr>
              <w:spacing w:before="120"/>
              <w:jc w:val="both"/>
              <w:rPr>
                <w:rFonts w:ascii="Times New Roman" w:hAnsi="Times New Roman" w:cs="Times New Roman"/>
                <w:color w:val="000000" w:themeColor="text1"/>
              </w:rPr>
            </w:pPr>
            <w:r w:rsidRPr="00B922C3">
              <w:rPr>
                <w:rFonts w:ascii="Times New Roman" w:hAnsi="Times New Roman" w:cs="Times New Roman"/>
                <w:color w:val="000000" w:themeColor="text1"/>
              </w:rPr>
              <w:t>[2.B.] Për të përmirësuar procesin e planifikimit dhe ekzekutimit të projekteve kapitale, Ministri i Financave ka nënshkruar udhëzimin administrativ për kriteret e përzgjedhjes së projekteve kapitale dhe prioritizimin e projekteve kapitale të cilat do të hyjnë në fuqi më 1 janar 2020. Fillimi i zbatimit të këtij udhëzimi nga organizatat buxhetore do të kenë një ndikim të drejtpërdrejtë dhe pozitiv për një planifikim buxhetor dhe ekzekutim të projekteve kapitale në mënyrë më efektive dhe efikase. Gjithashtu, është rënë dakord brenda MF (Departamenti i Buxhetit dhe Thesarit) për zbatimin e zotimeve shumëvjeçare për projekte kapitale, të ndikueshme nga rishikimi i legjislacionit në mënyrë që të zgjasë ndarjen e buxhetit përtej vitit fiskal (p.sh. ndarjet 3 vjeçare do të konsiderohen të vlefshme për këtë qëllim). Viti 2020 do të konsiderohet si faza e testimit, pastaj deri në vitin 2021 mund të aplikohet kjo qasje.</w:t>
            </w:r>
          </w:p>
          <w:p w14:paraId="014391F9" w14:textId="77777777" w:rsidR="00085F16" w:rsidRPr="00B922C3" w:rsidRDefault="00085F16" w:rsidP="00085F16">
            <w:pPr>
              <w:spacing w:before="120"/>
              <w:jc w:val="both"/>
              <w:rPr>
                <w:rFonts w:ascii="Times New Roman" w:hAnsi="Times New Roman" w:cs="Times New Roman"/>
                <w:color w:val="000000" w:themeColor="text1"/>
              </w:rPr>
            </w:pPr>
            <w:r w:rsidRPr="00B922C3">
              <w:rPr>
                <w:rFonts w:ascii="Times New Roman" w:hAnsi="Times New Roman" w:cs="Times New Roman"/>
                <w:color w:val="000000" w:themeColor="text1"/>
              </w:rPr>
              <w:t xml:space="preserve">[2.C.] Sa i përket Këshillit Fiskal (Trupi), ekzistojnë disa alternativa tashmë të konsideruara (duke hulumtuar Organet e ngjashme ekzistuese në vende të ndryshme), ndërsa gjatë vitit 2020 dokumenti i mundësive mund të paraqitet dhe të dakordohet me palët e interesit, i ndikuar nga vendimi i organeve legjislative të mëtutjeshme (Kuvendi / Qeveria). Disa nga çështjet, siç janë: statuti ligjor/akti i themelimit, funksionet dhe përgjegjësitë, përgjegjësia e Trupit, përbërja dhe mënyra se si mund t'i akomodojmë ato në kornizën ekzistuese kushtetuese/ligjore, etj. duhet të diskutohen dhe të bien dakord. </w:t>
            </w:r>
          </w:p>
          <w:p w14:paraId="1843BCA0" w14:textId="77777777" w:rsidR="00085F16" w:rsidRPr="00B922C3" w:rsidRDefault="00085F16" w:rsidP="00085F16">
            <w:pPr>
              <w:spacing w:before="240" w:after="240"/>
              <w:jc w:val="both"/>
              <w:rPr>
                <w:rFonts w:ascii="Times New Roman" w:hAnsi="Times New Roman" w:cs="Times New Roman"/>
                <w:i/>
              </w:rPr>
            </w:pPr>
            <w:r w:rsidRPr="00B922C3">
              <w:rPr>
                <w:rFonts w:ascii="Times New Roman" w:hAnsi="Times New Roman" w:cs="Times New Roman"/>
                <w:i/>
              </w:rPr>
              <w:t>3. “[3.A.] Të vazhdohet përmirësimi i mjeteve analitike të bankës qendrore, duke përfshirë edhe krijimin e një studimi të pritjeve të inflacionit. [3.B.] Të identifikohen dhe adresohen më tutje faktorët themelorë ligjorë dhe institucionalë që pengojnë qasjen në financa për NVM-të. [3.C.] Të monitorohet nga afër shfaqja e rreziqeve të mundshme të stabilitetit financiar që lidhen me segmentin e kredive të konsumatorëve, duke vendosur mjete të përshtatshme politikash mikro dhe makroprudenciale nëse është e nevojshme. [3.D.] Vendimet që kanë të bëjnë me mbajtjen e letrave me vlerë të qeverisë nga banka qendrore të bazohen në një politikë transparente investimesh, dhe gradualisht të zvogëlohet niveli i tyre për të shmangur tkurrjen e veprimtarisë së sektorit privat në tregun sekondar."</w:t>
            </w:r>
          </w:p>
          <w:p w14:paraId="79A7FE52" w14:textId="77777777" w:rsidR="00085F16" w:rsidRPr="00B922C3" w:rsidRDefault="00085F16" w:rsidP="00085F16">
            <w:pPr>
              <w:spacing w:before="120" w:after="240"/>
              <w:jc w:val="both"/>
              <w:rPr>
                <w:rFonts w:ascii="Times New Roman" w:hAnsi="Times New Roman" w:cs="Times New Roman"/>
              </w:rPr>
            </w:pPr>
            <w:r w:rsidRPr="00B922C3">
              <w:rPr>
                <w:rFonts w:ascii="Times New Roman" w:hAnsi="Times New Roman" w:cs="Times New Roman"/>
              </w:rPr>
              <w:t>[3.A.] Banka Qendrore e Kosovës (BQK) për herë të parë, filloi të vlerësojë pritjet e inflacionit në tremujorin e tretë të vitit 2019, fillimisht me bankat komerciale dhe pritet të zgjerohet me agjentët e tjerë ekonomikë në të ardhmen. Vlerësimet e marra nga bankat komerciale shoqërohen në mënyrë sasiore me shpërndarjet e probabilitetit. Pritjet e inflacionit vlerësohen për horizonte të ndryshme kohore, fillimisht pritjet për të gjithë vitin aktual, pasuar nga tremujorët e mbetur të atij viti por edhe pritjet e inflacionit për vitin e ardhshëm.</w:t>
            </w:r>
          </w:p>
          <w:p w14:paraId="3CD47DF9" w14:textId="77777777" w:rsidR="00085F16" w:rsidRPr="00B922C3" w:rsidRDefault="00085F16" w:rsidP="00085F16">
            <w:pPr>
              <w:spacing w:before="120" w:after="240"/>
              <w:jc w:val="both"/>
              <w:rPr>
                <w:rFonts w:ascii="Times New Roman" w:hAnsi="Times New Roman" w:cs="Times New Roman"/>
              </w:rPr>
            </w:pPr>
            <w:r w:rsidRPr="00B922C3">
              <w:rPr>
                <w:rFonts w:ascii="Times New Roman" w:hAnsi="Times New Roman" w:cs="Times New Roman"/>
              </w:rPr>
              <w:t>Bazuar në dy studime të bëra këtë vit, të gjitha bankat presin që inflacioni do të jetë më i lartë këtë vit krahasuar me vitin e kaluar dhe pothuajse të gjitha bankat presin që inflacioni do të jetë më i ulët vitin e ardhshëm krahasuar me këtë vit. Këto pritshmëri nuk ndryshojnë shumë nga parashikimet e BQK-së, pasi shkalla vjetore e pritjeve të inflacionit prej 2.6 përqind në vitin 2019 është afër parashikimit të BQK-së prej 2.3 përqind.</w:t>
            </w:r>
          </w:p>
          <w:p w14:paraId="3EF18429" w14:textId="77777777" w:rsidR="00085F16" w:rsidRPr="00B922C3" w:rsidRDefault="00085F16" w:rsidP="00085F16">
            <w:pPr>
              <w:spacing w:before="120" w:after="240"/>
              <w:jc w:val="both"/>
              <w:rPr>
                <w:rFonts w:ascii="Times New Roman" w:hAnsi="Times New Roman" w:cs="Times New Roman"/>
              </w:rPr>
            </w:pPr>
            <w:r w:rsidRPr="00B922C3">
              <w:rPr>
                <w:rFonts w:ascii="Times New Roman" w:hAnsi="Times New Roman" w:cs="Times New Roman"/>
              </w:rPr>
              <w:t>[3.B.] Gjatë viteve të kaluara, zbatimi efektiv i reformave të kërkesave legjislative dhe rregullatore ka kontribuar ndjeshëm në uljen e barrierave që pengojnë qasjen në financa. Veçanërisht, ka pasur progres në drejtim të agjentëve privatë të përmbarimit dhe ndryshime në Ligjin për Procedurën e Ekzekutimit. Këto veprime kanë pasur një ndikim pozitiv në ofertën e kredisë për sektorin privat. Ato kanë lejuar që bankat të lehtësojnë dy aspekte shumë të rëndësishme siç janë qasja në financa dhe lehtësimi i kërkesave të kolateralit, të cilat deri vonë ishin shumë të larta, dhe kanë kontribuar në uljen e normave të interesit për kreditë. Sektori bankar ka shënuar rritje të qëndrueshme që nga fillimi i funksionimit të tij në Kosovë. Bazuar në të dhënat nga shtatori 2019, raporti i kredisë ndaj BPV-së ishte rreth 41.3%, që e bën nivelin e ndërmjetësimit financiar në Kosovë të afrohet në mënyrë të sigurtë drejt raportit mesatar të vendeve në rajon. Bazuar në të dhënat nga shtatori 2019, rritja vjetore e kredisë ishte 10.3% (11.4% në shtator 2018). Kredia për korporatat shënoi një rritje vjetore prej 9.9% (11.7% në shtator 2018), ndërsa kredia e dhënë për ekonomitë familjare shënoi një rritje vjetore prej 10.8%; një ngadalësim në krahasim me të njëjtën periudhë të një viti më parë (11.3% në shtator 2018). BQK përmes kornizës së saj të politikave makroprudenciale po monitoron nga afër dinamikën e rritjes së kredisë.</w:t>
            </w:r>
          </w:p>
          <w:p w14:paraId="5267F667" w14:textId="77777777" w:rsidR="00085F16" w:rsidRPr="00B922C3" w:rsidRDefault="00085F16" w:rsidP="00085F16">
            <w:pPr>
              <w:spacing w:before="120" w:after="240"/>
              <w:jc w:val="both"/>
              <w:rPr>
                <w:rFonts w:ascii="Times New Roman" w:hAnsi="Times New Roman" w:cs="Times New Roman"/>
              </w:rPr>
            </w:pPr>
            <w:r w:rsidRPr="00B922C3">
              <w:rPr>
                <w:rFonts w:ascii="Times New Roman" w:hAnsi="Times New Roman" w:cs="Times New Roman"/>
              </w:rPr>
              <w:t>[3.D.] Konkurrenca në sektorin bankar dhe niveli i ulët i interesit në vitet e kaluara, në një mjedis me cilësi të lartë të portofolit të kredisë (niveli i ulët i KJP-ve dhe gjithnjë në përmirësim), ka rezultuar në një rritje dy shifrore të kredive në tre vitet e kaluara. Sidoqoftë, kreditë e reja ndaj ekonomive familjare që sipas të dhënave të shtatorit 2019 shënuan një rënie vjetore prej 0.4% (u rritën me 12.7% në të njëjtën periudhë të vitit të kaluar), si rezultat i rënies së kredive për konsum, ndërsa kreditë hipotekare vazhduan trendin e tyre të rritjes. Cilësia e portofolit aktual të kredive është e lartë (një raport prej 1.8% i KPJ për ekonomitë familjare), dhe perspektiva për burimet kryesore të financave në ekonomi janë optimiste, megjithatë, BQK po monitoron me kujdes aktivitetin e huadhënies ndaj ekonomive familjare, përmes kornizës së politikave makro prudenciale që posedon.</w:t>
            </w:r>
          </w:p>
          <w:p w14:paraId="7964C1A1" w14:textId="77777777" w:rsidR="00085F16" w:rsidRPr="00B922C3" w:rsidRDefault="00085F16" w:rsidP="00085F16">
            <w:pPr>
              <w:spacing w:before="120" w:after="240"/>
              <w:jc w:val="both"/>
              <w:rPr>
                <w:rFonts w:ascii="Times New Roman" w:hAnsi="Times New Roman" w:cs="Times New Roman"/>
              </w:rPr>
            </w:pPr>
            <w:r w:rsidRPr="00B922C3">
              <w:rPr>
                <w:rFonts w:ascii="Times New Roman" w:hAnsi="Times New Roman" w:cs="Times New Roman"/>
              </w:rPr>
              <w:t xml:space="preserve">[3.D.] Investimi i BQK-së udhëhiqet nga Ligji për Bankën Qendrore të Republikës së Kosovës dhe Politikat Investive të brendshme të saj, dhe rrjedhimisht BQK investon dhe monitoron ekspozimin e saj me shumë kujdes. BQK-ja ka të drejtë të blejë, mbajë dhe tregtojë letra me vlerë në tregun sekondar, të lëshuara dhe të garantuara nga Republika e Kosovës. Letrat me vlerë të qeverisë blihen direkt nga tregtarët kryesorë, bankat komerciale, të cilat kanë mundësi dhe janë të gatshme për të tregtuar me letra me vlerë me çmime të caktuara. </w:t>
            </w:r>
          </w:p>
          <w:p w14:paraId="29653321" w14:textId="77777777" w:rsidR="00085F16" w:rsidRPr="00FC648F" w:rsidRDefault="00085F16" w:rsidP="00085F16">
            <w:pPr>
              <w:spacing w:before="120" w:after="240"/>
              <w:jc w:val="both"/>
              <w:rPr>
                <w:rFonts w:ascii="Times New Roman" w:hAnsi="Times New Roman" w:cs="Times New Roman"/>
                <w:i/>
              </w:rPr>
            </w:pPr>
            <w:r w:rsidRPr="00FC648F">
              <w:rPr>
                <w:rFonts w:ascii="Times New Roman" w:hAnsi="Times New Roman" w:cs="Times New Roman"/>
                <w:i/>
              </w:rPr>
              <w:t>4. “[4.A.] Rritja e stimujve të efikasitetit të energjisë për sektorin privat dhe familjet; [4.B.] Miratoni një plan që përfshin rregullimin gradual të tarifave të energjisë që reflektojnë rritje të pritshme të kostove dhe masa zbutëse për konsumatorët në nevojë [4.C.] Përmirësimi i skemave mbështetëse për projektet e energjisë së ripërtrishme me prezantimin e ofertave / ankandeve konkurruese për mbështetje të energjisë së ripërtrishme ".</w:t>
            </w:r>
          </w:p>
          <w:p w14:paraId="2A67335C" w14:textId="77777777" w:rsidR="00085F16" w:rsidRPr="00B922C3" w:rsidRDefault="00085F16" w:rsidP="00085F16">
            <w:pPr>
              <w:spacing w:before="120" w:after="240"/>
              <w:jc w:val="both"/>
              <w:rPr>
                <w:rFonts w:ascii="Times New Roman" w:hAnsi="Times New Roman" w:cs="Times New Roman"/>
              </w:rPr>
            </w:pPr>
            <w:r w:rsidRPr="00B922C3">
              <w:rPr>
                <w:rFonts w:ascii="Times New Roman" w:hAnsi="Times New Roman" w:cs="Times New Roman"/>
              </w:rPr>
              <w:t>[4.A.] Sipas rregullave të brendshme të Fondit, Fondi parashikon fillimisht mbështetjen e investimeve të sektorit publik, qëndrueshmërinë e Fondit dhe zhvillimin e stimujve të efikasitetit të energjisë për sektorin privat dhe familjet.</w:t>
            </w:r>
          </w:p>
          <w:p w14:paraId="542A1701" w14:textId="77777777" w:rsidR="00085F16" w:rsidRPr="00B922C3" w:rsidRDefault="00085F16" w:rsidP="00085F16">
            <w:pPr>
              <w:spacing w:before="120" w:after="240"/>
              <w:jc w:val="both"/>
              <w:rPr>
                <w:rFonts w:ascii="Times New Roman" w:hAnsi="Times New Roman" w:cs="Times New Roman"/>
              </w:rPr>
            </w:pPr>
            <w:r w:rsidRPr="00B922C3">
              <w:rPr>
                <w:rFonts w:ascii="Times New Roman" w:hAnsi="Times New Roman" w:cs="Times New Roman"/>
              </w:rPr>
              <w:t xml:space="preserve">[4.B.] Lidhur me rregullimin e çmimeve të furnizimit me energji elektrike, Zyra e Rregullatorit të Energjisë ka aprovuar Udhëzimin për Liberalizimin e Tregut të Energjisë në Kosovë. Bazuar në këtë udhëzim, hapat që do të merren për të rregulluar çmimet e konsumit të energjisë elektrike janë si më poshtë: </w:t>
            </w:r>
          </w:p>
          <w:p w14:paraId="6DC15F3F" w14:textId="77777777" w:rsidR="00085F16" w:rsidRPr="00FC648F" w:rsidRDefault="00085F16" w:rsidP="00802FB3">
            <w:pPr>
              <w:pStyle w:val="ListParagraph"/>
              <w:numPr>
                <w:ilvl w:val="0"/>
                <w:numId w:val="82"/>
              </w:numPr>
              <w:shd w:val="clear" w:color="auto" w:fill="DEEAF6" w:themeFill="accent1" w:themeFillTint="33"/>
              <w:spacing w:after="240" w:line="240" w:lineRule="auto"/>
              <w:jc w:val="both"/>
              <w:rPr>
                <w:rFonts w:ascii="Times New Roman" w:hAnsi="Times New Roman" w:cs="Times New Roman"/>
              </w:rPr>
            </w:pPr>
            <w:r w:rsidRPr="00FC648F">
              <w:rPr>
                <w:rFonts w:ascii="Times New Roman" w:hAnsi="Times New Roman" w:cs="Times New Roman"/>
              </w:rPr>
              <w:t>Konsumatorët e lidhur me nivelin e tensionit 110 kV janë të rregulluar, kështu që ata i nënshtrohen çmimeve të tregut;</w:t>
            </w:r>
          </w:p>
          <w:p w14:paraId="2E6FE495" w14:textId="77777777" w:rsidR="00085F16" w:rsidRPr="00B922C3" w:rsidRDefault="00085F16" w:rsidP="00802FB3">
            <w:pPr>
              <w:pStyle w:val="ListParagraph"/>
              <w:numPr>
                <w:ilvl w:val="0"/>
                <w:numId w:val="82"/>
              </w:numPr>
              <w:shd w:val="clear" w:color="auto" w:fill="DEEAF6" w:themeFill="accent1" w:themeFillTint="33"/>
              <w:spacing w:after="240" w:line="240" w:lineRule="auto"/>
              <w:jc w:val="both"/>
              <w:rPr>
                <w:rFonts w:ascii="Times New Roman" w:hAnsi="Times New Roman" w:cs="Times New Roman"/>
                <w:lang w:val="en"/>
              </w:rPr>
            </w:pPr>
            <w:r w:rsidRPr="00B922C3">
              <w:rPr>
                <w:rFonts w:ascii="Times New Roman" w:hAnsi="Times New Roman" w:cs="Times New Roman"/>
                <w:lang w:val="en"/>
              </w:rPr>
              <w:t>Konsumatorët e lidhur me nivelin e tensionit prej 35 kV do të rregullohen deri më 31 Mars 2020;</w:t>
            </w:r>
          </w:p>
          <w:p w14:paraId="15A0E2CD" w14:textId="77777777" w:rsidR="00085F16" w:rsidRPr="00B922C3" w:rsidRDefault="00085F16" w:rsidP="00802FB3">
            <w:pPr>
              <w:pStyle w:val="ListParagraph"/>
              <w:numPr>
                <w:ilvl w:val="0"/>
                <w:numId w:val="82"/>
              </w:numPr>
              <w:shd w:val="clear" w:color="auto" w:fill="DEEAF6" w:themeFill="accent1" w:themeFillTint="33"/>
              <w:spacing w:after="240" w:line="240" w:lineRule="auto"/>
              <w:jc w:val="both"/>
              <w:rPr>
                <w:rFonts w:ascii="Times New Roman" w:hAnsi="Times New Roman" w:cs="Times New Roman"/>
                <w:lang w:val="en"/>
              </w:rPr>
            </w:pPr>
            <w:r w:rsidRPr="00B922C3">
              <w:rPr>
                <w:rFonts w:ascii="Times New Roman" w:hAnsi="Times New Roman" w:cs="Times New Roman"/>
                <w:lang w:val="en"/>
              </w:rPr>
              <w:t>Konsumatorët e lidhur me nivelin e tensionit 10 kV do të rregullohen deri më 31 Mars 2021;</w:t>
            </w:r>
          </w:p>
          <w:p w14:paraId="58298E90" w14:textId="77777777" w:rsidR="00085F16" w:rsidRPr="00B922C3" w:rsidRDefault="00085F16" w:rsidP="00085F16">
            <w:pPr>
              <w:spacing w:before="120" w:after="240"/>
              <w:jc w:val="both"/>
              <w:rPr>
                <w:rFonts w:ascii="Times New Roman" w:hAnsi="Times New Roman" w:cs="Times New Roman"/>
              </w:rPr>
            </w:pPr>
            <w:r w:rsidRPr="00B922C3">
              <w:rPr>
                <w:rFonts w:ascii="Times New Roman" w:hAnsi="Times New Roman" w:cs="Times New Roman"/>
              </w:rPr>
              <w:t>Edhe pse në Udhëzimin për Liberalizimin e Tregut të Energjisë në Kosovë që u miratua në janar 2017 u përcaktuan hapa konkretë për rregullimin e konsumatorëve të energjisë elektrike, ZRRE mori kërkesa të shumta nga konsumatorët dhe Dhomat e Tregtisë që përfaqësojnë interesat e tyre, për zgjatjen e afatin për liberalizimin e tregut të energjisë elektrike, dhe ka marrë një rekomandim nga Komisioni Parlamentar i Zhvillimit Ekonomik, Tregtisë, Industrisë dhe Zhvillimit Rajonal, për të konsideruar mundësinë e zgjatjes së afatit për liberalizimin e tregut.</w:t>
            </w:r>
          </w:p>
          <w:p w14:paraId="4D4F1E14" w14:textId="77777777" w:rsidR="00085F16" w:rsidRPr="00B922C3" w:rsidRDefault="00085F16" w:rsidP="00085F16">
            <w:pPr>
              <w:spacing w:before="120" w:after="240"/>
              <w:jc w:val="both"/>
              <w:rPr>
                <w:rFonts w:ascii="Times New Roman" w:hAnsi="Times New Roman" w:cs="Times New Roman"/>
              </w:rPr>
            </w:pPr>
            <w:r w:rsidRPr="00B922C3">
              <w:rPr>
                <w:rFonts w:ascii="Times New Roman" w:hAnsi="Times New Roman" w:cs="Times New Roman"/>
              </w:rPr>
              <w:t>Kur ka analizuar situatën e sektorit të energjisë elektrike, ZRRE ka vërejtur disa mangësi në procesin e liberalizimit të tregut të energjisë elektrike siç thuhet në Udhëzim, siç janë: furnizuesit e licencuar të energjisë elektrike nuk janë aktiv (përveç furnizuesit aktual) dhe pamundësia për konsumatorët për të gjetur furnizuesit. ZRRE konsideroi që hyrja në tregun e parregulluar të kësaj kategorie të konsumatorëve do të reflektojë rritjen e çmimit të energjisë elektrike për shkak të mungesës së konkurrencës, duke diskriminuar kështu këto kategori të konsumatorëve në krahasim me konsumatorët e tjerë me tarifa të rregulluara.</w:t>
            </w:r>
          </w:p>
          <w:p w14:paraId="6F41B117" w14:textId="77777777" w:rsidR="00085F16" w:rsidRPr="00B922C3" w:rsidRDefault="00085F16" w:rsidP="00085F16">
            <w:pPr>
              <w:spacing w:before="120" w:after="240"/>
              <w:jc w:val="both"/>
              <w:rPr>
                <w:rFonts w:ascii="Times New Roman" w:hAnsi="Times New Roman" w:cs="Times New Roman"/>
                <w:color w:val="000000" w:themeColor="text1"/>
              </w:rPr>
            </w:pPr>
            <w:r w:rsidRPr="00B922C3">
              <w:rPr>
                <w:rFonts w:ascii="Times New Roman" w:hAnsi="Times New Roman" w:cs="Times New Roman"/>
              </w:rPr>
              <w:t>Bazuar në këto rrethana, Bordi i ZRRE-së, në seancën e datës 28 Mars 2019, shqyrtoi kërkesat e palëve të interesuara dhe vendosi të ndryshojë Udhëzimin për Liberalizimin e Tregut të Energjisë Elektrike, përkatësisht nenin 8, paragrafi 1, nënparagrafin 1.3 të këtij Udhëzimi . Ndryshimi i këtij Udhëzimi ka të bëjë me zgjatjen e afatit për kalimin e konsumatorëve të lidhur në nivelin e tensionit prej 35 kV dhe 10 kV për një vit, ku afati i kalimit të konsumatorëve të lidhur me nivelin e tensionit 35 kV, të cilët ishin për të kaluar në tregun e parregulluar më 1 Prill 2019, sipas ndryshimit të Udhëzimit, shtyhet deri më 31 Mars 2020, ndërsa afati për konsumatorët e lidhur me nivelin e tensionit 10 kV, të cilët do të kalonin në treg të parregulluar në 01 Prill 2020, shtyhet deri më 31 Mars 2021.</w:t>
            </w:r>
          </w:p>
          <w:p w14:paraId="4633B8AA" w14:textId="77777777" w:rsidR="00085F16" w:rsidRPr="00B922C3" w:rsidRDefault="00085F16" w:rsidP="00085F16">
            <w:pPr>
              <w:spacing w:before="120" w:after="240"/>
              <w:jc w:val="both"/>
              <w:rPr>
                <w:rFonts w:ascii="Times New Roman" w:hAnsi="Times New Roman" w:cs="Times New Roman"/>
                <w:i/>
                <w:iCs/>
              </w:rPr>
            </w:pPr>
            <w:r w:rsidRPr="00B922C3">
              <w:rPr>
                <w:rFonts w:ascii="Times New Roman" w:hAnsi="Times New Roman" w:cs="Times New Roman"/>
                <w:i/>
                <w:iCs/>
              </w:rPr>
              <w:t xml:space="preserve">[4.C.] Agjencia e Kosovës për Efiçiencë të Energjisë (AKEE) në kuadër të Ministrisë së Zhvillimit Ekonomik (MZHE) është duke punuar drejt hartimit të stimujve për sektorin privat me mbështetjen e BERZH-it, sipas Ligjit të EE-së, neni 10 Skema e Efikasitetit të Energjisë së Detyrueshme. Në vitin 2020, MZHE/AKEE do të hartojë një dokument (Kursimi i Energjisë dhe Kostot e Masave Alternative) i cili do të shërbejë si udhëzues drejt përmbushjes së detyrimeve për zbatimin e skemave të detyrueshme në Kosovë. </w:t>
            </w:r>
          </w:p>
          <w:p w14:paraId="49402E98" w14:textId="77777777" w:rsidR="00085F16" w:rsidRPr="00FC648F" w:rsidRDefault="00085F16" w:rsidP="00085F16">
            <w:pPr>
              <w:spacing w:before="120" w:after="240"/>
              <w:jc w:val="both"/>
              <w:rPr>
                <w:rFonts w:ascii="Times New Roman" w:hAnsi="Times New Roman" w:cs="Times New Roman"/>
                <w:i/>
              </w:rPr>
            </w:pPr>
            <w:r w:rsidRPr="00FC648F">
              <w:rPr>
                <w:rFonts w:ascii="Times New Roman" w:hAnsi="Times New Roman" w:cs="Times New Roman"/>
                <w:i/>
              </w:rPr>
              <w:t>5. “[5.A.] Të miratohet dhe sigurohet zbatimi iStrategjisë dhe Planit të ri të Veprimit 2019-2023 për të luftuar ekonominë joformale në përputhje me orarin e përcaktuar, duke integruar veprimet e duhura për të adresuar punën e padeklaruar.</w:t>
            </w:r>
          </w:p>
          <w:p w14:paraId="3E485915" w14:textId="77777777" w:rsidR="00085F16" w:rsidRPr="00B922C3" w:rsidRDefault="00085F16" w:rsidP="00085F16">
            <w:pPr>
              <w:spacing w:before="120" w:after="240"/>
              <w:jc w:val="both"/>
              <w:rPr>
                <w:rFonts w:ascii="Times New Roman" w:hAnsi="Times New Roman" w:cs="Times New Roman"/>
              </w:rPr>
            </w:pPr>
            <w:r w:rsidRPr="00B922C3">
              <w:rPr>
                <w:rFonts w:ascii="Times New Roman" w:hAnsi="Times New Roman" w:cs="Times New Roman"/>
              </w:rPr>
              <w:t>Strategjia Kombëtare e Parandalimit të Ekonomisë Joformale, Pastrimit të Parave, Financimit të Terrorizmit dhe Krimeve Financiare për vitet 2019-2023, është miratuar në mbledhjen e Qeverisë të 7 majit.</w:t>
            </w:r>
          </w:p>
          <w:p w14:paraId="788E48A0" w14:textId="77777777" w:rsidR="00085F16" w:rsidRPr="00B922C3" w:rsidRDefault="00085F16" w:rsidP="00085F16">
            <w:pPr>
              <w:spacing w:before="120" w:after="240"/>
              <w:jc w:val="both"/>
              <w:rPr>
                <w:rFonts w:ascii="Times New Roman" w:hAnsi="Times New Roman" w:cs="Times New Roman"/>
              </w:rPr>
            </w:pPr>
            <w:r w:rsidRPr="00B922C3">
              <w:rPr>
                <w:rFonts w:ascii="Times New Roman" w:hAnsi="Times New Roman" w:cs="Times New Roman"/>
              </w:rPr>
              <w:t>Procesi i hartimit të Strategjisë dhe Planit të Veprimit është bazuar në gjetjet nga Projekti i BE-së për Vlerësimin e Ekzistencës së Ekonomisë Joformale në Kosovë, si dhe gjetjet nga vlerësimet e pavarura të rrezikut për sektorët më të ndjeshëm në ekonominë informale, krimet financiare, pastrimi i parave dhe financimi i terrorizmit.</w:t>
            </w:r>
          </w:p>
          <w:p w14:paraId="058525B4" w14:textId="77777777" w:rsidR="00085F16" w:rsidRPr="00B922C3" w:rsidRDefault="00085F16" w:rsidP="00085F16">
            <w:pPr>
              <w:spacing w:before="120" w:after="240"/>
              <w:jc w:val="both"/>
              <w:rPr>
                <w:rFonts w:ascii="Times New Roman" w:hAnsi="Times New Roman" w:cs="Times New Roman"/>
              </w:rPr>
            </w:pPr>
            <w:r w:rsidRPr="00B922C3">
              <w:rPr>
                <w:rFonts w:ascii="Times New Roman" w:hAnsi="Times New Roman" w:cs="Times New Roman"/>
              </w:rPr>
              <w:t>Strategjia Kombëtare është një dokument i hartuar nga Qeveria e Kosovës nën koordinimin e plotë të të gjitha institucioneve dhe partnerëve ndërkombëtarë, të cilët ndihmuan grupin punues në hartimin e këtij dokumenti (ndihmën teknike nga BE). Ky dokument përfshin të gjitha masat përmes të cilave Qeveria synon të parandalojë të gjitha format e ekonomisë joformale, parandalimin e pastrimit të parave, financimin e terrorizmit dhe krimet financiare në sektorë të ndryshëm të ekonomisë në Kosovë përmes Planit të Veprimit.</w:t>
            </w:r>
          </w:p>
          <w:p w14:paraId="60041C5E" w14:textId="77777777" w:rsidR="00085F16" w:rsidRPr="00B922C3" w:rsidRDefault="00085F16" w:rsidP="00085F16">
            <w:pPr>
              <w:spacing w:after="240"/>
              <w:jc w:val="both"/>
              <w:rPr>
                <w:rFonts w:ascii="Times New Roman" w:hAnsi="Times New Roman" w:cs="Times New Roman"/>
              </w:rPr>
            </w:pPr>
            <w:r w:rsidRPr="00B922C3">
              <w:rPr>
                <w:rFonts w:ascii="Times New Roman" w:hAnsi="Times New Roman" w:cs="Times New Roman"/>
              </w:rPr>
              <w:t>Sekretariati i Grupit Punues të Qeverisë harton vazhdimisht raportet gjysmë-vjetore dhe vjetore për zbatimin e Strategjisë. Raporti i parë për Strategjinë e re do të hartohet gjatë TM1 2020.</w:t>
            </w:r>
          </w:p>
          <w:p w14:paraId="18C121E9" w14:textId="77777777" w:rsidR="00085F16" w:rsidRPr="00B922C3" w:rsidRDefault="00085F16" w:rsidP="00085F16">
            <w:pPr>
              <w:spacing w:before="120" w:after="240"/>
              <w:jc w:val="both"/>
              <w:rPr>
                <w:rFonts w:ascii="Times New Roman" w:hAnsi="Times New Roman" w:cs="Times New Roman"/>
                <w:i/>
                <w:color w:val="FF0000"/>
                <w:lang w:val="en-US"/>
              </w:rPr>
            </w:pPr>
            <w:r w:rsidRPr="00FC648F">
              <w:rPr>
                <w:rFonts w:ascii="Times New Roman" w:hAnsi="Times New Roman" w:cs="Times New Roman"/>
                <w:i/>
                <w:color w:val="FF0000"/>
              </w:rPr>
              <w:t xml:space="preserve">6. “[6.A.] Të zhvillohen masa aktive për rritjen e pjesëmarrjes në tregun e punës dhe punësimit të grave. </w:t>
            </w:r>
            <w:r w:rsidRPr="00B922C3">
              <w:rPr>
                <w:rFonts w:ascii="Times New Roman" w:hAnsi="Times New Roman" w:cs="Times New Roman"/>
                <w:i/>
                <w:color w:val="FF0000"/>
                <w:lang w:val="en-US"/>
              </w:rPr>
              <w:t>[6.B.] Të rritet ofrimi i trajnjimeve dhe aftësimit profesional për profesionet e kërkuara në treg. [6.C.] Të rriten investimet në arsim me fokus të veçantë në zgjerimin e arsimit të hershëm të fëmijërisë."</w:t>
            </w:r>
          </w:p>
        </w:tc>
      </w:tr>
    </w:tbl>
    <w:p w14:paraId="319AFCE2" w14:textId="77777777" w:rsidR="00085F16" w:rsidRDefault="00085F16" w:rsidP="00085F16"/>
    <w:p w14:paraId="21E42F90" w14:textId="77777777" w:rsidR="00085F16" w:rsidRDefault="00085F16" w:rsidP="00085F16">
      <w:pPr>
        <w:rPr>
          <w:rFonts w:ascii="Times New Roman Bold" w:hAnsi="Times New Roman Bold"/>
          <w:b/>
          <w:smallCaps/>
          <w:kern w:val="28"/>
          <w:sz w:val="28"/>
        </w:rPr>
      </w:pPr>
      <w:r>
        <w:br w:type="page"/>
      </w:r>
    </w:p>
    <w:p w14:paraId="4A016966" w14:textId="2E3B4D89" w:rsidR="00085F16" w:rsidRPr="0067685A" w:rsidRDefault="00802FB3" w:rsidP="00802FB3">
      <w:pPr>
        <w:pStyle w:val="ERPL1"/>
      </w:pPr>
      <w:bookmarkStart w:id="17" w:name="_Toc25873714"/>
      <w:r>
        <w:t xml:space="preserve">2. </w:t>
      </w:r>
      <w:r w:rsidR="00085F16">
        <w:t>Korniza Makroekonomike</w:t>
      </w:r>
      <w:bookmarkEnd w:id="17"/>
    </w:p>
    <w:p w14:paraId="33354FD6" w14:textId="77777777" w:rsidR="00085F16" w:rsidRPr="0067685A" w:rsidRDefault="00085F16" w:rsidP="00802FB3">
      <w:pPr>
        <w:pStyle w:val="ERPL20"/>
        <w:numPr>
          <w:ilvl w:val="1"/>
          <w:numId w:val="97"/>
        </w:numPr>
        <w:spacing w:line="276" w:lineRule="auto"/>
        <w:rPr>
          <w:rFonts w:ascii="Times New Roman" w:hAnsi="Times New Roman"/>
        </w:rPr>
      </w:pPr>
      <w:bookmarkStart w:id="18" w:name="_Toc504051205"/>
      <w:bookmarkStart w:id="19" w:name="_Toc504051402"/>
      <w:bookmarkStart w:id="20" w:name="_Toc504338907"/>
      <w:bookmarkStart w:id="21" w:name="_Toc25873715"/>
      <w:bookmarkEnd w:id="2"/>
      <w:bookmarkEnd w:id="3"/>
      <w:bookmarkEnd w:id="4"/>
      <w:bookmarkEnd w:id="5"/>
      <w:bookmarkEnd w:id="6"/>
      <w:bookmarkEnd w:id="7"/>
      <w:bookmarkEnd w:id="8"/>
      <w:bookmarkEnd w:id="9"/>
      <w:bookmarkEnd w:id="10"/>
      <w:bookmarkEnd w:id="11"/>
      <w:bookmarkEnd w:id="12"/>
      <w:bookmarkEnd w:id="13"/>
      <w:bookmarkEnd w:id="14"/>
      <w:r>
        <w:rPr>
          <w:rFonts w:ascii="Times New Roman" w:hAnsi="Times New Roman"/>
        </w:rPr>
        <w:t>Zhvillimet e Jashtme Ekonomike dhe Projeksionet</w:t>
      </w:r>
      <w:bookmarkEnd w:id="18"/>
      <w:bookmarkEnd w:id="19"/>
      <w:bookmarkEnd w:id="20"/>
      <w:bookmarkEnd w:id="21"/>
    </w:p>
    <w:p w14:paraId="1F44A028" w14:textId="77777777" w:rsidR="00085F16" w:rsidRPr="00B922C3" w:rsidRDefault="00085F16" w:rsidP="00085F16">
      <w:pPr>
        <w:spacing w:line="276" w:lineRule="auto"/>
        <w:jc w:val="both"/>
        <w:rPr>
          <w:rFonts w:ascii="Times New Roman" w:hAnsi="Times New Roman" w:cs="Times New Roman"/>
          <w:sz w:val="24"/>
          <w:szCs w:val="24"/>
        </w:rPr>
      </w:pPr>
      <w:bookmarkStart w:id="22" w:name="_Toc504074786"/>
      <w:r w:rsidRPr="00B922C3">
        <w:rPr>
          <w:rFonts w:ascii="Times New Roman" w:hAnsi="Times New Roman" w:cs="Times New Roman"/>
          <w:sz w:val="24"/>
          <w:szCs w:val="24"/>
        </w:rPr>
        <w:t>Kosova si ekonomi e vogël është e ndikuar në masë të madhe nga zhvillimet e jashtme ekonomike. Zhvillime të tilla transmetohen përmes kanaleve të ndryshme duke përfshirë: tregtinë, remitancat dhe investimet e huaja. Zhvillimet më të fundit ekonomike dhe perspektiva e tyre në periudhën afat-mesme reflektohen në pritje më konservative të aktivitetit në ekonominë e Kosovës.</w:t>
      </w:r>
    </w:p>
    <w:p w14:paraId="26C0E916" w14:textId="77777777" w:rsidR="00085F16" w:rsidRPr="00B922C3" w:rsidRDefault="00085F16" w:rsidP="00085F16">
      <w:pPr>
        <w:spacing w:line="276" w:lineRule="auto"/>
        <w:jc w:val="both"/>
        <w:rPr>
          <w:rFonts w:ascii="Times New Roman" w:hAnsi="Times New Roman" w:cs="Times New Roman"/>
          <w:sz w:val="24"/>
          <w:szCs w:val="24"/>
        </w:rPr>
      </w:pPr>
      <w:r w:rsidRPr="00B922C3">
        <w:rPr>
          <w:rFonts w:ascii="Times New Roman" w:hAnsi="Times New Roman" w:cs="Times New Roman"/>
          <w:sz w:val="24"/>
          <w:szCs w:val="24"/>
        </w:rPr>
        <w:t>Rritja ekonomike botërore në fund të vitit 2018 filloi të ngadalësohet duke arritur një normë rritje vjetore prej 3.6% nga 3.8 % në 2017. Ngadalësimi i ndjeshëm në tre tremujorët e fundit të 2018 vazhdoi edhe në vitin 2019. Bazuar në parashikimet e FMN-së në tetor 2019, parashikimi për rritjen globale ekonomike në 2019-ën është 3.0 %, e cila qëndron 0.3 pikë përqindje më poshtë se parashikimet e realizuara në prill 2019. Kjo rritje prej 3.0% është rritja më e ulët e regjistruar që nga periudha e krizës financiare globale.</w:t>
      </w:r>
    </w:p>
    <w:p w14:paraId="51BAC091" w14:textId="77777777" w:rsidR="00085F16" w:rsidRPr="00B922C3" w:rsidRDefault="00085F16" w:rsidP="00085F16">
      <w:pPr>
        <w:spacing w:line="276" w:lineRule="auto"/>
        <w:jc w:val="both"/>
        <w:rPr>
          <w:rFonts w:ascii="Times New Roman" w:hAnsi="Times New Roman" w:cs="Times New Roman"/>
          <w:sz w:val="24"/>
          <w:szCs w:val="24"/>
        </w:rPr>
      </w:pPr>
      <w:r w:rsidRPr="007D5D03">
        <w:rPr>
          <w:noProof/>
          <w:lang w:val="en-US"/>
        </w:rPr>
        <w:drawing>
          <wp:anchor distT="0" distB="0" distL="114300" distR="114300" simplePos="0" relativeHeight="251661312" behindDoc="1" locked="0" layoutInCell="1" allowOverlap="1" wp14:anchorId="1A5E0A08" wp14:editId="24B3829D">
            <wp:simplePos x="0" y="0"/>
            <wp:positionH relativeFrom="margin">
              <wp:posOffset>0</wp:posOffset>
            </wp:positionH>
            <wp:positionV relativeFrom="paragraph">
              <wp:posOffset>221615</wp:posOffset>
            </wp:positionV>
            <wp:extent cx="3494405" cy="1910080"/>
            <wp:effectExtent l="0" t="0" r="10795" b="13970"/>
            <wp:wrapTight wrapText="bothSides">
              <wp:wrapPolygon edited="0">
                <wp:start x="0" y="0"/>
                <wp:lineTo x="0" y="21543"/>
                <wp:lineTo x="21549" y="21543"/>
                <wp:lineTo x="21549" y="0"/>
                <wp:lineTo x="0" y="0"/>
              </wp:wrapPolygon>
            </wp:wrapTight>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66432" behindDoc="1" locked="0" layoutInCell="1" allowOverlap="1" wp14:anchorId="15A6933C" wp14:editId="326B223D">
                <wp:simplePos x="0" y="0"/>
                <wp:positionH relativeFrom="column">
                  <wp:posOffset>0</wp:posOffset>
                </wp:positionH>
                <wp:positionV relativeFrom="paragraph">
                  <wp:posOffset>22860</wp:posOffset>
                </wp:positionV>
                <wp:extent cx="3494405" cy="150495"/>
                <wp:effectExtent l="0" t="0" r="0" b="1905"/>
                <wp:wrapTight wrapText="bothSides">
                  <wp:wrapPolygon edited="0">
                    <wp:start x="0" y="0"/>
                    <wp:lineTo x="0" y="19139"/>
                    <wp:lineTo x="21431" y="19139"/>
                    <wp:lineTo x="21431"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3494405" cy="150495"/>
                        </a:xfrm>
                        <a:prstGeom prst="rect">
                          <a:avLst/>
                        </a:prstGeom>
                        <a:solidFill>
                          <a:prstClr val="white"/>
                        </a:solidFill>
                        <a:ln>
                          <a:noFill/>
                        </a:ln>
                        <a:effectLst/>
                      </wps:spPr>
                      <wps:txbx>
                        <w:txbxContent>
                          <w:p w14:paraId="75665A72" w14:textId="77777777" w:rsidR="00FC648F" w:rsidRPr="00AE56CF" w:rsidRDefault="00FC648F" w:rsidP="00085F16">
                            <w:pPr>
                              <w:pStyle w:val="Caption"/>
                              <w:rPr>
                                <w:rFonts w:ascii="Times New Roman" w:eastAsia="Times New Roman" w:hAnsi="Times New Roman"/>
                                <w:noProof/>
                                <w:color w:val="000000"/>
                                <w:sz w:val="24"/>
                                <w:szCs w:val="24"/>
                              </w:rPr>
                            </w:pPr>
                            <w:bookmarkStart w:id="23" w:name="_Toc25673453"/>
                            <w:r>
                              <w:t xml:space="preserve">Grafiku </w:t>
                            </w:r>
                            <w:r>
                              <w:fldChar w:fldCharType="begin"/>
                            </w:r>
                            <w:r>
                              <w:instrText xml:space="preserve"> SEQ Grafiku \* ARABIC </w:instrText>
                            </w:r>
                            <w:r>
                              <w:fldChar w:fldCharType="separate"/>
                            </w:r>
                            <w:r>
                              <w:rPr>
                                <w:noProof/>
                              </w:rPr>
                              <w:t>1</w:t>
                            </w:r>
                            <w:r>
                              <w:fldChar w:fldCharType="end"/>
                            </w:r>
                            <w:r>
                              <w:t xml:space="preserve"> </w:t>
                            </w:r>
                            <w:r w:rsidRPr="00530191">
                              <w:t>Rritja reale vjetore e BPV-së, në %</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A6933C" id="_x0000_t202" coordsize="21600,21600" o:spt="202" path="m,l,21600r21600,l21600,xe">
                <v:stroke joinstyle="miter"/>
                <v:path gradientshapeok="t" o:connecttype="rect"/>
              </v:shapetype>
              <v:shape id="Text Box 8" o:spid="_x0000_s1026" type="#_x0000_t202" style="position:absolute;left:0;text-align:left;margin-left:0;margin-top:1.8pt;width:275.15pt;height:11.8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" stroked="f">
                <v:textbox inset="0,0,0,0">
                  <w:txbxContent>
                    <w:p w14:paraId="75665A72" w14:textId="77777777" w:rsidR="00FC648F" w:rsidRPr="00AE56CF" w:rsidRDefault="00FC648F" w:rsidP="00085F16">
                      <w:pPr>
                        <w:pStyle w:val="Caption"/>
                        <w:rPr>
                          <w:rFonts w:ascii="Times New Roman" w:eastAsia="Times New Roman" w:hAnsi="Times New Roman"/>
                          <w:noProof/>
                          <w:color w:val="000000"/>
                          <w:sz w:val="24"/>
                          <w:szCs w:val="24"/>
                        </w:rPr>
                      </w:pPr>
                      <w:bookmarkStart w:id="24" w:name="_Toc25673453"/>
                      <w:r>
                        <w:t xml:space="preserve">Grafiku </w:t>
                      </w:r>
                      <w:r>
                        <w:fldChar w:fldCharType="begin"/>
                      </w:r>
                      <w:r>
                        <w:instrText xml:space="preserve"> SEQ Grafiku \* ARABIC </w:instrText>
                      </w:r>
                      <w:r>
                        <w:fldChar w:fldCharType="separate"/>
                      </w:r>
                      <w:r>
                        <w:rPr>
                          <w:noProof/>
                        </w:rPr>
                        <w:t>1</w:t>
                      </w:r>
                      <w:r>
                        <w:fldChar w:fldCharType="end"/>
                      </w:r>
                      <w:r>
                        <w:t xml:space="preserve"> </w:t>
                      </w:r>
                      <w:r w:rsidRPr="00530191">
                        <w:t>Rritja reale vjetore e BPV-së, në %</w:t>
                      </w:r>
                      <w:bookmarkEnd w:id="24"/>
                    </w:p>
                  </w:txbxContent>
                </v:textbox>
                <w10:wrap type="tight"/>
              </v:shape>
            </w:pict>
          </mc:Fallback>
        </mc:AlternateContent>
      </w:r>
      <w:r w:rsidRPr="007D5D03">
        <w:t>K</w:t>
      </w:r>
      <w:r w:rsidRPr="00B922C3">
        <w:rPr>
          <w:rFonts w:ascii="Times New Roman" w:hAnsi="Times New Roman" w:cs="Times New Roman"/>
          <w:sz w:val="24"/>
          <w:szCs w:val="24"/>
        </w:rPr>
        <w:t>y ngadalësim është kryesisht si rrjedhojë e tensioneve të vazhdueshme tregtare dhe rritjes së pasigurisë. Gjithashtu, ritmi në aktivitetet e industrisë prodhuese në veçanti është ngadalësuar në nivelet më të ulëta që nga viti 2008. Megjithatë, rritja ekonomike parashihet të përshpejtohet përgjatë përiudhës afat-mesme, duke u rritur mesatarisht me 3.5%.</w:t>
      </w:r>
    </w:p>
    <w:p w14:paraId="047A50C6" w14:textId="77777777" w:rsidR="00085F16" w:rsidRPr="00B922C3" w:rsidRDefault="00085F16" w:rsidP="00085F16">
      <w:pPr>
        <w:spacing w:before="240" w:line="276" w:lineRule="auto"/>
        <w:jc w:val="both"/>
        <w:rPr>
          <w:rFonts w:ascii="Times New Roman" w:hAnsi="Times New Roman" w:cs="Times New Roman"/>
          <w:sz w:val="24"/>
          <w:szCs w:val="24"/>
        </w:rPr>
      </w:pPr>
      <w:r w:rsidRPr="00B922C3">
        <w:rPr>
          <w:rFonts w:ascii="Times New Roman" w:hAnsi="Times New Roman" w:cs="Times New Roman"/>
          <w:b/>
          <w:sz w:val="24"/>
          <w:szCs w:val="24"/>
        </w:rPr>
        <w:t>Ekonomia evropiane</w:t>
      </w:r>
      <w:r w:rsidRPr="00B922C3">
        <w:rPr>
          <w:rFonts w:ascii="Times New Roman" w:hAnsi="Times New Roman" w:cs="Times New Roman"/>
          <w:sz w:val="24"/>
          <w:szCs w:val="24"/>
        </w:rPr>
        <w:t xml:space="preserve"> ngjashëm me ecurinë e ekonomisë globale, pritet të ngadalësohet si rrjedhojë e pasigurive në tregti dhe impaktit të Brexit. BPV-ja për BE-në në vitin 2019 pritet të jetë rreth 1.5% (0.1 pikë përqindje më e ulët se sa parashikimet e WEO prill 2019). Ndërsa, rritja mesatare për periudhën 2020-2022 pritet të jetë rreth 1.6 përqind. Në anën tjetër, rritja ekonomike e Eurozonës në vitin 2019 vlerësohet të jetë 1.2 përqind (0.4 pikë përqindje më pak se ajo e BE-së dhe 0.1 pikë përqindje më e ulët se parashikimet e WEO prill 2019), dhe pritet të rritet mesatarisht rreth 1.4% në periudhën 2020-2022. </w:t>
      </w:r>
    </w:p>
    <w:p w14:paraId="63796417" w14:textId="77777777" w:rsidR="00085F16" w:rsidRPr="007D5D03" w:rsidRDefault="00085F16" w:rsidP="00085F16">
      <w:pPr>
        <w:spacing w:before="240" w:line="276" w:lineRule="auto"/>
        <w:jc w:val="both"/>
      </w:pPr>
      <w:r w:rsidRPr="00B922C3">
        <w:rPr>
          <w:rFonts w:ascii="Times New Roman" w:hAnsi="Times New Roman" w:cs="Times New Roman"/>
          <w:b/>
          <w:sz w:val="24"/>
          <w:szCs w:val="24"/>
        </w:rPr>
        <w:t>Gjermania</w:t>
      </w:r>
      <w:r w:rsidRPr="00B922C3">
        <w:rPr>
          <w:rFonts w:ascii="Times New Roman" w:hAnsi="Times New Roman" w:cs="Times New Roman"/>
          <w:sz w:val="24"/>
          <w:szCs w:val="24"/>
        </w:rPr>
        <w:t xml:space="preserve"> në 2018 shënoi rritje ekonomike prej 1.5 % mirëpo me një ngadalësim të theksuar në fund të 2018. Si rrjedhojë, ekonomia në 2019 është në një fazë të rimëkëmbjes nga një recesion i mundshëm në muajt e fundit të 2018. Rritja ekonomike në vitin 2019 pritet të jetë rreth 0.5%. Ndërsa në vitin 2020 niveli i saj i rritjes pritet të arrijë në 1.2 %</w:t>
      </w:r>
      <w:r w:rsidRPr="00B922C3">
        <w:rPr>
          <w:rStyle w:val="FootnoteReference"/>
          <w:rFonts w:ascii="Times New Roman" w:hAnsi="Times New Roman" w:cs="Times New Roman"/>
          <w:sz w:val="24"/>
          <w:szCs w:val="24"/>
        </w:rPr>
        <w:footnoteReference w:id="1"/>
      </w:r>
      <w:r w:rsidRPr="00B922C3">
        <w:rPr>
          <w:rFonts w:ascii="Times New Roman" w:hAnsi="Times New Roman" w:cs="Times New Roman"/>
          <w:sz w:val="24"/>
          <w:szCs w:val="24"/>
        </w:rPr>
        <w:t>.</w:t>
      </w:r>
      <w:r w:rsidRPr="007D5D03">
        <w:t xml:space="preserve"> </w:t>
      </w:r>
    </w:p>
    <w:p w14:paraId="4301ADFB" w14:textId="77777777" w:rsidR="00085F16" w:rsidRPr="00B922C3" w:rsidRDefault="00085F16" w:rsidP="00085F16">
      <w:pPr>
        <w:spacing w:before="240" w:line="276" w:lineRule="auto"/>
        <w:jc w:val="both"/>
        <w:rPr>
          <w:rFonts w:ascii="Times New Roman" w:hAnsi="Times New Roman" w:cs="Times New Roman"/>
          <w:sz w:val="24"/>
          <w:szCs w:val="24"/>
        </w:rPr>
      </w:pPr>
      <w:r w:rsidRPr="00B922C3">
        <w:rPr>
          <w:rFonts w:ascii="Times New Roman" w:hAnsi="Times New Roman" w:cs="Times New Roman"/>
          <w:b/>
          <w:sz w:val="24"/>
          <w:szCs w:val="24"/>
        </w:rPr>
        <w:t>Zvicrra</w:t>
      </w:r>
      <w:r w:rsidRPr="00B922C3">
        <w:rPr>
          <w:rFonts w:ascii="Times New Roman" w:hAnsi="Times New Roman" w:cs="Times New Roman"/>
          <w:sz w:val="24"/>
          <w:szCs w:val="24"/>
        </w:rPr>
        <w:t xml:space="preserve"> gjithashtu ka patur një ngadalësim në rritjen ekonomike në vitin 2019, duke shënuar një rritje ekonomike prej rreth 0.8 % në vitin 2019 nga 2.8% sa ishte në vitin 2018. Ndërsa, në vitin 2020, rritja pritet të arrijë në 1.3 përqind dhe të arrijë një qëndrueshmëri në periudhën afat-mesme. </w:t>
      </w:r>
    </w:p>
    <w:p w14:paraId="327C580B" w14:textId="77777777" w:rsidR="00085F16" w:rsidRPr="007D5D03" w:rsidRDefault="00085F16" w:rsidP="00085F16">
      <w:pPr>
        <w:spacing w:after="240" w:line="276" w:lineRule="auto"/>
        <w:jc w:val="both"/>
      </w:pPr>
      <w:r w:rsidRPr="00B922C3">
        <w:rPr>
          <w:rFonts w:ascii="Times New Roman" w:hAnsi="Times New Roman" w:cs="Times New Roman"/>
          <w:sz w:val="24"/>
          <w:szCs w:val="24"/>
        </w:rPr>
        <w:t xml:space="preserve">Në linjë me një rritje më të dobët globale, </w:t>
      </w:r>
      <w:r w:rsidRPr="00B922C3">
        <w:rPr>
          <w:rFonts w:ascii="Times New Roman" w:hAnsi="Times New Roman" w:cs="Times New Roman"/>
          <w:b/>
          <w:sz w:val="24"/>
          <w:szCs w:val="24"/>
        </w:rPr>
        <w:t>inflacioni bazë</w:t>
      </w:r>
      <w:r w:rsidRPr="00B922C3">
        <w:rPr>
          <w:rFonts w:ascii="Times New Roman" w:hAnsi="Times New Roman" w:cs="Times New Roman"/>
          <w:sz w:val="24"/>
          <w:szCs w:val="24"/>
        </w:rPr>
        <w:t xml:space="preserve"> ka shënuar një rënie në ekonomitë e zhvilluara dhe është nën mesataren historike në shumë tregje dhe ekonomi në zhvillim. Inflacioni i çmimeve të konsumit në ekonomitë e zhvilluara pritet të jetë mesatarisht 1.5 përqind në 2019 dhe 1.8 përqind në vitin 2020. Kjo u rishikua për poshtë nga parashikimet e WEO në prill 2019 me -0.1 dhe -0.3 p.p për vitin 2019 dhe 2020, respektivisht. Ndërsa, Indeksi i Harmonizuar i Çmimeve të Konsumit (IHÇK) i EU28 për 2019 bazuar në WEO pritet</w:t>
      </w:r>
      <w:r w:rsidRPr="007D5D03">
        <w:t xml:space="preserve"> të arrijë në 1.6 përqind në 2019, dhe 1.7 përqind në 2020.</w:t>
      </w:r>
    </w:p>
    <w:p w14:paraId="674A5A03" w14:textId="77777777" w:rsidR="00085F16" w:rsidRPr="007D5D03" w:rsidRDefault="00085F16" w:rsidP="00085F16">
      <w:pPr>
        <w:spacing w:line="276" w:lineRule="auto"/>
        <w:jc w:val="both"/>
      </w:pPr>
      <w:r w:rsidRPr="00B922C3">
        <w:rPr>
          <w:rFonts w:ascii="Times New Roman" w:hAnsi="Times New Roman" w:cs="Times New Roman"/>
          <w:noProof/>
          <w:sz w:val="24"/>
          <w:szCs w:val="24"/>
          <w:lang w:val="en-US"/>
        </w:rPr>
        <mc:AlternateContent>
          <mc:Choice Requires="wps">
            <w:drawing>
              <wp:anchor distT="0" distB="0" distL="114300" distR="114300" simplePos="0" relativeHeight="251665408" behindDoc="1" locked="0" layoutInCell="1" allowOverlap="1" wp14:anchorId="530D55E6" wp14:editId="41A54D4B">
                <wp:simplePos x="0" y="0"/>
                <wp:positionH relativeFrom="margin">
                  <wp:align>left</wp:align>
                </wp:positionH>
                <wp:positionV relativeFrom="paragraph">
                  <wp:posOffset>614680</wp:posOffset>
                </wp:positionV>
                <wp:extent cx="3249930" cy="113665"/>
                <wp:effectExtent l="0" t="0" r="7620" b="635"/>
                <wp:wrapTight wrapText="bothSides">
                  <wp:wrapPolygon edited="0">
                    <wp:start x="0" y="0"/>
                    <wp:lineTo x="0" y="18101"/>
                    <wp:lineTo x="21524" y="18101"/>
                    <wp:lineTo x="21524"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3249930" cy="113665"/>
                        </a:xfrm>
                        <a:prstGeom prst="rect">
                          <a:avLst/>
                        </a:prstGeom>
                        <a:solidFill>
                          <a:prstClr val="white"/>
                        </a:solidFill>
                        <a:ln>
                          <a:noFill/>
                        </a:ln>
                        <a:effectLst/>
                      </wps:spPr>
                      <wps:txbx>
                        <w:txbxContent>
                          <w:p w14:paraId="507784B6" w14:textId="77777777" w:rsidR="00FC648F" w:rsidRPr="00DE4FE3" w:rsidRDefault="00FC648F" w:rsidP="00085F16">
                            <w:pPr>
                              <w:pStyle w:val="Caption"/>
                              <w:keepNext/>
                              <w:spacing w:after="0"/>
                              <w:rPr>
                                <w:rFonts w:ascii="Times New Roman" w:hAnsi="Times New Roman"/>
                                <w:b/>
                                <w:i w:val="0"/>
                                <w:color w:val="auto"/>
                              </w:rPr>
                            </w:pPr>
                            <w:bookmarkStart w:id="25" w:name="_Toc25673454"/>
                            <w:r w:rsidRPr="00DE4FE3">
                              <w:rPr>
                                <w:rFonts w:ascii="Times New Roman" w:hAnsi="Times New Roman"/>
                                <w:b/>
                                <w:i w:val="0"/>
                                <w:color w:val="auto"/>
                              </w:rPr>
                              <w:t xml:space="preserve">Grafiku </w:t>
                            </w:r>
                            <w:r w:rsidRPr="00DE4FE3">
                              <w:rPr>
                                <w:rFonts w:ascii="Times New Roman" w:hAnsi="Times New Roman"/>
                                <w:b/>
                                <w:i w:val="0"/>
                                <w:color w:val="auto"/>
                              </w:rPr>
                              <w:fldChar w:fldCharType="begin"/>
                            </w:r>
                            <w:r w:rsidRPr="00DE4FE3">
                              <w:rPr>
                                <w:rFonts w:ascii="Times New Roman" w:hAnsi="Times New Roman"/>
                                <w:b/>
                                <w:i w:val="0"/>
                                <w:color w:val="auto"/>
                              </w:rPr>
                              <w:instrText xml:space="preserve"> SEQ Grafiku \* ARABIC </w:instrText>
                            </w:r>
                            <w:r w:rsidRPr="00DE4FE3">
                              <w:rPr>
                                <w:rFonts w:ascii="Times New Roman" w:hAnsi="Times New Roman"/>
                                <w:b/>
                                <w:i w:val="0"/>
                                <w:color w:val="auto"/>
                              </w:rPr>
                              <w:fldChar w:fldCharType="separate"/>
                            </w:r>
                            <w:r>
                              <w:rPr>
                                <w:rFonts w:ascii="Times New Roman" w:hAnsi="Times New Roman"/>
                                <w:b/>
                                <w:i w:val="0"/>
                                <w:noProof/>
                                <w:color w:val="auto"/>
                              </w:rPr>
                              <w:t>2</w:t>
                            </w:r>
                            <w:r w:rsidRPr="00DE4FE3">
                              <w:rPr>
                                <w:rFonts w:ascii="Times New Roman" w:hAnsi="Times New Roman"/>
                                <w:b/>
                                <w:i w:val="0"/>
                                <w:color w:val="auto"/>
                              </w:rPr>
                              <w:fldChar w:fldCharType="end"/>
                            </w:r>
                            <w:r w:rsidRPr="00DE4FE3">
                              <w:rPr>
                                <w:rFonts w:ascii="Times New Roman" w:hAnsi="Times New Roman"/>
                                <w:b/>
                                <w:i w:val="0"/>
                                <w:color w:val="auto"/>
                              </w:rPr>
                              <w:t xml:space="preserve"> Inflacioni</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0D55E6" id="Text Box 3" o:spid="_x0000_s1027" type="#_x0000_t202" style="position:absolute;left:0;text-align:left;margin-left:0;margin-top:48.4pt;width:255.9pt;height:8.95pt;z-index:-2516510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" stroked="f">
                <v:textbox inset="0,0,0,0">
                  <w:txbxContent>
                    <w:p w14:paraId="507784B6" w14:textId="77777777" w:rsidR="00FC648F" w:rsidRPr="00DE4FE3" w:rsidRDefault="00FC648F" w:rsidP="00085F16">
                      <w:pPr>
                        <w:pStyle w:val="Caption"/>
                        <w:keepNext/>
                        <w:spacing w:after="0"/>
                        <w:rPr>
                          <w:rFonts w:ascii="Times New Roman" w:hAnsi="Times New Roman"/>
                          <w:b/>
                          <w:i w:val="0"/>
                          <w:color w:val="auto"/>
                        </w:rPr>
                      </w:pPr>
                      <w:bookmarkStart w:id="26" w:name="_Toc25673454"/>
                      <w:r w:rsidRPr="00DE4FE3">
                        <w:rPr>
                          <w:rFonts w:ascii="Times New Roman" w:hAnsi="Times New Roman"/>
                          <w:b/>
                          <w:i w:val="0"/>
                          <w:color w:val="auto"/>
                        </w:rPr>
                        <w:t xml:space="preserve">Grafiku </w:t>
                      </w:r>
                      <w:r w:rsidRPr="00DE4FE3">
                        <w:rPr>
                          <w:rFonts w:ascii="Times New Roman" w:hAnsi="Times New Roman"/>
                          <w:b/>
                          <w:i w:val="0"/>
                          <w:color w:val="auto"/>
                        </w:rPr>
                        <w:fldChar w:fldCharType="begin"/>
                      </w:r>
                      <w:r w:rsidRPr="00DE4FE3">
                        <w:rPr>
                          <w:rFonts w:ascii="Times New Roman" w:hAnsi="Times New Roman"/>
                          <w:b/>
                          <w:i w:val="0"/>
                          <w:color w:val="auto"/>
                        </w:rPr>
                        <w:instrText xml:space="preserve"> SEQ Grafiku \* ARABIC </w:instrText>
                      </w:r>
                      <w:r w:rsidRPr="00DE4FE3">
                        <w:rPr>
                          <w:rFonts w:ascii="Times New Roman" w:hAnsi="Times New Roman"/>
                          <w:b/>
                          <w:i w:val="0"/>
                          <w:color w:val="auto"/>
                        </w:rPr>
                        <w:fldChar w:fldCharType="separate"/>
                      </w:r>
                      <w:r>
                        <w:rPr>
                          <w:rFonts w:ascii="Times New Roman" w:hAnsi="Times New Roman"/>
                          <w:b/>
                          <w:i w:val="0"/>
                          <w:noProof/>
                          <w:color w:val="auto"/>
                        </w:rPr>
                        <w:t>2</w:t>
                      </w:r>
                      <w:r w:rsidRPr="00DE4FE3">
                        <w:rPr>
                          <w:rFonts w:ascii="Times New Roman" w:hAnsi="Times New Roman"/>
                          <w:b/>
                          <w:i w:val="0"/>
                          <w:color w:val="auto"/>
                        </w:rPr>
                        <w:fldChar w:fldCharType="end"/>
                      </w:r>
                      <w:r w:rsidRPr="00DE4FE3">
                        <w:rPr>
                          <w:rFonts w:ascii="Times New Roman" w:hAnsi="Times New Roman"/>
                          <w:b/>
                          <w:i w:val="0"/>
                          <w:color w:val="auto"/>
                        </w:rPr>
                        <w:t xml:space="preserve"> Inflacioni</w:t>
                      </w:r>
                      <w:bookmarkEnd w:id="26"/>
                    </w:p>
                  </w:txbxContent>
                </v:textbox>
                <w10:wrap type="tight" anchorx="margin"/>
              </v:shape>
            </w:pict>
          </mc:Fallback>
        </mc:AlternateContent>
      </w:r>
      <w:r w:rsidRPr="00B922C3">
        <w:rPr>
          <w:rFonts w:ascii="Times New Roman" w:hAnsi="Times New Roman" w:cs="Times New Roman"/>
          <w:noProof/>
          <w:sz w:val="24"/>
          <w:szCs w:val="24"/>
          <w:lang w:val="en-US"/>
        </w:rPr>
        <w:drawing>
          <wp:anchor distT="0" distB="0" distL="114300" distR="114300" simplePos="0" relativeHeight="251662336" behindDoc="1" locked="0" layoutInCell="1" allowOverlap="1" wp14:anchorId="7D930FEF" wp14:editId="0DD72DED">
            <wp:simplePos x="0" y="0"/>
            <wp:positionH relativeFrom="margin">
              <wp:align>left</wp:align>
            </wp:positionH>
            <wp:positionV relativeFrom="paragraph">
              <wp:posOffset>741366</wp:posOffset>
            </wp:positionV>
            <wp:extent cx="3249930" cy="1965325"/>
            <wp:effectExtent l="0" t="0" r="7620" b="15875"/>
            <wp:wrapTight wrapText="bothSides">
              <wp:wrapPolygon edited="0">
                <wp:start x="0" y="0"/>
                <wp:lineTo x="0" y="21565"/>
                <wp:lineTo x="21524" y="21565"/>
                <wp:lineTo x="21524" y="0"/>
                <wp:lineTo x="0" y="0"/>
              </wp:wrapPolygon>
            </wp:wrapTight>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Pr="00B922C3">
        <w:rPr>
          <w:rFonts w:ascii="Times New Roman" w:hAnsi="Times New Roman" w:cs="Times New Roman"/>
          <w:b/>
          <w:sz w:val="24"/>
          <w:szCs w:val="24"/>
        </w:rPr>
        <w:t>Çmimet ndërkombëtare</w:t>
      </w:r>
      <w:r w:rsidRPr="00B922C3">
        <w:rPr>
          <w:rStyle w:val="FootnoteReference"/>
          <w:rFonts w:ascii="Times New Roman" w:hAnsi="Times New Roman" w:cs="Times New Roman"/>
          <w:sz w:val="24"/>
          <w:szCs w:val="24"/>
        </w:rPr>
        <w:footnoteReference w:id="2"/>
      </w:r>
      <w:r w:rsidRPr="00B922C3">
        <w:rPr>
          <w:rFonts w:ascii="Times New Roman" w:hAnsi="Times New Roman" w:cs="Times New Roman"/>
          <w:sz w:val="24"/>
          <w:szCs w:val="24"/>
        </w:rPr>
        <w:t xml:space="preserve"> arritën të rikuperohen gjatë tremujorit të parë të vitit 2019, pas një rënie në tremujorin e fundit të 2018. Arsyeja kryesore prapa luhatjeve të çmimeve, veçanërisht atyre të energjisë, metaleve dhe mineraleve, është tensionet tregtare midis SHBA dhe Kinës</w:t>
      </w:r>
      <w:r w:rsidRPr="007D5D03">
        <w:t xml:space="preserve">. </w:t>
      </w:r>
      <w:r w:rsidRPr="00B922C3">
        <w:rPr>
          <w:rFonts w:ascii="Times New Roman" w:hAnsi="Times New Roman" w:cs="Times New Roman"/>
          <w:sz w:val="24"/>
          <w:szCs w:val="24"/>
        </w:rPr>
        <w:t>Çmimi i 'naftës së papërpunuar Brent’,  ra në 52 dollarë për fuçi në dhjetor 2018 (nga 83 dollarë për fuçi në tetor 2018) për shkak të rritjes së prodhimit të naftës nga Organizata e Vendeve Eksportuese të Naftës (OPEC) dhe heqja e sanksioneve ndaj Iranit nga SHBA. Megjithatë, për shkak të uljes së prodhimit nga OPEC në 2019, çmimet e naftës kanë filluar të rriten dhe të stabilizohen. Poashtu shumica e çmimeve të produkteve jo energjetike kanë filluar të rriten nga muaji mars i vitit 2019; sidomos ato të metaleve dhe mineraleve. Rimëkëmbja e çmimeve të metaleve reflekton kryesisht rritjen ekonomike në Kinë, e cila përbën gjysmën e konsumit global të metaleve.</w:t>
      </w:r>
    </w:p>
    <w:p w14:paraId="2A6C11E3" w14:textId="77777777" w:rsidR="00085F16" w:rsidRPr="00DE4FE3" w:rsidRDefault="00085F16" w:rsidP="00085F16">
      <w:pPr>
        <w:pStyle w:val="Caption"/>
        <w:keepNext/>
        <w:spacing w:before="240" w:after="0"/>
        <w:rPr>
          <w:rFonts w:ascii="Times New Roman" w:hAnsi="Times New Roman"/>
          <w:b/>
          <w:i w:val="0"/>
          <w:color w:val="auto"/>
        </w:rPr>
      </w:pPr>
      <w:bookmarkStart w:id="27" w:name="_Toc25673439"/>
      <w:r w:rsidRPr="00DE4FE3">
        <w:rPr>
          <w:rFonts w:ascii="Times New Roman" w:hAnsi="Times New Roman"/>
          <w:b/>
          <w:i w:val="0"/>
          <w:color w:val="auto"/>
        </w:rPr>
        <w:t xml:space="preserve">Tabela </w:t>
      </w:r>
      <w:r w:rsidRPr="00DE4FE3">
        <w:rPr>
          <w:rFonts w:ascii="Times New Roman" w:hAnsi="Times New Roman"/>
          <w:b/>
          <w:i w:val="0"/>
          <w:color w:val="auto"/>
        </w:rPr>
        <w:fldChar w:fldCharType="begin"/>
      </w:r>
      <w:r w:rsidRPr="00DE4FE3">
        <w:rPr>
          <w:rFonts w:ascii="Times New Roman" w:hAnsi="Times New Roman"/>
          <w:b/>
          <w:i w:val="0"/>
          <w:color w:val="auto"/>
        </w:rPr>
        <w:instrText xml:space="preserve"> SEQ Tabela \* ARABIC </w:instrText>
      </w:r>
      <w:r w:rsidRPr="00DE4FE3">
        <w:rPr>
          <w:rFonts w:ascii="Times New Roman" w:hAnsi="Times New Roman"/>
          <w:b/>
          <w:i w:val="0"/>
          <w:color w:val="auto"/>
        </w:rPr>
        <w:fldChar w:fldCharType="separate"/>
      </w:r>
      <w:r>
        <w:rPr>
          <w:rFonts w:ascii="Times New Roman" w:hAnsi="Times New Roman"/>
          <w:b/>
          <w:i w:val="0"/>
          <w:noProof/>
          <w:color w:val="auto"/>
        </w:rPr>
        <w:t>1</w:t>
      </w:r>
      <w:r w:rsidRPr="00DE4FE3">
        <w:rPr>
          <w:rFonts w:ascii="Times New Roman" w:hAnsi="Times New Roman"/>
          <w:b/>
          <w:i w:val="0"/>
          <w:color w:val="auto"/>
        </w:rPr>
        <w:fldChar w:fldCharType="end"/>
      </w:r>
      <w:r w:rsidRPr="00DE4FE3">
        <w:rPr>
          <w:rFonts w:ascii="Times New Roman" w:hAnsi="Times New Roman"/>
          <w:b/>
          <w:i w:val="0"/>
          <w:color w:val="auto"/>
        </w:rPr>
        <w:t xml:space="preserve"> Indikatorët Ekonomikë</w:t>
      </w:r>
      <w:bookmarkEnd w:id="27"/>
    </w:p>
    <w:tbl>
      <w:tblPr>
        <w:tblW w:w="4860" w:type="pct"/>
        <w:tblLayout w:type="fixed"/>
        <w:tblLook w:val="04A0" w:firstRow="1" w:lastRow="0" w:firstColumn="1" w:lastColumn="0" w:noHBand="0" w:noVBand="1"/>
      </w:tblPr>
      <w:tblGrid>
        <w:gridCol w:w="4189"/>
        <w:gridCol w:w="245"/>
        <w:gridCol w:w="1120"/>
        <w:gridCol w:w="1120"/>
        <w:gridCol w:w="1120"/>
        <w:gridCol w:w="1294"/>
      </w:tblGrid>
      <w:tr w:rsidR="00085F16" w:rsidRPr="00B922C3" w14:paraId="6BF56E79" w14:textId="77777777" w:rsidTr="00085F16">
        <w:trPr>
          <w:trHeight w:val="86"/>
        </w:trPr>
        <w:tc>
          <w:tcPr>
            <w:tcW w:w="2305"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0EF7016B" w14:textId="77777777" w:rsidR="00085F16" w:rsidRPr="00B922C3" w:rsidRDefault="00085F16" w:rsidP="00085F16">
            <w:pPr>
              <w:jc w:val="both"/>
              <w:rPr>
                <w:rFonts w:ascii="Times New Roman" w:hAnsi="Times New Roman" w:cs="Times New Roman"/>
                <w:b/>
                <w:bCs/>
              </w:rPr>
            </w:pPr>
          </w:p>
        </w:tc>
        <w:tc>
          <w:tcPr>
            <w:tcW w:w="135" w:type="pct"/>
            <w:tcBorders>
              <w:top w:val="single" w:sz="4" w:space="0" w:color="auto"/>
              <w:left w:val="nil"/>
              <w:bottom w:val="single" w:sz="4" w:space="0" w:color="auto"/>
              <w:right w:val="nil"/>
            </w:tcBorders>
            <w:shd w:val="clear" w:color="auto" w:fill="DEEAF6" w:themeFill="accent1" w:themeFillTint="33"/>
          </w:tcPr>
          <w:p w14:paraId="34FE1214" w14:textId="77777777" w:rsidR="00085F16" w:rsidRPr="00B922C3" w:rsidRDefault="00085F16" w:rsidP="00085F16">
            <w:pPr>
              <w:jc w:val="both"/>
              <w:rPr>
                <w:rFonts w:ascii="Times New Roman" w:hAnsi="Times New Roman" w:cs="Times New Roman"/>
                <w:b/>
                <w:bCs/>
              </w:rPr>
            </w:pPr>
          </w:p>
        </w:tc>
        <w:tc>
          <w:tcPr>
            <w:tcW w:w="616"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1208698D" w14:textId="77777777" w:rsidR="00085F16" w:rsidRPr="00B922C3" w:rsidRDefault="00085F16" w:rsidP="00085F16">
            <w:pPr>
              <w:jc w:val="center"/>
              <w:rPr>
                <w:rFonts w:ascii="Times New Roman" w:hAnsi="Times New Roman" w:cs="Times New Roman"/>
                <w:b/>
                <w:bCs/>
              </w:rPr>
            </w:pPr>
            <w:r w:rsidRPr="00B922C3">
              <w:rPr>
                <w:rFonts w:ascii="Times New Roman" w:hAnsi="Times New Roman" w:cs="Times New Roman"/>
                <w:b/>
                <w:bCs/>
              </w:rPr>
              <w:t>2019</w:t>
            </w:r>
          </w:p>
        </w:tc>
        <w:tc>
          <w:tcPr>
            <w:tcW w:w="616"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67C6095B" w14:textId="77777777" w:rsidR="00085F16" w:rsidRPr="00B922C3" w:rsidRDefault="00085F16" w:rsidP="00085F16">
            <w:pPr>
              <w:jc w:val="center"/>
              <w:rPr>
                <w:rFonts w:ascii="Times New Roman" w:hAnsi="Times New Roman" w:cs="Times New Roman"/>
                <w:b/>
                <w:bCs/>
              </w:rPr>
            </w:pPr>
            <w:r w:rsidRPr="00B922C3">
              <w:rPr>
                <w:rFonts w:ascii="Times New Roman" w:hAnsi="Times New Roman" w:cs="Times New Roman"/>
                <w:b/>
                <w:bCs/>
              </w:rPr>
              <w:t>2020</w:t>
            </w:r>
          </w:p>
        </w:tc>
        <w:tc>
          <w:tcPr>
            <w:tcW w:w="616"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3361DEAC" w14:textId="77777777" w:rsidR="00085F16" w:rsidRPr="00B922C3" w:rsidRDefault="00085F16" w:rsidP="00085F16">
            <w:pPr>
              <w:jc w:val="center"/>
              <w:rPr>
                <w:rFonts w:ascii="Times New Roman" w:hAnsi="Times New Roman" w:cs="Times New Roman"/>
                <w:b/>
                <w:bCs/>
              </w:rPr>
            </w:pPr>
            <w:r w:rsidRPr="00B922C3">
              <w:rPr>
                <w:rFonts w:ascii="Times New Roman" w:hAnsi="Times New Roman" w:cs="Times New Roman"/>
                <w:b/>
                <w:bCs/>
              </w:rPr>
              <w:t>2021</w:t>
            </w:r>
          </w:p>
        </w:tc>
        <w:tc>
          <w:tcPr>
            <w:tcW w:w="712" w:type="pct"/>
            <w:tcBorders>
              <w:top w:val="single" w:sz="4" w:space="0" w:color="auto"/>
              <w:left w:val="nil"/>
              <w:bottom w:val="single" w:sz="4" w:space="0" w:color="auto"/>
              <w:right w:val="single" w:sz="4" w:space="0" w:color="auto"/>
            </w:tcBorders>
            <w:shd w:val="clear" w:color="auto" w:fill="DEEAF6" w:themeFill="accent1" w:themeFillTint="33"/>
            <w:vAlign w:val="center"/>
          </w:tcPr>
          <w:p w14:paraId="4CA83491" w14:textId="77777777" w:rsidR="00085F16" w:rsidRPr="00B922C3" w:rsidRDefault="00085F16" w:rsidP="00085F16">
            <w:pPr>
              <w:jc w:val="center"/>
              <w:rPr>
                <w:rFonts w:ascii="Times New Roman" w:hAnsi="Times New Roman" w:cs="Times New Roman"/>
                <w:b/>
                <w:bCs/>
              </w:rPr>
            </w:pPr>
            <w:r w:rsidRPr="00B922C3">
              <w:rPr>
                <w:rFonts w:ascii="Times New Roman" w:hAnsi="Times New Roman" w:cs="Times New Roman"/>
                <w:b/>
                <w:bCs/>
              </w:rPr>
              <w:t>2022</w:t>
            </w:r>
          </w:p>
        </w:tc>
      </w:tr>
      <w:tr w:rsidR="00085F16" w:rsidRPr="00B922C3" w14:paraId="1481C0D7" w14:textId="77777777" w:rsidTr="00085F16">
        <w:trPr>
          <w:trHeight w:val="225"/>
        </w:trPr>
        <w:tc>
          <w:tcPr>
            <w:tcW w:w="2305" w:type="pct"/>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419C02F4" w14:textId="77777777" w:rsidR="00085F16" w:rsidRPr="00B922C3" w:rsidRDefault="00085F16" w:rsidP="00085F16">
            <w:pPr>
              <w:jc w:val="both"/>
              <w:rPr>
                <w:rFonts w:ascii="Times New Roman" w:hAnsi="Times New Roman" w:cs="Times New Roman"/>
              </w:rPr>
            </w:pPr>
            <w:r w:rsidRPr="00B922C3">
              <w:rPr>
                <w:rFonts w:ascii="Times New Roman" w:hAnsi="Times New Roman" w:cs="Times New Roman"/>
              </w:rPr>
              <w:t>Rritja globale e BPV (%)</w:t>
            </w:r>
          </w:p>
        </w:tc>
        <w:tc>
          <w:tcPr>
            <w:tcW w:w="135" w:type="pct"/>
            <w:tcBorders>
              <w:top w:val="nil"/>
              <w:left w:val="nil"/>
              <w:bottom w:val="single" w:sz="4" w:space="0" w:color="auto"/>
              <w:right w:val="nil"/>
            </w:tcBorders>
            <w:shd w:val="clear" w:color="auto" w:fill="DEEAF6" w:themeFill="accent1" w:themeFillTint="33"/>
          </w:tcPr>
          <w:p w14:paraId="192A332B" w14:textId="77777777" w:rsidR="00085F16" w:rsidRPr="00B922C3" w:rsidRDefault="00085F16" w:rsidP="00085F16">
            <w:pPr>
              <w:jc w:val="both"/>
              <w:rPr>
                <w:rFonts w:ascii="Times New Roman" w:hAnsi="Times New Roman" w:cs="Times New Roman"/>
              </w:rPr>
            </w:pPr>
          </w:p>
        </w:tc>
        <w:tc>
          <w:tcPr>
            <w:tcW w:w="616" w:type="pct"/>
            <w:tcBorders>
              <w:top w:val="nil"/>
              <w:left w:val="nil"/>
              <w:bottom w:val="single" w:sz="4" w:space="0" w:color="auto"/>
              <w:right w:val="single" w:sz="4" w:space="0" w:color="auto"/>
            </w:tcBorders>
            <w:shd w:val="clear" w:color="auto" w:fill="DEEAF6" w:themeFill="accent1" w:themeFillTint="33"/>
            <w:noWrap/>
            <w:vAlign w:val="center"/>
            <w:hideMark/>
          </w:tcPr>
          <w:p w14:paraId="02F9BB03" w14:textId="77777777" w:rsidR="00085F16" w:rsidRPr="00B922C3" w:rsidRDefault="00085F16" w:rsidP="00085F16">
            <w:pPr>
              <w:spacing w:before="120" w:line="276" w:lineRule="auto"/>
              <w:jc w:val="right"/>
              <w:rPr>
                <w:rFonts w:ascii="Times New Roman" w:hAnsi="Times New Roman" w:cs="Times New Roman"/>
              </w:rPr>
            </w:pPr>
            <w:r w:rsidRPr="00B922C3">
              <w:rPr>
                <w:rFonts w:ascii="Times New Roman" w:hAnsi="Times New Roman" w:cs="Times New Roman"/>
              </w:rPr>
              <w:t>3.01</w:t>
            </w:r>
          </w:p>
        </w:tc>
        <w:tc>
          <w:tcPr>
            <w:tcW w:w="616" w:type="pct"/>
            <w:tcBorders>
              <w:top w:val="nil"/>
              <w:left w:val="nil"/>
              <w:bottom w:val="single" w:sz="4" w:space="0" w:color="auto"/>
              <w:right w:val="single" w:sz="4" w:space="0" w:color="auto"/>
            </w:tcBorders>
            <w:shd w:val="clear" w:color="auto" w:fill="DEEAF6" w:themeFill="accent1" w:themeFillTint="33"/>
            <w:noWrap/>
            <w:vAlign w:val="center"/>
            <w:hideMark/>
          </w:tcPr>
          <w:p w14:paraId="41881305" w14:textId="77777777" w:rsidR="00085F16" w:rsidRPr="00B922C3" w:rsidRDefault="00085F16" w:rsidP="00085F16">
            <w:pPr>
              <w:spacing w:before="120" w:line="276" w:lineRule="auto"/>
              <w:jc w:val="right"/>
              <w:rPr>
                <w:rFonts w:ascii="Times New Roman" w:hAnsi="Times New Roman" w:cs="Times New Roman"/>
              </w:rPr>
            </w:pPr>
            <w:r w:rsidRPr="00B922C3">
              <w:rPr>
                <w:rFonts w:ascii="Times New Roman" w:hAnsi="Times New Roman" w:cs="Times New Roman"/>
              </w:rPr>
              <w:t>3.41</w:t>
            </w:r>
          </w:p>
        </w:tc>
        <w:tc>
          <w:tcPr>
            <w:tcW w:w="616" w:type="pct"/>
            <w:tcBorders>
              <w:top w:val="nil"/>
              <w:left w:val="nil"/>
              <w:bottom w:val="single" w:sz="4" w:space="0" w:color="auto"/>
              <w:right w:val="single" w:sz="4" w:space="0" w:color="auto"/>
            </w:tcBorders>
            <w:shd w:val="clear" w:color="auto" w:fill="DEEAF6" w:themeFill="accent1" w:themeFillTint="33"/>
            <w:noWrap/>
            <w:vAlign w:val="center"/>
            <w:hideMark/>
          </w:tcPr>
          <w:p w14:paraId="1C4E71C0" w14:textId="77777777" w:rsidR="00085F16" w:rsidRPr="00B922C3" w:rsidRDefault="00085F16" w:rsidP="00085F16">
            <w:pPr>
              <w:spacing w:before="120" w:line="276" w:lineRule="auto"/>
              <w:jc w:val="right"/>
              <w:rPr>
                <w:rFonts w:ascii="Times New Roman" w:hAnsi="Times New Roman" w:cs="Times New Roman"/>
              </w:rPr>
            </w:pPr>
            <w:r w:rsidRPr="00B922C3">
              <w:rPr>
                <w:rFonts w:ascii="Times New Roman" w:hAnsi="Times New Roman" w:cs="Times New Roman"/>
              </w:rPr>
              <w:t>3.56</w:t>
            </w:r>
          </w:p>
        </w:tc>
        <w:tc>
          <w:tcPr>
            <w:tcW w:w="712" w:type="pct"/>
            <w:tcBorders>
              <w:top w:val="nil"/>
              <w:left w:val="nil"/>
              <w:bottom w:val="single" w:sz="4" w:space="0" w:color="auto"/>
              <w:right w:val="single" w:sz="4" w:space="0" w:color="auto"/>
            </w:tcBorders>
            <w:shd w:val="clear" w:color="auto" w:fill="DEEAF6" w:themeFill="accent1" w:themeFillTint="33"/>
            <w:vAlign w:val="center"/>
          </w:tcPr>
          <w:p w14:paraId="086E8F72" w14:textId="77777777" w:rsidR="00085F16" w:rsidRPr="00B922C3" w:rsidRDefault="00085F16" w:rsidP="00085F16">
            <w:pPr>
              <w:spacing w:before="120" w:line="276" w:lineRule="auto"/>
              <w:jc w:val="right"/>
              <w:rPr>
                <w:rFonts w:ascii="Times New Roman" w:hAnsi="Times New Roman" w:cs="Times New Roman"/>
              </w:rPr>
            </w:pPr>
            <w:r w:rsidRPr="00B922C3">
              <w:rPr>
                <w:rFonts w:ascii="Times New Roman" w:hAnsi="Times New Roman" w:cs="Times New Roman"/>
              </w:rPr>
              <w:t>3.56</w:t>
            </w:r>
          </w:p>
        </w:tc>
      </w:tr>
      <w:tr w:rsidR="00085F16" w:rsidRPr="00B922C3" w14:paraId="4FE0F1EC" w14:textId="77777777" w:rsidTr="00085F16">
        <w:trPr>
          <w:trHeight w:val="35"/>
        </w:trPr>
        <w:tc>
          <w:tcPr>
            <w:tcW w:w="2305" w:type="pct"/>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50CFA2F7" w14:textId="77777777" w:rsidR="00085F16" w:rsidRPr="00B922C3" w:rsidRDefault="00085F16" w:rsidP="00085F16">
            <w:pPr>
              <w:jc w:val="both"/>
              <w:rPr>
                <w:rFonts w:ascii="Times New Roman" w:hAnsi="Times New Roman" w:cs="Times New Roman"/>
              </w:rPr>
            </w:pPr>
            <w:r w:rsidRPr="00B922C3">
              <w:rPr>
                <w:rFonts w:ascii="Times New Roman" w:hAnsi="Times New Roman" w:cs="Times New Roman"/>
              </w:rPr>
              <w:t>BE, rritja BPV (%)</w:t>
            </w:r>
          </w:p>
        </w:tc>
        <w:tc>
          <w:tcPr>
            <w:tcW w:w="135" w:type="pct"/>
            <w:tcBorders>
              <w:top w:val="nil"/>
              <w:left w:val="nil"/>
              <w:bottom w:val="single" w:sz="4" w:space="0" w:color="auto"/>
              <w:right w:val="nil"/>
            </w:tcBorders>
            <w:shd w:val="clear" w:color="auto" w:fill="DEEAF6" w:themeFill="accent1" w:themeFillTint="33"/>
          </w:tcPr>
          <w:p w14:paraId="48ABB3AC" w14:textId="77777777" w:rsidR="00085F16" w:rsidRPr="00B922C3" w:rsidRDefault="00085F16" w:rsidP="00085F16">
            <w:pPr>
              <w:jc w:val="both"/>
              <w:rPr>
                <w:rFonts w:ascii="Times New Roman" w:hAnsi="Times New Roman" w:cs="Times New Roman"/>
              </w:rPr>
            </w:pPr>
          </w:p>
        </w:tc>
        <w:tc>
          <w:tcPr>
            <w:tcW w:w="616" w:type="pct"/>
            <w:tcBorders>
              <w:top w:val="nil"/>
              <w:left w:val="nil"/>
              <w:bottom w:val="single" w:sz="4" w:space="0" w:color="auto"/>
              <w:right w:val="single" w:sz="4" w:space="0" w:color="auto"/>
            </w:tcBorders>
            <w:shd w:val="clear" w:color="auto" w:fill="DEEAF6" w:themeFill="accent1" w:themeFillTint="33"/>
            <w:noWrap/>
            <w:vAlign w:val="center"/>
            <w:hideMark/>
          </w:tcPr>
          <w:p w14:paraId="7E18B46F" w14:textId="77777777" w:rsidR="00085F16" w:rsidRPr="00B922C3" w:rsidRDefault="00085F16" w:rsidP="00085F16">
            <w:pPr>
              <w:spacing w:before="120" w:line="276" w:lineRule="auto"/>
              <w:jc w:val="right"/>
              <w:rPr>
                <w:rFonts w:ascii="Times New Roman" w:hAnsi="Times New Roman" w:cs="Times New Roman"/>
              </w:rPr>
            </w:pPr>
            <w:r w:rsidRPr="00B922C3">
              <w:rPr>
                <w:rFonts w:ascii="Times New Roman" w:hAnsi="Times New Roman" w:cs="Times New Roman"/>
              </w:rPr>
              <w:t>1.53</w:t>
            </w:r>
          </w:p>
        </w:tc>
        <w:tc>
          <w:tcPr>
            <w:tcW w:w="616" w:type="pct"/>
            <w:tcBorders>
              <w:top w:val="nil"/>
              <w:left w:val="nil"/>
              <w:bottom w:val="single" w:sz="4" w:space="0" w:color="auto"/>
              <w:right w:val="single" w:sz="4" w:space="0" w:color="auto"/>
            </w:tcBorders>
            <w:shd w:val="clear" w:color="auto" w:fill="DEEAF6" w:themeFill="accent1" w:themeFillTint="33"/>
            <w:noWrap/>
            <w:vAlign w:val="center"/>
            <w:hideMark/>
          </w:tcPr>
          <w:p w14:paraId="14CEF632" w14:textId="77777777" w:rsidR="00085F16" w:rsidRPr="00B922C3" w:rsidRDefault="00085F16" w:rsidP="00085F16">
            <w:pPr>
              <w:spacing w:before="120" w:line="276" w:lineRule="auto"/>
              <w:jc w:val="right"/>
              <w:rPr>
                <w:rFonts w:ascii="Times New Roman" w:hAnsi="Times New Roman" w:cs="Times New Roman"/>
              </w:rPr>
            </w:pPr>
            <w:r w:rsidRPr="00B922C3">
              <w:rPr>
                <w:rFonts w:ascii="Times New Roman" w:hAnsi="Times New Roman" w:cs="Times New Roman"/>
              </w:rPr>
              <w:t>1.64</w:t>
            </w:r>
          </w:p>
        </w:tc>
        <w:tc>
          <w:tcPr>
            <w:tcW w:w="616" w:type="pct"/>
            <w:tcBorders>
              <w:top w:val="nil"/>
              <w:left w:val="nil"/>
              <w:bottom w:val="single" w:sz="4" w:space="0" w:color="auto"/>
              <w:right w:val="single" w:sz="4" w:space="0" w:color="auto"/>
            </w:tcBorders>
            <w:shd w:val="clear" w:color="auto" w:fill="DEEAF6" w:themeFill="accent1" w:themeFillTint="33"/>
            <w:noWrap/>
            <w:vAlign w:val="center"/>
            <w:hideMark/>
          </w:tcPr>
          <w:p w14:paraId="62C796FB" w14:textId="77777777" w:rsidR="00085F16" w:rsidRPr="00B922C3" w:rsidRDefault="00085F16" w:rsidP="00085F16">
            <w:pPr>
              <w:spacing w:before="120" w:line="276" w:lineRule="auto"/>
              <w:jc w:val="right"/>
              <w:rPr>
                <w:rFonts w:ascii="Times New Roman" w:hAnsi="Times New Roman" w:cs="Times New Roman"/>
              </w:rPr>
            </w:pPr>
            <w:r w:rsidRPr="00B922C3">
              <w:rPr>
                <w:rFonts w:ascii="Times New Roman" w:hAnsi="Times New Roman" w:cs="Times New Roman"/>
              </w:rPr>
              <w:t>1.66</w:t>
            </w:r>
          </w:p>
        </w:tc>
        <w:tc>
          <w:tcPr>
            <w:tcW w:w="712" w:type="pct"/>
            <w:tcBorders>
              <w:top w:val="nil"/>
              <w:left w:val="nil"/>
              <w:bottom w:val="single" w:sz="4" w:space="0" w:color="auto"/>
              <w:right w:val="single" w:sz="4" w:space="0" w:color="auto"/>
            </w:tcBorders>
            <w:shd w:val="clear" w:color="auto" w:fill="DEEAF6" w:themeFill="accent1" w:themeFillTint="33"/>
            <w:vAlign w:val="center"/>
          </w:tcPr>
          <w:p w14:paraId="1DF80B94" w14:textId="77777777" w:rsidR="00085F16" w:rsidRPr="00B922C3" w:rsidRDefault="00085F16" w:rsidP="00085F16">
            <w:pPr>
              <w:spacing w:before="120" w:line="276" w:lineRule="auto"/>
              <w:jc w:val="right"/>
              <w:rPr>
                <w:rFonts w:ascii="Times New Roman" w:hAnsi="Times New Roman" w:cs="Times New Roman"/>
              </w:rPr>
            </w:pPr>
            <w:r w:rsidRPr="00B922C3">
              <w:rPr>
                <w:rFonts w:ascii="Times New Roman" w:hAnsi="Times New Roman" w:cs="Times New Roman"/>
              </w:rPr>
              <w:t>1.59</w:t>
            </w:r>
          </w:p>
        </w:tc>
      </w:tr>
      <w:tr w:rsidR="00085F16" w:rsidRPr="00B922C3" w14:paraId="0C091E59" w14:textId="77777777" w:rsidTr="00085F16">
        <w:trPr>
          <w:trHeight w:val="294"/>
        </w:trPr>
        <w:tc>
          <w:tcPr>
            <w:tcW w:w="2305" w:type="pct"/>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03ADDDAE" w14:textId="77777777" w:rsidR="00085F16" w:rsidRPr="00B922C3" w:rsidRDefault="00085F16" w:rsidP="00085F16">
            <w:pPr>
              <w:jc w:val="both"/>
              <w:rPr>
                <w:rFonts w:ascii="Times New Roman" w:hAnsi="Times New Roman" w:cs="Times New Roman"/>
              </w:rPr>
            </w:pPr>
            <w:r w:rsidRPr="00B922C3">
              <w:rPr>
                <w:rFonts w:ascii="Times New Roman" w:hAnsi="Times New Roman" w:cs="Times New Roman"/>
              </w:rPr>
              <w:t>Inflacioni në BE (%)</w:t>
            </w:r>
          </w:p>
        </w:tc>
        <w:tc>
          <w:tcPr>
            <w:tcW w:w="135" w:type="pct"/>
            <w:tcBorders>
              <w:top w:val="nil"/>
              <w:left w:val="nil"/>
              <w:bottom w:val="single" w:sz="4" w:space="0" w:color="auto"/>
              <w:right w:val="nil"/>
            </w:tcBorders>
            <w:shd w:val="clear" w:color="auto" w:fill="DEEAF6" w:themeFill="accent1" w:themeFillTint="33"/>
          </w:tcPr>
          <w:p w14:paraId="401E01C0" w14:textId="77777777" w:rsidR="00085F16" w:rsidRPr="00B922C3" w:rsidRDefault="00085F16" w:rsidP="00085F16">
            <w:pPr>
              <w:jc w:val="both"/>
              <w:rPr>
                <w:rFonts w:ascii="Times New Roman" w:hAnsi="Times New Roman" w:cs="Times New Roman"/>
              </w:rPr>
            </w:pPr>
          </w:p>
        </w:tc>
        <w:tc>
          <w:tcPr>
            <w:tcW w:w="616" w:type="pct"/>
            <w:tcBorders>
              <w:top w:val="nil"/>
              <w:left w:val="nil"/>
              <w:bottom w:val="single" w:sz="4" w:space="0" w:color="auto"/>
              <w:right w:val="single" w:sz="4" w:space="0" w:color="auto"/>
            </w:tcBorders>
            <w:shd w:val="clear" w:color="auto" w:fill="DEEAF6" w:themeFill="accent1" w:themeFillTint="33"/>
            <w:noWrap/>
            <w:vAlign w:val="center"/>
            <w:hideMark/>
          </w:tcPr>
          <w:p w14:paraId="5A35FCAA" w14:textId="77777777" w:rsidR="00085F16" w:rsidRPr="00B922C3" w:rsidRDefault="00085F16" w:rsidP="00085F16">
            <w:pPr>
              <w:spacing w:before="120" w:line="276" w:lineRule="auto"/>
              <w:jc w:val="right"/>
              <w:rPr>
                <w:rFonts w:ascii="Times New Roman" w:hAnsi="Times New Roman" w:cs="Times New Roman"/>
              </w:rPr>
            </w:pPr>
            <w:r w:rsidRPr="00B922C3">
              <w:rPr>
                <w:rFonts w:ascii="Times New Roman" w:hAnsi="Times New Roman" w:cs="Times New Roman"/>
              </w:rPr>
              <w:t>1.55</w:t>
            </w:r>
          </w:p>
        </w:tc>
        <w:tc>
          <w:tcPr>
            <w:tcW w:w="616" w:type="pct"/>
            <w:tcBorders>
              <w:top w:val="nil"/>
              <w:left w:val="nil"/>
              <w:bottom w:val="single" w:sz="4" w:space="0" w:color="auto"/>
              <w:right w:val="single" w:sz="4" w:space="0" w:color="auto"/>
            </w:tcBorders>
            <w:shd w:val="clear" w:color="auto" w:fill="DEEAF6" w:themeFill="accent1" w:themeFillTint="33"/>
            <w:noWrap/>
            <w:vAlign w:val="center"/>
            <w:hideMark/>
          </w:tcPr>
          <w:p w14:paraId="642ADE65" w14:textId="77777777" w:rsidR="00085F16" w:rsidRPr="00B922C3" w:rsidRDefault="00085F16" w:rsidP="00085F16">
            <w:pPr>
              <w:spacing w:before="120" w:line="276" w:lineRule="auto"/>
              <w:jc w:val="right"/>
              <w:rPr>
                <w:rFonts w:ascii="Times New Roman" w:hAnsi="Times New Roman" w:cs="Times New Roman"/>
              </w:rPr>
            </w:pPr>
            <w:r w:rsidRPr="00B922C3">
              <w:rPr>
                <w:rFonts w:ascii="Times New Roman" w:hAnsi="Times New Roman" w:cs="Times New Roman"/>
              </w:rPr>
              <w:t>1.69</w:t>
            </w:r>
          </w:p>
        </w:tc>
        <w:tc>
          <w:tcPr>
            <w:tcW w:w="616" w:type="pct"/>
            <w:tcBorders>
              <w:top w:val="nil"/>
              <w:left w:val="nil"/>
              <w:bottom w:val="single" w:sz="4" w:space="0" w:color="auto"/>
              <w:right w:val="single" w:sz="4" w:space="0" w:color="auto"/>
            </w:tcBorders>
            <w:shd w:val="clear" w:color="auto" w:fill="DEEAF6" w:themeFill="accent1" w:themeFillTint="33"/>
            <w:noWrap/>
            <w:vAlign w:val="center"/>
            <w:hideMark/>
          </w:tcPr>
          <w:p w14:paraId="5BA2C452" w14:textId="77777777" w:rsidR="00085F16" w:rsidRPr="00B922C3" w:rsidRDefault="00085F16" w:rsidP="00085F16">
            <w:pPr>
              <w:spacing w:before="120" w:line="276" w:lineRule="auto"/>
              <w:jc w:val="right"/>
              <w:rPr>
                <w:rFonts w:ascii="Times New Roman" w:hAnsi="Times New Roman" w:cs="Times New Roman"/>
              </w:rPr>
            </w:pPr>
            <w:r w:rsidRPr="00B922C3">
              <w:rPr>
                <w:rFonts w:ascii="Times New Roman" w:hAnsi="Times New Roman" w:cs="Times New Roman"/>
              </w:rPr>
              <w:t>1.78</w:t>
            </w:r>
          </w:p>
        </w:tc>
        <w:tc>
          <w:tcPr>
            <w:tcW w:w="712" w:type="pct"/>
            <w:tcBorders>
              <w:top w:val="nil"/>
              <w:left w:val="nil"/>
              <w:bottom w:val="single" w:sz="4" w:space="0" w:color="auto"/>
              <w:right w:val="single" w:sz="4" w:space="0" w:color="auto"/>
            </w:tcBorders>
            <w:shd w:val="clear" w:color="auto" w:fill="DEEAF6" w:themeFill="accent1" w:themeFillTint="33"/>
            <w:vAlign w:val="center"/>
          </w:tcPr>
          <w:p w14:paraId="0E5272C1" w14:textId="77777777" w:rsidR="00085F16" w:rsidRPr="00B922C3" w:rsidRDefault="00085F16" w:rsidP="00085F16">
            <w:pPr>
              <w:spacing w:before="120" w:line="276" w:lineRule="auto"/>
              <w:jc w:val="right"/>
              <w:rPr>
                <w:rFonts w:ascii="Times New Roman" w:hAnsi="Times New Roman" w:cs="Times New Roman"/>
              </w:rPr>
            </w:pPr>
            <w:r w:rsidRPr="00B922C3">
              <w:rPr>
                <w:rFonts w:ascii="Times New Roman" w:hAnsi="Times New Roman" w:cs="Times New Roman"/>
              </w:rPr>
              <w:t>1.88</w:t>
            </w:r>
          </w:p>
        </w:tc>
      </w:tr>
      <w:tr w:rsidR="00085F16" w:rsidRPr="00B922C3" w14:paraId="5319AB7E" w14:textId="77777777" w:rsidTr="00085F16">
        <w:trPr>
          <w:trHeight w:val="35"/>
        </w:trPr>
        <w:tc>
          <w:tcPr>
            <w:tcW w:w="2305" w:type="pct"/>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54DDF3B4" w14:textId="77777777" w:rsidR="00085F16" w:rsidRPr="00B922C3" w:rsidRDefault="00085F16" w:rsidP="00085F16">
            <w:pPr>
              <w:jc w:val="both"/>
              <w:rPr>
                <w:rFonts w:ascii="Times New Roman" w:hAnsi="Times New Roman" w:cs="Times New Roman"/>
              </w:rPr>
            </w:pPr>
            <w:r w:rsidRPr="00B922C3">
              <w:rPr>
                <w:rFonts w:ascii="Times New Roman" w:hAnsi="Times New Roman" w:cs="Times New Roman"/>
              </w:rPr>
              <w:t>3-muaj EURIBOR (përqindje vjetore)</w:t>
            </w:r>
            <w:r w:rsidRPr="00B922C3">
              <w:rPr>
                <w:rFonts w:ascii="Times New Roman" w:hAnsi="Times New Roman" w:cs="Times New Roman"/>
                <w:vertAlign w:val="superscript"/>
              </w:rPr>
              <w:footnoteReference w:id="3"/>
            </w:r>
          </w:p>
        </w:tc>
        <w:tc>
          <w:tcPr>
            <w:tcW w:w="135" w:type="pct"/>
            <w:tcBorders>
              <w:top w:val="nil"/>
              <w:left w:val="nil"/>
              <w:bottom w:val="single" w:sz="4" w:space="0" w:color="auto"/>
              <w:right w:val="nil"/>
            </w:tcBorders>
            <w:shd w:val="clear" w:color="auto" w:fill="DEEAF6" w:themeFill="accent1" w:themeFillTint="33"/>
          </w:tcPr>
          <w:p w14:paraId="61DB2325" w14:textId="77777777" w:rsidR="00085F16" w:rsidRPr="00B922C3" w:rsidRDefault="00085F16" w:rsidP="00085F16">
            <w:pPr>
              <w:jc w:val="both"/>
              <w:rPr>
                <w:rFonts w:ascii="Times New Roman" w:hAnsi="Times New Roman" w:cs="Times New Roman"/>
              </w:rPr>
            </w:pPr>
          </w:p>
        </w:tc>
        <w:tc>
          <w:tcPr>
            <w:tcW w:w="616" w:type="pct"/>
            <w:tcBorders>
              <w:top w:val="nil"/>
              <w:left w:val="nil"/>
              <w:bottom w:val="single" w:sz="4" w:space="0" w:color="auto"/>
              <w:right w:val="single" w:sz="4" w:space="0" w:color="auto"/>
            </w:tcBorders>
            <w:shd w:val="clear" w:color="auto" w:fill="DEEAF6" w:themeFill="accent1" w:themeFillTint="33"/>
            <w:noWrap/>
            <w:vAlign w:val="center"/>
            <w:hideMark/>
          </w:tcPr>
          <w:p w14:paraId="2EE02BB8" w14:textId="77777777" w:rsidR="00085F16" w:rsidRPr="00B922C3" w:rsidRDefault="00085F16" w:rsidP="00085F16">
            <w:pPr>
              <w:spacing w:before="120" w:line="276" w:lineRule="auto"/>
              <w:jc w:val="right"/>
              <w:rPr>
                <w:rFonts w:ascii="Times New Roman" w:hAnsi="Times New Roman" w:cs="Times New Roman"/>
              </w:rPr>
            </w:pPr>
            <w:r w:rsidRPr="00B922C3">
              <w:rPr>
                <w:rFonts w:ascii="Times New Roman" w:hAnsi="Times New Roman" w:cs="Times New Roman"/>
              </w:rPr>
              <w:t>-0.30</w:t>
            </w:r>
          </w:p>
        </w:tc>
        <w:tc>
          <w:tcPr>
            <w:tcW w:w="616" w:type="pct"/>
            <w:tcBorders>
              <w:top w:val="nil"/>
              <w:left w:val="nil"/>
              <w:bottom w:val="single" w:sz="4" w:space="0" w:color="auto"/>
              <w:right w:val="single" w:sz="4" w:space="0" w:color="auto"/>
            </w:tcBorders>
            <w:shd w:val="clear" w:color="auto" w:fill="DEEAF6" w:themeFill="accent1" w:themeFillTint="33"/>
            <w:noWrap/>
            <w:vAlign w:val="center"/>
            <w:hideMark/>
          </w:tcPr>
          <w:p w14:paraId="68F9ED2F" w14:textId="77777777" w:rsidR="00085F16" w:rsidRPr="00B922C3" w:rsidRDefault="00085F16" w:rsidP="00085F16">
            <w:pPr>
              <w:spacing w:before="120" w:line="276" w:lineRule="auto"/>
              <w:jc w:val="right"/>
              <w:rPr>
                <w:rFonts w:ascii="Times New Roman" w:hAnsi="Times New Roman" w:cs="Times New Roman"/>
              </w:rPr>
            </w:pPr>
            <w:r w:rsidRPr="00B922C3">
              <w:rPr>
                <w:rFonts w:ascii="Times New Roman" w:hAnsi="Times New Roman" w:cs="Times New Roman"/>
              </w:rPr>
              <w:t>0.50</w:t>
            </w:r>
          </w:p>
        </w:tc>
        <w:tc>
          <w:tcPr>
            <w:tcW w:w="616" w:type="pct"/>
            <w:tcBorders>
              <w:top w:val="nil"/>
              <w:left w:val="nil"/>
              <w:bottom w:val="single" w:sz="4" w:space="0" w:color="auto"/>
              <w:right w:val="single" w:sz="4" w:space="0" w:color="auto"/>
            </w:tcBorders>
            <w:shd w:val="clear" w:color="auto" w:fill="DEEAF6" w:themeFill="accent1" w:themeFillTint="33"/>
            <w:noWrap/>
            <w:vAlign w:val="center"/>
            <w:hideMark/>
          </w:tcPr>
          <w:p w14:paraId="570D1EE1" w14:textId="77777777" w:rsidR="00085F16" w:rsidRPr="00B922C3" w:rsidRDefault="00085F16" w:rsidP="00085F16">
            <w:pPr>
              <w:spacing w:before="120" w:line="276" w:lineRule="auto"/>
              <w:jc w:val="right"/>
              <w:rPr>
                <w:rFonts w:ascii="Times New Roman" w:hAnsi="Times New Roman" w:cs="Times New Roman"/>
              </w:rPr>
            </w:pPr>
          </w:p>
        </w:tc>
        <w:tc>
          <w:tcPr>
            <w:tcW w:w="712" w:type="pct"/>
            <w:tcBorders>
              <w:top w:val="nil"/>
              <w:left w:val="nil"/>
              <w:bottom w:val="single" w:sz="4" w:space="0" w:color="auto"/>
              <w:right w:val="single" w:sz="4" w:space="0" w:color="auto"/>
            </w:tcBorders>
            <w:shd w:val="clear" w:color="auto" w:fill="DEEAF6" w:themeFill="accent1" w:themeFillTint="33"/>
            <w:vAlign w:val="center"/>
          </w:tcPr>
          <w:p w14:paraId="2D6692C7" w14:textId="77777777" w:rsidR="00085F16" w:rsidRPr="00B922C3" w:rsidRDefault="00085F16" w:rsidP="00085F16">
            <w:pPr>
              <w:spacing w:before="120" w:line="276" w:lineRule="auto"/>
              <w:jc w:val="right"/>
              <w:rPr>
                <w:rFonts w:ascii="Times New Roman" w:hAnsi="Times New Roman" w:cs="Times New Roman"/>
              </w:rPr>
            </w:pPr>
          </w:p>
        </w:tc>
      </w:tr>
      <w:tr w:rsidR="00085F16" w:rsidRPr="00B922C3" w14:paraId="6F6DBB8F" w14:textId="77777777" w:rsidTr="00085F16">
        <w:trPr>
          <w:trHeight w:val="64"/>
        </w:trPr>
        <w:tc>
          <w:tcPr>
            <w:tcW w:w="2305" w:type="pct"/>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1AD4DA64" w14:textId="77777777" w:rsidR="00085F16" w:rsidRPr="00B922C3" w:rsidRDefault="00085F16" w:rsidP="00085F16">
            <w:pPr>
              <w:jc w:val="both"/>
              <w:rPr>
                <w:rFonts w:ascii="Times New Roman" w:hAnsi="Times New Roman" w:cs="Times New Roman"/>
              </w:rPr>
            </w:pPr>
            <w:r w:rsidRPr="00B922C3">
              <w:rPr>
                <w:rFonts w:ascii="Times New Roman" w:eastAsia="Malgun Gothic" w:hAnsi="Times New Roman" w:cs="Times New Roman"/>
              </w:rPr>
              <w:t>Ç</w:t>
            </w:r>
            <w:r w:rsidRPr="00B922C3">
              <w:rPr>
                <w:rFonts w:ascii="Times New Roman" w:hAnsi="Times New Roman" w:cs="Times New Roman"/>
              </w:rPr>
              <w:t>mimet e naftës $/ për fuqi</w:t>
            </w:r>
          </w:p>
        </w:tc>
        <w:tc>
          <w:tcPr>
            <w:tcW w:w="135" w:type="pct"/>
            <w:tcBorders>
              <w:top w:val="nil"/>
              <w:left w:val="nil"/>
              <w:bottom w:val="single" w:sz="4" w:space="0" w:color="auto"/>
              <w:right w:val="nil"/>
            </w:tcBorders>
            <w:shd w:val="clear" w:color="auto" w:fill="DEEAF6" w:themeFill="accent1" w:themeFillTint="33"/>
          </w:tcPr>
          <w:p w14:paraId="72CAEB18" w14:textId="77777777" w:rsidR="00085F16" w:rsidRPr="00B922C3" w:rsidRDefault="00085F16" w:rsidP="00085F16">
            <w:pPr>
              <w:jc w:val="both"/>
              <w:rPr>
                <w:rFonts w:ascii="Times New Roman" w:hAnsi="Times New Roman" w:cs="Times New Roman"/>
              </w:rPr>
            </w:pPr>
          </w:p>
        </w:tc>
        <w:tc>
          <w:tcPr>
            <w:tcW w:w="616" w:type="pct"/>
            <w:tcBorders>
              <w:top w:val="nil"/>
              <w:left w:val="nil"/>
              <w:bottom w:val="single" w:sz="4" w:space="0" w:color="auto"/>
              <w:right w:val="single" w:sz="4" w:space="0" w:color="auto"/>
            </w:tcBorders>
            <w:shd w:val="clear" w:color="auto" w:fill="DEEAF6" w:themeFill="accent1" w:themeFillTint="33"/>
            <w:noWrap/>
            <w:vAlign w:val="center"/>
            <w:hideMark/>
          </w:tcPr>
          <w:p w14:paraId="6DA9DD78" w14:textId="77777777" w:rsidR="00085F16" w:rsidRPr="00B922C3" w:rsidRDefault="00085F16" w:rsidP="00085F16">
            <w:pPr>
              <w:spacing w:before="120" w:line="276" w:lineRule="auto"/>
              <w:jc w:val="right"/>
              <w:rPr>
                <w:rFonts w:ascii="Times New Roman" w:hAnsi="Times New Roman" w:cs="Times New Roman"/>
              </w:rPr>
            </w:pPr>
            <w:r w:rsidRPr="00B922C3">
              <w:rPr>
                <w:rFonts w:ascii="Times New Roman" w:hAnsi="Times New Roman" w:cs="Times New Roman"/>
              </w:rPr>
              <w:t>61.78</w:t>
            </w:r>
          </w:p>
        </w:tc>
        <w:tc>
          <w:tcPr>
            <w:tcW w:w="616" w:type="pct"/>
            <w:tcBorders>
              <w:top w:val="nil"/>
              <w:left w:val="nil"/>
              <w:bottom w:val="single" w:sz="4" w:space="0" w:color="auto"/>
              <w:right w:val="single" w:sz="4" w:space="0" w:color="auto"/>
            </w:tcBorders>
            <w:shd w:val="clear" w:color="auto" w:fill="DEEAF6" w:themeFill="accent1" w:themeFillTint="33"/>
            <w:noWrap/>
            <w:vAlign w:val="center"/>
            <w:hideMark/>
          </w:tcPr>
          <w:p w14:paraId="28A23836" w14:textId="77777777" w:rsidR="00085F16" w:rsidRPr="00B922C3" w:rsidRDefault="00085F16" w:rsidP="00085F16">
            <w:pPr>
              <w:spacing w:before="120" w:line="276" w:lineRule="auto"/>
              <w:jc w:val="right"/>
              <w:rPr>
                <w:rFonts w:ascii="Times New Roman" w:hAnsi="Times New Roman" w:cs="Times New Roman"/>
              </w:rPr>
            </w:pPr>
            <w:r w:rsidRPr="00B922C3">
              <w:rPr>
                <w:rFonts w:ascii="Times New Roman" w:hAnsi="Times New Roman" w:cs="Times New Roman"/>
              </w:rPr>
              <w:t>57.94</w:t>
            </w:r>
          </w:p>
        </w:tc>
        <w:tc>
          <w:tcPr>
            <w:tcW w:w="616" w:type="pct"/>
            <w:tcBorders>
              <w:top w:val="nil"/>
              <w:left w:val="nil"/>
              <w:bottom w:val="single" w:sz="4" w:space="0" w:color="auto"/>
              <w:right w:val="single" w:sz="4" w:space="0" w:color="auto"/>
            </w:tcBorders>
            <w:shd w:val="clear" w:color="auto" w:fill="DEEAF6" w:themeFill="accent1" w:themeFillTint="33"/>
            <w:noWrap/>
            <w:vAlign w:val="center"/>
            <w:hideMark/>
          </w:tcPr>
          <w:p w14:paraId="72532D95" w14:textId="77777777" w:rsidR="00085F16" w:rsidRPr="00B922C3" w:rsidRDefault="00085F16" w:rsidP="00085F16">
            <w:pPr>
              <w:spacing w:before="120" w:line="276" w:lineRule="auto"/>
              <w:jc w:val="right"/>
              <w:rPr>
                <w:rFonts w:ascii="Times New Roman" w:hAnsi="Times New Roman" w:cs="Times New Roman"/>
              </w:rPr>
            </w:pPr>
            <w:r w:rsidRPr="00B922C3">
              <w:rPr>
                <w:rFonts w:ascii="Times New Roman" w:hAnsi="Times New Roman" w:cs="Times New Roman"/>
              </w:rPr>
              <w:t>55.30</w:t>
            </w:r>
          </w:p>
        </w:tc>
        <w:tc>
          <w:tcPr>
            <w:tcW w:w="712" w:type="pct"/>
            <w:tcBorders>
              <w:top w:val="nil"/>
              <w:left w:val="nil"/>
              <w:bottom w:val="single" w:sz="4" w:space="0" w:color="auto"/>
              <w:right w:val="single" w:sz="4" w:space="0" w:color="auto"/>
            </w:tcBorders>
            <w:shd w:val="clear" w:color="auto" w:fill="DEEAF6" w:themeFill="accent1" w:themeFillTint="33"/>
            <w:vAlign w:val="center"/>
          </w:tcPr>
          <w:p w14:paraId="7C088F48" w14:textId="77777777" w:rsidR="00085F16" w:rsidRPr="00B922C3" w:rsidRDefault="00085F16" w:rsidP="00085F16">
            <w:pPr>
              <w:spacing w:before="120" w:line="276" w:lineRule="auto"/>
              <w:jc w:val="right"/>
              <w:rPr>
                <w:rFonts w:ascii="Times New Roman" w:hAnsi="Times New Roman" w:cs="Times New Roman"/>
              </w:rPr>
            </w:pPr>
            <w:r w:rsidRPr="00B922C3">
              <w:rPr>
                <w:rFonts w:ascii="Times New Roman" w:hAnsi="Times New Roman" w:cs="Times New Roman"/>
              </w:rPr>
              <w:t>54.60</w:t>
            </w:r>
          </w:p>
        </w:tc>
      </w:tr>
      <w:tr w:rsidR="00085F16" w:rsidRPr="00B922C3" w14:paraId="7F62E6EE" w14:textId="77777777" w:rsidTr="00085F16">
        <w:trPr>
          <w:trHeight w:val="623"/>
        </w:trPr>
        <w:tc>
          <w:tcPr>
            <w:tcW w:w="2305" w:type="pct"/>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5FC14745" w14:textId="77777777" w:rsidR="00085F16" w:rsidRPr="00B922C3" w:rsidRDefault="00085F16" w:rsidP="00085F16">
            <w:pPr>
              <w:jc w:val="both"/>
              <w:rPr>
                <w:rFonts w:ascii="Times New Roman" w:hAnsi="Times New Roman" w:cs="Times New Roman"/>
              </w:rPr>
            </w:pPr>
            <w:r w:rsidRPr="00B922C3">
              <w:rPr>
                <w:rFonts w:ascii="Times New Roman" w:eastAsia="Malgun Gothic" w:hAnsi="Times New Roman" w:cs="Times New Roman"/>
              </w:rPr>
              <w:t>Ç</w:t>
            </w:r>
            <w:r w:rsidRPr="00B922C3">
              <w:rPr>
                <w:rFonts w:ascii="Times New Roman" w:hAnsi="Times New Roman" w:cs="Times New Roman"/>
              </w:rPr>
              <w:t>mimet e mallrave bazë (përfshirë: indeksi i çmimeve të karburantit dhe jo-karburantit (2005 index)</w:t>
            </w:r>
          </w:p>
        </w:tc>
        <w:tc>
          <w:tcPr>
            <w:tcW w:w="135" w:type="pct"/>
            <w:tcBorders>
              <w:top w:val="nil"/>
              <w:left w:val="nil"/>
              <w:bottom w:val="single" w:sz="4" w:space="0" w:color="auto"/>
              <w:right w:val="nil"/>
            </w:tcBorders>
            <w:shd w:val="clear" w:color="auto" w:fill="DEEAF6" w:themeFill="accent1" w:themeFillTint="33"/>
          </w:tcPr>
          <w:p w14:paraId="14D818AE" w14:textId="77777777" w:rsidR="00085F16" w:rsidRPr="00B922C3" w:rsidRDefault="00085F16" w:rsidP="00085F16">
            <w:pPr>
              <w:jc w:val="both"/>
              <w:rPr>
                <w:rFonts w:ascii="Times New Roman" w:hAnsi="Times New Roman" w:cs="Times New Roman"/>
              </w:rPr>
            </w:pPr>
          </w:p>
        </w:tc>
        <w:tc>
          <w:tcPr>
            <w:tcW w:w="616" w:type="pct"/>
            <w:tcBorders>
              <w:top w:val="nil"/>
              <w:left w:val="nil"/>
              <w:bottom w:val="single" w:sz="4" w:space="0" w:color="auto"/>
              <w:right w:val="single" w:sz="4" w:space="0" w:color="auto"/>
            </w:tcBorders>
            <w:shd w:val="clear" w:color="auto" w:fill="DEEAF6" w:themeFill="accent1" w:themeFillTint="33"/>
            <w:noWrap/>
            <w:vAlign w:val="center"/>
            <w:hideMark/>
          </w:tcPr>
          <w:p w14:paraId="4137934B" w14:textId="77777777" w:rsidR="00085F16" w:rsidRPr="00B922C3" w:rsidRDefault="00085F16" w:rsidP="00085F16">
            <w:pPr>
              <w:spacing w:before="120" w:line="276" w:lineRule="auto"/>
              <w:jc w:val="right"/>
              <w:rPr>
                <w:rFonts w:ascii="Times New Roman" w:hAnsi="Times New Roman" w:cs="Times New Roman"/>
              </w:rPr>
            </w:pPr>
            <w:r w:rsidRPr="00B922C3">
              <w:rPr>
                <w:rFonts w:ascii="Times New Roman" w:hAnsi="Times New Roman" w:cs="Times New Roman"/>
              </w:rPr>
              <w:t>118.46</w:t>
            </w:r>
          </w:p>
        </w:tc>
        <w:tc>
          <w:tcPr>
            <w:tcW w:w="616" w:type="pct"/>
            <w:tcBorders>
              <w:top w:val="nil"/>
              <w:left w:val="nil"/>
              <w:bottom w:val="single" w:sz="4" w:space="0" w:color="auto"/>
              <w:right w:val="single" w:sz="4" w:space="0" w:color="auto"/>
            </w:tcBorders>
            <w:shd w:val="clear" w:color="auto" w:fill="DEEAF6" w:themeFill="accent1" w:themeFillTint="33"/>
            <w:noWrap/>
            <w:vAlign w:val="center"/>
            <w:hideMark/>
          </w:tcPr>
          <w:p w14:paraId="0C1A740C" w14:textId="77777777" w:rsidR="00085F16" w:rsidRPr="00B922C3" w:rsidRDefault="00085F16" w:rsidP="00085F16">
            <w:pPr>
              <w:spacing w:before="120" w:line="276" w:lineRule="auto"/>
              <w:jc w:val="right"/>
              <w:rPr>
                <w:rFonts w:ascii="Times New Roman" w:hAnsi="Times New Roman" w:cs="Times New Roman"/>
              </w:rPr>
            </w:pPr>
            <w:r w:rsidRPr="00B922C3">
              <w:rPr>
                <w:rFonts w:ascii="Times New Roman" w:hAnsi="Times New Roman" w:cs="Times New Roman"/>
              </w:rPr>
              <w:t>117.84</w:t>
            </w:r>
          </w:p>
        </w:tc>
        <w:tc>
          <w:tcPr>
            <w:tcW w:w="616" w:type="pct"/>
            <w:tcBorders>
              <w:top w:val="nil"/>
              <w:left w:val="nil"/>
              <w:bottom w:val="single" w:sz="4" w:space="0" w:color="auto"/>
              <w:right w:val="single" w:sz="4" w:space="0" w:color="auto"/>
            </w:tcBorders>
            <w:shd w:val="clear" w:color="auto" w:fill="DEEAF6" w:themeFill="accent1" w:themeFillTint="33"/>
            <w:noWrap/>
            <w:vAlign w:val="center"/>
            <w:hideMark/>
          </w:tcPr>
          <w:p w14:paraId="6DE2B4FE" w14:textId="77777777" w:rsidR="00085F16" w:rsidRPr="00B922C3" w:rsidRDefault="00085F16" w:rsidP="00085F16">
            <w:pPr>
              <w:spacing w:before="120" w:line="276" w:lineRule="auto"/>
              <w:jc w:val="right"/>
              <w:rPr>
                <w:rFonts w:ascii="Times New Roman" w:hAnsi="Times New Roman" w:cs="Times New Roman"/>
              </w:rPr>
            </w:pPr>
            <w:r w:rsidRPr="00B922C3">
              <w:rPr>
                <w:rFonts w:ascii="Times New Roman" w:hAnsi="Times New Roman" w:cs="Times New Roman"/>
              </w:rPr>
              <w:t>117.09</w:t>
            </w:r>
          </w:p>
        </w:tc>
        <w:tc>
          <w:tcPr>
            <w:tcW w:w="712" w:type="pct"/>
            <w:tcBorders>
              <w:top w:val="nil"/>
              <w:left w:val="nil"/>
              <w:bottom w:val="single" w:sz="4" w:space="0" w:color="auto"/>
              <w:right w:val="single" w:sz="4" w:space="0" w:color="auto"/>
            </w:tcBorders>
            <w:shd w:val="clear" w:color="auto" w:fill="DEEAF6" w:themeFill="accent1" w:themeFillTint="33"/>
            <w:vAlign w:val="center"/>
          </w:tcPr>
          <w:p w14:paraId="2D465CCD" w14:textId="77777777" w:rsidR="00085F16" w:rsidRPr="00B922C3" w:rsidRDefault="00085F16" w:rsidP="00085F16">
            <w:pPr>
              <w:spacing w:before="120" w:line="276" w:lineRule="auto"/>
              <w:jc w:val="right"/>
              <w:rPr>
                <w:rFonts w:ascii="Times New Roman" w:hAnsi="Times New Roman" w:cs="Times New Roman"/>
              </w:rPr>
            </w:pPr>
            <w:r w:rsidRPr="00B922C3">
              <w:rPr>
                <w:rFonts w:ascii="Times New Roman" w:hAnsi="Times New Roman" w:cs="Times New Roman"/>
              </w:rPr>
              <w:t>117.25</w:t>
            </w:r>
          </w:p>
        </w:tc>
      </w:tr>
      <w:tr w:rsidR="00085F16" w:rsidRPr="00B922C3" w14:paraId="68F4BC08" w14:textId="77777777" w:rsidTr="00085F16">
        <w:trPr>
          <w:trHeight w:val="207"/>
        </w:trPr>
        <w:tc>
          <w:tcPr>
            <w:tcW w:w="2305" w:type="pct"/>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10423D16" w14:textId="77777777" w:rsidR="00085F16" w:rsidRPr="00B922C3" w:rsidRDefault="00085F16" w:rsidP="00085F16">
            <w:pPr>
              <w:jc w:val="both"/>
              <w:rPr>
                <w:rFonts w:ascii="Times New Roman" w:hAnsi="Times New Roman" w:cs="Times New Roman"/>
              </w:rPr>
            </w:pPr>
            <w:r w:rsidRPr="00B922C3">
              <w:rPr>
                <w:rFonts w:ascii="Times New Roman" w:hAnsi="Times New Roman" w:cs="Times New Roman"/>
              </w:rPr>
              <w:t>Çmimet e Nikelit $/ton</w:t>
            </w:r>
          </w:p>
        </w:tc>
        <w:tc>
          <w:tcPr>
            <w:tcW w:w="135" w:type="pct"/>
            <w:tcBorders>
              <w:top w:val="nil"/>
              <w:left w:val="nil"/>
              <w:bottom w:val="single" w:sz="4" w:space="0" w:color="auto"/>
              <w:right w:val="nil"/>
            </w:tcBorders>
            <w:shd w:val="clear" w:color="auto" w:fill="DEEAF6" w:themeFill="accent1" w:themeFillTint="33"/>
          </w:tcPr>
          <w:p w14:paraId="582E3BF3" w14:textId="77777777" w:rsidR="00085F16" w:rsidRPr="00B922C3" w:rsidRDefault="00085F16" w:rsidP="00085F16">
            <w:pPr>
              <w:jc w:val="both"/>
              <w:rPr>
                <w:rFonts w:ascii="Times New Roman" w:hAnsi="Times New Roman" w:cs="Times New Roman"/>
              </w:rPr>
            </w:pPr>
          </w:p>
        </w:tc>
        <w:tc>
          <w:tcPr>
            <w:tcW w:w="616" w:type="pct"/>
            <w:tcBorders>
              <w:top w:val="nil"/>
              <w:left w:val="nil"/>
              <w:bottom w:val="single" w:sz="4" w:space="0" w:color="auto"/>
              <w:right w:val="single" w:sz="4" w:space="0" w:color="auto"/>
            </w:tcBorders>
            <w:shd w:val="clear" w:color="auto" w:fill="DEEAF6" w:themeFill="accent1" w:themeFillTint="33"/>
            <w:noWrap/>
            <w:vAlign w:val="center"/>
            <w:hideMark/>
          </w:tcPr>
          <w:p w14:paraId="00BEB3A5" w14:textId="77777777" w:rsidR="00085F16" w:rsidRPr="00B922C3" w:rsidRDefault="00085F16" w:rsidP="00085F16">
            <w:pPr>
              <w:spacing w:before="120" w:line="276" w:lineRule="auto"/>
              <w:jc w:val="right"/>
              <w:rPr>
                <w:rFonts w:ascii="Times New Roman" w:hAnsi="Times New Roman" w:cs="Times New Roman"/>
              </w:rPr>
            </w:pPr>
            <w:r w:rsidRPr="00B922C3">
              <w:rPr>
                <w:rFonts w:ascii="Times New Roman" w:hAnsi="Times New Roman" w:cs="Times New Roman"/>
              </w:rPr>
              <w:t>14,331.98</w:t>
            </w:r>
          </w:p>
        </w:tc>
        <w:tc>
          <w:tcPr>
            <w:tcW w:w="616" w:type="pct"/>
            <w:tcBorders>
              <w:top w:val="nil"/>
              <w:left w:val="nil"/>
              <w:bottom w:val="single" w:sz="4" w:space="0" w:color="auto"/>
              <w:right w:val="single" w:sz="4" w:space="0" w:color="auto"/>
            </w:tcBorders>
            <w:shd w:val="clear" w:color="auto" w:fill="DEEAF6" w:themeFill="accent1" w:themeFillTint="33"/>
            <w:noWrap/>
            <w:vAlign w:val="center"/>
            <w:hideMark/>
          </w:tcPr>
          <w:p w14:paraId="2EFE76AB" w14:textId="77777777" w:rsidR="00085F16" w:rsidRPr="00B922C3" w:rsidRDefault="00085F16" w:rsidP="00085F16">
            <w:pPr>
              <w:spacing w:before="120" w:line="276" w:lineRule="auto"/>
              <w:jc w:val="right"/>
              <w:rPr>
                <w:rFonts w:ascii="Times New Roman" w:hAnsi="Times New Roman" w:cs="Times New Roman"/>
              </w:rPr>
            </w:pPr>
            <w:r w:rsidRPr="00B922C3">
              <w:rPr>
                <w:rFonts w:ascii="Times New Roman" w:hAnsi="Times New Roman" w:cs="Times New Roman"/>
              </w:rPr>
              <w:t>16,927.75</w:t>
            </w:r>
          </w:p>
        </w:tc>
        <w:tc>
          <w:tcPr>
            <w:tcW w:w="616" w:type="pct"/>
            <w:tcBorders>
              <w:top w:val="nil"/>
              <w:left w:val="nil"/>
              <w:bottom w:val="single" w:sz="4" w:space="0" w:color="auto"/>
              <w:right w:val="single" w:sz="4" w:space="0" w:color="auto"/>
            </w:tcBorders>
            <w:shd w:val="clear" w:color="auto" w:fill="DEEAF6" w:themeFill="accent1" w:themeFillTint="33"/>
            <w:noWrap/>
            <w:vAlign w:val="center"/>
            <w:hideMark/>
          </w:tcPr>
          <w:p w14:paraId="731B3AA9" w14:textId="77777777" w:rsidR="00085F16" w:rsidRPr="00B922C3" w:rsidRDefault="00085F16" w:rsidP="00085F16">
            <w:pPr>
              <w:spacing w:before="120" w:line="276" w:lineRule="auto"/>
              <w:jc w:val="right"/>
              <w:rPr>
                <w:rFonts w:ascii="Times New Roman" w:hAnsi="Times New Roman" w:cs="Times New Roman"/>
              </w:rPr>
            </w:pPr>
            <w:r w:rsidRPr="00B922C3">
              <w:rPr>
                <w:rFonts w:ascii="Times New Roman" w:hAnsi="Times New Roman" w:cs="Times New Roman"/>
              </w:rPr>
              <w:t>16,881.00</w:t>
            </w:r>
          </w:p>
        </w:tc>
        <w:tc>
          <w:tcPr>
            <w:tcW w:w="712" w:type="pct"/>
            <w:tcBorders>
              <w:top w:val="nil"/>
              <w:left w:val="nil"/>
              <w:bottom w:val="single" w:sz="4" w:space="0" w:color="auto"/>
              <w:right w:val="single" w:sz="4" w:space="0" w:color="auto"/>
            </w:tcBorders>
            <w:shd w:val="clear" w:color="auto" w:fill="DEEAF6" w:themeFill="accent1" w:themeFillTint="33"/>
            <w:vAlign w:val="center"/>
          </w:tcPr>
          <w:p w14:paraId="76A6681B" w14:textId="77777777" w:rsidR="00085F16" w:rsidRPr="00B922C3" w:rsidRDefault="00085F16" w:rsidP="00085F16">
            <w:pPr>
              <w:spacing w:before="120" w:line="276" w:lineRule="auto"/>
              <w:jc w:val="right"/>
              <w:rPr>
                <w:rFonts w:ascii="Times New Roman" w:hAnsi="Times New Roman" w:cs="Times New Roman"/>
              </w:rPr>
            </w:pPr>
            <w:r w:rsidRPr="00B922C3">
              <w:rPr>
                <w:rFonts w:ascii="Times New Roman" w:hAnsi="Times New Roman" w:cs="Times New Roman"/>
              </w:rPr>
              <w:t>16,896.25</w:t>
            </w:r>
          </w:p>
        </w:tc>
      </w:tr>
    </w:tbl>
    <w:p w14:paraId="0FDE7239" w14:textId="77777777" w:rsidR="00085F16" w:rsidRDefault="00085F16" w:rsidP="00085F16">
      <w:pPr>
        <w:jc w:val="both"/>
      </w:pPr>
    </w:p>
    <w:p w14:paraId="63D0BD16" w14:textId="77777777" w:rsidR="00085F16" w:rsidRPr="00DC416F" w:rsidRDefault="00085F16" w:rsidP="00802FB3">
      <w:pPr>
        <w:pStyle w:val="ERPL20"/>
        <w:numPr>
          <w:ilvl w:val="1"/>
          <w:numId w:val="97"/>
        </w:numPr>
      </w:pPr>
      <w:r>
        <w:t xml:space="preserve"> </w:t>
      </w:r>
      <w:bookmarkStart w:id="28" w:name="_Toc25873716"/>
      <w:r w:rsidRPr="00DC416F">
        <w:t>Zhvillimet e fundit në ekonominë Kosovare</w:t>
      </w:r>
      <w:bookmarkEnd w:id="28"/>
      <w:r w:rsidRPr="00DC416F">
        <w:t xml:space="preserve"> </w:t>
      </w:r>
    </w:p>
    <w:p w14:paraId="59F2E0AA" w14:textId="77777777" w:rsidR="00085F16" w:rsidRPr="009053CA" w:rsidRDefault="00085F16" w:rsidP="00802FB3">
      <w:pPr>
        <w:pStyle w:val="ERPL3"/>
        <w:numPr>
          <w:ilvl w:val="2"/>
          <w:numId w:val="97"/>
        </w:numPr>
        <w:ind w:left="567" w:hanging="567"/>
        <w:rPr>
          <w:i w:val="0"/>
          <w:iCs/>
        </w:rPr>
      </w:pPr>
      <w:r>
        <w:rPr>
          <w:i w:val="0"/>
          <w:iCs/>
        </w:rPr>
        <w:t xml:space="preserve"> </w:t>
      </w:r>
      <w:bookmarkStart w:id="29" w:name="_Toc25873717"/>
      <w:r w:rsidRPr="009053CA">
        <w:rPr>
          <w:i w:val="0"/>
          <w:iCs/>
        </w:rPr>
        <w:t>Sektori Real</w:t>
      </w:r>
      <w:bookmarkEnd w:id="29"/>
      <w:r w:rsidRPr="009053CA">
        <w:rPr>
          <w:i w:val="0"/>
          <w:iCs/>
        </w:rPr>
        <w:t xml:space="preserve"> </w:t>
      </w:r>
    </w:p>
    <w:p w14:paraId="55A1B445" w14:textId="77777777" w:rsidR="00085F16" w:rsidRPr="00B922C3" w:rsidRDefault="00085F16" w:rsidP="00085F16">
      <w:pPr>
        <w:autoSpaceDE w:val="0"/>
        <w:autoSpaceDN w:val="0"/>
        <w:adjustRightInd w:val="0"/>
        <w:spacing w:after="120" w:line="276" w:lineRule="auto"/>
        <w:jc w:val="both"/>
        <w:rPr>
          <w:rFonts w:ascii="Times New Roman" w:hAnsi="Times New Roman" w:cs="Times New Roman"/>
          <w:sz w:val="24"/>
          <w:szCs w:val="24"/>
        </w:rPr>
      </w:pPr>
      <w:r w:rsidRPr="00B922C3">
        <w:rPr>
          <w:rFonts w:ascii="Times New Roman" w:hAnsi="Times New Roman" w:cs="Times New Roman"/>
          <w:b/>
          <w:sz w:val="24"/>
          <w:szCs w:val="24"/>
        </w:rPr>
        <w:t xml:space="preserve">Gjatë vitit 2018 </w:t>
      </w:r>
      <w:r w:rsidRPr="00B922C3">
        <w:rPr>
          <w:rFonts w:ascii="Times New Roman" w:hAnsi="Times New Roman" w:cs="Times New Roman"/>
          <w:sz w:val="24"/>
          <w:szCs w:val="24"/>
        </w:rPr>
        <w:t xml:space="preserve">sipas të dhënave zyrtare të Agjencia e Statistikave të Kosovës (ASK), BPV-ja reale kishte një rritje prej 3.8% ndërsa ajo nominale ishte rreth 4.9%. Kontributin më të lartë në këtë rritje kishin konsumi total me 5.2 p.p. (konsumi privat me rreth 4.0 p.p dhe ai public me 1.2 p.p.), investimet totale me rreth 2.3 p.p (investimet private 1.4 p.p. dhe ato publike 0.9 p.p.), ndërsa, eksportet neto kishin një kontribut negativ prej 3.7 p.p. Megjithatë, edhe pse eksporti i mallrave nuk kishte një performancë të mirë, është inkurajuese rritja e vazhdueshme e eksportit të shërbimeve (5.5 % në 2018). </w:t>
      </w:r>
    </w:p>
    <w:p w14:paraId="378DA517" w14:textId="77777777" w:rsidR="00085F16" w:rsidRPr="00B922C3" w:rsidRDefault="00085F16" w:rsidP="00085F16">
      <w:pPr>
        <w:spacing w:after="120" w:line="276" w:lineRule="auto"/>
        <w:jc w:val="both"/>
        <w:rPr>
          <w:rFonts w:ascii="Times New Roman" w:hAnsi="Times New Roman" w:cs="Times New Roman"/>
          <w:sz w:val="24"/>
          <w:szCs w:val="24"/>
        </w:rPr>
      </w:pPr>
      <w:r w:rsidRPr="00B922C3">
        <w:rPr>
          <w:rFonts w:ascii="Times New Roman" w:hAnsi="Times New Roman" w:cs="Times New Roman"/>
          <w:sz w:val="24"/>
          <w:szCs w:val="24"/>
        </w:rPr>
        <w:t xml:space="preserve">Bazuar në historinë e deritanishme, vlerësimet vjetore të rritjes ekonomike nga ASK-ja kanë qenë zakonisht më të larta se ato tremujore (si për shembull rritja ekonomike reale në publikimet vjetore të ASK-së u rishikua për lartë në 4.1% dhe 4.2% në vitin 2016 dhe 2017, nga 3.4% dhe 3.7%, respektivisht). Mirëpo, në vitin 2018 BPV-ja vjetore nuk ka pësuar rishikime të ndjeshme duke regjistruar vlerën 3.8%, ndërkohë që bazuar në të dhënat tremujore BPV-ja reale shënonte një rritje ekonomike prej 3.9%. </w:t>
      </w:r>
    </w:p>
    <w:tbl>
      <w:tblPr>
        <w:tblStyle w:val="TableGrid"/>
        <w:tblW w:w="0" w:type="auto"/>
        <w:tblLook w:val="04A0" w:firstRow="1" w:lastRow="0" w:firstColumn="1" w:lastColumn="0" w:noHBand="0" w:noVBand="1"/>
      </w:tblPr>
      <w:tblGrid>
        <w:gridCol w:w="9350"/>
      </w:tblGrid>
      <w:tr w:rsidR="00085F16" w:rsidRPr="00B922C3" w14:paraId="276F176A" w14:textId="77777777" w:rsidTr="00085F16">
        <w:tc>
          <w:tcPr>
            <w:tcW w:w="9350" w:type="dxa"/>
            <w:shd w:val="clear" w:color="auto" w:fill="DEEAF6" w:themeFill="accent1" w:themeFillTint="33"/>
          </w:tcPr>
          <w:p w14:paraId="50033E05" w14:textId="77777777" w:rsidR="00085F16" w:rsidRPr="00B922C3" w:rsidRDefault="00085F16" w:rsidP="00085F16">
            <w:pPr>
              <w:spacing w:after="120"/>
              <w:jc w:val="both"/>
              <w:rPr>
                <w:rFonts w:ascii="Times New Roman" w:hAnsi="Times New Roman" w:cs="Times New Roman"/>
              </w:rPr>
            </w:pPr>
            <w:r w:rsidRPr="00B922C3">
              <w:rPr>
                <w:rFonts w:ascii="Times New Roman" w:hAnsi="Times New Roman" w:cs="Times New Roman"/>
                <w:b/>
              </w:rPr>
              <w:t>Hapësirë Informuese 1</w:t>
            </w:r>
            <w:r w:rsidRPr="00B922C3">
              <w:rPr>
                <w:rFonts w:ascii="Times New Roman" w:hAnsi="Times New Roman" w:cs="Times New Roman"/>
              </w:rPr>
              <w:t>. Sfidat në metodologjitë e të dhënave të Llogarive Kombëtare</w:t>
            </w:r>
          </w:p>
        </w:tc>
      </w:tr>
      <w:tr w:rsidR="00085F16" w:rsidRPr="00B922C3" w14:paraId="79014DDD" w14:textId="77777777" w:rsidTr="00085F16">
        <w:tc>
          <w:tcPr>
            <w:tcW w:w="9350" w:type="dxa"/>
            <w:shd w:val="clear" w:color="auto" w:fill="DEEAF6" w:themeFill="accent1" w:themeFillTint="33"/>
          </w:tcPr>
          <w:p w14:paraId="6BE20FED" w14:textId="77777777" w:rsidR="00085F16" w:rsidRPr="00B922C3" w:rsidRDefault="00085F16" w:rsidP="00085F16">
            <w:pPr>
              <w:spacing w:after="120"/>
              <w:jc w:val="both"/>
              <w:rPr>
                <w:rFonts w:ascii="Times New Roman" w:hAnsi="Times New Roman" w:cs="Times New Roman"/>
              </w:rPr>
            </w:pPr>
            <w:r w:rsidRPr="00B922C3">
              <w:rPr>
                <w:rFonts w:ascii="Times New Roman" w:hAnsi="Times New Roman" w:cs="Times New Roman"/>
              </w:rPr>
              <w:t>ASK-ja ka botuar Raportin Vjetor të Llogarive Kombëtare për vitin 2018 në 18 Shtator 2019. Ndërsa, më 1 tetor 2019 Banka Qendrore e Kosovës (BQK) ka publikuar seritë kohore të Bilancit të Pagesave me rishikime për të dhënat për vitin 2018. Të dhënat e rishikuara të BQK-së konsistonin në rishikime të konsiderueshme të tregtisë së shërbimeve, në mes të tjerave. Megjithatë, këto ndryshime nuk pasqyrohen në botimin e ASK-së që u botua më parë.</w:t>
            </w:r>
          </w:p>
          <w:p w14:paraId="5A89EFCE" w14:textId="77777777" w:rsidR="00085F16" w:rsidRPr="00B922C3" w:rsidRDefault="00085F16" w:rsidP="00085F16">
            <w:pPr>
              <w:spacing w:after="120"/>
              <w:jc w:val="both"/>
              <w:rPr>
                <w:rFonts w:ascii="Times New Roman" w:hAnsi="Times New Roman" w:cs="Times New Roman"/>
              </w:rPr>
            </w:pPr>
            <w:r w:rsidRPr="00B922C3">
              <w:rPr>
                <w:rFonts w:ascii="Times New Roman" w:hAnsi="Times New Roman" w:cs="Times New Roman"/>
              </w:rPr>
              <w:t>Eksporti i Shërbimeve sipas të dhënave të BQK-së për vitin 2018, regjistroi një rritje prej 14.9% krahasuar me vitin 2017. Ndërsa, eksporti i shërbimeve sipas ASK (publikimi i llogarive kombëtare) regjistroi një rritje prej vetëm 5.5%.</w:t>
            </w:r>
          </w:p>
          <w:p w14:paraId="78C1A3A6" w14:textId="77777777" w:rsidR="00085F16" w:rsidRPr="00B922C3" w:rsidRDefault="00085F16" w:rsidP="00085F16">
            <w:pPr>
              <w:spacing w:after="120"/>
              <w:jc w:val="both"/>
              <w:rPr>
                <w:rFonts w:ascii="Times New Roman" w:hAnsi="Times New Roman" w:cs="Times New Roman"/>
              </w:rPr>
            </w:pPr>
            <w:r w:rsidRPr="00B922C3">
              <w:rPr>
                <w:rFonts w:ascii="Times New Roman" w:hAnsi="Times New Roman" w:cs="Times New Roman"/>
              </w:rPr>
              <w:t>Importi i Shërbimeve bazuar në të dhënat e ASK-së ishte 22.5% më i lartë se në vitin 2017, ndërsa sipas BQK-së, importi i shërbimeve ishte 32.8% më i lartë se në vitin 2017.</w:t>
            </w:r>
          </w:p>
          <w:p w14:paraId="37B01423" w14:textId="77777777" w:rsidR="00085F16" w:rsidRPr="00B922C3" w:rsidRDefault="00085F16" w:rsidP="00085F16">
            <w:pPr>
              <w:spacing w:after="120"/>
              <w:jc w:val="both"/>
              <w:rPr>
                <w:rFonts w:ascii="Times New Roman" w:hAnsi="Times New Roman" w:cs="Times New Roman"/>
              </w:rPr>
            </w:pPr>
            <w:r w:rsidRPr="00B922C3">
              <w:rPr>
                <w:rFonts w:ascii="Times New Roman" w:hAnsi="Times New Roman" w:cs="Times New Roman"/>
              </w:rPr>
              <w:t>Këto mospërputhje ndërmjet dy institucioneve (përpiluese të statistikave) krijojnë vështirësi në procesin e hartimit të projeksioneve sepse ekzistojnë paqartësi mbi bazën e të dhënave që duhet të përdoret për 2018-ën  si pikënisje për projeksionet e viteve pasardhëse.</w:t>
            </w:r>
          </w:p>
        </w:tc>
      </w:tr>
    </w:tbl>
    <w:p w14:paraId="42151E9B" w14:textId="77777777" w:rsidR="00085F16" w:rsidRPr="007D5D03" w:rsidRDefault="00085F16" w:rsidP="00085F16">
      <w:pPr>
        <w:jc w:val="both"/>
      </w:pPr>
    </w:p>
    <w:p w14:paraId="3F43FBF2" w14:textId="77777777" w:rsidR="00085F16" w:rsidRPr="00B922C3" w:rsidRDefault="00085F16" w:rsidP="00085F16">
      <w:pPr>
        <w:spacing w:line="276" w:lineRule="auto"/>
        <w:jc w:val="both"/>
        <w:rPr>
          <w:rFonts w:ascii="Times New Roman" w:hAnsi="Times New Roman" w:cs="Times New Roman"/>
          <w:sz w:val="24"/>
          <w:szCs w:val="24"/>
        </w:rPr>
      </w:pPr>
      <w:r w:rsidRPr="00B922C3">
        <w:rPr>
          <w:rFonts w:ascii="Times New Roman" w:hAnsi="Times New Roman" w:cs="Times New Roman"/>
          <w:b/>
          <w:sz w:val="24"/>
          <w:szCs w:val="24"/>
        </w:rPr>
        <w:t>Për gjysmën e parë të vitit 2019</w:t>
      </w:r>
      <w:r w:rsidRPr="00B922C3">
        <w:rPr>
          <w:rFonts w:ascii="Times New Roman" w:hAnsi="Times New Roman" w:cs="Times New Roman"/>
          <w:sz w:val="24"/>
          <w:szCs w:val="24"/>
        </w:rPr>
        <w:t>, të dhënat paraprake nga ASK tregojnë se niveli real i rritjes së BPV-së ishte mesatarisht 4.2% (një normë reale e rritjes prej 4.2% në TM1 dhe 4.1% në TM2), e nxitur kryesisht nga investimet totale dhe eksportet, me një kontribut në BPV-në reale përkatësisht prej 2.4 p.p. dhe 2.2 p.p.. Kontributi tjetër pozitiv në rritje erdhi nga konsumi total (1.4 p.p), ndërsa importet kontribuan negativisht me 1.4 p.p.</w:t>
      </w:r>
    </w:p>
    <w:p w14:paraId="68D5F015" w14:textId="77777777" w:rsidR="00085F16" w:rsidRPr="00B922C3" w:rsidRDefault="00085F16" w:rsidP="00085F16">
      <w:pPr>
        <w:spacing w:line="276" w:lineRule="auto"/>
        <w:jc w:val="both"/>
        <w:rPr>
          <w:rFonts w:ascii="Times New Roman" w:hAnsi="Times New Roman" w:cs="Times New Roman"/>
          <w:sz w:val="24"/>
          <w:szCs w:val="24"/>
        </w:rPr>
      </w:pPr>
      <w:r w:rsidRPr="00B922C3">
        <w:rPr>
          <w:rFonts w:ascii="Times New Roman" w:hAnsi="Times New Roman" w:cs="Times New Roman"/>
          <w:sz w:val="24"/>
          <w:szCs w:val="24"/>
        </w:rPr>
        <w:t>Në mungesë të të dhënave zyrtare në lidhje me llogaritë kombëtare, tregues indirekt të disponueshëm për aktivitetin ekonomik në tremujorin e tretë të vitit 2019, sugjerojnë një përshpejtim të normës së rritjes së BPV-së. Kërkesa e brendshme pritet të jetë shtytësi kryesor i rritjes ekonomike në tremujorin e tretë të vitit 2019. Konsumi pritet të kontribuojë pak më shumë në rritjen e  BPV-së, i cili mbështetet nga remitencat, rimëkëmbja e kredive për konsum (pas një rënie në dy tremujorët e mëparshëm); rritja më e lartë e konsumit të qeverisë dhe importi më i lartë i mallrave të konsumit. Megjithatë, Investimi total pritet të ruajë një nivel të qëndrueshëm në tremujorin e tretë, duke pasur parasysh që importet e mallrave kapitale në tremujorin e tretë janë rimëkëmbur në linjë me zhvillimet në investimet kapitale dhe gjithashtu ka një rritje të IHD-ve dhe të kredive të reja për investime. Gjithashtu, bilanci tregtar i mallrave dhe shërbimeve është përmirësuar në TM3 në terma vjetorë (Tabela 2).</w:t>
      </w:r>
    </w:p>
    <w:p w14:paraId="72685335" w14:textId="77777777" w:rsidR="00085F16" w:rsidRPr="00DE4FE3" w:rsidRDefault="00085F16" w:rsidP="00085F16">
      <w:pPr>
        <w:pStyle w:val="Caption"/>
        <w:keepNext/>
        <w:spacing w:before="240" w:after="0"/>
        <w:rPr>
          <w:rFonts w:ascii="Times New Roman" w:hAnsi="Times New Roman"/>
          <w:b/>
          <w:i w:val="0"/>
          <w:color w:val="auto"/>
        </w:rPr>
      </w:pPr>
      <w:bookmarkStart w:id="30" w:name="_Toc25673440"/>
      <w:r w:rsidRPr="00DE4FE3">
        <w:rPr>
          <w:rFonts w:ascii="Times New Roman" w:hAnsi="Times New Roman"/>
          <w:b/>
          <w:i w:val="0"/>
          <w:color w:val="auto"/>
        </w:rPr>
        <w:t xml:space="preserve">Tabela </w:t>
      </w:r>
      <w:r w:rsidRPr="00DE4FE3">
        <w:rPr>
          <w:rFonts w:ascii="Times New Roman" w:hAnsi="Times New Roman"/>
          <w:b/>
          <w:i w:val="0"/>
          <w:color w:val="auto"/>
        </w:rPr>
        <w:fldChar w:fldCharType="begin"/>
      </w:r>
      <w:r w:rsidRPr="00DE4FE3">
        <w:rPr>
          <w:rFonts w:ascii="Times New Roman" w:hAnsi="Times New Roman"/>
          <w:b/>
          <w:i w:val="0"/>
          <w:color w:val="auto"/>
        </w:rPr>
        <w:instrText xml:space="preserve"> SEQ Tabela \* ARABIC </w:instrText>
      </w:r>
      <w:r w:rsidRPr="00DE4FE3">
        <w:rPr>
          <w:rFonts w:ascii="Times New Roman" w:hAnsi="Times New Roman"/>
          <w:b/>
          <w:i w:val="0"/>
          <w:color w:val="auto"/>
        </w:rPr>
        <w:fldChar w:fldCharType="separate"/>
      </w:r>
      <w:r>
        <w:rPr>
          <w:rFonts w:ascii="Times New Roman" w:hAnsi="Times New Roman"/>
          <w:b/>
          <w:i w:val="0"/>
          <w:noProof/>
          <w:color w:val="auto"/>
        </w:rPr>
        <w:t>2</w:t>
      </w:r>
      <w:r w:rsidRPr="00DE4FE3">
        <w:rPr>
          <w:rFonts w:ascii="Times New Roman" w:hAnsi="Times New Roman"/>
          <w:b/>
          <w:i w:val="0"/>
          <w:color w:val="auto"/>
        </w:rPr>
        <w:fldChar w:fldCharType="end"/>
      </w:r>
      <w:r w:rsidRPr="00DE4FE3">
        <w:rPr>
          <w:rFonts w:ascii="Times New Roman" w:hAnsi="Times New Roman"/>
          <w:b/>
          <w:i w:val="0"/>
          <w:color w:val="auto"/>
        </w:rPr>
        <w:t xml:space="preserve"> Leading and Coincidence Indicators for Aggregate Demand Components</w:t>
      </w:r>
      <w:bookmarkEnd w:id="30"/>
    </w:p>
    <w:tbl>
      <w:tblPr>
        <w:tblW w:w="0" w:type="auto"/>
        <w:tblInd w:w="-70" w:type="dxa"/>
        <w:shd w:val="clear" w:color="auto" w:fill="DEEAF6" w:themeFill="accent1" w:themeFillTint="33"/>
        <w:tblLayout w:type="fixed"/>
        <w:tblLook w:val="04A0" w:firstRow="1" w:lastRow="0" w:firstColumn="1" w:lastColumn="0" w:noHBand="0" w:noVBand="1"/>
      </w:tblPr>
      <w:tblGrid>
        <w:gridCol w:w="2660"/>
        <w:gridCol w:w="1810"/>
        <w:gridCol w:w="1210"/>
        <w:gridCol w:w="939"/>
        <w:gridCol w:w="785"/>
        <w:gridCol w:w="785"/>
        <w:gridCol w:w="785"/>
      </w:tblGrid>
      <w:tr w:rsidR="00085F16" w:rsidRPr="007D5D03" w14:paraId="3285AC7C" w14:textId="77777777" w:rsidTr="00085F16">
        <w:trPr>
          <w:trHeight w:hRule="exact" w:val="482"/>
        </w:trPr>
        <w:tc>
          <w:tcPr>
            <w:tcW w:w="2660" w:type="dxa"/>
            <w:tcBorders>
              <w:top w:val="single" w:sz="8" w:space="0" w:color="auto"/>
              <w:left w:val="single" w:sz="8" w:space="0" w:color="auto"/>
              <w:bottom w:val="single" w:sz="8" w:space="0" w:color="auto"/>
              <w:right w:val="nil"/>
            </w:tcBorders>
            <w:shd w:val="clear" w:color="auto" w:fill="DEEAF6" w:themeFill="accent1" w:themeFillTint="33"/>
            <w:noWrap/>
            <w:vAlign w:val="bottom"/>
            <w:hideMark/>
          </w:tcPr>
          <w:p w14:paraId="274D0294" w14:textId="77777777" w:rsidR="00085F16" w:rsidRPr="007D5D03" w:rsidRDefault="00085F16" w:rsidP="00085F16">
            <w:pPr>
              <w:spacing w:line="276" w:lineRule="auto"/>
              <w:rPr>
                <w:b/>
                <w:bCs/>
                <w:sz w:val="18"/>
                <w:szCs w:val="20"/>
              </w:rPr>
            </w:pPr>
            <w:r>
              <w:rPr>
                <w:b/>
                <w:bCs/>
                <w:sz w:val="18"/>
                <w:szCs w:val="20"/>
              </w:rPr>
              <w:t>Indikatori</w:t>
            </w:r>
          </w:p>
        </w:tc>
        <w:tc>
          <w:tcPr>
            <w:tcW w:w="1810" w:type="dxa"/>
            <w:tcBorders>
              <w:top w:val="single" w:sz="8" w:space="0" w:color="auto"/>
              <w:left w:val="nil"/>
              <w:bottom w:val="single" w:sz="8" w:space="0" w:color="auto"/>
              <w:right w:val="nil"/>
            </w:tcBorders>
            <w:shd w:val="clear" w:color="auto" w:fill="DEEAF6" w:themeFill="accent1" w:themeFillTint="33"/>
            <w:noWrap/>
            <w:vAlign w:val="bottom"/>
            <w:hideMark/>
          </w:tcPr>
          <w:p w14:paraId="5068B803" w14:textId="77777777" w:rsidR="00085F16" w:rsidRPr="007D5D03" w:rsidRDefault="00085F16" w:rsidP="00085F16">
            <w:pPr>
              <w:spacing w:line="276" w:lineRule="auto"/>
              <w:rPr>
                <w:b/>
                <w:i/>
                <w:iCs/>
                <w:sz w:val="18"/>
                <w:szCs w:val="20"/>
              </w:rPr>
            </w:pPr>
            <w:r>
              <w:rPr>
                <w:b/>
                <w:i/>
                <w:iCs/>
                <w:sz w:val="18"/>
                <w:szCs w:val="20"/>
              </w:rPr>
              <w:t>Komponenti përfaqsues</w:t>
            </w:r>
          </w:p>
        </w:tc>
        <w:tc>
          <w:tcPr>
            <w:tcW w:w="1210" w:type="dxa"/>
            <w:tcBorders>
              <w:top w:val="single" w:sz="8" w:space="0" w:color="auto"/>
              <w:left w:val="nil"/>
              <w:bottom w:val="single" w:sz="8" w:space="0" w:color="auto"/>
              <w:right w:val="nil"/>
            </w:tcBorders>
            <w:shd w:val="clear" w:color="auto" w:fill="DEEAF6" w:themeFill="accent1" w:themeFillTint="33"/>
            <w:noWrap/>
            <w:vAlign w:val="bottom"/>
            <w:hideMark/>
          </w:tcPr>
          <w:p w14:paraId="5C683988" w14:textId="77777777" w:rsidR="00085F16" w:rsidRPr="007D5D03" w:rsidRDefault="00085F16" w:rsidP="00085F16">
            <w:pPr>
              <w:spacing w:line="276" w:lineRule="auto"/>
              <w:rPr>
                <w:b/>
                <w:i/>
                <w:iCs/>
                <w:sz w:val="18"/>
                <w:szCs w:val="20"/>
              </w:rPr>
            </w:pPr>
            <w:r>
              <w:rPr>
                <w:b/>
                <w:i/>
                <w:iCs/>
                <w:sz w:val="18"/>
                <w:szCs w:val="20"/>
              </w:rPr>
              <w:t>Lloji i Indikatorit</w:t>
            </w:r>
          </w:p>
        </w:tc>
        <w:tc>
          <w:tcPr>
            <w:tcW w:w="939" w:type="dxa"/>
            <w:tcBorders>
              <w:top w:val="single" w:sz="8" w:space="0" w:color="auto"/>
              <w:left w:val="nil"/>
              <w:bottom w:val="single" w:sz="8" w:space="0" w:color="auto"/>
              <w:right w:val="nil"/>
            </w:tcBorders>
            <w:shd w:val="clear" w:color="auto" w:fill="DEEAF6" w:themeFill="accent1" w:themeFillTint="33"/>
            <w:noWrap/>
            <w:vAlign w:val="bottom"/>
            <w:hideMark/>
          </w:tcPr>
          <w:p w14:paraId="25740C92" w14:textId="77777777" w:rsidR="00085F16" w:rsidRPr="007D5D03" w:rsidRDefault="00085F16" w:rsidP="00085F16">
            <w:pPr>
              <w:spacing w:line="276" w:lineRule="auto"/>
              <w:jc w:val="right"/>
              <w:rPr>
                <w:b/>
                <w:sz w:val="18"/>
                <w:szCs w:val="20"/>
              </w:rPr>
            </w:pPr>
            <w:r w:rsidRPr="007D5D03">
              <w:rPr>
                <w:b/>
                <w:sz w:val="18"/>
                <w:szCs w:val="20"/>
              </w:rPr>
              <w:t>2018 (</w:t>
            </w:r>
            <w:r>
              <w:rPr>
                <w:b/>
                <w:sz w:val="18"/>
                <w:szCs w:val="20"/>
              </w:rPr>
              <w:t>mes</w:t>
            </w:r>
            <w:r w:rsidRPr="007D5D03">
              <w:rPr>
                <w:b/>
                <w:sz w:val="18"/>
                <w:szCs w:val="20"/>
              </w:rPr>
              <w:t>.)</w:t>
            </w:r>
          </w:p>
        </w:tc>
        <w:tc>
          <w:tcPr>
            <w:tcW w:w="785" w:type="dxa"/>
            <w:tcBorders>
              <w:top w:val="single" w:sz="8" w:space="0" w:color="auto"/>
              <w:left w:val="nil"/>
              <w:bottom w:val="single" w:sz="8" w:space="0" w:color="auto"/>
              <w:right w:val="nil"/>
            </w:tcBorders>
            <w:shd w:val="clear" w:color="auto" w:fill="DEEAF6" w:themeFill="accent1" w:themeFillTint="33"/>
            <w:noWrap/>
            <w:vAlign w:val="bottom"/>
            <w:hideMark/>
          </w:tcPr>
          <w:p w14:paraId="701301AC" w14:textId="77777777" w:rsidR="00085F16" w:rsidRPr="007D5D03" w:rsidRDefault="00085F16" w:rsidP="00085F16">
            <w:pPr>
              <w:spacing w:line="276" w:lineRule="auto"/>
              <w:jc w:val="right"/>
              <w:rPr>
                <w:b/>
                <w:sz w:val="18"/>
                <w:szCs w:val="20"/>
              </w:rPr>
            </w:pPr>
            <w:r w:rsidRPr="007D5D03">
              <w:rPr>
                <w:b/>
                <w:sz w:val="18"/>
                <w:szCs w:val="20"/>
              </w:rPr>
              <w:t xml:space="preserve">2019 </w:t>
            </w:r>
            <w:r>
              <w:rPr>
                <w:b/>
                <w:sz w:val="18"/>
                <w:szCs w:val="20"/>
              </w:rPr>
              <w:t>TM</w:t>
            </w:r>
            <w:r w:rsidRPr="007D5D03">
              <w:rPr>
                <w:b/>
                <w:sz w:val="18"/>
                <w:szCs w:val="20"/>
              </w:rPr>
              <w:t>1</w:t>
            </w:r>
          </w:p>
        </w:tc>
        <w:tc>
          <w:tcPr>
            <w:tcW w:w="785" w:type="dxa"/>
            <w:tcBorders>
              <w:top w:val="single" w:sz="8" w:space="0" w:color="auto"/>
              <w:left w:val="nil"/>
              <w:bottom w:val="single" w:sz="8" w:space="0" w:color="auto"/>
              <w:right w:val="nil"/>
            </w:tcBorders>
            <w:shd w:val="clear" w:color="auto" w:fill="DEEAF6" w:themeFill="accent1" w:themeFillTint="33"/>
            <w:noWrap/>
            <w:vAlign w:val="bottom"/>
            <w:hideMark/>
          </w:tcPr>
          <w:p w14:paraId="24340C03" w14:textId="77777777" w:rsidR="00085F16" w:rsidRPr="007D5D03" w:rsidRDefault="00085F16" w:rsidP="00085F16">
            <w:pPr>
              <w:spacing w:line="276" w:lineRule="auto"/>
              <w:jc w:val="right"/>
              <w:rPr>
                <w:b/>
                <w:sz w:val="18"/>
                <w:szCs w:val="20"/>
              </w:rPr>
            </w:pPr>
            <w:r w:rsidRPr="007D5D03">
              <w:rPr>
                <w:b/>
                <w:sz w:val="18"/>
                <w:szCs w:val="20"/>
              </w:rPr>
              <w:t xml:space="preserve">2019 </w:t>
            </w:r>
            <w:r>
              <w:rPr>
                <w:b/>
                <w:sz w:val="18"/>
                <w:szCs w:val="20"/>
              </w:rPr>
              <w:t>TM</w:t>
            </w:r>
            <w:r w:rsidRPr="007D5D03">
              <w:rPr>
                <w:b/>
                <w:sz w:val="18"/>
                <w:szCs w:val="20"/>
              </w:rPr>
              <w:t>2</w:t>
            </w:r>
          </w:p>
        </w:tc>
        <w:tc>
          <w:tcPr>
            <w:tcW w:w="785" w:type="dxa"/>
            <w:tcBorders>
              <w:top w:val="single" w:sz="8" w:space="0" w:color="auto"/>
              <w:left w:val="nil"/>
              <w:bottom w:val="single" w:sz="8" w:space="0" w:color="auto"/>
              <w:right w:val="single" w:sz="8" w:space="0" w:color="auto"/>
            </w:tcBorders>
            <w:shd w:val="clear" w:color="auto" w:fill="DEEAF6" w:themeFill="accent1" w:themeFillTint="33"/>
            <w:noWrap/>
            <w:vAlign w:val="bottom"/>
            <w:hideMark/>
          </w:tcPr>
          <w:p w14:paraId="7BBD918C" w14:textId="77777777" w:rsidR="00085F16" w:rsidRPr="007D5D03" w:rsidRDefault="00085F16" w:rsidP="00085F16">
            <w:pPr>
              <w:spacing w:line="276" w:lineRule="auto"/>
              <w:jc w:val="right"/>
              <w:rPr>
                <w:b/>
                <w:sz w:val="18"/>
                <w:szCs w:val="20"/>
              </w:rPr>
            </w:pPr>
            <w:r w:rsidRPr="007D5D03">
              <w:rPr>
                <w:b/>
                <w:sz w:val="18"/>
                <w:szCs w:val="20"/>
              </w:rPr>
              <w:t xml:space="preserve">2019 </w:t>
            </w:r>
            <w:r>
              <w:rPr>
                <w:b/>
                <w:sz w:val="18"/>
                <w:szCs w:val="20"/>
              </w:rPr>
              <w:t>TM</w:t>
            </w:r>
            <w:r w:rsidRPr="007D5D03">
              <w:rPr>
                <w:b/>
                <w:sz w:val="18"/>
                <w:szCs w:val="20"/>
              </w:rPr>
              <w:t>3</w:t>
            </w:r>
          </w:p>
        </w:tc>
      </w:tr>
      <w:tr w:rsidR="00085F16" w:rsidRPr="007D5D03" w14:paraId="0AFF4669" w14:textId="77777777" w:rsidTr="00085F16">
        <w:trPr>
          <w:trHeight w:hRule="exact" w:val="283"/>
        </w:trPr>
        <w:tc>
          <w:tcPr>
            <w:tcW w:w="2660" w:type="dxa"/>
            <w:tcBorders>
              <w:top w:val="nil"/>
              <w:left w:val="single" w:sz="8" w:space="0" w:color="auto"/>
              <w:bottom w:val="nil"/>
              <w:right w:val="nil"/>
            </w:tcBorders>
            <w:shd w:val="clear" w:color="auto" w:fill="DEEAF6" w:themeFill="accent1" w:themeFillTint="33"/>
            <w:noWrap/>
            <w:vAlign w:val="bottom"/>
            <w:hideMark/>
          </w:tcPr>
          <w:p w14:paraId="4D36D801" w14:textId="77777777" w:rsidR="00085F16" w:rsidRPr="007D5D03" w:rsidRDefault="00085F16" w:rsidP="00085F16">
            <w:pPr>
              <w:spacing w:line="276" w:lineRule="auto"/>
              <w:rPr>
                <w:b/>
                <w:bCs/>
                <w:sz w:val="18"/>
                <w:szCs w:val="20"/>
              </w:rPr>
            </w:pPr>
            <w:r w:rsidRPr="007D5D03">
              <w:rPr>
                <w:b/>
                <w:bCs/>
                <w:sz w:val="18"/>
                <w:szCs w:val="20"/>
              </w:rPr>
              <w:t>Remitencat</w:t>
            </w:r>
          </w:p>
        </w:tc>
        <w:tc>
          <w:tcPr>
            <w:tcW w:w="1810" w:type="dxa"/>
            <w:tcBorders>
              <w:top w:val="nil"/>
              <w:left w:val="nil"/>
              <w:bottom w:val="nil"/>
              <w:right w:val="nil"/>
            </w:tcBorders>
            <w:shd w:val="clear" w:color="auto" w:fill="DEEAF6" w:themeFill="accent1" w:themeFillTint="33"/>
            <w:noWrap/>
            <w:vAlign w:val="bottom"/>
            <w:hideMark/>
          </w:tcPr>
          <w:p w14:paraId="4C0978BA" w14:textId="77777777" w:rsidR="00085F16" w:rsidRPr="007D5D03" w:rsidRDefault="00085F16" w:rsidP="00085F16">
            <w:pPr>
              <w:spacing w:line="276" w:lineRule="auto"/>
              <w:rPr>
                <w:i/>
                <w:iCs/>
                <w:sz w:val="18"/>
                <w:szCs w:val="20"/>
              </w:rPr>
            </w:pPr>
            <w:r w:rsidRPr="007D5D03">
              <w:rPr>
                <w:i/>
                <w:iCs/>
                <w:sz w:val="18"/>
                <w:szCs w:val="20"/>
              </w:rPr>
              <w:t>Private Consumption</w:t>
            </w:r>
          </w:p>
        </w:tc>
        <w:tc>
          <w:tcPr>
            <w:tcW w:w="1210" w:type="dxa"/>
            <w:tcBorders>
              <w:top w:val="nil"/>
              <w:left w:val="nil"/>
              <w:bottom w:val="nil"/>
              <w:right w:val="nil"/>
            </w:tcBorders>
            <w:shd w:val="clear" w:color="auto" w:fill="DEEAF6" w:themeFill="accent1" w:themeFillTint="33"/>
            <w:noWrap/>
            <w:vAlign w:val="bottom"/>
            <w:hideMark/>
          </w:tcPr>
          <w:p w14:paraId="226953A9" w14:textId="77777777" w:rsidR="00085F16" w:rsidRPr="007D5D03" w:rsidRDefault="00085F16" w:rsidP="00085F16">
            <w:pPr>
              <w:spacing w:line="276" w:lineRule="auto"/>
              <w:rPr>
                <w:i/>
                <w:iCs/>
                <w:sz w:val="18"/>
                <w:szCs w:val="20"/>
              </w:rPr>
            </w:pPr>
            <w:r>
              <w:rPr>
                <w:i/>
                <w:iCs/>
                <w:sz w:val="18"/>
                <w:szCs w:val="20"/>
              </w:rPr>
              <w:t>Prijës</w:t>
            </w:r>
          </w:p>
        </w:tc>
        <w:tc>
          <w:tcPr>
            <w:tcW w:w="939" w:type="dxa"/>
            <w:tcBorders>
              <w:top w:val="nil"/>
              <w:left w:val="nil"/>
              <w:bottom w:val="nil"/>
              <w:right w:val="nil"/>
            </w:tcBorders>
            <w:shd w:val="clear" w:color="auto" w:fill="DEEAF6" w:themeFill="accent1" w:themeFillTint="33"/>
            <w:noWrap/>
            <w:vAlign w:val="bottom"/>
            <w:hideMark/>
          </w:tcPr>
          <w:p w14:paraId="3DBB36F0" w14:textId="77777777" w:rsidR="00085F16" w:rsidRPr="007D5D03" w:rsidRDefault="00085F16" w:rsidP="00085F16">
            <w:pPr>
              <w:spacing w:line="276" w:lineRule="auto"/>
              <w:jc w:val="right"/>
              <w:rPr>
                <w:sz w:val="18"/>
                <w:szCs w:val="20"/>
              </w:rPr>
            </w:pPr>
            <w:r w:rsidRPr="007D5D03">
              <w:rPr>
                <w:sz w:val="18"/>
                <w:szCs w:val="20"/>
              </w:rPr>
              <w:t>5.5%</w:t>
            </w:r>
          </w:p>
        </w:tc>
        <w:tc>
          <w:tcPr>
            <w:tcW w:w="785" w:type="dxa"/>
            <w:tcBorders>
              <w:top w:val="nil"/>
              <w:left w:val="nil"/>
              <w:bottom w:val="nil"/>
              <w:right w:val="nil"/>
            </w:tcBorders>
            <w:shd w:val="clear" w:color="auto" w:fill="DEEAF6" w:themeFill="accent1" w:themeFillTint="33"/>
            <w:noWrap/>
            <w:vAlign w:val="bottom"/>
            <w:hideMark/>
          </w:tcPr>
          <w:p w14:paraId="52376609" w14:textId="77777777" w:rsidR="00085F16" w:rsidRPr="007D5D03" w:rsidRDefault="00085F16" w:rsidP="00085F16">
            <w:pPr>
              <w:spacing w:line="276" w:lineRule="auto"/>
              <w:jc w:val="right"/>
              <w:rPr>
                <w:sz w:val="18"/>
                <w:szCs w:val="20"/>
              </w:rPr>
            </w:pPr>
            <w:r w:rsidRPr="007D5D03">
              <w:rPr>
                <w:sz w:val="18"/>
                <w:szCs w:val="20"/>
              </w:rPr>
              <w:t>8.3%</w:t>
            </w:r>
          </w:p>
        </w:tc>
        <w:tc>
          <w:tcPr>
            <w:tcW w:w="785" w:type="dxa"/>
            <w:tcBorders>
              <w:top w:val="nil"/>
              <w:left w:val="nil"/>
              <w:bottom w:val="nil"/>
              <w:right w:val="nil"/>
            </w:tcBorders>
            <w:shd w:val="clear" w:color="auto" w:fill="DEEAF6" w:themeFill="accent1" w:themeFillTint="33"/>
            <w:noWrap/>
            <w:vAlign w:val="bottom"/>
            <w:hideMark/>
          </w:tcPr>
          <w:p w14:paraId="325240BC" w14:textId="77777777" w:rsidR="00085F16" w:rsidRPr="007D5D03" w:rsidRDefault="00085F16" w:rsidP="00085F16">
            <w:pPr>
              <w:spacing w:line="276" w:lineRule="auto"/>
              <w:jc w:val="right"/>
              <w:rPr>
                <w:sz w:val="18"/>
                <w:szCs w:val="20"/>
              </w:rPr>
            </w:pPr>
            <w:r w:rsidRPr="007D5D03">
              <w:rPr>
                <w:sz w:val="18"/>
                <w:szCs w:val="20"/>
              </w:rPr>
              <w:t>3.0%</w:t>
            </w:r>
          </w:p>
        </w:tc>
        <w:tc>
          <w:tcPr>
            <w:tcW w:w="785" w:type="dxa"/>
            <w:tcBorders>
              <w:top w:val="nil"/>
              <w:left w:val="nil"/>
              <w:bottom w:val="nil"/>
              <w:right w:val="single" w:sz="8" w:space="0" w:color="auto"/>
            </w:tcBorders>
            <w:shd w:val="clear" w:color="auto" w:fill="DEEAF6" w:themeFill="accent1" w:themeFillTint="33"/>
            <w:noWrap/>
            <w:vAlign w:val="bottom"/>
            <w:hideMark/>
          </w:tcPr>
          <w:p w14:paraId="188A417E" w14:textId="77777777" w:rsidR="00085F16" w:rsidRPr="007D5D03" w:rsidRDefault="00085F16" w:rsidP="00085F16">
            <w:pPr>
              <w:spacing w:line="276" w:lineRule="auto"/>
              <w:jc w:val="right"/>
              <w:rPr>
                <w:sz w:val="18"/>
                <w:szCs w:val="20"/>
              </w:rPr>
            </w:pPr>
            <w:r w:rsidRPr="007D5D03">
              <w:rPr>
                <w:sz w:val="18"/>
                <w:szCs w:val="20"/>
              </w:rPr>
              <w:t>8.8%</w:t>
            </w:r>
          </w:p>
        </w:tc>
      </w:tr>
      <w:tr w:rsidR="00085F16" w:rsidRPr="007D5D03" w14:paraId="143A337A" w14:textId="77777777" w:rsidTr="00085F16">
        <w:trPr>
          <w:trHeight w:hRule="exact" w:val="283"/>
        </w:trPr>
        <w:tc>
          <w:tcPr>
            <w:tcW w:w="2660" w:type="dxa"/>
            <w:tcBorders>
              <w:top w:val="nil"/>
              <w:left w:val="single" w:sz="8" w:space="0" w:color="auto"/>
              <w:bottom w:val="nil"/>
              <w:right w:val="nil"/>
            </w:tcBorders>
            <w:shd w:val="clear" w:color="auto" w:fill="DEEAF6" w:themeFill="accent1" w:themeFillTint="33"/>
            <w:noWrap/>
            <w:vAlign w:val="bottom"/>
            <w:hideMark/>
          </w:tcPr>
          <w:p w14:paraId="7E3CD021" w14:textId="77777777" w:rsidR="00085F16" w:rsidRPr="007D5D03" w:rsidRDefault="00085F16" w:rsidP="00085F16">
            <w:pPr>
              <w:spacing w:line="276" w:lineRule="auto"/>
              <w:rPr>
                <w:b/>
                <w:bCs/>
                <w:sz w:val="18"/>
                <w:szCs w:val="20"/>
              </w:rPr>
            </w:pPr>
            <w:r w:rsidRPr="007D5D03">
              <w:rPr>
                <w:b/>
                <w:bCs/>
                <w:sz w:val="18"/>
                <w:szCs w:val="20"/>
              </w:rPr>
              <w:t>Mbledhja e TVSH-s</w:t>
            </w:r>
            <w:r>
              <w:rPr>
                <w:b/>
                <w:bCs/>
                <w:sz w:val="18"/>
                <w:szCs w:val="20"/>
              </w:rPr>
              <w:t>ë</w:t>
            </w:r>
          </w:p>
        </w:tc>
        <w:tc>
          <w:tcPr>
            <w:tcW w:w="1810" w:type="dxa"/>
            <w:tcBorders>
              <w:top w:val="nil"/>
              <w:left w:val="nil"/>
              <w:bottom w:val="nil"/>
              <w:right w:val="nil"/>
            </w:tcBorders>
            <w:shd w:val="clear" w:color="auto" w:fill="DEEAF6" w:themeFill="accent1" w:themeFillTint="33"/>
            <w:noWrap/>
            <w:vAlign w:val="bottom"/>
            <w:hideMark/>
          </w:tcPr>
          <w:p w14:paraId="7E0985B5" w14:textId="77777777" w:rsidR="00085F16" w:rsidRPr="007D5D03" w:rsidRDefault="00085F16" w:rsidP="00085F16">
            <w:pPr>
              <w:spacing w:line="276" w:lineRule="auto"/>
              <w:rPr>
                <w:i/>
                <w:iCs/>
                <w:sz w:val="18"/>
                <w:szCs w:val="20"/>
              </w:rPr>
            </w:pPr>
            <w:r w:rsidRPr="007D5D03">
              <w:rPr>
                <w:i/>
                <w:iCs/>
                <w:sz w:val="18"/>
                <w:szCs w:val="20"/>
              </w:rPr>
              <w:t>Total Consumption</w:t>
            </w:r>
          </w:p>
        </w:tc>
        <w:tc>
          <w:tcPr>
            <w:tcW w:w="1210" w:type="dxa"/>
            <w:tcBorders>
              <w:top w:val="nil"/>
              <w:left w:val="nil"/>
              <w:bottom w:val="nil"/>
              <w:right w:val="nil"/>
            </w:tcBorders>
            <w:shd w:val="clear" w:color="auto" w:fill="DEEAF6" w:themeFill="accent1" w:themeFillTint="33"/>
            <w:noWrap/>
            <w:vAlign w:val="bottom"/>
            <w:hideMark/>
          </w:tcPr>
          <w:p w14:paraId="4E5B7D8B" w14:textId="77777777" w:rsidR="00085F16" w:rsidRPr="007D5D03" w:rsidRDefault="00085F16" w:rsidP="00085F16">
            <w:pPr>
              <w:spacing w:line="276" w:lineRule="auto"/>
              <w:rPr>
                <w:i/>
                <w:iCs/>
                <w:sz w:val="18"/>
                <w:szCs w:val="20"/>
              </w:rPr>
            </w:pPr>
            <w:r>
              <w:rPr>
                <w:i/>
                <w:iCs/>
                <w:sz w:val="18"/>
                <w:szCs w:val="20"/>
              </w:rPr>
              <w:t>Prijës</w:t>
            </w:r>
          </w:p>
        </w:tc>
        <w:tc>
          <w:tcPr>
            <w:tcW w:w="939" w:type="dxa"/>
            <w:tcBorders>
              <w:top w:val="nil"/>
              <w:left w:val="nil"/>
              <w:bottom w:val="nil"/>
              <w:right w:val="nil"/>
            </w:tcBorders>
            <w:shd w:val="clear" w:color="auto" w:fill="DEEAF6" w:themeFill="accent1" w:themeFillTint="33"/>
            <w:noWrap/>
            <w:vAlign w:val="bottom"/>
            <w:hideMark/>
          </w:tcPr>
          <w:p w14:paraId="26EC2307" w14:textId="77777777" w:rsidR="00085F16" w:rsidRPr="007D5D03" w:rsidRDefault="00085F16" w:rsidP="00085F16">
            <w:pPr>
              <w:spacing w:line="276" w:lineRule="auto"/>
              <w:jc w:val="right"/>
              <w:rPr>
                <w:sz w:val="18"/>
                <w:szCs w:val="20"/>
              </w:rPr>
            </w:pPr>
            <w:r w:rsidRPr="007D5D03">
              <w:rPr>
                <w:sz w:val="18"/>
                <w:szCs w:val="20"/>
              </w:rPr>
              <w:t>5.7%</w:t>
            </w:r>
          </w:p>
        </w:tc>
        <w:tc>
          <w:tcPr>
            <w:tcW w:w="785" w:type="dxa"/>
            <w:tcBorders>
              <w:top w:val="nil"/>
              <w:left w:val="nil"/>
              <w:bottom w:val="nil"/>
              <w:right w:val="nil"/>
            </w:tcBorders>
            <w:shd w:val="clear" w:color="auto" w:fill="DEEAF6" w:themeFill="accent1" w:themeFillTint="33"/>
            <w:noWrap/>
            <w:vAlign w:val="bottom"/>
            <w:hideMark/>
          </w:tcPr>
          <w:p w14:paraId="4C087BBD" w14:textId="77777777" w:rsidR="00085F16" w:rsidRPr="007D5D03" w:rsidRDefault="00085F16" w:rsidP="00085F16">
            <w:pPr>
              <w:spacing w:line="276" w:lineRule="auto"/>
              <w:jc w:val="right"/>
              <w:rPr>
                <w:sz w:val="18"/>
                <w:szCs w:val="20"/>
              </w:rPr>
            </w:pPr>
            <w:r w:rsidRPr="007D5D03">
              <w:rPr>
                <w:sz w:val="18"/>
                <w:szCs w:val="20"/>
              </w:rPr>
              <w:t>8.9%</w:t>
            </w:r>
          </w:p>
        </w:tc>
        <w:tc>
          <w:tcPr>
            <w:tcW w:w="785" w:type="dxa"/>
            <w:tcBorders>
              <w:top w:val="nil"/>
              <w:left w:val="nil"/>
              <w:bottom w:val="nil"/>
              <w:right w:val="nil"/>
            </w:tcBorders>
            <w:shd w:val="clear" w:color="auto" w:fill="DEEAF6" w:themeFill="accent1" w:themeFillTint="33"/>
            <w:noWrap/>
            <w:vAlign w:val="bottom"/>
            <w:hideMark/>
          </w:tcPr>
          <w:p w14:paraId="7C7FE456" w14:textId="77777777" w:rsidR="00085F16" w:rsidRPr="007D5D03" w:rsidRDefault="00085F16" w:rsidP="00085F16">
            <w:pPr>
              <w:spacing w:line="276" w:lineRule="auto"/>
              <w:jc w:val="right"/>
              <w:rPr>
                <w:sz w:val="18"/>
                <w:szCs w:val="20"/>
              </w:rPr>
            </w:pPr>
            <w:r w:rsidRPr="007D5D03">
              <w:rPr>
                <w:sz w:val="18"/>
                <w:szCs w:val="20"/>
              </w:rPr>
              <w:t>1.5%</w:t>
            </w:r>
          </w:p>
        </w:tc>
        <w:tc>
          <w:tcPr>
            <w:tcW w:w="785" w:type="dxa"/>
            <w:tcBorders>
              <w:top w:val="nil"/>
              <w:left w:val="nil"/>
              <w:bottom w:val="nil"/>
              <w:right w:val="single" w:sz="8" w:space="0" w:color="auto"/>
            </w:tcBorders>
            <w:shd w:val="clear" w:color="auto" w:fill="DEEAF6" w:themeFill="accent1" w:themeFillTint="33"/>
            <w:noWrap/>
            <w:vAlign w:val="bottom"/>
            <w:hideMark/>
          </w:tcPr>
          <w:p w14:paraId="5167BFE9" w14:textId="77777777" w:rsidR="00085F16" w:rsidRPr="007D5D03" w:rsidRDefault="00085F16" w:rsidP="00085F16">
            <w:pPr>
              <w:spacing w:line="276" w:lineRule="auto"/>
              <w:jc w:val="right"/>
              <w:rPr>
                <w:sz w:val="18"/>
                <w:szCs w:val="20"/>
              </w:rPr>
            </w:pPr>
            <w:r w:rsidRPr="007D5D03">
              <w:rPr>
                <w:sz w:val="18"/>
                <w:szCs w:val="20"/>
              </w:rPr>
              <w:t>3.9%</w:t>
            </w:r>
          </w:p>
        </w:tc>
      </w:tr>
      <w:tr w:rsidR="00085F16" w:rsidRPr="007D5D03" w14:paraId="0CA6ACD9" w14:textId="77777777" w:rsidTr="00085F16">
        <w:trPr>
          <w:trHeight w:hRule="exact" w:val="283"/>
        </w:trPr>
        <w:tc>
          <w:tcPr>
            <w:tcW w:w="2660" w:type="dxa"/>
            <w:tcBorders>
              <w:top w:val="nil"/>
              <w:left w:val="single" w:sz="8" w:space="0" w:color="auto"/>
              <w:bottom w:val="nil"/>
              <w:right w:val="nil"/>
            </w:tcBorders>
            <w:shd w:val="clear" w:color="auto" w:fill="DEEAF6" w:themeFill="accent1" w:themeFillTint="33"/>
            <w:noWrap/>
            <w:vAlign w:val="bottom"/>
            <w:hideMark/>
          </w:tcPr>
          <w:p w14:paraId="17D57D08" w14:textId="77777777" w:rsidR="00085F16" w:rsidRPr="007D5D03" w:rsidRDefault="00085F16" w:rsidP="00085F16">
            <w:pPr>
              <w:spacing w:line="276" w:lineRule="auto"/>
              <w:rPr>
                <w:b/>
                <w:bCs/>
                <w:sz w:val="18"/>
                <w:szCs w:val="20"/>
              </w:rPr>
            </w:pPr>
            <w:r w:rsidRPr="007D5D03">
              <w:rPr>
                <w:b/>
                <w:bCs/>
                <w:sz w:val="18"/>
                <w:szCs w:val="20"/>
              </w:rPr>
              <w:t>Kredit</w:t>
            </w:r>
            <w:r>
              <w:rPr>
                <w:b/>
                <w:bCs/>
                <w:sz w:val="18"/>
                <w:szCs w:val="20"/>
              </w:rPr>
              <w:t>ë</w:t>
            </w:r>
            <w:r w:rsidRPr="007D5D03">
              <w:rPr>
                <w:b/>
                <w:bCs/>
                <w:sz w:val="18"/>
                <w:szCs w:val="20"/>
              </w:rPr>
              <w:t xml:space="preserve"> e reja p</w:t>
            </w:r>
            <w:r>
              <w:rPr>
                <w:b/>
                <w:bCs/>
                <w:sz w:val="18"/>
                <w:szCs w:val="20"/>
              </w:rPr>
              <w:t>ë</w:t>
            </w:r>
            <w:r w:rsidRPr="007D5D03">
              <w:rPr>
                <w:b/>
                <w:bCs/>
                <w:sz w:val="18"/>
                <w:szCs w:val="20"/>
              </w:rPr>
              <w:t>r konsum</w:t>
            </w:r>
          </w:p>
        </w:tc>
        <w:tc>
          <w:tcPr>
            <w:tcW w:w="1810" w:type="dxa"/>
            <w:tcBorders>
              <w:top w:val="nil"/>
              <w:left w:val="nil"/>
              <w:bottom w:val="nil"/>
              <w:right w:val="nil"/>
            </w:tcBorders>
            <w:shd w:val="clear" w:color="auto" w:fill="DEEAF6" w:themeFill="accent1" w:themeFillTint="33"/>
            <w:noWrap/>
            <w:vAlign w:val="bottom"/>
            <w:hideMark/>
          </w:tcPr>
          <w:p w14:paraId="742A47BD" w14:textId="77777777" w:rsidR="00085F16" w:rsidRPr="007D5D03" w:rsidRDefault="00085F16" w:rsidP="00085F16">
            <w:pPr>
              <w:spacing w:line="276" w:lineRule="auto"/>
              <w:rPr>
                <w:i/>
                <w:iCs/>
                <w:sz w:val="18"/>
                <w:szCs w:val="20"/>
              </w:rPr>
            </w:pPr>
            <w:r w:rsidRPr="007D5D03">
              <w:rPr>
                <w:i/>
                <w:iCs/>
                <w:sz w:val="18"/>
                <w:szCs w:val="20"/>
              </w:rPr>
              <w:t xml:space="preserve">Private Consumption </w:t>
            </w:r>
          </w:p>
        </w:tc>
        <w:tc>
          <w:tcPr>
            <w:tcW w:w="1210" w:type="dxa"/>
            <w:tcBorders>
              <w:top w:val="nil"/>
              <w:left w:val="nil"/>
              <w:bottom w:val="nil"/>
              <w:right w:val="nil"/>
            </w:tcBorders>
            <w:shd w:val="clear" w:color="auto" w:fill="DEEAF6" w:themeFill="accent1" w:themeFillTint="33"/>
            <w:noWrap/>
            <w:vAlign w:val="bottom"/>
            <w:hideMark/>
          </w:tcPr>
          <w:p w14:paraId="150F0178" w14:textId="77777777" w:rsidR="00085F16" w:rsidRPr="007D5D03" w:rsidRDefault="00085F16" w:rsidP="00085F16">
            <w:pPr>
              <w:spacing w:line="276" w:lineRule="auto"/>
              <w:rPr>
                <w:i/>
                <w:sz w:val="18"/>
                <w:szCs w:val="20"/>
              </w:rPr>
            </w:pPr>
            <w:r>
              <w:rPr>
                <w:i/>
                <w:iCs/>
                <w:sz w:val="18"/>
                <w:szCs w:val="20"/>
              </w:rPr>
              <w:t>Prijës</w:t>
            </w:r>
          </w:p>
        </w:tc>
        <w:tc>
          <w:tcPr>
            <w:tcW w:w="939" w:type="dxa"/>
            <w:tcBorders>
              <w:top w:val="nil"/>
              <w:left w:val="nil"/>
              <w:bottom w:val="nil"/>
              <w:right w:val="nil"/>
            </w:tcBorders>
            <w:shd w:val="clear" w:color="auto" w:fill="DEEAF6" w:themeFill="accent1" w:themeFillTint="33"/>
            <w:noWrap/>
            <w:vAlign w:val="bottom"/>
            <w:hideMark/>
          </w:tcPr>
          <w:p w14:paraId="7BB809F8" w14:textId="77777777" w:rsidR="00085F16" w:rsidRPr="007D5D03" w:rsidRDefault="00085F16" w:rsidP="00085F16">
            <w:pPr>
              <w:spacing w:line="276" w:lineRule="auto"/>
              <w:jc w:val="right"/>
              <w:rPr>
                <w:sz w:val="18"/>
                <w:szCs w:val="20"/>
              </w:rPr>
            </w:pPr>
            <w:r w:rsidRPr="007D5D03">
              <w:rPr>
                <w:sz w:val="18"/>
                <w:szCs w:val="20"/>
              </w:rPr>
              <w:t>10.4%</w:t>
            </w:r>
          </w:p>
        </w:tc>
        <w:tc>
          <w:tcPr>
            <w:tcW w:w="785" w:type="dxa"/>
            <w:tcBorders>
              <w:top w:val="nil"/>
              <w:left w:val="nil"/>
              <w:bottom w:val="nil"/>
              <w:right w:val="nil"/>
            </w:tcBorders>
            <w:shd w:val="clear" w:color="auto" w:fill="DEEAF6" w:themeFill="accent1" w:themeFillTint="33"/>
            <w:noWrap/>
            <w:vAlign w:val="bottom"/>
            <w:hideMark/>
          </w:tcPr>
          <w:p w14:paraId="5E6363D5" w14:textId="77777777" w:rsidR="00085F16" w:rsidRPr="007D5D03" w:rsidRDefault="00085F16" w:rsidP="00085F16">
            <w:pPr>
              <w:spacing w:line="276" w:lineRule="auto"/>
              <w:jc w:val="right"/>
              <w:rPr>
                <w:sz w:val="18"/>
                <w:szCs w:val="20"/>
              </w:rPr>
            </w:pPr>
            <w:r w:rsidRPr="007D5D03">
              <w:rPr>
                <w:sz w:val="18"/>
                <w:szCs w:val="20"/>
              </w:rPr>
              <w:t>-15.7%</w:t>
            </w:r>
          </w:p>
        </w:tc>
        <w:tc>
          <w:tcPr>
            <w:tcW w:w="785" w:type="dxa"/>
            <w:tcBorders>
              <w:top w:val="nil"/>
              <w:left w:val="nil"/>
              <w:bottom w:val="nil"/>
              <w:right w:val="nil"/>
            </w:tcBorders>
            <w:shd w:val="clear" w:color="auto" w:fill="DEEAF6" w:themeFill="accent1" w:themeFillTint="33"/>
            <w:noWrap/>
            <w:vAlign w:val="bottom"/>
            <w:hideMark/>
          </w:tcPr>
          <w:p w14:paraId="25F9BC38" w14:textId="77777777" w:rsidR="00085F16" w:rsidRPr="007D5D03" w:rsidRDefault="00085F16" w:rsidP="00085F16">
            <w:pPr>
              <w:spacing w:line="276" w:lineRule="auto"/>
              <w:jc w:val="right"/>
              <w:rPr>
                <w:sz w:val="18"/>
                <w:szCs w:val="20"/>
              </w:rPr>
            </w:pPr>
            <w:r w:rsidRPr="007D5D03">
              <w:rPr>
                <w:sz w:val="18"/>
                <w:szCs w:val="20"/>
              </w:rPr>
              <w:t>-4.9%</w:t>
            </w:r>
          </w:p>
        </w:tc>
        <w:tc>
          <w:tcPr>
            <w:tcW w:w="785" w:type="dxa"/>
            <w:tcBorders>
              <w:top w:val="nil"/>
              <w:left w:val="nil"/>
              <w:bottom w:val="nil"/>
              <w:right w:val="single" w:sz="8" w:space="0" w:color="auto"/>
            </w:tcBorders>
            <w:shd w:val="clear" w:color="auto" w:fill="DEEAF6" w:themeFill="accent1" w:themeFillTint="33"/>
            <w:noWrap/>
            <w:vAlign w:val="bottom"/>
            <w:hideMark/>
          </w:tcPr>
          <w:p w14:paraId="78B68203" w14:textId="77777777" w:rsidR="00085F16" w:rsidRPr="007D5D03" w:rsidRDefault="00085F16" w:rsidP="00085F16">
            <w:pPr>
              <w:spacing w:line="276" w:lineRule="auto"/>
              <w:jc w:val="right"/>
              <w:rPr>
                <w:sz w:val="18"/>
                <w:szCs w:val="20"/>
              </w:rPr>
            </w:pPr>
            <w:r w:rsidRPr="007D5D03">
              <w:rPr>
                <w:sz w:val="18"/>
                <w:szCs w:val="20"/>
              </w:rPr>
              <w:t>15.9%</w:t>
            </w:r>
          </w:p>
        </w:tc>
      </w:tr>
      <w:tr w:rsidR="00085F16" w:rsidRPr="007D5D03" w14:paraId="4D7A951B" w14:textId="77777777" w:rsidTr="00085F16">
        <w:trPr>
          <w:trHeight w:hRule="exact" w:val="270"/>
        </w:trPr>
        <w:tc>
          <w:tcPr>
            <w:tcW w:w="2660" w:type="dxa"/>
            <w:tcBorders>
              <w:top w:val="nil"/>
              <w:left w:val="single" w:sz="8" w:space="0" w:color="auto"/>
              <w:bottom w:val="nil"/>
              <w:right w:val="nil"/>
            </w:tcBorders>
            <w:shd w:val="clear" w:color="auto" w:fill="DEEAF6" w:themeFill="accent1" w:themeFillTint="33"/>
            <w:noWrap/>
            <w:vAlign w:val="bottom"/>
            <w:hideMark/>
          </w:tcPr>
          <w:p w14:paraId="7141A8C4" w14:textId="77777777" w:rsidR="00085F16" w:rsidRPr="007D5D03" w:rsidRDefault="00085F16" w:rsidP="00085F16">
            <w:pPr>
              <w:spacing w:line="276" w:lineRule="auto"/>
              <w:rPr>
                <w:b/>
                <w:bCs/>
                <w:sz w:val="18"/>
                <w:szCs w:val="20"/>
              </w:rPr>
            </w:pPr>
            <w:r w:rsidRPr="007D5D03">
              <w:rPr>
                <w:b/>
                <w:bCs/>
                <w:sz w:val="18"/>
                <w:szCs w:val="20"/>
              </w:rPr>
              <w:t>Importi i mallrave p</w:t>
            </w:r>
            <w:r>
              <w:rPr>
                <w:b/>
                <w:bCs/>
                <w:sz w:val="18"/>
                <w:szCs w:val="20"/>
              </w:rPr>
              <w:t>ë</w:t>
            </w:r>
            <w:r w:rsidRPr="007D5D03">
              <w:rPr>
                <w:b/>
                <w:bCs/>
                <w:sz w:val="18"/>
                <w:szCs w:val="20"/>
              </w:rPr>
              <w:t xml:space="preserve">r konsum </w:t>
            </w:r>
          </w:p>
        </w:tc>
        <w:tc>
          <w:tcPr>
            <w:tcW w:w="1810" w:type="dxa"/>
            <w:tcBorders>
              <w:top w:val="nil"/>
              <w:left w:val="nil"/>
              <w:bottom w:val="nil"/>
              <w:right w:val="nil"/>
            </w:tcBorders>
            <w:shd w:val="clear" w:color="auto" w:fill="DEEAF6" w:themeFill="accent1" w:themeFillTint="33"/>
            <w:noWrap/>
            <w:vAlign w:val="bottom"/>
            <w:hideMark/>
          </w:tcPr>
          <w:p w14:paraId="7EF46049" w14:textId="77777777" w:rsidR="00085F16" w:rsidRPr="007D5D03" w:rsidRDefault="00085F16" w:rsidP="00085F16">
            <w:pPr>
              <w:spacing w:line="276" w:lineRule="auto"/>
              <w:rPr>
                <w:i/>
                <w:iCs/>
                <w:sz w:val="18"/>
                <w:szCs w:val="20"/>
              </w:rPr>
            </w:pPr>
            <w:r w:rsidRPr="007D5D03">
              <w:rPr>
                <w:i/>
                <w:iCs/>
                <w:sz w:val="18"/>
                <w:szCs w:val="20"/>
              </w:rPr>
              <w:t>Private Consumption</w:t>
            </w:r>
          </w:p>
        </w:tc>
        <w:tc>
          <w:tcPr>
            <w:tcW w:w="1210" w:type="dxa"/>
            <w:tcBorders>
              <w:top w:val="nil"/>
              <w:left w:val="nil"/>
              <w:bottom w:val="nil"/>
              <w:right w:val="nil"/>
            </w:tcBorders>
            <w:shd w:val="clear" w:color="auto" w:fill="DEEAF6" w:themeFill="accent1" w:themeFillTint="33"/>
            <w:noWrap/>
            <w:vAlign w:val="bottom"/>
            <w:hideMark/>
          </w:tcPr>
          <w:p w14:paraId="001EBEBE" w14:textId="77777777" w:rsidR="00085F16" w:rsidRPr="007D5D03" w:rsidRDefault="00085F16" w:rsidP="00085F16">
            <w:pPr>
              <w:spacing w:line="276" w:lineRule="auto"/>
              <w:rPr>
                <w:i/>
                <w:iCs/>
                <w:sz w:val="18"/>
                <w:szCs w:val="20"/>
              </w:rPr>
            </w:pPr>
            <w:r>
              <w:rPr>
                <w:i/>
                <w:iCs/>
                <w:sz w:val="18"/>
                <w:szCs w:val="20"/>
              </w:rPr>
              <w:t>Prijës</w:t>
            </w:r>
          </w:p>
        </w:tc>
        <w:tc>
          <w:tcPr>
            <w:tcW w:w="939" w:type="dxa"/>
            <w:tcBorders>
              <w:top w:val="nil"/>
              <w:left w:val="nil"/>
              <w:bottom w:val="nil"/>
              <w:right w:val="nil"/>
            </w:tcBorders>
            <w:shd w:val="clear" w:color="auto" w:fill="DEEAF6" w:themeFill="accent1" w:themeFillTint="33"/>
            <w:noWrap/>
            <w:vAlign w:val="bottom"/>
            <w:hideMark/>
          </w:tcPr>
          <w:p w14:paraId="368839FE" w14:textId="77777777" w:rsidR="00085F16" w:rsidRPr="007D5D03" w:rsidRDefault="00085F16" w:rsidP="00085F16">
            <w:pPr>
              <w:spacing w:line="276" w:lineRule="auto"/>
              <w:jc w:val="right"/>
              <w:rPr>
                <w:sz w:val="18"/>
                <w:szCs w:val="20"/>
              </w:rPr>
            </w:pPr>
            <w:r w:rsidRPr="007D5D03">
              <w:rPr>
                <w:sz w:val="18"/>
                <w:szCs w:val="20"/>
              </w:rPr>
              <w:t>4.9%</w:t>
            </w:r>
          </w:p>
        </w:tc>
        <w:tc>
          <w:tcPr>
            <w:tcW w:w="785" w:type="dxa"/>
            <w:tcBorders>
              <w:top w:val="nil"/>
              <w:left w:val="nil"/>
              <w:bottom w:val="nil"/>
              <w:right w:val="nil"/>
            </w:tcBorders>
            <w:shd w:val="clear" w:color="auto" w:fill="DEEAF6" w:themeFill="accent1" w:themeFillTint="33"/>
            <w:noWrap/>
            <w:vAlign w:val="bottom"/>
            <w:hideMark/>
          </w:tcPr>
          <w:p w14:paraId="23259D3E" w14:textId="77777777" w:rsidR="00085F16" w:rsidRPr="007D5D03" w:rsidRDefault="00085F16" w:rsidP="00085F16">
            <w:pPr>
              <w:spacing w:line="276" w:lineRule="auto"/>
              <w:jc w:val="right"/>
              <w:rPr>
                <w:sz w:val="18"/>
                <w:szCs w:val="20"/>
              </w:rPr>
            </w:pPr>
            <w:r w:rsidRPr="007D5D03">
              <w:rPr>
                <w:sz w:val="18"/>
                <w:szCs w:val="20"/>
              </w:rPr>
              <w:t>7.5%</w:t>
            </w:r>
          </w:p>
        </w:tc>
        <w:tc>
          <w:tcPr>
            <w:tcW w:w="785" w:type="dxa"/>
            <w:tcBorders>
              <w:top w:val="nil"/>
              <w:left w:val="nil"/>
              <w:bottom w:val="nil"/>
              <w:right w:val="nil"/>
            </w:tcBorders>
            <w:shd w:val="clear" w:color="auto" w:fill="DEEAF6" w:themeFill="accent1" w:themeFillTint="33"/>
            <w:noWrap/>
            <w:vAlign w:val="bottom"/>
            <w:hideMark/>
          </w:tcPr>
          <w:p w14:paraId="750E1ED3" w14:textId="77777777" w:rsidR="00085F16" w:rsidRPr="007D5D03" w:rsidRDefault="00085F16" w:rsidP="00085F16">
            <w:pPr>
              <w:spacing w:line="276" w:lineRule="auto"/>
              <w:jc w:val="right"/>
              <w:rPr>
                <w:sz w:val="18"/>
                <w:szCs w:val="20"/>
              </w:rPr>
            </w:pPr>
            <w:r w:rsidRPr="007D5D03">
              <w:rPr>
                <w:sz w:val="18"/>
                <w:szCs w:val="20"/>
              </w:rPr>
              <w:t>1.3%</w:t>
            </w:r>
          </w:p>
        </w:tc>
        <w:tc>
          <w:tcPr>
            <w:tcW w:w="785" w:type="dxa"/>
            <w:tcBorders>
              <w:top w:val="nil"/>
              <w:left w:val="nil"/>
              <w:bottom w:val="nil"/>
              <w:right w:val="single" w:sz="8" w:space="0" w:color="auto"/>
            </w:tcBorders>
            <w:shd w:val="clear" w:color="auto" w:fill="DEEAF6" w:themeFill="accent1" w:themeFillTint="33"/>
            <w:noWrap/>
            <w:vAlign w:val="bottom"/>
            <w:hideMark/>
          </w:tcPr>
          <w:p w14:paraId="39C1738C" w14:textId="77777777" w:rsidR="00085F16" w:rsidRPr="007D5D03" w:rsidRDefault="00085F16" w:rsidP="00085F16">
            <w:pPr>
              <w:spacing w:line="276" w:lineRule="auto"/>
              <w:jc w:val="right"/>
              <w:rPr>
                <w:sz w:val="18"/>
                <w:szCs w:val="20"/>
              </w:rPr>
            </w:pPr>
            <w:r w:rsidRPr="007D5D03">
              <w:rPr>
                <w:sz w:val="18"/>
                <w:szCs w:val="20"/>
              </w:rPr>
              <w:t>5.6%</w:t>
            </w:r>
          </w:p>
        </w:tc>
      </w:tr>
      <w:tr w:rsidR="00085F16" w:rsidRPr="007D5D03" w14:paraId="58DBB3EF" w14:textId="77777777" w:rsidTr="00085F16">
        <w:trPr>
          <w:trHeight w:hRule="exact" w:val="283"/>
        </w:trPr>
        <w:tc>
          <w:tcPr>
            <w:tcW w:w="2660" w:type="dxa"/>
            <w:tcBorders>
              <w:top w:val="nil"/>
              <w:left w:val="single" w:sz="8" w:space="0" w:color="auto"/>
              <w:bottom w:val="nil"/>
              <w:right w:val="nil"/>
            </w:tcBorders>
            <w:shd w:val="clear" w:color="auto" w:fill="DEEAF6" w:themeFill="accent1" w:themeFillTint="33"/>
            <w:noWrap/>
            <w:vAlign w:val="bottom"/>
            <w:hideMark/>
          </w:tcPr>
          <w:p w14:paraId="72B6FF14" w14:textId="77777777" w:rsidR="00085F16" w:rsidRPr="007D5D03" w:rsidRDefault="00085F16" w:rsidP="00085F16">
            <w:pPr>
              <w:spacing w:line="276" w:lineRule="auto"/>
              <w:rPr>
                <w:b/>
                <w:bCs/>
                <w:sz w:val="18"/>
                <w:szCs w:val="20"/>
              </w:rPr>
            </w:pPr>
            <w:r w:rsidRPr="007D5D03">
              <w:rPr>
                <w:b/>
                <w:bCs/>
                <w:sz w:val="18"/>
                <w:szCs w:val="20"/>
              </w:rPr>
              <w:t>Konsumi I Qeveris</w:t>
            </w:r>
            <w:r>
              <w:rPr>
                <w:b/>
                <w:bCs/>
                <w:sz w:val="18"/>
                <w:szCs w:val="20"/>
              </w:rPr>
              <w:t>ë</w:t>
            </w:r>
          </w:p>
        </w:tc>
        <w:tc>
          <w:tcPr>
            <w:tcW w:w="1810" w:type="dxa"/>
            <w:tcBorders>
              <w:top w:val="nil"/>
              <w:left w:val="nil"/>
              <w:bottom w:val="nil"/>
              <w:right w:val="nil"/>
            </w:tcBorders>
            <w:shd w:val="clear" w:color="auto" w:fill="DEEAF6" w:themeFill="accent1" w:themeFillTint="33"/>
            <w:noWrap/>
            <w:vAlign w:val="bottom"/>
            <w:hideMark/>
          </w:tcPr>
          <w:p w14:paraId="71648D09" w14:textId="77777777" w:rsidR="00085F16" w:rsidRPr="007D5D03" w:rsidRDefault="00085F16" w:rsidP="00085F16">
            <w:pPr>
              <w:spacing w:line="276" w:lineRule="auto"/>
              <w:jc w:val="center"/>
              <w:rPr>
                <w:i/>
                <w:iCs/>
                <w:sz w:val="18"/>
                <w:szCs w:val="20"/>
              </w:rPr>
            </w:pPr>
            <w:r w:rsidRPr="007D5D03">
              <w:rPr>
                <w:i/>
                <w:iCs/>
                <w:sz w:val="18"/>
                <w:szCs w:val="20"/>
              </w:rPr>
              <w:t>-</w:t>
            </w:r>
          </w:p>
        </w:tc>
        <w:tc>
          <w:tcPr>
            <w:tcW w:w="1210" w:type="dxa"/>
            <w:tcBorders>
              <w:top w:val="nil"/>
              <w:left w:val="nil"/>
              <w:bottom w:val="nil"/>
              <w:right w:val="nil"/>
            </w:tcBorders>
            <w:shd w:val="clear" w:color="auto" w:fill="DEEAF6" w:themeFill="accent1" w:themeFillTint="33"/>
            <w:noWrap/>
            <w:vAlign w:val="bottom"/>
            <w:hideMark/>
          </w:tcPr>
          <w:p w14:paraId="39838C54" w14:textId="77777777" w:rsidR="00085F16" w:rsidRPr="007D5D03" w:rsidRDefault="00085F16" w:rsidP="00085F16">
            <w:pPr>
              <w:spacing w:line="276" w:lineRule="auto"/>
              <w:rPr>
                <w:i/>
                <w:iCs/>
                <w:sz w:val="18"/>
                <w:szCs w:val="20"/>
              </w:rPr>
            </w:pPr>
            <w:r>
              <w:rPr>
                <w:i/>
                <w:iCs/>
                <w:sz w:val="18"/>
                <w:szCs w:val="20"/>
              </w:rPr>
              <w:t>Përkues</w:t>
            </w:r>
          </w:p>
        </w:tc>
        <w:tc>
          <w:tcPr>
            <w:tcW w:w="939" w:type="dxa"/>
            <w:tcBorders>
              <w:top w:val="nil"/>
              <w:left w:val="nil"/>
              <w:bottom w:val="nil"/>
              <w:right w:val="nil"/>
            </w:tcBorders>
            <w:shd w:val="clear" w:color="auto" w:fill="DEEAF6" w:themeFill="accent1" w:themeFillTint="33"/>
            <w:noWrap/>
            <w:vAlign w:val="bottom"/>
            <w:hideMark/>
          </w:tcPr>
          <w:p w14:paraId="06AB4850" w14:textId="77777777" w:rsidR="00085F16" w:rsidRPr="007D5D03" w:rsidRDefault="00085F16" w:rsidP="00085F16">
            <w:pPr>
              <w:spacing w:line="276" w:lineRule="auto"/>
              <w:jc w:val="right"/>
              <w:rPr>
                <w:sz w:val="18"/>
                <w:szCs w:val="20"/>
              </w:rPr>
            </w:pPr>
            <w:r w:rsidRPr="007D5D03">
              <w:rPr>
                <w:sz w:val="18"/>
                <w:szCs w:val="20"/>
              </w:rPr>
              <w:t>8.9%</w:t>
            </w:r>
          </w:p>
        </w:tc>
        <w:tc>
          <w:tcPr>
            <w:tcW w:w="785" w:type="dxa"/>
            <w:tcBorders>
              <w:top w:val="nil"/>
              <w:left w:val="nil"/>
              <w:bottom w:val="nil"/>
              <w:right w:val="nil"/>
            </w:tcBorders>
            <w:shd w:val="clear" w:color="auto" w:fill="DEEAF6" w:themeFill="accent1" w:themeFillTint="33"/>
            <w:noWrap/>
            <w:vAlign w:val="bottom"/>
            <w:hideMark/>
          </w:tcPr>
          <w:p w14:paraId="7401D7B6" w14:textId="77777777" w:rsidR="00085F16" w:rsidRPr="007D5D03" w:rsidRDefault="00085F16" w:rsidP="00085F16">
            <w:pPr>
              <w:spacing w:line="276" w:lineRule="auto"/>
              <w:jc w:val="right"/>
              <w:rPr>
                <w:sz w:val="18"/>
                <w:szCs w:val="20"/>
              </w:rPr>
            </w:pPr>
            <w:r w:rsidRPr="007D5D03">
              <w:rPr>
                <w:sz w:val="18"/>
                <w:szCs w:val="20"/>
              </w:rPr>
              <w:t>3.9%</w:t>
            </w:r>
          </w:p>
        </w:tc>
        <w:tc>
          <w:tcPr>
            <w:tcW w:w="785" w:type="dxa"/>
            <w:tcBorders>
              <w:top w:val="nil"/>
              <w:left w:val="nil"/>
              <w:bottom w:val="nil"/>
              <w:right w:val="nil"/>
            </w:tcBorders>
            <w:shd w:val="clear" w:color="auto" w:fill="DEEAF6" w:themeFill="accent1" w:themeFillTint="33"/>
            <w:noWrap/>
            <w:vAlign w:val="bottom"/>
            <w:hideMark/>
          </w:tcPr>
          <w:p w14:paraId="05BD593B" w14:textId="77777777" w:rsidR="00085F16" w:rsidRPr="007D5D03" w:rsidRDefault="00085F16" w:rsidP="00085F16">
            <w:pPr>
              <w:spacing w:line="276" w:lineRule="auto"/>
              <w:jc w:val="right"/>
              <w:rPr>
                <w:sz w:val="18"/>
                <w:szCs w:val="20"/>
              </w:rPr>
            </w:pPr>
            <w:r w:rsidRPr="007D5D03">
              <w:rPr>
                <w:sz w:val="18"/>
                <w:szCs w:val="20"/>
              </w:rPr>
              <w:t>6.6%</w:t>
            </w:r>
          </w:p>
        </w:tc>
        <w:tc>
          <w:tcPr>
            <w:tcW w:w="785" w:type="dxa"/>
            <w:tcBorders>
              <w:top w:val="nil"/>
              <w:left w:val="nil"/>
              <w:bottom w:val="nil"/>
              <w:right w:val="single" w:sz="8" w:space="0" w:color="auto"/>
            </w:tcBorders>
            <w:shd w:val="clear" w:color="auto" w:fill="DEEAF6" w:themeFill="accent1" w:themeFillTint="33"/>
            <w:noWrap/>
            <w:vAlign w:val="bottom"/>
            <w:hideMark/>
          </w:tcPr>
          <w:p w14:paraId="4C14E681" w14:textId="77777777" w:rsidR="00085F16" w:rsidRPr="007D5D03" w:rsidRDefault="00085F16" w:rsidP="00085F16">
            <w:pPr>
              <w:spacing w:line="276" w:lineRule="auto"/>
              <w:jc w:val="right"/>
              <w:rPr>
                <w:sz w:val="18"/>
                <w:szCs w:val="20"/>
              </w:rPr>
            </w:pPr>
            <w:r w:rsidRPr="007D5D03">
              <w:rPr>
                <w:sz w:val="18"/>
                <w:szCs w:val="20"/>
              </w:rPr>
              <w:t>11.3%</w:t>
            </w:r>
          </w:p>
        </w:tc>
      </w:tr>
      <w:tr w:rsidR="00085F16" w:rsidRPr="007D5D03" w14:paraId="7B934B47" w14:textId="77777777" w:rsidTr="00085F16">
        <w:trPr>
          <w:trHeight w:hRule="exact" w:val="283"/>
        </w:trPr>
        <w:tc>
          <w:tcPr>
            <w:tcW w:w="2660" w:type="dxa"/>
            <w:tcBorders>
              <w:top w:val="nil"/>
              <w:left w:val="single" w:sz="8" w:space="0" w:color="auto"/>
              <w:bottom w:val="nil"/>
              <w:right w:val="nil"/>
            </w:tcBorders>
            <w:shd w:val="clear" w:color="auto" w:fill="DEEAF6" w:themeFill="accent1" w:themeFillTint="33"/>
            <w:noWrap/>
            <w:vAlign w:val="bottom"/>
            <w:hideMark/>
          </w:tcPr>
          <w:p w14:paraId="7F92C631" w14:textId="77777777" w:rsidR="00085F16" w:rsidRPr="007D5D03" w:rsidRDefault="00085F16" w:rsidP="00085F16">
            <w:pPr>
              <w:spacing w:line="276" w:lineRule="auto"/>
              <w:rPr>
                <w:b/>
                <w:bCs/>
                <w:sz w:val="18"/>
                <w:szCs w:val="20"/>
              </w:rPr>
            </w:pPr>
            <w:r w:rsidRPr="007D5D03">
              <w:rPr>
                <w:b/>
                <w:bCs/>
                <w:sz w:val="18"/>
                <w:szCs w:val="20"/>
              </w:rPr>
              <w:t>Investimet e Qeveris</w:t>
            </w:r>
            <w:r>
              <w:rPr>
                <w:b/>
                <w:bCs/>
                <w:sz w:val="18"/>
                <w:szCs w:val="20"/>
              </w:rPr>
              <w:t>ë</w:t>
            </w:r>
          </w:p>
        </w:tc>
        <w:tc>
          <w:tcPr>
            <w:tcW w:w="1810" w:type="dxa"/>
            <w:tcBorders>
              <w:top w:val="nil"/>
              <w:left w:val="nil"/>
              <w:bottom w:val="nil"/>
              <w:right w:val="nil"/>
            </w:tcBorders>
            <w:shd w:val="clear" w:color="auto" w:fill="DEEAF6" w:themeFill="accent1" w:themeFillTint="33"/>
            <w:noWrap/>
            <w:vAlign w:val="bottom"/>
            <w:hideMark/>
          </w:tcPr>
          <w:p w14:paraId="3CCA34FF" w14:textId="77777777" w:rsidR="00085F16" w:rsidRPr="007D5D03" w:rsidRDefault="00085F16" w:rsidP="00085F16">
            <w:pPr>
              <w:spacing w:line="276" w:lineRule="auto"/>
              <w:jc w:val="center"/>
              <w:rPr>
                <w:i/>
                <w:iCs/>
                <w:sz w:val="18"/>
                <w:szCs w:val="20"/>
              </w:rPr>
            </w:pPr>
            <w:r w:rsidRPr="007D5D03">
              <w:rPr>
                <w:i/>
                <w:iCs/>
                <w:sz w:val="18"/>
                <w:szCs w:val="20"/>
              </w:rPr>
              <w:t>-</w:t>
            </w:r>
          </w:p>
        </w:tc>
        <w:tc>
          <w:tcPr>
            <w:tcW w:w="1210" w:type="dxa"/>
            <w:tcBorders>
              <w:top w:val="nil"/>
              <w:left w:val="nil"/>
              <w:bottom w:val="nil"/>
              <w:right w:val="nil"/>
            </w:tcBorders>
            <w:shd w:val="clear" w:color="auto" w:fill="DEEAF6" w:themeFill="accent1" w:themeFillTint="33"/>
            <w:noWrap/>
            <w:vAlign w:val="bottom"/>
            <w:hideMark/>
          </w:tcPr>
          <w:p w14:paraId="345FE365" w14:textId="77777777" w:rsidR="00085F16" w:rsidRPr="007D5D03" w:rsidRDefault="00085F16" w:rsidP="00085F16">
            <w:pPr>
              <w:spacing w:line="276" w:lineRule="auto"/>
              <w:rPr>
                <w:i/>
                <w:iCs/>
                <w:sz w:val="18"/>
                <w:szCs w:val="20"/>
              </w:rPr>
            </w:pPr>
            <w:r>
              <w:rPr>
                <w:i/>
                <w:iCs/>
                <w:sz w:val="18"/>
                <w:szCs w:val="20"/>
              </w:rPr>
              <w:t>Përkues</w:t>
            </w:r>
          </w:p>
        </w:tc>
        <w:tc>
          <w:tcPr>
            <w:tcW w:w="939" w:type="dxa"/>
            <w:tcBorders>
              <w:top w:val="nil"/>
              <w:left w:val="nil"/>
              <w:bottom w:val="nil"/>
              <w:right w:val="nil"/>
            </w:tcBorders>
            <w:shd w:val="clear" w:color="auto" w:fill="DEEAF6" w:themeFill="accent1" w:themeFillTint="33"/>
            <w:noWrap/>
            <w:vAlign w:val="bottom"/>
            <w:hideMark/>
          </w:tcPr>
          <w:p w14:paraId="5DA35B7A" w14:textId="77777777" w:rsidR="00085F16" w:rsidRPr="007D5D03" w:rsidRDefault="00085F16" w:rsidP="00085F16">
            <w:pPr>
              <w:spacing w:line="276" w:lineRule="auto"/>
              <w:jc w:val="right"/>
              <w:rPr>
                <w:sz w:val="18"/>
                <w:szCs w:val="20"/>
              </w:rPr>
            </w:pPr>
            <w:r w:rsidRPr="007D5D03">
              <w:rPr>
                <w:sz w:val="18"/>
                <w:szCs w:val="20"/>
              </w:rPr>
              <w:t>13.4%</w:t>
            </w:r>
          </w:p>
        </w:tc>
        <w:tc>
          <w:tcPr>
            <w:tcW w:w="785" w:type="dxa"/>
            <w:tcBorders>
              <w:top w:val="nil"/>
              <w:left w:val="nil"/>
              <w:bottom w:val="nil"/>
              <w:right w:val="nil"/>
            </w:tcBorders>
            <w:shd w:val="clear" w:color="auto" w:fill="DEEAF6" w:themeFill="accent1" w:themeFillTint="33"/>
            <w:noWrap/>
            <w:vAlign w:val="bottom"/>
            <w:hideMark/>
          </w:tcPr>
          <w:p w14:paraId="5EF94397" w14:textId="77777777" w:rsidR="00085F16" w:rsidRPr="007D5D03" w:rsidRDefault="00085F16" w:rsidP="00085F16">
            <w:pPr>
              <w:spacing w:line="276" w:lineRule="auto"/>
              <w:jc w:val="right"/>
              <w:rPr>
                <w:sz w:val="18"/>
                <w:szCs w:val="20"/>
              </w:rPr>
            </w:pPr>
            <w:r w:rsidRPr="007D5D03">
              <w:rPr>
                <w:sz w:val="18"/>
                <w:szCs w:val="20"/>
              </w:rPr>
              <w:t>-46.2%</w:t>
            </w:r>
          </w:p>
        </w:tc>
        <w:tc>
          <w:tcPr>
            <w:tcW w:w="785" w:type="dxa"/>
            <w:tcBorders>
              <w:top w:val="nil"/>
              <w:left w:val="nil"/>
              <w:bottom w:val="nil"/>
              <w:right w:val="nil"/>
            </w:tcBorders>
            <w:shd w:val="clear" w:color="auto" w:fill="DEEAF6" w:themeFill="accent1" w:themeFillTint="33"/>
            <w:noWrap/>
            <w:vAlign w:val="bottom"/>
            <w:hideMark/>
          </w:tcPr>
          <w:p w14:paraId="1BA2E3C1" w14:textId="77777777" w:rsidR="00085F16" w:rsidRPr="007D5D03" w:rsidRDefault="00085F16" w:rsidP="00085F16">
            <w:pPr>
              <w:spacing w:line="276" w:lineRule="auto"/>
              <w:jc w:val="right"/>
              <w:rPr>
                <w:sz w:val="18"/>
                <w:szCs w:val="20"/>
              </w:rPr>
            </w:pPr>
            <w:r w:rsidRPr="007D5D03">
              <w:rPr>
                <w:sz w:val="18"/>
                <w:szCs w:val="20"/>
              </w:rPr>
              <w:t>-4.9%</w:t>
            </w:r>
          </w:p>
        </w:tc>
        <w:tc>
          <w:tcPr>
            <w:tcW w:w="785" w:type="dxa"/>
            <w:tcBorders>
              <w:top w:val="nil"/>
              <w:left w:val="nil"/>
              <w:bottom w:val="nil"/>
              <w:right w:val="single" w:sz="8" w:space="0" w:color="auto"/>
            </w:tcBorders>
            <w:shd w:val="clear" w:color="auto" w:fill="DEEAF6" w:themeFill="accent1" w:themeFillTint="33"/>
            <w:noWrap/>
            <w:vAlign w:val="bottom"/>
            <w:hideMark/>
          </w:tcPr>
          <w:p w14:paraId="53082C2B" w14:textId="77777777" w:rsidR="00085F16" w:rsidRPr="007D5D03" w:rsidRDefault="00085F16" w:rsidP="00085F16">
            <w:pPr>
              <w:spacing w:line="276" w:lineRule="auto"/>
              <w:jc w:val="right"/>
              <w:rPr>
                <w:sz w:val="18"/>
                <w:szCs w:val="20"/>
              </w:rPr>
            </w:pPr>
            <w:r w:rsidRPr="007D5D03">
              <w:rPr>
                <w:sz w:val="18"/>
                <w:szCs w:val="20"/>
              </w:rPr>
              <w:t>3.9%</w:t>
            </w:r>
          </w:p>
        </w:tc>
      </w:tr>
      <w:tr w:rsidR="00085F16" w:rsidRPr="007D5D03" w14:paraId="6192CD7A" w14:textId="77777777" w:rsidTr="00085F16">
        <w:trPr>
          <w:trHeight w:hRule="exact" w:val="283"/>
        </w:trPr>
        <w:tc>
          <w:tcPr>
            <w:tcW w:w="2660" w:type="dxa"/>
            <w:tcBorders>
              <w:top w:val="nil"/>
              <w:left w:val="single" w:sz="8" w:space="0" w:color="auto"/>
              <w:bottom w:val="nil"/>
              <w:right w:val="nil"/>
            </w:tcBorders>
            <w:shd w:val="clear" w:color="auto" w:fill="DEEAF6" w:themeFill="accent1" w:themeFillTint="33"/>
            <w:noWrap/>
            <w:vAlign w:val="bottom"/>
            <w:hideMark/>
          </w:tcPr>
          <w:p w14:paraId="5CBBE4F1" w14:textId="77777777" w:rsidR="00085F16" w:rsidRPr="007D5D03" w:rsidRDefault="00085F16" w:rsidP="00085F16">
            <w:pPr>
              <w:spacing w:line="276" w:lineRule="auto"/>
              <w:rPr>
                <w:b/>
                <w:bCs/>
                <w:sz w:val="18"/>
                <w:szCs w:val="20"/>
              </w:rPr>
            </w:pPr>
            <w:r w:rsidRPr="007D5D03">
              <w:rPr>
                <w:b/>
                <w:bCs/>
                <w:sz w:val="18"/>
                <w:szCs w:val="20"/>
              </w:rPr>
              <w:t>Importi M&amp;Sh</w:t>
            </w:r>
          </w:p>
        </w:tc>
        <w:tc>
          <w:tcPr>
            <w:tcW w:w="1810" w:type="dxa"/>
            <w:tcBorders>
              <w:top w:val="nil"/>
              <w:left w:val="nil"/>
              <w:bottom w:val="nil"/>
              <w:right w:val="nil"/>
            </w:tcBorders>
            <w:shd w:val="clear" w:color="auto" w:fill="DEEAF6" w:themeFill="accent1" w:themeFillTint="33"/>
            <w:noWrap/>
            <w:vAlign w:val="bottom"/>
            <w:hideMark/>
          </w:tcPr>
          <w:p w14:paraId="2F4ADF06" w14:textId="77777777" w:rsidR="00085F16" w:rsidRPr="007D5D03" w:rsidRDefault="00085F16" w:rsidP="00085F16">
            <w:pPr>
              <w:spacing w:line="276" w:lineRule="auto"/>
              <w:jc w:val="center"/>
              <w:rPr>
                <w:i/>
                <w:iCs/>
                <w:sz w:val="18"/>
                <w:szCs w:val="20"/>
              </w:rPr>
            </w:pPr>
            <w:r w:rsidRPr="007D5D03">
              <w:rPr>
                <w:i/>
                <w:iCs/>
                <w:sz w:val="18"/>
                <w:szCs w:val="20"/>
              </w:rPr>
              <w:t>-</w:t>
            </w:r>
          </w:p>
        </w:tc>
        <w:tc>
          <w:tcPr>
            <w:tcW w:w="1210" w:type="dxa"/>
            <w:tcBorders>
              <w:top w:val="nil"/>
              <w:left w:val="nil"/>
              <w:bottom w:val="nil"/>
              <w:right w:val="nil"/>
            </w:tcBorders>
            <w:shd w:val="clear" w:color="auto" w:fill="DEEAF6" w:themeFill="accent1" w:themeFillTint="33"/>
            <w:noWrap/>
            <w:vAlign w:val="bottom"/>
            <w:hideMark/>
          </w:tcPr>
          <w:p w14:paraId="665AAB1D" w14:textId="77777777" w:rsidR="00085F16" w:rsidRPr="007D5D03" w:rsidRDefault="00085F16" w:rsidP="00085F16">
            <w:pPr>
              <w:spacing w:line="276" w:lineRule="auto"/>
              <w:rPr>
                <w:i/>
                <w:iCs/>
                <w:sz w:val="18"/>
                <w:szCs w:val="20"/>
              </w:rPr>
            </w:pPr>
            <w:r>
              <w:rPr>
                <w:i/>
                <w:iCs/>
                <w:sz w:val="18"/>
                <w:szCs w:val="20"/>
              </w:rPr>
              <w:t>Përkues</w:t>
            </w:r>
          </w:p>
        </w:tc>
        <w:tc>
          <w:tcPr>
            <w:tcW w:w="939" w:type="dxa"/>
            <w:tcBorders>
              <w:top w:val="nil"/>
              <w:left w:val="nil"/>
              <w:bottom w:val="nil"/>
              <w:right w:val="nil"/>
            </w:tcBorders>
            <w:shd w:val="clear" w:color="auto" w:fill="DEEAF6" w:themeFill="accent1" w:themeFillTint="33"/>
            <w:noWrap/>
            <w:vAlign w:val="bottom"/>
            <w:hideMark/>
          </w:tcPr>
          <w:p w14:paraId="3F6371BE" w14:textId="77777777" w:rsidR="00085F16" w:rsidRPr="007D5D03" w:rsidRDefault="00085F16" w:rsidP="00085F16">
            <w:pPr>
              <w:spacing w:line="276" w:lineRule="auto"/>
              <w:jc w:val="right"/>
              <w:rPr>
                <w:sz w:val="18"/>
                <w:szCs w:val="20"/>
              </w:rPr>
            </w:pPr>
            <w:r w:rsidRPr="007D5D03">
              <w:rPr>
                <w:sz w:val="18"/>
                <w:szCs w:val="20"/>
              </w:rPr>
              <w:t>13.20%</w:t>
            </w:r>
          </w:p>
        </w:tc>
        <w:tc>
          <w:tcPr>
            <w:tcW w:w="785" w:type="dxa"/>
            <w:tcBorders>
              <w:top w:val="nil"/>
              <w:left w:val="nil"/>
              <w:bottom w:val="nil"/>
              <w:right w:val="nil"/>
            </w:tcBorders>
            <w:shd w:val="clear" w:color="auto" w:fill="DEEAF6" w:themeFill="accent1" w:themeFillTint="33"/>
            <w:noWrap/>
            <w:vAlign w:val="bottom"/>
            <w:hideMark/>
          </w:tcPr>
          <w:p w14:paraId="650F69AD" w14:textId="77777777" w:rsidR="00085F16" w:rsidRPr="007D5D03" w:rsidRDefault="00085F16" w:rsidP="00085F16">
            <w:pPr>
              <w:spacing w:line="276" w:lineRule="auto"/>
              <w:jc w:val="right"/>
              <w:rPr>
                <w:sz w:val="18"/>
                <w:szCs w:val="20"/>
              </w:rPr>
            </w:pPr>
            <w:r w:rsidRPr="007D5D03">
              <w:rPr>
                <w:sz w:val="18"/>
                <w:szCs w:val="20"/>
              </w:rPr>
              <w:t>6.4%</w:t>
            </w:r>
          </w:p>
        </w:tc>
        <w:tc>
          <w:tcPr>
            <w:tcW w:w="785" w:type="dxa"/>
            <w:tcBorders>
              <w:top w:val="nil"/>
              <w:left w:val="nil"/>
              <w:bottom w:val="nil"/>
              <w:right w:val="nil"/>
            </w:tcBorders>
            <w:shd w:val="clear" w:color="auto" w:fill="DEEAF6" w:themeFill="accent1" w:themeFillTint="33"/>
            <w:noWrap/>
            <w:vAlign w:val="bottom"/>
            <w:hideMark/>
          </w:tcPr>
          <w:p w14:paraId="1B560205" w14:textId="77777777" w:rsidR="00085F16" w:rsidRPr="007D5D03" w:rsidRDefault="00085F16" w:rsidP="00085F16">
            <w:pPr>
              <w:spacing w:line="276" w:lineRule="auto"/>
              <w:jc w:val="right"/>
              <w:rPr>
                <w:sz w:val="18"/>
                <w:szCs w:val="20"/>
              </w:rPr>
            </w:pPr>
            <w:r w:rsidRPr="007D5D03">
              <w:rPr>
                <w:sz w:val="18"/>
                <w:szCs w:val="20"/>
              </w:rPr>
              <w:t>1.6%</w:t>
            </w:r>
          </w:p>
        </w:tc>
        <w:tc>
          <w:tcPr>
            <w:tcW w:w="785" w:type="dxa"/>
            <w:tcBorders>
              <w:top w:val="nil"/>
              <w:left w:val="nil"/>
              <w:bottom w:val="nil"/>
              <w:right w:val="single" w:sz="8" w:space="0" w:color="auto"/>
            </w:tcBorders>
            <w:shd w:val="clear" w:color="auto" w:fill="DEEAF6" w:themeFill="accent1" w:themeFillTint="33"/>
            <w:noWrap/>
            <w:vAlign w:val="bottom"/>
            <w:hideMark/>
          </w:tcPr>
          <w:p w14:paraId="4D982A12" w14:textId="77777777" w:rsidR="00085F16" w:rsidRPr="007D5D03" w:rsidRDefault="00085F16" w:rsidP="00085F16">
            <w:pPr>
              <w:spacing w:line="276" w:lineRule="auto"/>
              <w:jc w:val="right"/>
              <w:rPr>
                <w:sz w:val="18"/>
                <w:szCs w:val="20"/>
              </w:rPr>
            </w:pPr>
            <w:r w:rsidRPr="007D5D03">
              <w:rPr>
                <w:sz w:val="18"/>
                <w:szCs w:val="20"/>
              </w:rPr>
              <w:t>3.3%</w:t>
            </w:r>
          </w:p>
        </w:tc>
      </w:tr>
      <w:tr w:rsidR="00085F16" w:rsidRPr="007D5D03" w14:paraId="072AF210" w14:textId="77777777" w:rsidTr="00085F16">
        <w:trPr>
          <w:trHeight w:hRule="exact" w:val="283"/>
        </w:trPr>
        <w:tc>
          <w:tcPr>
            <w:tcW w:w="2660" w:type="dxa"/>
            <w:tcBorders>
              <w:top w:val="nil"/>
              <w:left w:val="single" w:sz="8" w:space="0" w:color="auto"/>
              <w:bottom w:val="nil"/>
              <w:right w:val="nil"/>
            </w:tcBorders>
            <w:shd w:val="clear" w:color="auto" w:fill="DEEAF6" w:themeFill="accent1" w:themeFillTint="33"/>
            <w:noWrap/>
            <w:vAlign w:val="bottom"/>
            <w:hideMark/>
          </w:tcPr>
          <w:p w14:paraId="57E1B276" w14:textId="77777777" w:rsidR="00085F16" w:rsidRPr="007D5D03" w:rsidRDefault="00085F16" w:rsidP="00085F16">
            <w:pPr>
              <w:spacing w:line="276" w:lineRule="auto"/>
              <w:rPr>
                <w:b/>
                <w:bCs/>
                <w:sz w:val="18"/>
                <w:szCs w:val="20"/>
              </w:rPr>
            </w:pPr>
            <w:r w:rsidRPr="007D5D03">
              <w:rPr>
                <w:b/>
                <w:bCs/>
                <w:sz w:val="18"/>
                <w:szCs w:val="20"/>
              </w:rPr>
              <w:t>Eksporti M&amp;Sh</w:t>
            </w:r>
          </w:p>
        </w:tc>
        <w:tc>
          <w:tcPr>
            <w:tcW w:w="1810" w:type="dxa"/>
            <w:tcBorders>
              <w:top w:val="nil"/>
              <w:left w:val="nil"/>
              <w:bottom w:val="nil"/>
              <w:right w:val="nil"/>
            </w:tcBorders>
            <w:shd w:val="clear" w:color="auto" w:fill="DEEAF6" w:themeFill="accent1" w:themeFillTint="33"/>
            <w:noWrap/>
            <w:vAlign w:val="bottom"/>
            <w:hideMark/>
          </w:tcPr>
          <w:p w14:paraId="08883D5A" w14:textId="77777777" w:rsidR="00085F16" w:rsidRPr="007D5D03" w:rsidRDefault="00085F16" w:rsidP="00085F16">
            <w:pPr>
              <w:spacing w:line="276" w:lineRule="auto"/>
              <w:jc w:val="center"/>
              <w:rPr>
                <w:i/>
                <w:iCs/>
                <w:sz w:val="18"/>
                <w:szCs w:val="20"/>
              </w:rPr>
            </w:pPr>
            <w:r w:rsidRPr="007D5D03">
              <w:rPr>
                <w:i/>
                <w:iCs/>
                <w:sz w:val="18"/>
                <w:szCs w:val="20"/>
              </w:rPr>
              <w:t>-</w:t>
            </w:r>
          </w:p>
        </w:tc>
        <w:tc>
          <w:tcPr>
            <w:tcW w:w="1210" w:type="dxa"/>
            <w:tcBorders>
              <w:top w:val="nil"/>
              <w:left w:val="nil"/>
              <w:bottom w:val="nil"/>
              <w:right w:val="nil"/>
            </w:tcBorders>
            <w:shd w:val="clear" w:color="auto" w:fill="DEEAF6" w:themeFill="accent1" w:themeFillTint="33"/>
            <w:noWrap/>
            <w:vAlign w:val="bottom"/>
            <w:hideMark/>
          </w:tcPr>
          <w:p w14:paraId="6DA6490F" w14:textId="77777777" w:rsidR="00085F16" w:rsidRPr="007D5D03" w:rsidRDefault="00085F16" w:rsidP="00085F16">
            <w:pPr>
              <w:spacing w:line="276" w:lineRule="auto"/>
              <w:rPr>
                <w:i/>
                <w:iCs/>
                <w:sz w:val="18"/>
                <w:szCs w:val="20"/>
              </w:rPr>
            </w:pPr>
            <w:r>
              <w:rPr>
                <w:i/>
                <w:iCs/>
                <w:sz w:val="18"/>
                <w:szCs w:val="20"/>
              </w:rPr>
              <w:t>Përkues</w:t>
            </w:r>
            <w:r w:rsidRPr="007D5D03">
              <w:rPr>
                <w:i/>
                <w:iCs/>
                <w:sz w:val="18"/>
                <w:szCs w:val="20"/>
              </w:rPr>
              <w:t xml:space="preserve"> </w:t>
            </w:r>
          </w:p>
        </w:tc>
        <w:tc>
          <w:tcPr>
            <w:tcW w:w="939" w:type="dxa"/>
            <w:tcBorders>
              <w:top w:val="nil"/>
              <w:left w:val="nil"/>
              <w:bottom w:val="nil"/>
              <w:right w:val="nil"/>
            </w:tcBorders>
            <w:shd w:val="clear" w:color="auto" w:fill="DEEAF6" w:themeFill="accent1" w:themeFillTint="33"/>
            <w:noWrap/>
            <w:vAlign w:val="bottom"/>
            <w:hideMark/>
          </w:tcPr>
          <w:p w14:paraId="1F4DBA77" w14:textId="77777777" w:rsidR="00085F16" w:rsidRPr="007D5D03" w:rsidRDefault="00085F16" w:rsidP="00085F16">
            <w:pPr>
              <w:spacing w:line="276" w:lineRule="auto"/>
              <w:jc w:val="right"/>
              <w:rPr>
                <w:sz w:val="18"/>
                <w:szCs w:val="20"/>
              </w:rPr>
            </w:pPr>
            <w:r w:rsidRPr="007D5D03">
              <w:rPr>
                <w:sz w:val="18"/>
                <w:szCs w:val="20"/>
              </w:rPr>
              <w:t>11.6%</w:t>
            </w:r>
          </w:p>
        </w:tc>
        <w:tc>
          <w:tcPr>
            <w:tcW w:w="785" w:type="dxa"/>
            <w:tcBorders>
              <w:top w:val="nil"/>
              <w:left w:val="nil"/>
              <w:bottom w:val="nil"/>
              <w:right w:val="nil"/>
            </w:tcBorders>
            <w:shd w:val="clear" w:color="auto" w:fill="DEEAF6" w:themeFill="accent1" w:themeFillTint="33"/>
            <w:noWrap/>
            <w:vAlign w:val="bottom"/>
            <w:hideMark/>
          </w:tcPr>
          <w:p w14:paraId="03F71E02" w14:textId="77777777" w:rsidR="00085F16" w:rsidRPr="007D5D03" w:rsidRDefault="00085F16" w:rsidP="00085F16">
            <w:pPr>
              <w:spacing w:line="276" w:lineRule="auto"/>
              <w:jc w:val="right"/>
              <w:rPr>
                <w:sz w:val="18"/>
                <w:szCs w:val="20"/>
              </w:rPr>
            </w:pPr>
            <w:r w:rsidRPr="007D5D03">
              <w:rPr>
                <w:sz w:val="18"/>
                <w:szCs w:val="20"/>
              </w:rPr>
              <w:t>10.3%</w:t>
            </w:r>
          </w:p>
        </w:tc>
        <w:tc>
          <w:tcPr>
            <w:tcW w:w="785" w:type="dxa"/>
            <w:tcBorders>
              <w:top w:val="nil"/>
              <w:left w:val="nil"/>
              <w:bottom w:val="nil"/>
              <w:right w:val="nil"/>
            </w:tcBorders>
            <w:shd w:val="clear" w:color="auto" w:fill="DEEAF6" w:themeFill="accent1" w:themeFillTint="33"/>
            <w:noWrap/>
            <w:vAlign w:val="bottom"/>
            <w:hideMark/>
          </w:tcPr>
          <w:p w14:paraId="3A46DDBC" w14:textId="77777777" w:rsidR="00085F16" w:rsidRPr="007D5D03" w:rsidRDefault="00085F16" w:rsidP="00085F16">
            <w:pPr>
              <w:spacing w:line="276" w:lineRule="auto"/>
              <w:jc w:val="right"/>
              <w:rPr>
                <w:sz w:val="18"/>
                <w:szCs w:val="20"/>
              </w:rPr>
            </w:pPr>
            <w:r w:rsidRPr="007D5D03">
              <w:rPr>
                <w:sz w:val="18"/>
                <w:szCs w:val="20"/>
              </w:rPr>
              <w:t>10.7%</w:t>
            </w:r>
          </w:p>
        </w:tc>
        <w:tc>
          <w:tcPr>
            <w:tcW w:w="785" w:type="dxa"/>
            <w:tcBorders>
              <w:top w:val="nil"/>
              <w:left w:val="nil"/>
              <w:bottom w:val="nil"/>
              <w:right w:val="single" w:sz="8" w:space="0" w:color="auto"/>
            </w:tcBorders>
            <w:shd w:val="clear" w:color="auto" w:fill="DEEAF6" w:themeFill="accent1" w:themeFillTint="33"/>
            <w:noWrap/>
            <w:vAlign w:val="bottom"/>
            <w:hideMark/>
          </w:tcPr>
          <w:p w14:paraId="4BB5592D" w14:textId="77777777" w:rsidR="00085F16" w:rsidRPr="007D5D03" w:rsidRDefault="00085F16" w:rsidP="00085F16">
            <w:pPr>
              <w:spacing w:line="276" w:lineRule="auto"/>
              <w:jc w:val="right"/>
              <w:rPr>
                <w:sz w:val="18"/>
                <w:szCs w:val="20"/>
              </w:rPr>
            </w:pPr>
            <w:r w:rsidRPr="007D5D03">
              <w:rPr>
                <w:sz w:val="18"/>
                <w:szCs w:val="20"/>
              </w:rPr>
              <w:t>7.0%</w:t>
            </w:r>
          </w:p>
        </w:tc>
      </w:tr>
      <w:tr w:rsidR="00085F16" w:rsidRPr="007D5D03" w14:paraId="1D70C88C" w14:textId="77777777" w:rsidTr="00085F16">
        <w:trPr>
          <w:trHeight w:hRule="exact" w:val="283"/>
        </w:trPr>
        <w:tc>
          <w:tcPr>
            <w:tcW w:w="2660" w:type="dxa"/>
            <w:tcBorders>
              <w:top w:val="nil"/>
              <w:left w:val="single" w:sz="8" w:space="0" w:color="auto"/>
              <w:bottom w:val="nil"/>
              <w:right w:val="nil"/>
            </w:tcBorders>
            <w:shd w:val="clear" w:color="auto" w:fill="DEEAF6" w:themeFill="accent1" w:themeFillTint="33"/>
            <w:noWrap/>
            <w:vAlign w:val="bottom"/>
            <w:hideMark/>
          </w:tcPr>
          <w:p w14:paraId="1594F3B5" w14:textId="77777777" w:rsidR="00085F16" w:rsidRPr="007D5D03" w:rsidRDefault="00085F16" w:rsidP="00085F16">
            <w:pPr>
              <w:spacing w:line="276" w:lineRule="auto"/>
              <w:rPr>
                <w:b/>
                <w:bCs/>
                <w:sz w:val="18"/>
                <w:szCs w:val="20"/>
              </w:rPr>
            </w:pPr>
            <w:r w:rsidRPr="007D5D03">
              <w:rPr>
                <w:b/>
                <w:bCs/>
                <w:sz w:val="18"/>
                <w:szCs w:val="20"/>
              </w:rPr>
              <w:t>Importi I mallrave kapitale</w:t>
            </w:r>
          </w:p>
        </w:tc>
        <w:tc>
          <w:tcPr>
            <w:tcW w:w="1810" w:type="dxa"/>
            <w:tcBorders>
              <w:top w:val="nil"/>
              <w:left w:val="nil"/>
              <w:bottom w:val="nil"/>
              <w:right w:val="nil"/>
            </w:tcBorders>
            <w:shd w:val="clear" w:color="auto" w:fill="DEEAF6" w:themeFill="accent1" w:themeFillTint="33"/>
            <w:noWrap/>
            <w:vAlign w:val="bottom"/>
            <w:hideMark/>
          </w:tcPr>
          <w:p w14:paraId="0E561A75" w14:textId="77777777" w:rsidR="00085F16" w:rsidRPr="007D5D03" w:rsidRDefault="00085F16" w:rsidP="00085F16">
            <w:pPr>
              <w:spacing w:line="276" w:lineRule="auto"/>
              <w:rPr>
                <w:i/>
                <w:iCs/>
                <w:sz w:val="18"/>
                <w:szCs w:val="20"/>
              </w:rPr>
            </w:pPr>
            <w:r w:rsidRPr="007D5D03">
              <w:rPr>
                <w:i/>
                <w:iCs/>
                <w:sz w:val="18"/>
                <w:szCs w:val="20"/>
              </w:rPr>
              <w:t>Investment</w:t>
            </w:r>
          </w:p>
        </w:tc>
        <w:tc>
          <w:tcPr>
            <w:tcW w:w="1210" w:type="dxa"/>
            <w:tcBorders>
              <w:top w:val="nil"/>
              <w:left w:val="nil"/>
              <w:bottom w:val="nil"/>
              <w:right w:val="nil"/>
            </w:tcBorders>
            <w:shd w:val="clear" w:color="auto" w:fill="DEEAF6" w:themeFill="accent1" w:themeFillTint="33"/>
            <w:noWrap/>
            <w:vAlign w:val="bottom"/>
            <w:hideMark/>
          </w:tcPr>
          <w:p w14:paraId="1841BAB8" w14:textId="77777777" w:rsidR="00085F16" w:rsidRPr="007D5D03" w:rsidRDefault="00085F16" w:rsidP="00085F16">
            <w:pPr>
              <w:spacing w:line="276" w:lineRule="auto"/>
              <w:rPr>
                <w:i/>
                <w:iCs/>
                <w:sz w:val="18"/>
                <w:szCs w:val="20"/>
              </w:rPr>
            </w:pPr>
            <w:r>
              <w:rPr>
                <w:i/>
                <w:iCs/>
                <w:sz w:val="18"/>
                <w:szCs w:val="20"/>
              </w:rPr>
              <w:t>Prijës</w:t>
            </w:r>
          </w:p>
        </w:tc>
        <w:tc>
          <w:tcPr>
            <w:tcW w:w="939" w:type="dxa"/>
            <w:tcBorders>
              <w:top w:val="nil"/>
              <w:left w:val="nil"/>
              <w:bottom w:val="nil"/>
              <w:right w:val="nil"/>
            </w:tcBorders>
            <w:shd w:val="clear" w:color="auto" w:fill="DEEAF6" w:themeFill="accent1" w:themeFillTint="33"/>
            <w:noWrap/>
            <w:vAlign w:val="bottom"/>
            <w:hideMark/>
          </w:tcPr>
          <w:p w14:paraId="2CA4F1DF" w14:textId="77777777" w:rsidR="00085F16" w:rsidRPr="007D5D03" w:rsidRDefault="00085F16" w:rsidP="00085F16">
            <w:pPr>
              <w:spacing w:line="276" w:lineRule="auto"/>
              <w:jc w:val="right"/>
              <w:rPr>
                <w:sz w:val="18"/>
                <w:szCs w:val="20"/>
              </w:rPr>
            </w:pPr>
            <w:r w:rsidRPr="007D5D03">
              <w:rPr>
                <w:sz w:val="18"/>
                <w:szCs w:val="20"/>
              </w:rPr>
              <w:t>21.6%</w:t>
            </w:r>
          </w:p>
        </w:tc>
        <w:tc>
          <w:tcPr>
            <w:tcW w:w="785" w:type="dxa"/>
            <w:tcBorders>
              <w:top w:val="nil"/>
              <w:left w:val="nil"/>
              <w:bottom w:val="nil"/>
              <w:right w:val="nil"/>
            </w:tcBorders>
            <w:shd w:val="clear" w:color="auto" w:fill="DEEAF6" w:themeFill="accent1" w:themeFillTint="33"/>
            <w:noWrap/>
            <w:vAlign w:val="bottom"/>
            <w:hideMark/>
          </w:tcPr>
          <w:p w14:paraId="4EDFC75C" w14:textId="77777777" w:rsidR="00085F16" w:rsidRPr="007D5D03" w:rsidRDefault="00085F16" w:rsidP="00085F16">
            <w:pPr>
              <w:spacing w:line="276" w:lineRule="auto"/>
              <w:jc w:val="right"/>
              <w:rPr>
                <w:sz w:val="18"/>
                <w:szCs w:val="20"/>
              </w:rPr>
            </w:pPr>
            <w:r w:rsidRPr="007D5D03">
              <w:rPr>
                <w:sz w:val="18"/>
                <w:szCs w:val="20"/>
              </w:rPr>
              <w:t>14.5%</w:t>
            </w:r>
          </w:p>
        </w:tc>
        <w:tc>
          <w:tcPr>
            <w:tcW w:w="785" w:type="dxa"/>
            <w:tcBorders>
              <w:top w:val="nil"/>
              <w:left w:val="nil"/>
              <w:bottom w:val="nil"/>
              <w:right w:val="nil"/>
            </w:tcBorders>
            <w:shd w:val="clear" w:color="auto" w:fill="DEEAF6" w:themeFill="accent1" w:themeFillTint="33"/>
            <w:noWrap/>
            <w:vAlign w:val="bottom"/>
            <w:hideMark/>
          </w:tcPr>
          <w:p w14:paraId="79EFFBF8" w14:textId="77777777" w:rsidR="00085F16" w:rsidRPr="007D5D03" w:rsidRDefault="00085F16" w:rsidP="00085F16">
            <w:pPr>
              <w:spacing w:line="276" w:lineRule="auto"/>
              <w:jc w:val="right"/>
              <w:rPr>
                <w:sz w:val="18"/>
                <w:szCs w:val="20"/>
              </w:rPr>
            </w:pPr>
            <w:r w:rsidRPr="007D5D03">
              <w:rPr>
                <w:sz w:val="18"/>
                <w:szCs w:val="20"/>
              </w:rPr>
              <w:t>-13.5%</w:t>
            </w:r>
          </w:p>
        </w:tc>
        <w:tc>
          <w:tcPr>
            <w:tcW w:w="785" w:type="dxa"/>
            <w:tcBorders>
              <w:top w:val="nil"/>
              <w:left w:val="nil"/>
              <w:bottom w:val="nil"/>
              <w:right w:val="single" w:sz="8" w:space="0" w:color="auto"/>
            </w:tcBorders>
            <w:shd w:val="clear" w:color="auto" w:fill="DEEAF6" w:themeFill="accent1" w:themeFillTint="33"/>
            <w:noWrap/>
            <w:vAlign w:val="bottom"/>
            <w:hideMark/>
          </w:tcPr>
          <w:p w14:paraId="06A25A59" w14:textId="77777777" w:rsidR="00085F16" w:rsidRPr="007D5D03" w:rsidRDefault="00085F16" w:rsidP="00085F16">
            <w:pPr>
              <w:spacing w:line="276" w:lineRule="auto"/>
              <w:jc w:val="right"/>
              <w:rPr>
                <w:sz w:val="18"/>
                <w:szCs w:val="20"/>
              </w:rPr>
            </w:pPr>
            <w:r w:rsidRPr="007D5D03">
              <w:rPr>
                <w:sz w:val="18"/>
                <w:szCs w:val="20"/>
              </w:rPr>
              <w:t>5.7%</w:t>
            </w:r>
          </w:p>
        </w:tc>
      </w:tr>
      <w:tr w:rsidR="00085F16" w:rsidRPr="007D5D03" w14:paraId="1A0F233E" w14:textId="77777777" w:rsidTr="00085F16">
        <w:trPr>
          <w:trHeight w:hRule="exact" w:val="283"/>
        </w:trPr>
        <w:tc>
          <w:tcPr>
            <w:tcW w:w="2660" w:type="dxa"/>
            <w:tcBorders>
              <w:top w:val="nil"/>
              <w:left w:val="single" w:sz="8" w:space="0" w:color="auto"/>
              <w:right w:val="nil"/>
            </w:tcBorders>
            <w:shd w:val="clear" w:color="auto" w:fill="DEEAF6" w:themeFill="accent1" w:themeFillTint="33"/>
            <w:noWrap/>
            <w:vAlign w:val="bottom"/>
            <w:hideMark/>
          </w:tcPr>
          <w:p w14:paraId="0ACA6FE4" w14:textId="77777777" w:rsidR="00085F16" w:rsidRPr="007D5D03" w:rsidRDefault="00085F16" w:rsidP="00085F16">
            <w:pPr>
              <w:spacing w:line="276" w:lineRule="auto"/>
              <w:rPr>
                <w:b/>
                <w:bCs/>
                <w:sz w:val="18"/>
                <w:szCs w:val="20"/>
              </w:rPr>
            </w:pPr>
            <w:r w:rsidRPr="007D5D03">
              <w:rPr>
                <w:b/>
                <w:bCs/>
                <w:sz w:val="18"/>
                <w:szCs w:val="20"/>
              </w:rPr>
              <w:t>Kredit</w:t>
            </w:r>
            <w:r>
              <w:rPr>
                <w:b/>
                <w:bCs/>
                <w:sz w:val="18"/>
                <w:szCs w:val="20"/>
              </w:rPr>
              <w:t>ë</w:t>
            </w:r>
            <w:r w:rsidRPr="007D5D03">
              <w:rPr>
                <w:b/>
                <w:bCs/>
                <w:sz w:val="18"/>
                <w:szCs w:val="20"/>
              </w:rPr>
              <w:t xml:space="preserve"> e reja investuese</w:t>
            </w:r>
          </w:p>
        </w:tc>
        <w:tc>
          <w:tcPr>
            <w:tcW w:w="1810" w:type="dxa"/>
            <w:tcBorders>
              <w:top w:val="nil"/>
              <w:left w:val="nil"/>
              <w:right w:val="nil"/>
            </w:tcBorders>
            <w:shd w:val="clear" w:color="auto" w:fill="DEEAF6" w:themeFill="accent1" w:themeFillTint="33"/>
            <w:noWrap/>
            <w:vAlign w:val="bottom"/>
            <w:hideMark/>
          </w:tcPr>
          <w:p w14:paraId="133326D1" w14:textId="77777777" w:rsidR="00085F16" w:rsidRPr="007D5D03" w:rsidRDefault="00085F16" w:rsidP="00085F16">
            <w:pPr>
              <w:spacing w:line="276" w:lineRule="auto"/>
              <w:rPr>
                <w:i/>
                <w:iCs/>
                <w:sz w:val="18"/>
                <w:szCs w:val="20"/>
              </w:rPr>
            </w:pPr>
            <w:r w:rsidRPr="007D5D03">
              <w:rPr>
                <w:i/>
                <w:iCs/>
                <w:sz w:val="18"/>
                <w:szCs w:val="20"/>
              </w:rPr>
              <w:t xml:space="preserve">Private Investment </w:t>
            </w:r>
          </w:p>
        </w:tc>
        <w:tc>
          <w:tcPr>
            <w:tcW w:w="1210" w:type="dxa"/>
            <w:tcBorders>
              <w:top w:val="nil"/>
              <w:left w:val="nil"/>
              <w:right w:val="nil"/>
            </w:tcBorders>
            <w:shd w:val="clear" w:color="auto" w:fill="DEEAF6" w:themeFill="accent1" w:themeFillTint="33"/>
            <w:noWrap/>
            <w:vAlign w:val="bottom"/>
            <w:hideMark/>
          </w:tcPr>
          <w:p w14:paraId="2C64E11D" w14:textId="77777777" w:rsidR="00085F16" w:rsidRPr="007D5D03" w:rsidRDefault="00085F16" w:rsidP="00085F16">
            <w:pPr>
              <w:spacing w:line="276" w:lineRule="auto"/>
              <w:rPr>
                <w:i/>
                <w:iCs/>
                <w:sz w:val="18"/>
                <w:szCs w:val="20"/>
              </w:rPr>
            </w:pPr>
            <w:r>
              <w:rPr>
                <w:i/>
                <w:iCs/>
                <w:sz w:val="18"/>
                <w:szCs w:val="20"/>
              </w:rPr>
              <w:t>Prijës</w:t>
            </w:r>
          </w:p>
        </w:tc>
        <w:tc>
          <w:tcPr>
            <w:tcW w:w="939" w:type="dxa"/>
            <w:tcBorders>
              <w:top w:val="nil"/>
              <w:left w:val="nil"/>
              <w:right w:val="nil"/>
            </w:tcBorders>
            <w:shd w:val="clear" w:color="auto" w:fill="DEEAF6" w:themeFill="accent1" w:themeFillTint="33"/>
            <w:noWrap/>
            <w:vAlign w:val="bottom"/>
            <w:hideMark/>
          </w:tcPr>
          <w:p w14:paraId="351CF06D" w14:textId="77777777" w:rsidR="00085F16" w:rsidRPr="007D5D03" w:rsidRDefault="00085F16" w:rsidP="00085F16">
            <w:pPr>
              <w:spacing w:line="276" w:lineRule="auto"/>
              <w:jc w:val="right"/>
              <w:rPr>
                <w:sz w:val="18"/>
                <w:szCs w:val="20"/>
              </w:rPr>
            </w:pPr>
            <w:r w:rsidRPr="007D5D03">
              <w:rPr>
                <w:sz w:val="18"/>
                <w:szCs w:val="20"/>
              </w:rPr>
              <w:t>20.9%</w:t>
            </w:r>
          </w:p>
        </w:tc>
        <w:tc>
          <w:tcPr>
            <w:tcW w:w="785" w:type="dxa"/>
            <w:tcBorders>
              <w:top w:val="nil"/>
              <w:left w:val="nil"/>
              <w:right w:val="nil"/>
            </w:tcBorders>
            <w:shd w:val="clear" w:color="auto" w:fill="DEEAF6" w:themeFill="accent1" w:themeFillTint="33"/>
            <w:noWrap/>
            <w:vAlign w:val="bottom"/>
            <w:hideMark/>
          </w:tcPr>
          <w:p w14:paraId="324045BD" w14:textId="77777777" w:rsidR="00085F16" w:rsidRPr="007D5D03" w:rsidRDefault="00085F16" w:rsidP="00085F16">
            <w:pPr>
              <w:spacing w:line="276" w:lineRule="auto"/>
              <w:jc w:val="right"/>
              <w:rPr>
                <w:sz w:val="18"/>
                <w:szCs w:val="20"/>
              </w:rPr>
            </w:pPr>
            <w:r w:rsidRPr="007D5D03">
              <w:rPr>
                <w:sz w:val="18"/>
                <w:szCs w:val="20"/>
              </w:rPr>
              <w:t>-6.4%</w:t>
            </w:r>
          </w:p>
        </w:tc>
        <w:tc>
          <w:tcPr>
            <w:tcW w:w="785" w:type="dxa"/>
            <w:tcBorders>
              <w:top w:val="nil"/>
              <w:left w:val="nil"/>
              <w:right w:val="nil"/>
            </w:tcBorders>
            <w:shd w:val="clear" w:color="auto" w:fill="DEEAF6" w:themeFill="accent1" w:themeFillTint="33"/>
            <w:noWrap/>
            <w:vAlign w:val="bottom"/>
            <w:hideMark/>
          </w:tcPr>
          <w:p w14:paraId="66C029B7" w14:textId="77777777" w:rsidR="00085F16" w:rsidRPr="007D5D03" w:rsidRDefault="00085F16" w:rsidP="00085F16">
            <w:pPr>
              <w:spacing w:line="276" w:lineRule="auto"/>
              <w:jc w:val="right"/>
              <w:rPr>
                <w:sz w:val="18"/>
                <w:szCs w:val="20"/>
              </w:rPr>
            </w:pPr>
            <w:r w:rsidRPr="007D5D03">
              <w:rPr>
                <w:sz w:val="18"/>
                <w:szCs w:val="20"/>
              </w:rPr>
              <w:t>1.9%</w:t>
            </w:r>
          </w:p>
        </w:tc>
        <w:tc>
          <w:tcPr>
            <w:tcW w:w="785" w:type="dxa"/>
            <w:tcBorders>
              <w:top w:val="nil"/>
              <w:left w:val="nil"/>
              <w:right w:val="single" w:sz="8" w:space="0" w:color="auto"/>
            </w:tcBorders>
            <w:shd w:val="clear" w:color="auto" w:fill="DEEAF6" w:themeFill="accent1" w:themeFillTint="33"/>
            <w:noWrap/>
            <w:vAlign w:val="bottom"/>
            <w:hideMark/>
          </w:tcPr>
          <w:p w14:paraId="750D4B50" w14:textId="77777777" w:rsidR="00085F16" w:rsidRPr="007D5D03" w:rsidRDefault="00085F16" w:rsidP="00085F16">
            <w:pPr>
              <w:spacing w:line="276" w:lineRule="auto"/>
              <w:jc w:val="right"/>
              <w:rPr>
                <w:sz w:val="18"/>
                <w:szCs w:val="20"/>
              </w:rPr>
            </w:pPr>
            <w:r w:rsidRPr="007D5D03">
              <w:rPr>
                <w:sz w:val="18"/>
                <w:szCs w:val="20"/>
              </w:rPr>
              <w:t>17.4%</w:t>
            </w:r>
          </w:p>
        </w:tc>
      </w:tr>
      <w:tr w:rsidR="00085F16" w:rsidRPr="007D5D03" w14:paraId="412972A9" w14:textId="77777777" w:rsidTr="00085F16">
        <w:trPr>
          <w:trHeight w:hRule="exact" w:val="283"/>
        </w:trPr>
        <w:tc>
          <w:tcPr>
            <w:tcW w:w="2660" w:type="dxa"/>
            <w:tcBorders>
              <w:top w:val="nil"/>
              <w:left w:val="single" w:sz="8" w:space="0" w:color="auto"/>
              <w:bottom w:val="single" w:sz="4" w:space="0" w:color="auto"/>
              <w:right w:val="nil"/>
            </w:tcBorders>
            <w:shd w:val="clear" w:color="auto" w:fill="DEEAF6" w:themeFill="accent1" w:themeFillTint="33"/>
            <w:noWrap/>
            <w:vAlign w:val="bottom"/>
            <w:hideMark/>
          </w:tcPr>
          <w:p w14:paraId="51C7B9A5" w14:textId="77777777" w:rsidR="00085F16" w:rsidRPr="007D5D03" w:rsidRDefault="00085F16" w:rsidP="00085F16">
            <w:pPr>
              <w:spacing w:line="276" w:lineRule="auto"/>
              <w:rPr>
                <w:b/>
                <w:bCs/>
                <w:sz w:val="18"/>
                <w:szCs w:val="20"/>
              </w:rPr>
            </w:pPr>
            <w:r w:rsidRPr="007D5D03">
              <w:rPr>
                <w:b/>
                <w:bCs/>
                <w:sz w:val="18"/>
                <w:szCs w:val="20"/>
              </w:rPr>
              <w:t>Investimet e Huaja Direkte</w:t>
            </w:r>
          </w:p>
        </w:tc>
        <w:tc>
          <w:tcPr>
            <w:tcW w:w="1810" w:type="dxa"/>
            <w:tcBorders>
              <w:top w:val="nil"/>
              <w:left w:val="nil"/>
              <w:bottom w:val="single" w:sz="4" w:space="0" w:color="auto"/>
              <w:right w:val="nil"/>
            </w:tcBorders>
            <w:shd w:val="clear" w:color="auto" w:fill="DEEAF6" w:themeFill="accent1" w:themeFillTint="33"/>
            <w:noWrap/>
            <w:vAlign w:val="bottom"/>
            <w:hideMark/>
          </w:tcPr>
          <w:p w14:paraId="7629CAA7" w14:textId="77777777" w:rsidR="00085F16" w:rsidRPr="007D5D03" w:rsidRDefault="00085F16" w:rsidP="00085F16">
            <w:pPr>
              <w:spacing w:line="276" w:lineRule="auto"/>
              <w:rPr>
                <w:i/>
                <w:iCs/>
                <w:sz w:val="18"/>
                <w:szCs w:val="20"/>
              </w:rPr>
            </w:pPr>
            <w:r w:rsidRPr="007D5D03">
              <w:rPr>
                <w:i/>
                <w:iCs/>
                <w:sz w:val="18"/>
                <w:szCs w:val="20"/>
              </w:rPr>
              <w:t>Private Investment</w:t>
            </w:r>
          </w:p>
        </w:tc>
        <w:tc>
          <w:tcPr>
            <w:tcW w:w="1210" w:type="dxa"/>
            <w:tcBorders>
              <w:top w:val="nil"/>
              <w:left w:val="nil"/>
              <w:bottom w:val="single" w:sz="4" w:space="0" w:color="auto"/>
              <w:right w:val="nil"/>
            </w:tcBorders>
            <w:shd w:val="clear" w:color="auto" w:fill="DEEAF6" w:themeFill="accent1" w:themeFillTint="33"/>
            <w:noWrap/>
            <w:vAlign w:val="bottom"/>
            <w:hideMark/>
          </w:tcPr>
          <w:p w14:paraId="3C504F18" w14:textId="77777777" w:rsidR="00085F16" w:rsidRPr="007D5D03" w:rsidRDefault="00085F16" w:rsidP="00085F16">
            <w:pPr>
              <w:spacing w:line="276" w:lineRule="auto"/>
              <w:rPr>
                <w:i/>
                <w:iCs/>
                <w:sz w:val="18"/>
                <w:szCs w:val="20"/>
              </w:rPr>
            </w:pPr>
            <w:r>
              <w:rPr>
                <w:i/>
                <w:iCs/>
                <w:sz w:val="18"/>
                <w:szCs w:val="20"/>
              </w:rPr>
              <w:t>Përkues</w:t>
            </w:r>
          </w:p>
        </w:tc>
        <w:tc>
          <w:tcPr>
            <w:tcW w:w="939" w:type="dxa"/>
            <w:tcBorders>
              <w:top w:val="nil"/>
              <w:left w:val="nil"/>
              <w:bottom w:val="single" w:sz="4" w:space="0" w:color="auto"/>
              <w:right w:val="nil"/>
            </w:tcBorders>
            <w:shd w:val="clear" w:color="auto" w:fill="DEEAF6" w:themeFill="accent1" w:themeFillTint="33"/>
            <w:noWrap/>
            <w:vAlign w:val="bottom"/>
            <w:hideMark/>
          </w:tcPr>
          <w:p w14:paraId="6FF7313E" w14:textId="77777777" w:rsidR="00085F16" w:rsidRPr="007D5D03" w:rsidRDefault="00085F16" w:rsidP="00085F16">
            <w:pPr>
              <w:spacing w:line="276" w:lineRule="auto"/>
              <w:jc w:val="right"/>
              <w:rPr>
                <w:sz w:val="18"/>
                <w:szCs w:val="20"/>
              </w:rPr>
            </w:pPr>
            <w:r w:rsidRPr="007D5D03">
              <w:rPr>
                <w:sz w:val="18"/>
                <w:szCs w:val="20"/>
              </w:rPr>
              <w:t>6.6%</w:t>
            </w:r>
          </w:p>
        </w:tc>
        <w:tc>
          <w:tcPr>
            <w:tcW w:w="785" w:type="dxa"/>
            <w:tcBorders>
              <w:top w:val="nil"/>
              <w:left w:val="nil"/>
              <w:bottom w:val="single" w:sz="4" w:space="0" w:color="auto"/>
              <w:right w:val="nil"/>
            </w:tcBorders>
            <w:shd w:val="clear" w:color="auto" w:fill="DEEAF6" w:themeFill="accent1" w:themeFillTint="33"/>
            <w:noWrap/>
            <w:vAlign w:val="bottom"/>
            <w:hideMark/>
          </w:tcPr>
          <w:p w14:paraId="79291C71" w14:textId="77777777" w:rsidR="00085F16" w:rsidRPr="007D5D03" w:rsidRDefault="00085F16" w:rsidP="00085F16">
            <w:pPr>
              <w:spacing w:line="276" w:lineRule="auto"/>
              <w:jc w:val="right"/>
              <w:rPr>
                <w:sz w:val="18"/>
                <w:szCs w:val="20"/>
              </w:rPr>
            </w:pPr>
            <w:r w:rsidRPr="007D5D03">
              <w:rPr>
                <w:sz w:val="18"/>
                <w:szCs w:val="20"/>
              </w:rPr>
              <w:t>132.5%</w:t>
            </w:r>
          </w:p>
        </w:tc>
        <w:tc>
          <w:tcPr>
            <w:tcW w:w="785" w:type="dxa"/>
            <w:tcBorders>
              <w:top w:val="nil"/>
              <w:left w:val="nil"/>
              <w:bottom w:val="single" w:sz="4" w:space="0" w:color="auto"/>
              <w:right w:val="nil"/>
            </w:tcBorders>
            <w:shd w:val="clear" w:color="auto" w:fill="DEEAF6" w:themeFill="accent1" w:themeFillTint="33"/>
            <w:noWrap/>
            <w:vAlign w:val="bottom"/>
            <w:hideMark/>
          </w:tcPr>
          <w:p w14:paraId="3935243F" w14:textId="77777777" w:rsidR="00085F16" w:rsidRPr="007D5D03" w:rsidRDefault="00085F16" w:rsidP="00085F16">
            <w:pPr>
              <w:spacing w:line="276" w:lineRule="auto"/>
              <w:jc w:val="right"/>
              <w:rPr>
                <w:sz w:val="18"/>
                <w:szCs w:val="20"/>
              </w:rPr>
            </w:pPr>
            <w:r w:rsidRPr="007D5D03">
              <w:rPr>
                <w:sz w:val="18"/>
                <w:szCs w:val="20"/>
              </w:rPr>
              <w:t>-34.7%</w:t>
            </w:r>
          </w:p>
        </w:tc>
        <w:tc>
          <w:tcPr>
            <w:tcW w:w="785" w:type="dxa"/>
            <w:tcBorders>
              <w:top w:val="nil"/>
              <w:left w:val="nil"/>
              <w:bottom w:val="single" w:sz="4" w:space="0" w:color="auto"/>
              <w:right w:val="single" w:sz="8" w:space="0" w:color="auto"/>
            </w:tcBorders>
            <w:shd w:val="clear" w:color="auto" w:fill="DEEAF6" w:themeFill="accent1" w:themeFillTint="33"/>
            <w:noWrap/>
            <w:vAlign w:val="bottom"/>
            <w:hideMark/>
          </w:tcPr>
          <w:p w14:paraId="46BC4ED7" w14:textId="77777777" w:rsidR="00085F16" w:rsidRPr="007D5D03" w:rsidRDefault="00085F16" w:rsidP="00085F16">
            <w:pPr>
              <w:spacing w:line="276" w:lineRule="auto"/>
              <w:jc w:val="right"/>
              <w:rPr>
                <w:sz w:val="18"/>
                <w:szCs w:val="20"/>
              </w:rPr>
            </w:pPr>
            <w:r w:rsidRPr="007D5D03">
              <w:rPr>
                <w:sz w:val="18"/>
                <w:szCs w:val="20"/>
              </w:rPr>
              <w:t>27.8%</w:t>
            </w:r>
          </w:p>
        </w:tc>
      </w:tr>
      <w:tr w:rsidR="00085F16" w:rsidRPr="007D5D03" w14:paraId="25774A77" w14:textId="77777777" w:rsidTr="00085F16">
        <w:trPr>
          <w:trHeight w:hRule="exact" w:val="283"/>
        </w:trPr>
        <w:tc>
          <w:tcPr>
            <w:tcW w:w="4470" w:type="dxa"/>
            <w:gridSpan w:val="2"/>
            <w:tcBorders>
              <w:top w:val="single" w:sz="4" w:space="0" w:color="auto"/>
              <w:left w:val="nil"/>
              <w:bottom w:val="nil"/>
              <w:right w:val="nil"/>
            </w:tcBorders>
            <w:shd w:val="clear" w:color="auto" w:fill="F2F2F2" w:themeFill="background1" w:themeFillShade="F2"/>
            <w:noWrap/>
            <w:vAlign w:val="bottom"/>
            <w:hideMark/>
          </w:tcPr>
          <w:p w14:paraId="6E208E17" w14:textId="77777777" w:rsidR="00085F16" w:rsidRPr="007D5D03" w:rsidRDefault="00085F16" w:rsidP="00085F16">
            <w:pPr>
              <w:spacing w:line="276" w:lineRule="auto"/>
              <w:rPr>
                <w:i/>
                <w:iCs/>
                <w:sz w:val="16"/>
                <w:szCs w:val="20"/>
              </w:rPr>
            </w:pPr>
            <w:r w:rsidRPr="007D5D03">
              <w:rPr>
                <w:i/>
                <w:iCs/>
                <w:sz w:val="16"/>
                <w:szCs w:val="20"/>
              </w:rPr>
              <w:t xml:space="preserve">Note: </w:t>
            </w:r>
            <w:r>
              <w:rPr>
                <w:i/>
                <w:iCs/>
                <w:sz w:val="16"/>
                <w:szCs w:val="20"/>
              </w:rPr>
              <w:t>Remitancat TM</w:t>
            </w:r>
            <w:r w:rsidRPr="007D5D03">
              <w:rPr>
                <w:i/>
                <w:iCs/>
                <w:sz w:val="16"/>
                <w:szCs w:val="20"/>
              </w:rPr>
              <w:t xml:space="preserve">3- </w:t>
            </w:r>
            <w:r>
              <w:rPr>
                <w:i/>
                <w:iCs/>
                <w:sz w:val="16"/>
                <w:szCs w:val="20"/>
              </w:rPr>
              <w:t>vetëm Korrik dhe Gusht</w:t>
            </w:r>
          </w:p>
        </w:tc>
        <w:tc>
          <w:tcPr>
            <w:tcW w:w="1210" w:type="dxa"/>
            <w:tcBorders>
              <w:top w:val="single" w:sz="4" w:space="0" w:color="auto"/>
              <w:left w:val="nil"/>
              <w:bottom w:val="nil"/>
              <w:right w:val="nil"/>
            </w:tcBorders>
            <w:shd w:val="clear" w:color="auto" w:fill="F2F2F2" w:themeFill="background1" w:themeFillShade="F2"/>
            <w:noWrap/>
            <w:vAlign w:val="bottom"/>
            <w:hideMark/>
          </w:tcPr>
          <w:p w14:paraId="71F7FA3E" w14:textId="77777777" w:rsidR="00085F16" w:rsidRPr="007D5D03" w:rsidRDefault="00085F16" w:rsidP="00085F16">
            <w:pPr>
              <w:spacing w:line="276" w:lineRule="auto"/>
              <w:rPr>
                <w:sz w:val="18"/>
                <w:szCs w:val="20"/>
              </w:rPr>
            </w:pPr>
            <w:r w:rsidRPr="007D5D03">
              <w:rPr>
                <w:sz w:val="18"/>
                <w:szCs w:val="20"/>
              </w:rPr>
              <w:t> </w:t>
            </w:r>
          </w:p>
        </w:tc>
        <w:tc>
          <w:tcPr>
            <w:tcW w:w="939" w:type="dxa"/>
            <w:tcBorders>
              <w:top w:val="single" w:sz="4" w:space="0" w:color="auto"/>
              <w:left w:val="nil"/>
              <w:bottom w:val="nil"/>
              <w:right w:val="nil"/>
            </w:tcBorders>
            <w:shd w:val="clear" w:color="auto" w:fill="F2F2F2" w:themeFill="background1" w:themeFillShade="F2"/>
            <w:noWrap/>
            <w:vAlign w:val="bottom"/>
            <w:hideMark/>
          </w:tcPr>
          <w:p w14:paraId="51482052" w14:textId="77777777" w:rsidR="00085F16" w:rsidRPr="007D5D03" w:rsidRDefault="00085F16" w:rsidP="00085F16">
            <w:pPr>
              <w:spacing w:line="276" w:lineRule="auto"/>
              <w:rPr>
                <w:sz w:val="18"/>
                <w:szCs w:val="20"/>
              </w:rPr>
            </w:pPr>
            <w:r w:rsidRPr="007D5D03">
              <w:rPr>
                <w:sz w:val="18"/>
                <w:szCs w:val="20"/>
              </w:rPr>
              <w:t> </w:t>
            </w:r>
          </w:p>
        </w:tc>
        <w:tc>
          <w:tcPr>
            <w:tcW w:w="785" w:type="dxa"/>
            <w:tcBorders>
              <w:top w:val="single" w:sz="4" w:space="0" w:color="auto"/>
              <w:left w:val="nil"/>
              <w:bottom w:val="nil"/>
              <w:right w:val="nil"/>
            </w:tcBorders>
            <w:shd w:val="clear" w:color="auto" w:fill="F2F2F2" w:themeFill="background1" w:themeFillShade="F2"/>
            <w:noWrap/>
            <w:vAlign w:val="bottom"/>
            <w:hideMark/>
          </w:tcPr>
          <w:p w14:paraId="570CD71C" w14:textId="77777777" w:rsidR="00085F16" w:rsidRPr="007D5D03" w:rsidRDefault="00085F16" w:rsidP="00085F16">
            <w:pPr>
              <w:spacing w:line="276" w:lineRule="auto"/>
              <w:rPr>
                <w:sz w:val="18"/>
                <w:szCs w:val="20"/>
              </w:rPr>
            </w:pPr>
            <w:r w:rsidRPr="007D5D03">
              <w:rPr>
                <w:sz w:val="18"/>
                <w:szCs w:val="20"/>
              </w:rPr>
              <w:t> </w:t>
            </w:r>
          </w:p>
        </w:tc>
        <w:tc>
          <w:tcPr>
            <w:tcW w:w="785" w:type="dxa"/>
            <w:tcBorders>
              <w:top w:val="single" w:sz="4" w:space="0" w:color="auto"/>
              <w:left w:val="nil"/>
              <w:bottom w:val="nil"/>
              <w:right w:val="nil"/>
            </w:tcBorders>
            <w:shd w:val="clear" w:color="auto" w:fill="F2F2F2" w:themeFill="background1" w:themeFillShade="F2"/>
            <w:noWrap/>
            <w:vAlign w:val="bottom"/>
            <w:hideMark/>
          </w:tcPr>
          <w:p w14:paraId="22A5278A" w14:textId="77777777" w:rsidR="00085F16" w:rsidRPr="007D5D03" w:rsidRDefault="00085F16" w:rsidP="00085F16">
            <w:pPr>
              <w:spacing w:line="276" w:lineRule="auto"/>
              <w:rPr>
                <w:sz w:val="18"/>
                <w:szCs w:val="20"/>
              </w:rPr>
            </w:pPr>
            <w:r w:rsidRPr="007D5D03">
              <w:rPr>
                <w:sz w:val="18"/>
                <w:szCs w:val="20"/>
              </w:rPr>
              <w:t> </w:t>
            </w:r>
          </w:p>
        </w:tc>
        <w:tc>
          <w:tcPr>
            <w:tcW w:w="785" w:type="dxa"/>
            <w:tcBorders>
              <w:top w:val="single" w:sz="4" w:space="0" w:color="auto"/>
              <w:left w:val="nil"/>
              <w:bottom w:val="nil"/>
              <w:right w:val="nil"/>
            </w:tcBorders>
            <w:shd w:val="clear" w:color="auto" w:fill="F2F2F2" w:themeFill="background1" w:themeFillShade="F2"/>
            <w:noWrap/>
            <w:vAlign w:val="bottom"/>
            <w:hideMark/>
          </w:tcPr>
          <w:p w14:paraId="34EA8EDB" w14:textId="77777777" w:rsidR="00085F16" w:rsidRPr="007D5D03" w:rsidRDefault="00085F16" w:rsidP="00085F16">
            <w:pPr>
              <w:spacing w:line="276" w:lineRule="auto"/>
              <w:rPr>
                <w:sz w:val="18"/>
                <w:szCs w:val="20"/>
              </w:rPr>
            </w:pPr>
            <w:r w:rsidRPr="007D5D03">
              <w:rPr>
                <w:sz w:val="18"/>
                <w:szCs w:val="20"/>
              </w:rPr>
              <w:t> </w:t>
            </w:r>
          </w:p>
        </w:tc>
      </w:tr>
      <w:tr w:rsidR="00085F16" w:rsidRPr="007D5D03" w14:paraId="271E42FD" w14:textId="77777777" w:rsidTr="00085F16">
        <w:trPr>
          <w:trHeight w:hRule="exact" w:val="189"/>
        </w:trPr>
        <w:tc>
          <w:tcPr>
            <w:tcW w:w="4470" w:type="dxa"/>
            <w:gridSpan w:val="2"/>
            <w:tcBorders>
              <w:top w:val="nil"/>
              <w:left w:val="nil"/>
              <w:bottom w:val="nil"/>
              <w:right w:val="nil"/>
            </w:tcBorders>
            <w:shd w:val="clear" w:color="auto" w:fill="F2F2F2" w:themeFill="background1" w:themeFillShade="F2"/>
            <w:noWrap/>
            <w:vAlign w:val="bottom"/>
            <w:hideMark/>
          </w:tcPr>
          <w:p w14:paraId="6C708813" w14:textId="77777777" w:rsidR="00085F16" w:rsidRPr="007D5D03" w:rsidRDefault="00085F16" w:rsidP="00085F16">
            <w:pPr>
              <w:spacing w:line="276" w:lineRule="auto"/>
              <w:rPr>
                <w:i/>
                <w:iCs/>
                <w:sz w:val="16"/>
                <w:szCs w:val="20"/>
              </w:rPr>
            </w:pPr>
            <w:r>
              <w:rPr>
                <w:i/>
                <w:iCs/>
                <w:sz w:val="16"/>
                <w:szCs w:val="20"/>
              </w:rPr>
              <w:t xml:space="preserve">Export dhe Import i Mallrve dhe Shërbimeve </w:t>
            </w:r>
            <w:r w:rsidRPr="007D5D03">
              <w:rPr>
                <w:i/>
                <w:iCs/>
                <w:sz w:val="16"/>
                <w:szCs w:val="20"/>
              </w:rPr>
              <w:t xml:space="preserve"> </w:t>
            </w:r>
            <w:r>
              <w:rPr>
                <w:i/>
                <w:iCs/>
                <w:sz w:val="16"/>
                <w:szCs w:val="20"/>
              </w:rPr>
              <w:t>Korrik dhe Gusht</w:t>
            </w:r>
          </w:p>
        </w:tc>
        <w:tc>
          <w:tcPr>
            <w:tcW w:w="1210" w:type="dxa"/>
            <w:tcBorders>
              <w:top w:val="nil"/>
              <w:left w:val="nil"/>
              <w:bottom w:val="nil"/>
              <w:right w:val="nil"/>
            </w:tcBorders>
            <w:shd w:val="clear" w:color="auto" w:fill="F2F2F2" w:themeFill="background1" w:themeFillShade="F2"/>
            <w:noWrap/>
            <w:vAlign w:val="bottom"/>
            <w:hideMark/>
          </w:tcPr>
          <w:p w14:paraId="342140BB" w14:textId="77777777" w:rsidR="00085F16" w:rsidRPr="007D5D03" w:rsidRDefault="00085F16" w:rsidP="00085F16">
            <w:pPr>
              <w:spacing w:line="276" w:lineRule="auto"/>
              <w:rPr>
                <w:sz w:val="18"/>
                <w:szCs w:val="20"/>
              </w:rPr>
            </w:pPr>
            <w:r w:rsidRPr="007D5D03">
              <w:rPr>
                <w:sz w:val="18"/>
                <w:szCs w:val="20"/>
              </w:rPr>
              <w:t> </w:t>
            </w:r>
          </w:p>
        </w:tc>
        <w:tc>
          <w:tcPr>
            <w:tcW w:w="939" w:type="dxa"/>
            <w:tcBorders>
              <w:top w:val="nil"/>
              <w:left w:val="nil"/>
              <w:bottom w:val="nil"/>
              <w:right w:val="nil"/>
            </w:tcBorders>
            <w:shd w:val="clear" w:color="auto" w:fill="F2F2F2" w:themeFill="background1" w:themeFillShade="F2"/>
            <w:noWrap/>
            <w:vAlign w:val="bottom"/>
            <w:hideMark/>
          </w:tcPr>
          <w:p w14:paraId="7ABD1B46" w14:textId="77777777" w:rsidR="00085F16" w:rsidRPr="007D5D03" w:rsidRDefault="00085F16" w:rsidP="00085F16">
            <w:pPr>
              <w:spacing w:line="276" w:lineRule="auto"/>
              <w:rPr>
                <w:sz w:val="18"/>
                <w:szCs w:val="20"/>
              </w:rPr>
            </w:pPr>
            <w:r w:rsidRPr="007D5D03">
              <w:rPr>
                <w:sz w:val="18"/>
                <w:szCs w:val="20"/>
              </w:rPr>
              <w:t> </w:t>
            </w:r>
          </w:p>
        </w:tc>
        <w:tc>
          <w:tcPr>
            <w:tcW w:w="785" w:type="dxa"/>
            <w:tcBorders>
              <w:top w:val="nil"/>
              <w:left w:val="nil"/>
              <w:bottom w:val="nil"/>
              <w:right w:val="nil"/>
            </w:tcBorders>
            <w:shd w:val="clear" w:color="auto" w:fill="F2F2F2" w:themeFill="background1" w:themeFillShade="F2"/>
            <w:noWrap/>
            <w:vAlign w:val="bottom"/>
            <w:hideMark/>
          </w:tcPr>
          <w:p w14:paraId="43CC485C" w14:textId="77777777" w:rsidR="00085F16" w:rsidRPr="007D5D03" w:rsidRDefault="00085F16" w:rsidP="00085F16">
            <w:pPr>
              <w:spacing w:line="276" w:lineRule="auto"/>
              <w:rPr>
                <w:sz w:val="18"/>
                <w:szCs w:val="20"/>
              </w:rPr>
            </w:pPr>
            <w:r w:rsidRPr="007D5D03">
              <w:rPr>
                <w:sz w:val="18"/>
                <w:szCs w:val="20"/>
              </w:rPr>
              <w:t> </w:t>
            </w:r>
          </w:p>
        </w:tc>
        <w:tc>
          <w:tcPr>
            <w:tcW w:w="785" w:type="dxa"/>
            <w:tcBorders>
              <w:top w:val="nil"/>
              <w:left w:val="nil"/>
              <w:bottom w:val="nil"/>
              <w:right w:val="nil"/>
            </w:tcBorders>
            <w:shd w:val="clear" w:color="auto" w:fill="F2F2F2" w:themeFill="background1" w:themeFillShade="F2"/>
            <w:noWrap/>
            <w:vAlign w:val="bottom"/>
            <w:hideMark/>
          </w:tcPr>
          <w:p w14:paraId="0F00DC0C" w14:textId="77777777" w:rsidR="00085F16" w:rsidRPr="007D5D03" w:rsidRDefault="00085F16" w:rsidP="00085F16">
            <w:pPr>
              <w:spacing w:line="276" w:lineRule="auto"/>
              <w:rPr>
                <w:sz w:val="18"/>
                <w:szCs w:val="20"/>
              </w:rPr>
            </w:pPr>
            <w:r w:rsidRPr="007D5D03">
              <w:rPr>
                <w:sz w:val="18"/>
                <w:szCs w:val="20"/>
              </w:rPr>
              <w:t> </w:t>
            </w:r>
          </w:p>
        </w:tc>
        <w:tc>
          <w:tcPr>
            <w:tcW w:w="785" w:type="dxa"/>
            <w:tcBorders>
              <w:top w:val="nil"/>
              <w:left w:val="nil"/>
              <w:bottom w:val="nil"/>
              <w:right w:val="nil"/>
            </w:tcBorders>
            <w:shd w:val="clear" w:color="auto" w:fill="F2F2F2" w:themeFill="background1" w:themeFillShade="F2"/>
            <w:noWrap/>
            <w:vAlign w:val="bottom"/>
            <w:hideMark/>
          </w:tcPr>
          <w:p w14:paraId="2F067E0B" w14:textId="77777777" w:rsidR="00085F16" w:rsidRPr="007D5D03" w:rsidRDefault="00085F16" w:rsidP="00085F16">
            <w:pPr>
              <w:spacing w:line="276" w:lineRule="auto"/>
              <w:rPr>
                <w:sz w:val="18"/>
                <w:szCs w:val="20"/>
              </w:rPr>
            </w:pPr>
            <w:r w:rsidRPr="007D5D03">
              <w:rPr>
                <w:sz w:val="18"/>
                <w:szCs w:val="20"/>
              </w:rPr>
              <w:t> </w:t>
            </w:r>
          </w:p>
        </w:tc>
      </w:tr>
    </w:tbl>
    <w:p w14:paraId="4EFCB954" w14:textId="77777777" w:rsidR="00085F16" w:rsidRPr="00B922C3" w:rsidRDefault="00085F16" w:rsidP="00085F16">
      <w:pPr>
        <w:spacing w:before="240" w:line="276" w:lineRule="auto"/>
        <w:jc w:val="both"/>
        <w:rPr>
          <w:rFonts w:ascii="Times New Roman" w:hAnsi="Times New Roman" w:cs="Times New Roman"/>
          <w:sz w:val="24"/>
          <w:szCs w:val="24"/>
        </w:rPr>
      </w:pPr>
      <w:r w:rsidRPr="00B922C3">
        <w:rPr>
          <w:rFonts w:ascii="Times New Roman" w:hAnsi="Times New Roman" w:cs="Times New Roman"/>
          <w:b/>
          <w:sz w:val="24"/>
          <w:szCs w:val="24"/>
        </w:rPr>
        <w:t>BPV sipas qasjes së prodhimit</w:t>
      </w:r>
      <w:r w:rsidRPr="00B922C3">
        <w:rPr>
          <w:rFonts w:ascii="Times New Roman" w:hAnsi="Times New Roman" w:cs="Times New Roman"/>
          <w:sz w:val="24"/>
          <w:szCs w:val="24"/>
        </w:rPr>
        <w:t xml:space="preserve"> tregon se aktivitetet ekonomike që kanë kontribuar më të lartë në rritje gjatë gjysmës së parë të vitit 2019 ishin ndërtimi (0.8 p.p); industria përpunuese (0.8 p.p); tregtia me shumicë dhe pakicë (0.7 p.p) dhe aktivitetet financiare (0.6 p.p). Ndërsa, aktivitetet e "administratës publike dhe mbrojtjes" dhe "furnizimit me energji elektrike" kishin një kontribut negativ në normën e rritjes reale. Bujqësia, pylltaria dhe peshkimi, pasi regjistruan një rënie të konsiderueshme në vitin e kaluar (2018),  kishin një rënie më të moderuar në dy tremujorët e parë të 2019-ës.</w:t>
      </w:r>
    </w:p>
    <w:p w14:paraId="505EA80D" w14:textId="77777777" w:rsidR="00085F16" w:rsidRPr="00B922C3" w:rsidRDefault="00085F16" w:rsidP="00085F16">
      <w:pPr>
        <w:spacing w:before="240" w:after="120" w:line="276" w:lineRule="auto"/>
        <w:jc w:val="both"/>
        <w:rPr>
          <w:rFonts w:ascii="Times New Roman" w:hAnsi="Times New Roman" w:cs="Times New Roman"/>
          <w:sz w:val="24"/>
          <w:szCs w:val="24"/>
        </w:rPr>
      </w:pPr>
      <w:r w:rsidRPr="00B922C3">
        <w:rPr>
          <w:rFonts w:ascii="Times New Roman" w:hAnsi="Times New Roman" w:cs="Times New Roman"/>
          <w:b/>
          <w:sz w:val="24"/>
          <w:szCs w:val="24"/>
        </w:rPr>
        <w:t>Norma e inflacionit</w:t>
      </w:r>
      <w:r w:rsidRPr="00B922C3">
        <w:rPr>
          <w:rFonts w:ascii="Times New Roman" w:hAnsi="Times New Roman" w:cs="Times New Roman"/>
          <w:sz w:val="24"/>
          <w:szCs w:val="24"/>
        </w:rPr>
        <w:t xml:space="preserve"> e matur me ndryshimet vjetore në indeksin e çmimeve të konsumit (IÇK), gjatë periudhës janar-shtator ka shënuar rritje mesatare vjetore prej 3.0%, në krahasim me periudhën e njëjtë të vitit të kaluar. Megjithatë, dinamika mujore tregon se tendenca e e IÇK-së gjatë 2019-ës është rënëse, duke zbritur në nivelin 2.4% në muajin shtator nga niveli 3.1% në muajin janar.  Niveli i çmimeve të konsumit deri në shtator të vitit 2019 i atribuohet kryesisht rritjes së çmimeve të kategorisë së “Ushqimit dhe Pijeve Jo-alkoolike”, e cila ka shënuar rritje vjetore prej mesatarisht 6.1% (janar-shtator) apo një kontribut prej 2.47 pikë përqindje. Pas kategorisë së “Ushqime dhe Pije Jo-Alkoolike”, kontribut tjetër të konsiderueshëm në inflacionin total ka dhënë kategoria e ‘Pije Jo-Alkolike dhe Duhan” me 0.16 pikë përqindje. Ndërsa, kategoria e “Transportit” ka shënuar një kontribut pozitiv me 0.20 pikë përqindje, e cila qëndron më poshtë se niveli i shënuar gjatë vitit 2018, duke qenë në linjë me zhvillimet e çmimit të naftës në tregjet ndërkombëtare, i cili gjatë vitit 2019 ka qenë më i ulët se sa në vitin 2018. </w:t>
      </w:r>
    </w:p>
    <w:p w14:paraId="5A61E113" w14:textId="77777777" w:rsidR="00085F16" w:rsidRPr="00B922C3" w:rsidRDefault="00085F16" w:rsidP="00085F16">
      <w:pPr>
        <w:spacing w:after="120" w:line="276" w:lineRule="auto"/>
        <w:jc w:val="both"/>
        <w:rPr>
          <w:rFonts w:ascii="Times New Roman" w:hAnsi="Times New Roman" w:cs="Times New Roman"/>
          <w:sz w:val="24"/>
          <w:szCs w:val="24"/>
        </w:rPr>
      </w:pPr>
      <w:r w:rsidRPr="00B922C3">
        <w:rPr>
          <w:rFonts w:ascii="Times New Roman" w:hAnsi="Times New Roman" w:cs="Times New Roman"/>
          <w:sz w:val="24"/>
          <w:szCs w:val="24"/>
        </w:rPr>
        <w:t>Inflacioni bazë</w:t>
      </w:r>
      <w:r w:rsidRPr="00B922C3">
        <w:rPr>
          <w:rStyle w:val="FootnoteReference"/>
          <w:rFonts w:ascii="Times New Roman" w:hAnsi="Times New Roman" w:cs="Times New Roman"/>
          <w:sz w:val="24"/>
          <w:szCs w:val="24"/>
        </w:rPr>
        <w:footnoteReference w:id="4"/>
      </w:r>
      <w:r w:rsidRPr="00B922C3">
        <w:rPr>
          <w:rFonts w:ascii="Times New Roman" w:hAnsi="Times New Roman" w:cs="Times New Roman"/>
          <w:sz w:val="24"/>
          <w:szCs w:val="24"/>
        </w:rPr>
        <w:t>, për periudhën janar-shtator 2019, i matur duke përjashtuar kategoritë "ushqim dhe pije jo-alkoolike" dhe "transporti", shënoi një rritje vjetore prej 1.1%, që është më e ulët se sa inflacioni total (3.0%), por më e lartë se vlera e vet mesatare e regjistruar në vitin 2018 (-0.2%).</w:t>
      </w:r>
    </w:p>
    <w:p w14:paraId="78047462" w14:textId="77777777" w:rsidR="00085F16" w:rsidRPr="00B922C3" w:rsidRDefault="00085F16" w:rsidP="00085F16">
      <w:pPr>
        <w:spacing w:after="120" w:line="276" w:lineRule="auto"/>
        <w:jc w:val="both"/>
        <w:rPr>
          <w:rFonts w:ascii="Times New Roman" w:hAnsi="Times New Roman" w:cs="Times New Roman"/>
          <w:sz w:val="24"/>
          <w:szCs w:val="24"/>
        </w:rPr>
      </w:pPr>
      <w:r w:rsidRPr="00B922C3">
        <w:rPr>
          <w:rFonts w:ascii="Times New Roman" w:hAnsi="Times New Roman" w:cs="Times New Roman"/>
          <w:sz w:val="24"/>
          <w:szCs w:val="24"/>
        </w:rPr>
        <w:t>Për më tepër, kategorizimi i inflacionit në inflacionin e tregtueshëm dhe jo të tregtueshëm mbështet faktin që zhvillimet e çmimeve në tregjet ndërkombëtare kanë ndikuar në çmimet në Kosovë. Inflacioni i tregtueshëm ishte i lartë gjatë periudhës janar-shtator të vitit 2019, ndërsa inflacioni jo i tregtueshëm që mat presionin inflacionit nga ekonomia e vendit është i papërfillshëm dhe dukshëm i ulët. Mesatarisht, 2.95 pikë përqindjeje të inflacionit total mund t'i atribuohen inflacionit të tregtueshëm.</w:t>
      </w:r>
    </w:p>
    <w:p w14:paraId="5DF1D5AD" w14:textId="77777777" w:rsidR="00085F16" w:rsidRPr="00DE4FE3" w:rsidRDefault="00085F16" w:rsidP="00085F16">
      <w:pPr>
        <w:pStyle w:val="Caption"/>
        <w:keepNext/>
        <w:spacing w:before="240" w:after="0"/>
        <w:rPr>
          <w:rFonts w:ascii="Times New Roman" w:hAnsi="Times New Roman"/>
          <w:b/>
          <w:i w:val="0"/>
          <w:color w:val="auto"/>
        </w:rPr>
      </w:pPr>
      <w:bookmarkStart w:id="31" w:name="_Toc25673455"/>
      <w:r w:rsidRPr="00DE4FE3">
        <w:rPr>
          <w:rFonts w:ascii="Times New Roman" w:hAnsi="Times New Roman"/>
          <w:b/>
          <w:i w:val="0"/>
          <w:color w:val="auto"/>
        </w:rPr>
        <w:t xml:space="preserve">Grafiku </w:t>
      </w:r>
      <w:r w:rsidRPr="00DE4FE3">
        <w:rPr>
          <w:rFonts w:ascii="Times New Roman" w:hAnsi="Times New Roman"/>
          <w:b/>
          <w:i w:val="0"/>
          <w:color w:val="auto"/>
        </w:rPr>
        <w:fldChar w:fldCharType="begin"/>
      </w:r>
      <w:r w:rsidRPr="00DE4FE3">
        <w:rPr>
          <w:rFonts w:ascii="Times New Roman" w:hAnsi="Times New Roman"/>
          <w:b/>
          <w:i w:val="0"/>
          <w:color w:val="auto"/>
        </w:rPr>
        <w:instrText xml:space="preserve"> SEQ Grafiku \* ARABIC </w:instrText>
      </w:r>
      <w:r w:rsidRPr="00DE4FE3">
        <w:rPr>
          <w:rFonts w:ascii="Times New Roman" w:hAnsi="Times New Roman"/>
          <w:b/>
          <w:i w:val="0"/>
          <w:color w:val="auto"/>
        </w:rPr>
        <w:fldChar w:fldCharType="separate"/>
      </w:r>
      <w:r>
        <w:rPr>
          <w:rFonts w:ascii="Times New Roman" w:hAnsi="Times New Roman"/>
          <w:b/>
          <w:i w:val="0"/>
          <w:noProof/>
          <w:color w:val="auto"/>
        </w:rPr>
        <w:t>3</w:t>
      </w:r>
      <w:r w:rsidRPr="00DE4FE3">
        <w:rPr>
          <w:rFonts w:ascii="Times New Roman" w:hAnsi="Times New Roman"/>
          <w:b/>
          <w:i w:val="0"/>
          <w:color w:val="auto"/>
        </w:rPr>
        <w:fldChar w:fldCharType="end"/>
      </w:r>
      <w:r w:rsidRPr="00DE4FE3">
        <w:rPr>
          <w:rFonts w:ascii="Times New Roman" w:hAnsi="Times New Roman"/>
          <w:b/>
          <w:i w:val="0"/>
          <w:color w:val="auto"/>
        </w:rPr>
        <w:t xml:space="preserve"> Contribution of tradable and non-tradable inflation to total inflation</w:t>
      </w:r>
      <w:bookmarkEnd w:id="31"/>
    </w:p>
    <w:p w14:paraId="219F3447" w14:textId="77777777" w:rsidR="00085F16" w:rsidRPr="007D5D03" w:rsidRDefault="00085F16" w:rsidP="00085F16">
      <w:pPr>
        <w:spacing w:line="276" w:lineRule="auto"/>
        <w:jc w:val="center"/>
      </w:pPr>
      <w:r>
        <w:rPr>
          <w:noProof/>
          <w:lang w:val="en-US"/>
        </w:rPr>
        <w:drawing>
          <wp:inline distT="0" distB="0" distL="0" distR="0" wp14:anchorId="1309985E" wp14:editId="72271B9F">
            <wp:extent cx="5513654" cy="2743200"/>
            <wp:effectExtent l="0" t="0" r="1143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3A546E1" w14:textId="77777777" w:rsidR="00085F16" w:rsidRPr="00B922C3" w:rsidRDefault="00085F16" w:rsidP="00085F16">
      <w:pPr>
        <w:spacing w:after="120" w:line="276" w:lineRule="auto"/>
        <w:jc w:val="both"/>
        <w:rPr>
          <w:rFonts w:ascii="Times New Roman" w:hAnsi="Times New Roman" w:cs="Times New Roman"/>
          <w:color w:val="000000" w:themeColor="text1"/>
          <w:sz w:val="20"/>
        </w:rPr>
      </w:pPr>
      <w:r w:rsidRPr="00B922C3">
        <w:rPr>
          <w:rFonts w:ascii="Times New Roman" w:hAnsi="Times New Roman" w:cs="Times New Roman"/>
          <w:color w:val="000000" w:themeColor="text1"/>
          <w:sz w:val="20"/>
        </w:rPr>
        <w:t>Burimi: ASK dhe kalkulimet e Makros</w:t>
      </w:r>
    </w:p>
    <w:p w14:paraId="269D23B2" w14:textId="77777777" w:rsidR="00085F16" w:rsidRPr="00B922C3" w:rsidRDefault="00085F16" w:rsidP="00085F16">
      <w:pPr>
        <w:spacing w:after="120" w:line="276" w:lineRule="auto"/>
        <w:jc w:val="both"/>
        <w:rPr>
          <w:rFonts w:ascii="Times New Roman" w:hAnsi="Times New Roman" w:cs="Times New Roman"/>
          <w:sz w:val="24"/>
          <w:szCs w:val="24"/>
        </w:rPr>
      </w:pPr>
      <w:r w:rsidRPr="00B922C3">
        <w:rPr>
          <w:rFonts w:ascii="Times New Roman" w:hAnsi="Times New Roman" w:cs="Times New Roman"/>
          <w:sz w:val="24"/>
          <w:szCs w:val="24"/>
        </w:rPr>
        <w:t>Sipas ASK-së në linjë me zhvillimet në indeksin e cmimeve të konsumit, indeksi i çmimeve të importit të mallrave, gjatë gjysmës së parë të vitit 2019 shënoi rritje mesatare prej 3.7%, ndërkohë që në periudhën e njëjtë të vitit të kaluar luhatej rreth vlerës 2.0%. Nënkategoritë e këtij indeksi që shënuan rritjen më të madhe vjetore gjatë kësaj periudhe janë produktet minerale me 20.4%; lëkura dhe artikujt e tyre me 23.4%; dhe shtazët e gjalla dhe produktet e tyre me 10.9%. Në mënyrë të ngjashme, indeksi i çmimeve të prodhimit regjistroi një nivel më të lartë se një vit më parë, me rreth 1.5%.</w:t>
      </w:r>
    </w:p>
    <w:tbl>
      <w:tblPr>
        <w:tblStyle w:val="TableGrid"/>
        <w:tblW w:w="9445" w:type="dxa"/>
        <w:shd w:val="clear" w:color="auto" w:fill="DEEAF6" w:themeFill="accent1" w:themeFillTint="33"/>
        <w:tblLook w:val="04A0" w:firstRow="1" w:lastRow="0" w:firstColumn="1" w:lastColumn="0" w:noHBand="0" w:noVBand="1"/>
      </w:tblPr>
      <w:tblGrid>
        <w:gridCol w:w="9445"/>
      </w:tblGrid>
      <w:tr w:rsidR="00085F16" w:rsidRPr="00B922C3" w14:paraId="43CBBB3F" w14:textId="77777777" w:rsidTr="00B922C3">
        <w:tc>
          <w:tcPr>
            <w:tcW w:w="9445" w:type="dxa"/>
            <w:shd w:val="clear" w:color="auto" w:fill="DEEAF6" w:themeFill="accent1" w:themeFillTint="33"/>
          </w:tcPr>
          <w:p w14:paraId="756F242D" w14:textId="77777777" w:rsidR="00085F16" w:rsidRPr="00B922C3" w:rsidRDefault="00085F16" w:rsidP="00085F16">
            <w:pPr>
              <w:spacing w:after="120"/>
              <w:jc w:val="both"/>
              <w:rPr>
                <w:rFonts w:ascii="Times New Roman" w:hAnsi="Times New Roman" w:cs="Times New Roman"/>
                <w:b/>
              </w:rPr>
            </w:pPr>
            <w:r w:rsidRPr="00B922C3">
              <w:rPr>
                <w:rFonts w:ascii="Times New Roman" w:hAnsi="Times New Roman" w:cs="Times New Roman"/>
                <w:b/>
              </w:rPr>
              <w:t xml:space="preserve">Hapësirë Informuese 2. Dallimet mes projeksioneve dhe aktualeve, 2018 dhe 2019 </w:t>
            </w:r>
          </w:p>
        </w:tc>
      </w:tr>
      <w:tr w:rsidR="00085F16" w:rsidRPr="00B922C3" w14:paraId="19EBAC2C" w14:textId="77777777" w:rsidTr="00B922C3">
        <w:tc>
          <w:tcPr>
            <w:tcW w:w="9445" w:type="dxa"/>
            <w:shd w:val="clear" w:color="auto" w:fill="DEEAF6" w:themeFill="accent1" w:themeFillTint="33"/>
          </w:tcPr>
          <w:p w14:paraId="79DB451D" w14:textId="77777777" w:rsidR="00085F16" w:rsidRPr="00B922C3" w:rsidRDefault="00085F16" w:rsidP="00085F16">
            <w:pPr>
              <w:spacing w:after="120"/>
              <w:jc w:val="both"/>
              <w:rPr>
                <w:rFonts w:ascii="Times New Roman" w:hAnsi="Times New Roman" w:cs="Times New Roman"/>
                <w:b/>
                <w:bCs/>
                <w:u w:val="single"/>
              </w:rPr>
            </w:pPr>
            <w:r w:rsidRPr="00B922C3">
              <w:rPr>
                <w:rFonts w:ascii="Times New Roman" w:hAnsi="Times New Roman" w:cs="Times New Roman"/>
                <w:b/>
                <w:bCs/>
                <w:u w:val="single"/>
              </w:rPr>
              <w:t>Aktualet e 2018-ës ndaj Projeksioneve të 2018-ës</w:t>
            </w:r>
          </w:p>
          <w:p w14:paraId="6BF75295" w14:textId="77777777" w:rsidR="00085F16" w:rsidRPr="00B922C3" w:rsidRDefault="00085F16" w:rsidP="00085F16">
            <w:pPr>
              <w:spacing w:after="120"/>
              <w:jc w:val="both"/>
              <w:rPr>
                <w:rFonts w:ascii="Times New Roman" w:hAnsi="Times New Roman" w:cs="Times New Roman"/>
              </w:rPr>
            </w:pPr>
            <w:r w:rsidRPr="00B922C3">
              <w:rPr>
                <w:rFonts w:ascii="Times New Roman" w:hAnsi="Times New Roman" w:cs="Times New Roman"/>
              </w:rPr>
              <w:t>Niveli i rritjes së BPV-së në 2018 në terma realë dhe nominalë, bazuar në botimin e fundit të ASK-së, ka rezultuar të jetë më i ulët se parashikimet tona të paraqitura në dorëzimin e mëparshëm të Buxhetit (për vitin 2019). Sipas ASK-së, shkalla reale e rritjes së BPV-së për vitin 2018 është 3.8% ndërsa ishte parashikuar të luhatet rreth 4.3%. Njëkohësisht, shkalla aktuale e rritjes së BPV-së nominale rezultoi të jetë 4.9%, që është më e ulët se vlera e parashikuar rreth 5.4%.</w:t>
            </w:r>
          </w:p>
          <w:p w14:paraId="0A281172" w14:textId="77777777" w:rsidR="00085F16" w:rsidRPr="00B922C3" w:rsidRDefault="00085F16" w:rsidP="00085F16">
            <w:pPr>
              <w:spacing w:after="120"/>
              <w:jc w:val="both"/>
              <w:rPr>
                <w:rFonts w:ascii="Times New Roman" w:hAnsi="Times New Roman" w:cs="Times New Roman"/>
              </w:rPr>
            </w:pPr>
            <w:r w:rsidRPr="00B922C3">
              <w:rPr>
                <w:rFonts w:ascii="Times New Roman" w:hAnsi="Times New Roman" w:cs="Times New Roman"/>
              </w:rPr>
              <w:t>Diferenca midis vlerave aktuale dhe vlerave të parashikuara të BPV-së në vitin 2018 kryesisht është për shkak të pritjeve më të larta për konsum privat dhe eksport të shërbimeve dhe pritjeve më të ulëta për importin e shërbimeve. Këto pritshmëri për vitin 2018, ndër faktorë të tjerë, u bazuan kryesisht në performancën e treguar deri në momentin kur janë realizuar parashikimet e Buxhetit 2019 (tetor 2018).</w:t>
            </w:r>
          </w:p>
          <w:p w14:paraId="3E320ADF" w14:textId="77777777" w:rsidR="00085F16" w:rsidRPr="00B922C3" w:rsidRDefault="00085F16" w:rsidP="00085F16">
            <w:pPr>
              <w:spacing w:after="120"/>
              <w:jc w:val="both"/>
              <w:rPr>
                <w:rFonts w:ascii="Times New Roman" w:hAnsi="Times New Roman" w:cs="Times New Roman"/>
              </w:rPr>
            </w:pPr>
            <w:r w:rsidRPr="00B922C3">
              <w:rPr>
                <w:rFonts w:ascii="Times New Roman" w:hAnsi="Times New Roman" w:cs="Times New Roman"/>
              </w:rPr>
              <w:t>Inflacioni për vitin 2018 ishte parashikuar që mesatarisht të luhatet rreth 1%, që ishte shumë afër vlerës aktuale (1.1%).</w:t>
            </w:r>
          </w:p>
          <w:p w14:paraId="20D7D94A" w14:textId="77777777" w:rsidR="00085F16" w:rsidRPr="00B922C3" w:rsidRDefault="00085F16" w:rsidP="00085F16">
            <w:pPr>
              <w:spacing w:after="120"/>
              <w:jc w:val="both"/>
              <w:rPr>
                <w:rFonts w:ascii="Times New Roman" w:hAnsi="Times New Roman" w:cs="Times New Roman"/>
              </w:rPr>
            </w:pPr>
            <w:r w:rsidRPr="00B922C3">
              <w:rPr>
                <w:rFonts w:ascii="Times New Roman" w:hAnsi="Times New Roman" w:cs="Times New Roman"/>
              </w:rPr>
              <w:t>Tabela e mëposhtme tregon ndryshimet midis vlerave të parashikuara dhe aktuale për treguesit kryesorë makroekonomikë për vitin 2018 dhe 2019.</w:t>
            </w:r>
          </w:p>
          <w:p w14:paraId="13B7C247" w14:textId="77777777" w:rsidR="00085F16" w:rsidRPr="00B922C3" w:rsidRDefault="00085F16" w:rsidP="00085F16">
            <w:pPr>
              <w:spacing w:after="120"/>
              <w:jc w:val="both"/>
              <w:rPr>
                <w:rFonts w:ascii="Times New Roman" w:hAnsi="Times New Roman" w:cs="Times New Roman"/>
                <w:b/>
                <w:bCs/>
                <w:u w:val="single"/>
              </w:rPr>
            </w:pPr>
            <w:r w:rsidRPr="00B922C3">
              <w:rPr>
                <w:rFonts w:ascii="Times New Roman" w:hAnsi="Times New Roman" w:cs="Times New Roman"/>
                <w:b/>
                <w:bCs/>
                <w:u w:val="single"/>
              </w:rPr>
              <w:t>Projeksionet e ERP 2019 ndaj Projeksioneve të rishikuara</w:t>
            </w:r>
          </w:p>
          <w:p w14:paraId="0BA4E1D5" w14:textId="77777777" w:rsidR="00085F16" w:rsidRPr="00B922C3" w:rsidRDefault="00085F16" w:rsidP="00085F16">
            <w:pPr>
              <w:spacing w:after="120"/>
              <w:jc w:val="both"/>
              <w:rPr>
                <w:rFonts w:ascii="Times New Roman" w:hAnsi="Times New Roman" w:cs="Times New Roman"/>
              </w:rPr>
            </w:pPr>
            <w:r w:rsidRPr="00B922C3">
              <w:rPr>
                <w:rFonts w:ascii="Times New Roman" w:hAnsi="Times New Roman" w:cs="Times New Roman"/>
              </w:rPr>
              <w:t>Për vitin 2019, norma e parashikuar e rritjes së BPV-së u rishikua për poshtë në 4.0%, që është 0.7 pikë përqindje më e ulët se parashikimi i mëparshëm kur është përgatitur Buxheti për vitin 2019; ndërsa niveli nominal i rritjes së BPV-së u rishikua lartë në 5.7% nga 5.4% e vlerësuar në parashikimet e mëparshme.</w:t>
            </w:r>
          </w:p>
          <w:p w14:paraId="4F785928" w14:textId="77777777" w:rsidR="00085F16" w:rsidRPr="00B922C3" w:rsidRDefault="00085F16" w:rsidP="00085F16">
            <w:pPr>
              <w:spacing w:after="120"/>
              <w:jc w:val="both"/>
              <w:rPr>
                <w:rFonts w:ascii="Times New Roman" w:hAnsi="Times New Roman" w:cs="Times New Roman"/>
              </w:rPr>
            </w:pPr>
            <w:r w:rsidRPr="00B922C3">
              <w:rPr>
                <w:rFonts w:ascii="Times New Roman" w:hAnsi="Times New Roman" w:cs="Times New Roman"/>
              </w:rPr>
              <w:t>Konsumi (si privat, ashtu edhe publik) dhe investimi privat, në terma realë, parashihet të rriten me një normë më të ulët sesa parashikohej më parë, kryesisht bazuar në performancën aktuale deri më tani nga këta tregues dhe performancën e treguesve të tjerë indirektë ose përafruesve për tremujorin e tretë të 2019-ës. Gjithashtu, investimet publike pritet të rriten më pak sesa në parashikimin e mëparshëm, për shkak të ekzekutimit të ulët të shpenzimeve kapitale buxhetore në 2019. Gjithashtu, të dhënat e publikuara e BPV-së për vitin 2018, të cilat shërbejnë si bazë për parashikimet e viteve pasuese dhe zhvillimet aktuale politike në vend janë në mbështetje të një rishikimi për poshtë.</w:t>
            </w:r>
          </w:p>
          <w:p w14:paraId="570136E3" w14:textId="77777777" w:rsidR="00085F16" w:rsidRPr="00B922C3" w:rsidRDefault="00085F16" w:rsidP="00085F16">
            <w:pPr>
              <w:spacing w:after="120"/>
              <w:jc w:val="both"/>
              <w:rPr>
                <w:rFonts w:ascii="Times New Roman" w:hAnsi="Times New Roman" w:cs="Times New Roman"/>
              </w:rPr>
            </w:pPr>
            <w:r w:rsidRPr="00B922C3">
              <w:rPr>
                <w:rFonts w:ascii="Times New Roman" w:hAnsi="Times New Roman" w:cs="Times New Roman"/>
              </w:rPr>
              <w:t>Sidoqoftë, eksportet neto në parashikimet e rishikuara janë rishikuar të kenë një performancë më mirë sesa në parashikimet e mëparshme, si rezultat i performancës më të mirë të eksporteve (të mallrave dhe shërbimeve) dhe rritjes më të ngadaltë të importeve të mallrave. Kjo e fundit është në përputhje me dinamikën më të ngadaltë të shpenzimeve kapitale, të cilat zakonisht karakterizohen nga një prirje e lartë e importit.</w:t>
            </w:r>
          </w:p>
          <w:p w14:paraId="64A376C2" w14:textId="77777777" w:rsidR="00085F16" w:rsidRPr="00B922C3" w:rsidRDefault="00085F16" w:rsidP="00085F16">
            <w:pPr>
              <w:spacing w:after="120"/>
              <w:jc w:val="both"/>
              <w:rPr>
                <w:rFonts w:ascii="Times New Roman" w:hAnsi="Times New Roman" w:cs="Times New Roman"/>
              </w:rPr>
            </w:pPr>
            <w:r w:rsidRPr="00B922C3">
              <w:rPr>
                <w:rFonts w:ascii="Times New Roman" w:hAnsi="Times New Roman" w:cs="Times New Roman"/>
              </w:rPr>
              <w:t>Inflacioni i regjistruar deri në shtator 2019 (mesatarisht 3.0%) është më i lartë sesa inflacioni i parashikuar në raundin e mëparshëm të parashikimeve (mesatarisht 1.7%). Prandaj, parashikimi i inflacionit për vitin 2019 është rishikuar për lartë në 2.7% për gjithë vitin 2019. Dallimi midis parashikimeve të mëparshme dhe aktuale është për shkak të pritjeve më të ulëta (se ato të materializuara) mbi presionet inflacioniste që tarifa e vendosur për mallrat nga Serbia dhe Bosnja&amp; Hercegovina mund të kishte, në kohën kur u realizuan parashikimet e rundit të kaluar.</w:t>
            </w:r>
          </w:p>
          <w:p w14:paraId="6E0FD793" w14:textId="77777777" w:rsidR="00085F16" w:rsidRPr="00FC648F" w:rsidRDefault="00085F16" w:rsidP="00085F16">
            <w:pPr>
              <w:pStyle w:val="Caption"/>
              <w:keepNext/>
              <w:jc w:val="both"/>
              <w:rPr>
                <w:rFonts w:ascii="Times New Roman" w:hAnsi="Times New Roman"/>
                <w:b/>
                <w:i w:val="0"/>
                <w:color w:val="auto"/>
                <w:szCs w:val="24"/>
                <w:lang w:val="sq-AL"/>
              </w:rPr>
            </w:pPr>
            <w:bookmarkStart w:id="32" w:name="_Toc23327078"/>
            <w:r w:rsidRPr="00FC648F">
              <w:rPr>
                <w:rFonts w:ascii="Times New Roman" w:hAnsi="Times New Roman"/>
                <w:b/>
                <w:i w:val="0"/>
                <w:color w:val="auto"/>
                <w:szCs w:val="24"/>
                <w:lang w:val="sq-AL"/>
              </w:rPr>
              <w:t>Dallimet kryesore mes aktualeve dhe projeksioneve për vitin 2018 dhe dallimet kryesore mes projeksioneve të mëparshmë dhe aktualeve për vitin 2019</w:t>
            </w:r>
            <w:bookmarkEnd w:id="32"/>
            <w:r w:rsidRPr="00FC648F">
              <w:rPr>
                <w:rFonts w:ascii="Times New Roman" w:hAnsi="Times New Roman"/>
                <w:b/>
                <w:i w:val="0"/>
                <w:color w:val="auto"/>
                <w:szCs w:val="24"/>
                <w:lang w:val="sq-AL"/>
              </w:rPr>
              <w:t xml:space="preserve"> </w:t>
            </w:r>
          </w:p>
          <w:tbl>
            <w:tblPr>
              <w:tblStyle w:val="TableGrid"/>
              <w:tblW w:w="8792" w:type="dxa"/>
              <w:tblLook w:val="04A0" w:firstRow="1" w:lastRow="0" w:firstColumn="1" w:lastColumn="0" w:noHBand="0" w:noVBand="1"/>
            </w:tblPr>
            <w:tblGrid>
              <w:gridCol w:w="3135"/>
              <w:gridCol w:w="1535"/>
              <w:gridCol w:w="1278"/>
              <w:gridCol w:w="1444"/>
              <w:gridCol w:w="1400"/>
            </w:tblGrid>
            <w:tr w:rsidR="00085F16" w:rsidRPr="00B922C3" w14:paraId="0B1A9D12" w14:textId="77777777" w:rsidTr="00085F16">
              <w:trPr>
                <w:trHeight w:val="626"/>
              </w:trPr>
              <w:tc>
                <w:tcPr>
                  <w:tcW w:w="1783" w:type="pct"/>
                  <w:shd w:val="clear" w:color="auto" w:fill="auto"/>
                  <w:vAlign w:val="center"/>
                </w:tcPr>
                <w:p w14:paraId="70CE2034" w14:textId="77777777" w:rsidR="00085F16" w:rsidRPr="00B922C3" w:rsidRDefault="00085F16" w:rsidP="00085F16">
                  <w:pPr>
                    <w:rPr>
                      <w:rFonts w:ascii="Times New Roman" w:hAnsi="Times New Roman" w:cs="Times New Roman"/>
                      <w:b/>
                      <w:sz w:val="18"/>
                      <w:szCs w:val="18"/>
                    </w:rPr>
                  </w:pPr>
                  <w:r w:rsidRPr="00B922C3">
                    <w:rPr>
                      <w:rFonts w:ascii="Times New Roman" w:hAnsi="Times New Roman" w:cs="Times New Roman"/>
                      <w:b/>
                      <w:sz w:val="18"/>
                      <w:szCs w:val="18"/>
                    </w:rPr>
                    <w:t xml:space="preserve">Indikatorët Makroekonomikë, rritjet vjetore reale në %, nëse nuk ceket ndryshe </w:t>
                  </w:r>
                </w:p>
              </w:tc>
              <w:tc>
                <w:tcPr>
                  <w:tcW w:w="873" w:type="pct"/>
                  <w:shd w:val="clear" w:color="auto" w:fill="FFF2CC" w:themeFill="accent4" w:themeFillTint="33"/>
                  <w:vAlign w:val="center"/>
                </w:tcPr>
                <w:p w14:paraId="2EB66A32" w14:textId="77777777" w:rsidR="00085F16" w:rsidRPr="00B922C3" w:rsidRDefault="00085F16" w:rsidP="00085F16">
                  <w:pPr>
                    <w:rPr>
                      <w:rFonts w:ascii="Times New Roman" w:hAnsi="Times New Roman" w:cs="Times New Roman"/>
                      <w:b/>
                      <w:sz w:val="18"/>
                      <w:szCs w:val="18"/>
                    </w:rPr>
                  </w:pPr>
                  <w:r w:rsidRPr="00B922C3">
                    <w:rPr>
                      <w:rFonts w:ascii="Times New Roman" w:hAnsi="Times New Roman" w:cs="Times New Roman"/>
                      <w:b/>
                      <w:sz w:val="18"/>
                      <w:szCs w:val="18"/>
                    </w:rPr>
                    <w:t>2018 projeksione</w:t>
                  </w:r>
                </w:p>
              </w:tc>
              <w:tc>
                <w:tcPr>
                  <w:tcW w:w="727" w:type="pct"/>
                  <w:shd w:val="clear" w:color="auto" w:fill="FFF2CC" w:themeFill="accent4" w:themeFillTint="33"/>
                  <w:vAlign w:val="center"/>
                </w:tcPr>
                <w:p w14:paraId="2714CB05" w14:textId="77777777" w:rsidR="00085F16" w:rsidRPr="00B922C3" w:rsidRDefault="00085F16" w:rsidP="00085F16">
                  <w:pPr>
                    <w:rPr>
                      <w:rFonts w:ascii="Times New Roman" w:hAnsi="Times New Roman" w:cs="Times New Roman"/>
                      <w:b/>
                      <w:sz w:val="18"/>
                      <w:szCs w:val="18"/>
                    </w:rPr>
                  </w:pPr>
                  <w:r w:rsidRPr="00B922C3">
                    <w:rPr>
                      <w:rFonts w:ascii="Times New Roman" w:hAnsi="Times New Roman" w:cs="Times New Roman"/>
                      <w:b/>
                      <w:sz w:val="18"/>
                      <w:szCs w:val="18"/>
                    </w:rPr>
                    <w:t>2018 aktuale</w:t>
                  </w:r>
                </w:p>
              </w:tc>
              <w:tc>
                <w:tcPr>
                  <w:tcW w:w="821" w:type="pct"/>
                  <w:shd w:val="clear" w:color="auto" w:fill="DEEAF6" w:themeFill="accent1" w:themeFillTint="33"/>
                  <w:vAlign w:val="center"/>
                </w:tcPr>
                <w:p w14:paraId="63BD43E6" w14:textId="77777777" w:rsidR="00085F16" w:rsidRPr="00B922C3" w:rsidRDefault="00085F16" w:rsidP="00085F16">
                  <w:pPr>
                    <w:rPr>
                      <w:rFonts w:ascii="Times New Roman" w:hAnsi="Times New Roman" w:cs="Times New Roman"/>
                      <w:b/>
                      <w:sz w:val="18"/>
                      <w:szCs w:val="18"/>
                    </w:rPr>
                  </w:pPr>
                  <w:r w:rsidRPr="00B922C3">
                    <w:rPr>
                      <w:rFonts w:ascii="Times New Roman" w:hAnsi="Times New Roman" w:cs="Times New Roman"/>
                      <w:b/>
                      <w:sz w:val="18"/>
                      <w:szCs w:val="18"/>
                    </w:rPr>
                    <w:t>2019 projeksionet e mëparshme</w:t>
                  </w:r>
                </w:p>
              </w:tc>
              <w:tc>
                <w:tcPr>
                  <w:tcW w:w="796" w:type="pct"/>
                  <w:shd w:val="clear" w:color="auto" w:fill="DEEAF6" w:themeFill="accent1" w:themeFillTint="33"/>
                  <w:vAlign w:val="center"/>
                </w:tcPr>
                <w:p w14:paraId="6EE2BA86" w14:textId="77777777" w:rsidR="00085F16" w:rsidRPr="00B922C3" w:rsidRDefault="00085F16" w:rsidP="00085F16">
                  <w:pPr>
                    <w:rPr>
                      <w:rFonts w:ascii="Times New Roman" w:hAnsi="Times New Roman" w:cs="Times New Roman"/>
                      <w:b/>
                      <w:sz w:val="18"/>
                      <w:szCs w:val="18"/>
                    </w:rPr>
                  </w:pPr>
                  <w:r w:rsidRPr="00B922C3">
                    <w:rPr>
                      <w:rFonts w:ascii="Times New Roman" w:hAnsi="Times New Roman" w:cs="Times New Roman"/>
                      <w:b/>
                      <w:sz w:val="18"/>
                      <w:szCs w:val="18"/>
                    </w:rPr>
                    <w:t>2019 projeksionet e rishikuaraa</w:t>
                  </w:r>
                </w:p>
              </w:tc>
            </w:tr>
            <w:tr w:rsidR="00085F16" w:rsidRPr="00B922C3" w14:paraId="38D0A016" w14:textId="77777777" w:rsidTr="00085F16">
              <w:trPr>
                <w:trHeight w:val="14"/>
              </w:trPr>
              <w:tc>
                <w:tcPr>
                  <w:tcW w:w="1783" w:type="pct"/>
                </w:tcPr>
                <w:p w14:paraId="17086EB8"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 xml:space="preserve">BPV reale </w:t>
                  </w:r>
                </w:p>
              </w:tc>
              <w:tc>
                <w:tcPr>
                  <w:tcW w:w="873" w:type="pct"/>
                </w:tcPr>
                <w:p w14:paraId="398C3EA5"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4.3</w:t>
                  </w:r>
                </w:p>
              </w:tc>
              <w:tc>
                <w:tcPr>
                  <w:tcW w:w="727" w:type="pct"/>
                </w:tcPr>
                <w:p w14:paraId="544C0373"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3.8</w:t>
                  </w:r>
                </w:p>
              </w:tc>
              <w:tc>
                <w:tcPr>
                  <w:tcW w:w="821" w:type="pct"/>
                </w:tcPr>
                <w:p w14:paraId="032D45DF"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4.7</w:t>
                  </w:r>
                </w:p>
              </w:tc>
              <w:tc>
                <w:tcPr>
                  <w:tcW w:w="796" w:type="pct"/>
                </w:tcPr>
                <w:p w14:paraId="7ADE2F7C"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4.0</w:t>
                  </w:r>
                </w:p>
              </w:tc>
            </w:tr>
            <w:tr w:rsidR="00085F16" w:rsidRPr="00B922C3" w14:paraId="5D5A24D8" w14:textId="77777777" w:rsidTr="00085F16">
              <w:trPr>
                <w:trHeight w:val="14"/>
              </w:trPr>
              <w:tc>
                <w:tcPr>
                  <w:tcW w:w="1783" w:type="pct"/>
                </w:tcPr>
                <w:p w14:paraId="369A3619"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 xml:space="preserve">BPV Nominale </w:t>
                  </w:r>
                </w:p>
              </w:tc>
              <w:tc>
                <w:tcPr>
                  <w:tcW w:w="873" w:type="pct"/>
                </w:tcPr>
                <w:p w14:paraId="551A2935"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5.4</w:t>
                  </w:r>
                </w:p>
              </w:tc>
              <w:tc>
                <w:tcPr>
                  <w:tcW w:w="727" w:type="pct"/>
                </w:tcPr>
                <w:p w14:paraId="67ABC512"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4.9</w:t>
                  </w:r>
                </w:p>
              </w:tc>
              <w:tc>
                <w:tcPr>
                  <w:tcW w:w="821" w:type="pct"/>
                </w:tcPr>
                <w:p w14:paraId="43B4362E"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5.4</w:t>
                  </w:r>
                </w:p>
              </w:tc>
              <w:tc>
                <w:tcPr>
                  <w:tcW w:w="796" w:type="pct"/>
                </w:tcPr>
                <w:p w14:paraId="738F591A"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5.7</w:t>
                  </w:r>
                </w:p>
              </w:tc>
            </w:tr>
            <w:tr w:rsidR="00085F16" w:rsidRPr="00B922C3" w14:paraId="70F13582" w14:textId="77777777" w:rsidTr="00085F16">
              <w:trPr>
                <w:trHeight w:val="14"/>
              </w:trPr>
              <w:tc>
                <w:tcPr>
                  <w:tcW w:w="1783" w:type="pct"/>
                </w:tcPr>
                <w:p w14:paraId="6644499C"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Indeksi i çmimeve të konsumit</w:t>
                  </w:r>
                </w:p>
              </w:tc>
              <w:tc>
                <w:tcPr>
                  <w:tcW w:w="873" w:type="pct"/>
                </w:tcPr>
                <w:p w14:paraId="64C8C906"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1.0</w:t>
                  </w:r>
                </w:p>
              </w:tc>
              <w:tc>
                <w:tcPr>
                  <w:tcW w:w="727" w:type="pct"/>
                </w:tcPr>
                <w:p w14:paraId="05D4E5D7"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1.1</w:t>
                  </w:r>
                </w:p>
              </w:tc>
              <w:tc>
                <w:tcPr>
                  <w:tcW w:w="821" w:type="pct"/>
                </w:tcPr>
                <w:p w14:paraId="538229D8"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1.3</w:t>
                  </w:r>
                </w:p>
              </w:tc>
              <w:tc>
                <w:tcPr>
                  <w:tcW w:w="796" w:type="pct"/>
                </w:tcPr>
                <w:p w14:paraId="438C1AE9"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2.7</w:t>
                  </w:r>
                </w:p>
              </w:tc>
            </w:tr>
            <w:tr w:rsidR="00085F16" w:rsidRPr="00B922C3" w14:paraId="17F17FEC" w14:textId="77777777" w:rsidTr="00085F16">
              <w:trPr>
                <w:trHeight w:val="14"/>
              </w:trPr>
              <w:tc>
                <w:tcPr>
                  <w:tcW w:w="1783" w:type="pct"/>
                </w:tcPr>
                <w:p w14:paraId="709EA666"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 xml:space="preserve">Konsumi Privat </w:t>
                  </w:r>
                </w:p>
              </w:tc>
              <w:tc>
                <w:tcPr>
                  <w:tcW w:w="873" w:type="pct"/>
                </w:tcPr>
                <w:p w14:paraId="11627FBC"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6.0</w:t>
                  </w:r>
                </w:p>
              </w:tc>
              <w:tc>
                <w:tcPr>
                  <w:tcW w:w="727" w:type="pct"/>
                </w:tcPr>
                <w:p w14:paraId="0ACAF956"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4.8</w:t>
                  </w:r>
                </w:p>
              </w:tc>
              <w:tc>
                <w:tcPr>
                  <w:tcW w:w="821" w:type="pct"/>
                </w:tcPr>
                <w:p w14:paraId="27CC07E6"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3.5</w:t>
                  </w:r>
                </w:p>
              </w:tc>
              <w:tc>
                <w:tcPr>
                  <w:tcW w:w="796" w:type="pct"/>
                </w:tcPr>
                <w:p w14:paraId="5957CA1C"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2.2</w:t>
                  </w:r>
                </w:p>
              </w:tc>
            </w:tr>
            <w:tr w:rsidR="00085F16" w:rsidRPr="00B922C3" w14:paraId="0DFE0559" w14:textId="77777777" w:rsidTr="00085F16">
              <w:trPr>
                <w:trHeight w:val="14"/>
              </w:trPr>
              <w:tc>
                <w:tcPr>
                  <w:tcW w:w="1783" w:type="pct"/>
                </w:tcPr>
                <w:p w14:paraId="26C53BDB"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Konsumi Publik</w:t>
                  </w:r>
                </w:p>
              </w:tc>
              <w:tc>
                <w:tcPr>
                  <w:tcW w:w="873" w:type="pct"/>
                </w:tcPr>
                <w:p w14:paraId="77960018"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4.7</w:t>
                  </w:r>
                </w:p>
              </w:tc>
              <w:tc>
                <w:tcPr>
                  <w:tcW w:w="727" w:type="pct"/>
                </w:tcPr>
                <w:p w14:paraId="508E9A1F"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8.9</w:t>
                  </w:r>
                </w:p>
              </w:tc>
              <w:tc>
                <w:tcPr>
                  <w:tcW w:w="821" w:type="pct"/>
                </w:tcPr>
                <w:p w14:paraId="09BB656A"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6.7</w:t>
                  </w:r>
                </w:p>
              </w:tc>
              <w:tc>
                <w:tcPr>
                  <w:tcW w:w="796" w:type="pct"/>
                </w:tcPr>
                <w:p w14:paraId="752E584A"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1.3</w:t>
                  </w:r>
                </w:p>
              </w:tc>
            </w:tr>
            <w:tr w:rsidR="00085F16" w:rsidRPr="00B922C3" w14:paraId="1C2F1039" w14:textId="77777777" w:rsidTr="00085F16">
              <w:trPr>
                <w:trHeight w:val="14"/>
              </w:trPr>
              <w:tc>
                <w:tcPr>
                  <w:tcW w:w="1783" w:type="pct"/>
                </w:tcPr>
                <w:p w14:paraId="651FE18D"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 xml:space="preserve">Investimet Totale </w:t>
                  </w:r>
                </w:p>
              </w:tc>
              <w:tc>
                <w:tcPr>
                  <w:tcW w:w="873" w:type="pct"/>
                </w:tcPr>
                <w:p w14:paraId="131CBD3C"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7.1</w:t>
                  </w:r>
                </w:p>
              </w:tc>
              <w:tc>
                <w:tcPr>
                  <w:tcW w:w="727" w:type="pct"/>
                </w:tcPr>
                <w:p w14:paraId="5094668F"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8.1</w:t>
                  </w:r>
                </w:p>
              </w:tc>
              <w:tc>
                <w:tcPr>
                  <w:tcW w:w="821" w:type="pct"/>
                </w:tcPr>
                <w:p w14:paraId="682F6BE4"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7.7</w:t>
                  </w:r>
                </w:p>
              </w:tc>
              <w:tc>
                <w:tcPr>
                  <w:tcW w:w="796" w:type="pct"/>
                </w:tcPr>
                <w:p w14:paraId="7E4AF1E6"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3.1</w:t>
                  </w:r>
                </w:p>
              </w:tc>
            </w:tr>
            <w:tr w:rsidR="00085F16" w:rsidRPr="00B922C3" w14:paraId="2EBF60B7" w14:textId="77777777" w:rsidTr="00085F16">
              <w:trPr>
                <w:trHeight w:val="14"/>
              </w:trPr>
              <w:tc>
                <w:tcPr>
                  <w:tcW w:w="1783" w:type="pct"/>
                </w:tcPr>
                <w:p w14:paraId="548E245C"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 xml:space="preserve">Eksporti Total </w:t>
                  </w:r>
                </w:p>
              </w:tc>
              <w:tc>
                <w:tcPr>
                  <w:tcW w:w="873" w:type="pct"/>
                </w:tcPr>
                <w:p w14:paraId="6C15CC77"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11.0</w:t>
                  </w:r>
                </w:p>
              </w:tc>
              <w:tc>
                <w:tcPr>
                  <w:tcW w:w="727" w:type="pct"/>
                </w:tcPr>
                <w:p w14:paraId="1B51D26A"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3.8</w:t>
                  </w:r>
                </w:p>
              </w:tc>
              <w:tc>
                <w:tcPr>
                  <w:tcW w:w="821" w:type="pct"/>
                </w:tcPr>
                <w:p w14:paraId="2D01F69D"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6.1</w:t>
                  </w:r>
                </w:p>
              </w:tc>
              <w:tc>
                <w:tcPr>
                  <w:tcW w:w="796" w:type="pct"/>
                </w:tcPr>
                <w:p w14:paraId="3F5EB12A"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10.0</w:t>
                  </w:r>
                </w:p>
              </w:tc>
            </w:tr>
            <w:tr w:rsidR="00085F16" w:rsidRPr="00B922C3" w14:paraId="74B4A921" w14:textId="77777777" w:rsidTr="00085F16">
              <w:trPr>
                <w:trHeight w:val="14"/>
              </w:trPr>
              <w:tc>
                <w:tcPr>
                  <w:tcW w:w="1783" w:type="pct"/>
                </w:tcPr>
                <w:p w14:paraId="7EEE18C1"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 xml:space="preserve">     Eksporti i Mallrave</w:t>
                  </w:r>
                </w:p>
              </w:tc>
              <w:tc>
                <w:tcPr>
                  <w:tcW w:w="873" w:type="pct"/>
                </w:tcPr>
                <w:p w14:paraId="0F38A0DF"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-8.1</w:t>
                  </w:r>
                </w:p>
              </w:tc>
              <w:tc>
                <w:tcPr>
                  <w:tcW w:w="727" w:type="pct"/>
                </w:tcPr>
                <w:p w14:paraId="0A804F20"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-2.0</w:t>
                  </w:r>
                </w:p>
              </w:tc>
              <w:tc>
                <w:tcPr>
                  <w:tcW w:w="821" w:type="pct"/>
                </w:tcPr>
                <w:p w14:paraId="7768365E"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3.7</w:t>
                  </w:r>
                </w:p>
              </w:tc>
              <w:tc>
                <w:tcPr>
                  <w:tcW w:w="796" w:type="pct"/>
                </w:tcPr>
                <w:p w14:paraId="73FAB9BE"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4.7</w:t>
                  </w:r>
                </w:p>
              </w:tc>
            </w:tr>
            <w:tr w:rsidR="00085F16" w:rsidRPr="00B922C3" w14:paraId="38AD3BAF" w14:textId="77777777" w:rsidTr="00085F16">
              <w:trPr>
                <w:trHeight w:val="14"/>
              </w:trPr>
              <w:tc>
                <w:tcPr>
                  <w:tcW w:w="1783" w:type="pct"/>
                </w:tcPr>
                <w:p w14:paraId="51C9419C"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 xml:space="preserve">     Eksporti i Shërbimeve</w:t>
                  </w:r>
                </w:p>
              </w:tc>
              <w:tc>
                <w:tcPr>
                  <w:tcW w:w="873" w:type="pct"/>
                </w:tcPr>
                <w:p w14:paraId="30E6E9CB"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16.5</w:t>
                  </w:r>
                </w:p>
              </w:tc>
              <w:tc>
                <w:tcPr>
                  <w:tcW w:w="727" w:type="pct"/>
                </w:tcPr>
                <w:p w14:paraId="25A3EEB5"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5.5</w:t>
                  </w:r>
                </w:p>
              </w:tc>
              <w:tc>
                <w:tcPr>
                  <w:tcW w:w="821" w:type="pct"/>
                </w:tcPr>
                <w:p w14:paraId="1D09670E"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6.7</w:t>
                  </w:r>
                </w:p>
              </w:tc>
              <w:tc>
                <w:tcPr>
                  <w:tcW w:w="796" w:type="pct"/>
                </w:tcPr>
                <w:p w14:paraId="0CC33AA3"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11.4</w:t>
                  </w:r>
                </w:p>
              </w:tc>
            </w:tr>
            <w:tr w:rsidR="00085F16" w:rsidRPr="00B922C3" w14:paraId="019BDE38" w14:textId="77777777" w:rsidTr="00085F16">
              <w:trPr>
                <w:trHeight w:val="14"/>
              </w:trPr>
              <w:tc>
                <w:tcPr>
                  <w:tcW w:w="1783" w:type="pct"/>
                </w:tcPr>
                <w:p w14:paraId="68D77274"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 xml:space="preserve">Importi Total </w:t>
                  </w:r>
                </w:p>
              </w:tc>
              <w:tc>
                <w:tcPr>
                  <w:tcW w:w="873" w:type="pct"/>
                </w:tcPr>
                <w:p w14:paraId="2C4EA9BA"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12.2</w:t>
                  </w:r>
                </w:p>
              </w:tc>
              <w:tc>
                <w:tcPr>
                  <w:tcW w:w="727" w:type="pct"/>
                </w:tcPr>
                <w:p w14:paraId="60D21963"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9.0</w:t>
                  </w:r>
                </w:p>
              </w:tc>
              <w:tc>
                <w:tcPr>
                  <w:tcW w:w="821" w:type="pct"/>
                </w:tcPr>
                <w:p w14:paraId="7724DC7A"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5.6</w:t>
                  </w:r>
                </w:p>
              </w:tc>
              <w:tc>
                <w:tcPr>
                  <w:tcW w:w="796" w:type="pct"/>
                </w:tcPr>
                <w:p w14:paraId="5C2B3BA4"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3.1</w:t>
                  </w:r>
                </w:p>
              </w:tc>
            </w:tr>
            <w:tr w:rsidR="00085F16" w:rsidRPr="00B922C3" w14:paraId="4147716D" w14:textId="77777777" w:rsidTr="00085F16">
              <w:trPr>
                <w:trHeight w:val="14"/>
              </w:trPr>
              <w:tc>
                <w:tcPr>
                  <w:tcW w:w="1783" w:type="pct"/>
                </w:tcPr>
                <w:p w14:paraId="53A8C370"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 xml:space="preserve">     Importi i Mallrave</w:t>
                  </w:r>
                </w:p>
              </w:tc>
              <w:tc>
                <w:tcPr>
                  <w:tcW w:w="873" w:type="pct"/>
                </w:tcPr>
                <w:p w14:paraId="0C5E8944"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10.9</w:t>
                  </w:r>
                </w:p>
              </w:tc>
              <w:tc>
                <w:tcPr>
                  <w:tcW w:w="727" w:type="pct"/>
                </w:tcPr>
                <w:p w14:paraId="21C4B206"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6.5</w:t>
                  </w:r>
                </w:p>
              </w:tc>
              <w:tc>
                <w:tcPr>
                  <w:tcW w:w="821" w:type="pct"/>
                </w:tcPr>
                <w:p w14:paraId="11EE4C20"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6.3</w:t>
                  </w:r>
                </w:p>
              </w:tc>
              <w:tc>
                <w:tcPr>
                  <w:tcW w:w="796" w:type="pct"/>
                </w:tcPr>
                <w:p w14:paraId="7DEB2716"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2.9</w:t>
                  </w:r>
                </w:p>
              </w:tc>
            </w:tr>
            <w:tr w:rsidR="00085F16" w:rsidRPr="00B922C3" w14:paraId="73C7A673" w14:textId="77777777" w:rsidTr="00085F16">
              <w:trPr>
                <w:trHeight w:val="14"/>
              </w:trPr>
              <w:tc>
                <w:tcPr>
                  <w:tcW w:w="1783" w:type="pct"/>
                </w:tcPr>
                <w:p w14:paraId="6CD734F1"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 xml:space="preserve">     Importi i Shërbimeve</w:t>
                  </w:r>
                </w:p>
              </w:tc>
              <w:tc>
                <w:tcPr>
                  <w:tcW w:w="873" w:type="pct"/>
                </w:tcPr>
                <w:p w14:paraId="1716F34B"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19.4</w:t>
                  </w:r>
                </w:p>
              </w:tc>
              <w:tc>
                <w:tcPr>
                  <w:tcW w:w="727" w:type="pct"/>
                </w:tcPr>
                <w:p w14:paraId="668053E5"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22.5</w:t>
                  </w:r>
                </w:p>
              </w:tc>
              <w:tc>
                <w:tcPr>
                  <w:tcW w:w="821" w:type="pct"/>
                </w:tcPr>
                <w:p w14:paraId="641F5540"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1.9</w:t>
                  </w:r>
                </w:p>
              </w:tc>
              <w:tc>
                <w:tcPr>
                  <w:tcW w:w="796" w:type="pct"/>
                </w:tcPr>
                <w:p w14:paraId="21166905" w14:textId="77777777" w:rsidR="00085F16" w:rsidRPr="00B922C3" w:rsidRDefault="00085F16" w:rsidP="00085F16">
                  <w:pPr>
                    <w:rPr>
                      <w:rFonts w:ascii="Times New Roman" w:hAnsi="Times New Roman" w:cs="Times New Roman"/>
                      <w:sz w:val="18"/>
                      <w:szCs w:val="18"/>
                    </w:rPr>
                  </w:pPr>
                  <w:r w:rsidRPr="00B922C3">
                    <w:rPr>
                      <w:rFonts w:ascii="Times New Roman" w:hAnsi="Times New Roman" w:cs="Times New Roman"/>
                      <w:sz w:val="18"/>
                      <w:szCs w:val="18"/>
                    </w:rPr>
                    <w:t>4.3</w:t>
                  </w:r>
                </w:p>
              </w:tc>
            </w:tr>
          </w:tbl>
          <w:p w14:paraId="4D498E7A" w14:textId="77777777" w:rsidR="00085F16" w:rsidRPr="00B922C3" w:rsidRDefault="00085F16" w:rsidP="00085F16">
            <w:pPr>
              <w:spacing w:after="120"/>
              <w:jc w:val="both"/>
              <w:rPr>
                <w:rFonts w:ascii="Times New Roman" w:hAnsi="Times New Roman" w:cs="Times New Roman"/>
                <w:color w:val="000000" w:themeColor="text1"/>
              </w:rPr>
            </w:pPr>
          </w:p>
        </w:tc>
      </w:tr>
    </w:tbl>
    <w:p w14:paraId="0138E343" w14:textId="77777777" w:rsidR="00085F16" w:rsidRPr="007D5D03" w:rsidRDefault="00085F16" w:rsidP="00085F16"/>
    <w:p w14:paraId="7E733B8E" w14:textId="77777777" w:rsidR="00085F16" w:rsidRPr="009053CA" w:rsidRDefault="00085F16" w:rsidP="00802FB3">
      <w:pPr>
        <w:pStyle w:val="ERPL3"/>
        <w:numPr>
          <w:ilvl w:val="0"/>
          <w:numId w:val="90"/>
        </w:numPr>
        <w:ind w:hanging="720"/>
        <w:rPr>
          <w:i w:val="0"/>
          <w:iCs/>
        </w:rPr>
      </w:pPr>
      <w:bookmarkStart w:id="33" w:name="_Toc504051207"/>
      <w:bookmarkStart w:id="34" w:name="_Toc504051404"/>
      <w:bookmarkStart w:id="35" w:name="_Toc504338909"/>
      <w:bookmarkStart w:id="36" w:name="_Toc25873718"/>
      <w:r w:rsidRPr="009053CA">
        <w:rPr>
          <w:i w:val="0"/>
          <w:iCs/>
        </w:rPr>
        <w:t>Klima e Biznesit</w:t>
      </w:r>
      <w:bookmarkEnd w:id="33"/>
      <w:bookmarkEnd w:id="34"/>
      <w:bookmarkEnd w:id="35"/>
      <w:bookmarkEnd w:id="36"/>
    </w:p>
    <w:p w14:paraId="25C0BBF6" w14:textId="77777777" w:rsidR="00085F16" w:rsidRPr="00B922C3" w:rsidRDefault="00085F16" w:rsidP="00085F16">
      <w:pPr>
        <w:spacing w:before="240" w:line="276" w:lineRule="auto"/>
        <w:jc w:val="both"/>
        <w:rPr>
          <w:rFonts w:ascii="Times New Roman" w:hAnsi="Times New Roman" w:cs="Times New Roman"/>
          <w:sz w:val="24"/>
          <w:szCs w:val="24"/>
        </w:rPr>
      </w:pPr>
      <w:r w:rsidRPr="00B922C3">
        <w:rPr>
          <w:rFonts w:ascii="Times New Roman" w:hAnsi="Times New Roman" w:cs="Times New Roman"/>
          <w:sz w:val="24"/>
          <w:szCs w:val="24"/>
        </w:rPr>
        <w:t>Bazuar në të dhënat nga Oda Ekonomike e Kosovës, për tremujorin e tretë të vitit 2019 treguesi i klimës së biznesit, i cili na ofron vlerësime të bizneseve për gjendjen aktuale të ekonomisë është përkeqësuar në krahasim me me të njëjtën periudhë të vitit 2018, mirëpo në krahasim me tremujorin e kaluar ka një përmirësim. Ndërsa, pritjet e tyre për të ardhmen e afërt janë përkeqësuar në krahasim me periudhën e njejtë të vitit të kaluar si dhe me tremujorin paraprak.</w:t>
      </w:r>
    </w:p>
    <w:p w14:paraId="6DF797AB" w14:textId="77777777" w:rsidR="00085F16" w:rsidRPr="00B922C3" w:rsidRDefault="00085F16" w:rsidP="00085F16">
      <w:pPr>
        <w:spacing w:before="240" w:line="276" w:lineRule="auto"/>
        <w:jc w:val="both"/>
        <w:rPr>
          <w:rFonts w:ascii="Times New Roman" w:hAnsi="Times New Roman" w:cs="Times New Roman"/>
          <w:sz w:val="24"/>
          <w:szCs w:val="24"/>
        </w:rPr>
      </w:pPr>
      <w:r w:rsidRPr="00B922C3">
        <w:rPr>
          <w:rFonts w:ascii="Times New Roman" w:hAnsi="Times New Roman" w:cs="Times New Roman"/>
          <w:sz w:val="24"/>
          <w:szCs w:val="24"/>
          <w:u w:val="single"/>
        </w:rPr>
        <w:t>Në industrinë përpunuese,</w:t>
      </w:r>
      <w:r w:rsidRPr="00B922C3">
        <w:rPr>
          <w:rFonts w:ascii="Times New Roman" w:hAnsi="Times New Roman" w:cs="Times New Roman"/>
          <w:sz w:val="24"/>
          <w:szCs w:val="24"/>
        </w:rPr>
        <w:t xml:space="preserve"> klima e biznesit është përkeqësuar. Kompanitë nuk ishin aq të kënaqura me performancën aktuale në biznesin e tyre, megjithatë pritjet e tyre për gjashtë muajt e ardhshëm janë bërë më optimiste. </w:t>
      </w:r>
      <w:r w:rsidRPr="00B922C3">
        <w:rPr>
          <w:rFonts w:ascii="Times New Roman" w:hAnsi="Times New Roman" w:cs="Times New Roman"/>
          <w:sz w:val="24"/>
          <w:szCs w:val="24"/>
          <w:u w:val="single"/>
        </w:rPr>
        <w:t>Në tregti</w:t>
      </w:r>
      <w:r w:rsidRPr="00B922C3">
        <w:rPr>
          <w:rFonts w:ascii="Times New Roman" w:hAnsi="Times New Roman" w:cs="Times New Roman"/>
          <w:sz w:val="24"/>
          <w:szCs w:val="24"/>
        </w:rPr>
        <w:t xml:space="preserve"> </w:t>
      </w:r>
      <w:r w:rsidRPr="00B922C3">
        <w:rPr>
          <w:rFonts w:ascii="Times New Roman" w:hAnsi="Times New Roman" w:cs="Times New Roman"/>
          <w:sz w:val="24"/>
          <w:szCs w:val="24"/>
          <w:u w:val="single"/>
        </w:rPr>
        <w:t>(si me pakicë ashtu edhe me shumicë)</w:t>
      </w:r>
      <w:r w:rsidRPr="00B922C3">
        <w:rPr>
          <w:rFonts w:ascii="Times New Roman" w:hAnsi="Times New Roman" w:cs="Times New Roman"/>
          <w:sz w:val="24"/>
          <w:szCs w:val="24"/>
        </w:rPr>
        <w:t xml:space="preserve">, klima e biznesit ka parë një përmirësim të dukshëm pas rënies në tremujorin e kaluar. Kompanitë e tregtisë ishin më të kënaqura me situatën e tyre aktuale të biznesit, megjithatë perspektiva për gjashtë muajt është përkeqësuar. Klima e biznesit </w:t>
      </w:r>
      <w:r w:rsidRPr="00B922C3">
        <w:rPr>
          <w:rFonts w:ascii="Times New Roman" w:hAnsi="Times New Roman" w:cs="Times New Roman"/>
          <w:sz w:val="24"/>
          <w:szCs w:val="24"/>
          <w:u w:val="single"/>
        </w:rPr>
        <w:t>në shërbime</w:t>
      </w:r>
      <w:r w:rsidRPr="00B922C3">
        <w:rPr>
          <w:rFonts w:ascii="Times New Roman" w:hAnsi="Times New Roman" w:cs="Times New Roman"/>
          <w:sz w:val="24"/>
          <w:szCs w:val="24"/>
        </w:rPr>
        <w:t xml:space="preserve"> për tremujorin e tretë u përmirësua lehtësisht. Sektori e vlerësoi situatën e tyre aktuale si më të mirë, mirëpo pret që aktiviteti i tyre të bjerë më tej brenda muajve të ardhshëm. </w:t>
      </w:r>
      <w:r w:rsidRPr="00B922C3">
        <w:rPr>
          <w:rFonts w:ascii="Times New Roman" w:hAnsi="Times New Roman" w:cs="Times New Roman"/>
          <w:sz w:val="24"/>
          <w:szCs w:val="24"/>
          <w:u w:val="single"/>
        </w:rPr>
        <w:t>Në ndërtimtari</w:t>
      </w:r>
      <w:r w:rsidRPr="00B922C3">
        <w:rPr>
          <w:rFonts w:ascii="Times New Roman" w:hAnsi="Times New Roman" w:cs="Times New Roman"/>
          <w:sz w:val="24"/>
          <w:szCs w:val="24"/>
        </w:rPr>
        <w:t>, indeksi u ngrit, falë një ecurie më të mirë të sektorit. Megjithatë, ndërmarrjet e ndërtimit vlerësuan se situata e tyre nuk do të jetë aq e kënaqshme në gjashtë muajt e ardhshëm. Kjo përgjithësisht është në përputhje me pritjet e këtij sektori historikisht për tre muajt e fundit të vitit dhe tre muajt e parë të vitit vijues, duke marrë parasysh që është një sezon më i ftohtë dhe aktivitetet ndërtimore janë të ngadalta.</w:t>
      </w:r>
    </w:p>
    <w:p w14:paraId="4E826A04" w14:textId="77777777" w:rsidR="00085F16" w:rsidRPr="00B922C3" w:rsidRDefault="00085F16" w:rsidP="00085F16">
      <w:pPr>
        <w:spacing w:before="240" w:line="276" w:lineRule="auto"/>
        <w:jc w:val="both"/>
        <w:rPr>
          <w:rFonts w:ascii="Times New Roman" w:hAnsi="Times New Roman" w:cs="Times New Roman"/>
          <w:sz w:val="24"/>
          <w:szCs w:val="24"/>
        </w:rPr>
      </w:pPr>
      <w:r w:rsidRPr="00B922C3">
        <w:rPr>
          <w:rFonts w:ascii="Times New Roman" w:hAnsi="Times New Roman" w:cs="Times New Roman"/>
          <w:sz w:val="24"/>
          <w:szCs w:val="24"/>
        </w:rPr>
        <w:t>Sidoqoftë, përgjatë viteve (prej 2013-ës), treguesi i klimës së biznesit tregon një prirje rritëse. Sipas Bankës Botërore (Raporti i të Bërit Biznes, 2020), pozita e Kosovës u përkeqësua në 57 në vitin 2019 nga 44 në 2018. Sidoqoftë, Kosova tregoi përmirësime të dukshme dhe ajo vlerësohet si një nga 20 reformatorët kryesorë. Sipas gjetjeve, Kosova ka përmirësuar lëshimin e lejeve të ndërtimit, qasjen në energji elektrike, mbrojtjen e investitorëve dhe pajtueshmërinë me kontratat.</w:t>
      </w:r>
    </w:p>
    <w:p w14:paraId="7C29EEB2" w14:textId="77777777" w:rsidR="00085F16" w:rsidRPr="00FC648F" w:rsidRDefault="00085F16" w:rsidP="00085F16">
      <w:pPr>
        <w:pStyle w:val="HTMLPreformatted"/>
        <w:shd w:val="clear" w:color="auto" w:fill="FFFFFF"/>
        <w:spacing w:before="240" w:line="276" w:lineRule="auto"/>
        <w:jc w:val="both"/>
        <w:rPr>
          <w:lang w:val="sq-AL"/>
        </w:rPr>
      </w:pPr>
      <w:bookmarkStart w:id="37" w:name="_Toc25673456"/>
      <w:r w:rsidRPr="00FC648F">
        <w:rPr>
          <w:rFonts w:ascii="Times New Roman" w:hAnsi="Times New Roman" w:cs="Times New Roman"/>
          <w:b/>
          <w:sz w:val="18"/>
          <w:szCs w:val="24"/>
          <w:lang w:val="sq-AL"/>
        </w:rPr>
        <w:t xml:space="preserve">Grafiku </w:t>
      </w:r>
      <w:r w:rsidRPr="00DE4FE3">
        <w:rPr>
          <w:rFonts w:ascii="Times New Roman" w:hAnsi="Times New Roman" w:cs="Times New Roman"/>
          <w:b/>
          <w:sz w:val="18"/>
          <w:szCs w:val="24"/>
        </w:rPr>
        <w:fldChar w:fldCharType="begin"/>
      </w:r>
      <w:r w:rsidRPr="00FC648F">
        <w:rPr>
          <w:rFonts w:ascii="Times New Roman" w:hAnsi="Times New Roman" w:cs="Times New Roman"/>
          <w:b/>
          <w:sz w:val="18"/>
          <w:szCs w:val="24"/>
          <w:lang w:val="sq-AL"/>
        </w:rPr>
        <w:instrText xml:space="preserve"> SEQ Grafiku \* ARABIC </w:instrText>
      </w:r>
      <w:r w:rsidRPr="00DE4FE3">
        <w:rPr>
          <w:rFonts w:ascii="Times New Roman" w:hAnsi="Times New Roman" w:cs="Times New Roman"/>
          <w:b/>
          <w:sz w:val="18"/>
          <w:szCs w:val="24"/>
        </w:rPr>
        <w:fldChar w:fldCharType="separate"/>
      </w:r>
      <w:r w:rsidRPr="00FC648F">
        <w:rPr>
          <w:rFonts w:ascii="Times New Roman" w:hAnsi="Times New Roman" w:cs="Times New Roman"/>
          <w:b/>
          <w:noProof/>
          <w:sz w:val="18"/>
          <w:szCs w:val="24"/>
          <w:lang w:val="sq-AL"/>
        </w:rPr>
        <w:t>4</w:t>
      </w:r>
      <w:r w:rsidRPr="00DE4FE3">
        <w:rPr>
          <w:rFonts w:ascii="Times New Roman" w:hAnsi="Times New Roman" w:cs="Times New Roman"/>
          <w:b/>
          <w:sz w:val="18"/>
          <w:szCs w:val="24"/>
        </w:rPr>
        <w:fldChar w:fldCharType="end"/>
      </w:r>
      <w:r w:rsidRPr="00FC648F">
        <w:rPr>
          <w:rFonts w:ascii="Times New Roman" w:hAnsi="Times New Roman" w:cs="Times New Roman"/>
          <w:b/>
          <w:sz w:val="18"/>
          <w:szCs w:val="24"/>
          <w:lang w:val="sq-AL"/>
        </w:rPr>
        <w:t xml:space="preserve"> Indikatori i Klimës së Biznesit dhe Bilancet e vlerësimit të situatës aktuale të sektorëve të biznesit</w:t>
      </w:r>
      <w:r>
        <w:rPr>
          <w:noProof/>
        </w:rPr>
        <w:drawing>
          <wp:inline distT="0" distB="0" distL="0" distR="0" wp14:anchorId="615B9BEB" wp14:editId="12797BA3">
            <wp:extent cx="5715000" cy="191452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bookmarkEnd w:id="37"/>
    </w:p>
    <w:p w14:paraId="6FB71B4C" w14:textId="77777777" w:rsidR="00085F16" w:rsidRPr="007D5D03" w:rsidRDefault="00085F16" w:rsidP="00085F16">
      <w:pPr>
        <w:spacing w:after="100" w:line="276" w:lineRule="auto"/>
        <w:jc w:val="both"/>
        <w:rPr>
          <w:sz w:val="16"/>
          <w:szCs w:val="16"/>
        </w:rPr>
      </w:pPr>
      <w:r>
        <w:rPr>
          <w:i/>
          <w:sz w:val="16"/>
          <w:szCs w:val="16"/>
        </w:rPr>
        <w:t xml:space="preserve">Burimi: ‘Të gjeturat e Klimës së Biznesit në tremujorin e tretë të 2019-ës, Oda Ekonomike e Kosovës dhe analizat e Makros </w:t>
      </w:r>
    </w:p>
    <w:p w14:paraId="5E9F1D88" w14:textId="77777777" w:rsidR="00085F16" w:rsidRPr="00FC648F" w:rsidRDefault="00085F16" w:rsidP="00802FB3">
      <w:pPr>
        <w:pStyle w:val="ERPL3"/>
        <w:numPr>
          <w:ilvl w:val="2"/>
          <w:numId w:val="85"/>
        </w:numPr>
        <w:ind w:left="567" w:hanging="567"/>
        <w:rPr>
          <w:rFonts w:ascii="Times New Roman" w:hAnsi="Times New Roman"/>
          <w:i w:val="0"/>
          <w:iCs/>
          <w:lang w:val="sq-AL"/>
        </w:rPr>
      </w:pPr>
      <w:bookmarkStart w:id="38" w:name="_Toc25873719"/>
      <w:r w:rsidRPr="00FC648F">
        <w:rPr>
          <w:rFonts w:ascii="Times New Roman" w:hAnsi="Times New Roman"/>
          <w:i w:val="0"/>
          <w:iCs/>
          <w:lang w:val="sq-AL"/>
        </w:rPr>
        <w:t>Indikatorët kryesorë të tregut të punës, 2016-2019 TM2</w:t>
      </w:r>
      <w:bookmarkEnd w:id="38"/>
    </w:p>
    <w:p w14:paraId="193CCC0A" w14:textId="77777777" w:rsidR="00085F16" w:rsidRPr="007D5D03" w:rsidRDefault="00085F16" w:rsidP="00085F16">
      <w:pPr>
        <w:spacing w:after="240" w:line="276" w:lineRule="auto"/>
        <w:jc w:val="both"/>
      </w:pPr>
      <w:r w:rsidRPr="00B922C3">
        <w:rPr>
          <w:rFonts w:ascii="Times New Roman" w:hAnsi="Times New Roman" w:cs="Times New Roman"/>
          <w:sz w:val="24"/>
          <w:szCs w:val="24"/>
        </w:rPr>
        <w:t>Sipas Anketës së Forcës së Punës për tremujorin e dytë të vitit 2019, popullsia në moshë pune në Kosovë ishte 1.2 milion njerëz (0.1%, v-m-v) me një shpërndarje gjinore të ngjashme si ajo në të kaluarën (rreth 50% gra). Sidoqoftë, forca punëtore aktive (popullsia e moshës 15-64 vjeç) përbëhej nga 478,652 persona, nga të cilët vetëm 121.921 ishin femra. Rrjedhimisht, shkalla e pjesëmarrjes së fuqisë punëtore e grave ishte shumë më e ulët se ajo e burrave (respektivisht 20.4% dhe 59.4%), me shkallën e pjesëmarrjes së fuqisë punëtore totale që qëndroi në 39.9% për tremujorin e dytë të 2019, që është 0.5 p.p. më e ulët se niveli i regjistruar në tremujorin e dytë të 2018. Sidoqoftë, kur krahasohet me tremujorin e mëparshëm (TM1 2019), shkalla e përgjithshme është përmirësuar me 1.2 p.p. Gjatë vitit 2019 TM2, kishte 357.340 njerëz të punësuar në Kosovë (një shkallë punësimi prej 29.8%), që përfaqëson një rritje prej 1.3 p.p në krahasim me TM2 2018. Ngjashëm me vitet e kaluara, katër sektorët kryesorë që punësuan më shumë se gjysmën e totalit të të punësuarve në TM2 2019 ishin tregtia (17.9%), ndërtimi (13.4%), prodhimi (12.4%) dhe arsimi (9.7%). Të dhënat tregojnë ndryshime të konsiderueshme të punësimit gjinor për secilin sektor. Punësimi i meshkujve ishte më i lartë në sektorët e ndërtimit, tregtisë dhe prodhimit, ndërsa punësimi i grave ishte më i lartë në sektorët e arsimit, shëndetësisë dhe tregtisë</w:t>
      </w:r>
      <w:r w:rsidRPr="007D5D03">
        <w:t>.</w:t>
      </w:r>
    </w:p>
    <w:p w14:paraId="4C6C691C" w14:textId="77777777" w:rsidR="00085F16" w:rsidRPr="00FC648F" w:rsidRDefault="00085F16" w:rsidP="00085F16">
      <w:pPr>
        <w:pStyle w:val="Caption"/>
        <w:keepNext/>
        <w:spacing w:after="0"/>
        <w:rPr>
          <w:rFonts w:ascii="Times New Roman" w:hAnsi="Times New Roman"/>
          <w:b/>
          <w:i w:val="0"/>
          <w:color w:val="auto"/>
          <w:lang w:val="sq-AL"/>
        </w:rPr>
      </w:pPr>
      <w:bookmarkStart w:id="39" w:name="_Toc25673441"/>
      <w:r w:rsidRPr="00FC648F">
        <w:rPr>
          <w:rFonts w:ascii="Times New Roman" w:hAnsi="Times New Roman"/>
          <w:b/>
          <w:i w:val="0"/>
          <w:color w:val="auto"/>
          <w:lang w:val="sq-AL"/>
        </w:rPr>
        <w:t xml:space="preserve">Tabela </w:t>
      </w:r>
      <w:r w:rsidRPr="00FC3F34">
        <w:rPr>
          <w:rFonts w:ascii="Times New Roman" w:hAnsi="Times New Roman"/>
          <w:b/>
          <w:i w:val="0"/>
          <w:color w:val="auto"/>
        </w:rPr>
        <w:fldChar w:fldCharType="begin"/>
      </w:r>
      <w:r w:rsidRPr="00FC648F">
        <w:rPr>
          <w:rFonts w:ascii="Times New Roman" w:hAnsi="Times New Roman"/>
          <w:b/>
          <w:i w:val="0"/>
          <w:color w:val="auto"/>
          <w:lang w:val="sq-AL"/>
        </w:rPr>
        <w:instrText xml:space="preserve"> SEQ Tabela \* ARABIC </w:instrText>
      </w:r>
      <w:r w:rsidRPr="00FC3F34">
        <w:rPr>
          <w:rFonts w:ascii="Times New Roman" w:hAnsi="Times New Roman"/>
          <w:b/>
          <w:i w:val="0"/>
          <w:color w:val="auto"/>
        </w:rPr>
        <w:fldChar w:fldCharType="separate"/>
      </w:r>
      <w:r w:rsidRPr="00FC648F">
        <w:rPr>
          <w:rFonts w:ascii="Times New Roman" w:hAnsi="Times New Roman"/>
          <w:b/>
          <w:i w:val="0"/>
          <w:noProof/>
          <w:color w:val="auto"/>
          <w:lang w:val="sq-AL"/>
        </w:rPr>
        <w:t>3</w:t>
      </w:r>
      <w:r w:rsidRPr="00FC3F34">
        <w:rPr>
          <w:rFonts w:ascii="Times New Roman" w:hAnsi="Times New Roman"/>
          <w:b/>
          <w:i w:val="0"/>
          <w:color w:val="auto"/>
        </w:rPr>
        <w:fldChar w:fldCharType="end"/>
      </w:r>
      <w:r w:rsidRPr="00FC648F">
        <w:rPr>
          <w:rFonts w:ascii="Times New Roman" w:hAnsi="Times New Roman"/>
          <w:b/>
          <w:i w:val="0"/>
          <w:color w:val="auto"/>
          <w:lang w:val="sq-AL"/>
        </w:rPr>
        <w:t xml:space="preserve"> Indikatorët Kryesorë të Tregut të Punës</w:t>
      </w:r>
      <w:bookmarkEnd w:id="39"/>
    </w:p>
    <w:tbl>
      <w:tblPr>
        <w:tblW w:w="5000" w:type="pct"/>
        <w:shd w:val="clear" w:color="auto" w:fill="DEEAF6" w:themeFill="accent1" w:themeFillTint="33"/>
        <w:tblLook w:val="04A0" w:firstRow="1" w:lastRow="0" w:firstColumn="1" w:lastColumn="0" w:noHBand="0" w:noVBand="1"/>
      </w:tblPr>
      <w:tblGrid>
        <w:gridCol w:w="3286"/>
        <w:gridCol w:w="1014"/>
        <w:gridCol w:w="1012"/>
        <w:gridCol w:w="1012"/>
        <w:gridCol w:w="1010"/>
        <w:gridCol w:w="1008"/>
        <w:gridCol w:w="1008"/>
      </w:tblGrid>
      <w:tr w:rsidR="00085F16" w:rsidRPr="007D5D03" w14:paraId="52284149" w14:textId="77777777" w:rsidTr="00085F16">
        <w:trPr>
          <w:trHeight w:val="60"/>
        </w:trPr>
        <w:tc>
          <w:tcPr>
            <w:tcW w:w="1758" w:type="pct"/>
            <w:tcBorders>
              <w:top w:val="single" w:sz="4" w:space="0" w:color="auto"/>
              <w:left w:val="single" w:sz="4" w:space="0" w:color="auto"/>
              <w:bottom w:val="single" w:sz="4" w:space="0" w:color="auto"/>
            </w:tcBorders>
            <w:shd w:val="clear" w:color="auto" w:fill="DEEAF6" w:themeFill="accent1" w:themeFillTint="33"/>
            <w:noWrap/>
            <w:vAlign w:val="center"/>
            <w:hideMark/>
          </w:tcPr>
          <w:p w14:paraId="760929F7" w14:textId="77777777" w:rsidR="00085F16" w:rsidRPr="007D5D03" w:rsidRDefault="00085F16" w:rsidP="00085F16">
            <w:pPr>
              <w:jc w:val="both"/>
              <w:rPr>
                <w:rFonts w:eastAsia="Cambria"/>
                <w:b/>
                <w:bCs/>
                <w:sz w:val="16"/>
                <w:szCs w:val="16"/>
              </w:rPr>
            </w:pPr>
            <w:r w:rsidRPr="007D5D03">
              <w:rPr>
                <w:rFonts w:eastAsia="Cambria"/>
                <w:b/>
                <w:bCs/>
                <w:sz w:val="16"/>
                <w:szCs w:val="16"/>
              </w:rPr>
              <w:t>Indicator</w:t>
            </w:r>
          </w:p>
        </w:tc>
        <w:tc>
          <w:tcPr>
            <w:tcW w:w="542" w:type="pct"/>
            <w:tcBorders>
              <w:top w:val="single" w:sz="4" w:space="0" w:color="auto"/>
              <w:left w:val="nil"/>
              <w:bottom w:val="single" w:sz="4" w:space="0" w:color="auto"/>
            </w:tcBorders>
            <w:shd w:val="clear" w:color="auto" w:fill="DEEAF6" w:themeFill="accent1" w:themeFillTint="33"/>
            <w:noWrap/>
            <w:vAlign w:val="center"/>
            <w:hideMark/>
          </w:tcPr>
          <w:p w14:paraId="589BDDEB" w14:textId="77777777" w:rsidR="00085F16" w:rsidRPr="007D5D03" w:rsidRDefault="00085F16" w:rsidP="00085F16">
            <w:pPr>
              <w:jc w:val="both"/>
              <w:rPr>
                <w:rFonts w:eastAsia="Cambria"/>
                <w:b/>
                <w:bCs/>
                <w:sz w:val="16"/>
                <w:szCs w:val="16"/>
              </w:rPr>
            </w:pPr>
            <w:r w:rsidRPr="007D5D03">
              <w:rPr>
                <w:rFonts w:eastAsia="Cambria"/>
                <w:b/>
                <w:bCs/>
                <w:sz w:val="16"/>
                <w:szCs w:val="16"/>
              </w:rPr>
              <w:t>2016</w:t>
            </w:r>
          </w:p>
        </w:tc>
        <w:tc>
          <w:tcPr>
            <w:tcW w:w="541" w:type="pct"/>
            <w:tcBorders>
              <w:top w:val="single" w:sz="4" w:space="0" w:color="auto"/>
              <w:bottom w:val="single" w:sz="4" w:space="0" w:color="auto"/>
            </w:tcBorders>
            <w:shd w:val="clear" w:color="auto" w:fill="DEEAF6" w:themeFill="accent1" w:themeFillTint="33"/>
            <w:noWrap/>
            <w:vAlign w:val="center"/>
            <w:hideMark/>
          </w:tcPr>
          <w:p w14:paraId="6E9D5D81" w14:textId="77777777" w:rsidR="00085F16" w:rsidRPr="007D5D03" w:rsidRDefault="00085F16" w:rsidP="00085F16">
            <w:pPr>
              <w:jc w:val="both"/>
              <w:rPr>
                <w:rFonts w:eastAsia="Cambria"/>
                <w:b/>
                <w:bCs/>
                <w:sz w:val="16"/>
                <w:szCs w:val="16"/>
              </w:rPr>
            </w:pPr>
            <w:r w:rsidRPr="007D5D03">
              <w:rPr>
                <w:rFonts w:eastAsia="Cambria"/>
                <w:b/>
                <w:bCs/>
                <w:sz w:val="16"/>
                <w:szCs w:val="16"/>
              </w:rPr>
              <w:t>2017</w:t>
            </w:r>
          </w:p>
        </w:tc>
        <w:tc>
          <w:tcPr>
            <w:tcW w:w="541" w:type="pct"/>
            <w:tcBorders>
              <w:top w:val="single" w:sz="4" w:space="0" w:color="auto"/>
              <w:bottom w:val="single" w:sz="4" w:space="0" w:color="auto"/>
            </w:tcBorders>
            <w:shd w:val="clear" w:color="auto" w:fill="DEEAF6" w:themeFill="accent1" w:themeFillTint="33"/>
            <w:vAlign w:val="center"/>
          </w:tcPr>
          <w:p w14:paraId="2619159A" w14:textId="77777777" w:rsidR="00085F16" w:rsidRPr="007D5D03" w:rsidRDefault="00085F16" w:rsidP="00085F16">
            <w:pPr>
              <w:jc w:val="both"/>
              <w:rPr>
                <w:rFonts w:eastAsia="Cambria"/>
                <w:b/>
                <w:bCs/>
                <w:sz w:val="16"/>
                <w:szCs w:val="16"/>
              </w:rPr>
            </w:pPr>
            <w:r w:rsidRPr="007D5D03">
              <w:rPr>
                <w:rFonts w:eastAsia="Cambria"/>
                <w:b/>
                <w:bCs/>
                <w:sz w:val="16"/>
                <w:szCs w:val="16"/>
              </w:rPr>
              <w:t>2018</w:t>
            </w:r>
          </w:p>
        </w:tc>
        <w:tc>
          <w:tcPr>
            <w:tcW w:w="540" w:type="pct"/>
            <w:tcBorders>
              <w:top w:val="single" w:sz="4" w:space="0" w:color="auto"/>
              <w:bottom w:val="single" w:sz="4" w:space="0" w:color="auto"/>
            </w:tcBorders>
            <w:shd w:val="clear" w:color="auto" w:fill="DEEAF6" w:themeFill="accent1" w:themeFillTint="33"/>
            <w:vAlign w:val="center"/>
          </w:tcPr>
          <w:p w14:paraId="2B5E729D" w14:textId="77777777" w:rsidR="00085F16" w:rsidRPr="007D5D03" w:rsidRDefault="00085F16" w:rsidP="00085F16">
            <w:pPr>
              <w:jc w:val="both"/>
              <w:rPr>
                <w:rFonts w:eastAsia="Cambria"/>
                <w:b/>
                <w:bCs/>
                <w:sz w:val="16"/>
                <w:szCs w:val="16"/>
              </w:rPr>
            </w:pPr>
            <w:r w:rsidRPr="007D5D03">
              <w:rPr>
                <w:rFonts w:eastAsia="Cambria"/>
                <w:b/>
                <w:bCs/>
                <w:sz w:val="16"/>
                <w:szCs w:val="16"/>
              </w:rPr>
              <w:t>Q2 2018</w:t>
            </w:r>
          </w:p>
        </w:tc>
        <w:tc>
          <w:tcPr>
            <w:tcW w:w="539" w:type="pct"/>
            <w:tcBorders>
              <w:top w:val="single" w:sz="4" w:space="0" w:color="auto"/>
              <w:bottom w:val="single" w:sz="4" w:space="0" w:color="auto"/>
            </w:tcBorders>
            <w:shd w:val="clear" w:color="auto" w:fill="DEEAF6" w:themeFill="accent1" w:themeFillTint="33"/>
            <w:vAlign w:val="center"/>
          </w:tcPr>
          <w:p w14:paraId="615FB751" w14:textId="77777777" w:rsidR="00085F16" w:rsidRPr="007D5D03" w:rsidRDefault="00085F16" w:rsidP="00085F16">
            <w:pPr>
              <w:jc w:val="both"/>
              <w:rPr>
                <w:rFonts w:eastAsia="Cambria"/>
                <w:b/>
                <w:bCs/>
                <w:sz w:val="16"/>
                <w:szCs w:val="16"/>
              </w:rPr>
            </w:pPr>
            <w:r w:rsidRPr="007D5D03">
              <w:rPr>
                <w:rFonts w:eastAsia="Cambria"/>
                <w:b/>
                <w:bCs/>
                <w:sz w:val="16"/>
                <w:szCs w:val="16"/>
              </w:rPr>
              <w:t>Q1 2019</w:t>
            </w:r>
          </w:p>
        </w:tc>
        <w:tc>
          <w:tcPr>
            <w:tcW w:w="539" w:type="pct"/>
            <w:tcBorders>
              <w:top w:val="single" w:sz="4" w:space="0" w:color="auto"/>
              <w:bottom w:val="single" w:sz="4" w:space="0" w:color="auto"/>
              <w:right w:val="single" w:sz="4" w:space="0" w:color="auto"/>
            </w:tcBorders>
            <w:shd w:val="clear" w:color="auto" w:fill="DEEAF6" w:themeFill="accent1" w:themeFillTint="33"/>
            <w:vAlign w:val="center"/>
          </w:tcPr>
          <w:p w14:paraId="300886CD" w14:textId="77777777" w:rsidR="00085F16" w:rsidRPr="007D5D03" w:rsidRDefault="00085F16" w:rsidP="00085F16">
            <w:pPr>
              <w:jc w:val="both"/>
              <w:rPr>
                <w:rFonts w:eastAsia="Cambria"/>
                <w:b/>
                <w:bCs/>
                <w:sz w:val="16"/>
                <w:szCs w:val="16"/>
              </w:rPr>
            </w:pPr>
            <w:r w:rsidRPr="007D5D03">
              <w:rPr>
                <w:rFonts w:eastAsia="Cambria"/>
                <w:b/>
                <w:bCs/>
                <w:sz w:val="16"/>
                <w:szCs w:val="16"/>
              </w:rPr>
              <w:t>Q2 2019</w:t>
            </w:r>
          </w:p>
        </w:tc>
      </w:tr>
      <w:tr w:rsidR="00085F16" w:rsidRPr="007D5D03" w14:paraId="573951D0" w14:textId="77777777" w:rsidTr="00085F16">
        <w:trPr>
          <w:trHeight w:val="107"/>
        </w:trPr>
        <w:tc>
          <w:tcPr>
            <w:tcW w:w="1758" w:type="pct"/>
            <w:tcBorders>
              <w:top w:val="single" w:sz="4" w:space="0" w:color="auto"/>
              <w:left w:val="single" w:sz="4" w:space="0" w:color="auto"/>
              <w:right w:val="single" w:sz="4" w:space="0" w:color="auto"/>
            </w:tcBorders>
            <w:shd w:val="clear" w:color="auto" w:fill="DEEAF6" w:themeFill="accent1" w:themeFillTint="33"/>
            <w:noWrap/>
            <w:vAlign w:val="bottom"/>
            <w:hideMark/>
          </w:tcPr>
          <w:p w14:paraId="6D5D6D0D" w14:textId="77777777" w:rsidR="00085F16" w:rsidRPr="007D5D03" w:rsidRDefault="00085F16" w:rsidP="00085F16">
            <w:pPr>
              <w:jc w:val="both"/>
              <w:rPr>
                <w:rFonts w:eastAsia="Cambria"/>
                <w:b/>
                <w:bCs/>
                <w:sz w:val="16"/>
                <w:szCs w:val="16"/>
              </w:rPr>
            </w:pPr>
            <w:r>
              <w:rPr>
                <w:rFonts w:eastAsia="Cambria"/>
                <w:b/>
                <w:bCs/>
                <w:sz w:val="16"/>
                <w:szCs w:val="16"/>
              </w:rPr>
              <w:t>Popullësia</w:t>
            </w:r>
          </w:p>
        </w:tc>
        <w:tc>
          <w:tcPr>
            <w:tcW w:w="542" w:type="pct"/>
            <w:tcBorders>
              <w:top w:val="single" w:sz="4" w:space="0" w:color="auto"/>
              <w:left w:val="single" w:sz="4" w:space="0" w:color="auto"/>
            </w:tcBorders>
            <w:shd w:val="clear" w:color="auto" w:fill="DEEAF6" w:themeFill="accent1" w:themeFillTint="33"/>
            <w:noWrap/>
            <w:vAlign w:val="bottom"/>
            <w:hideMark/>
          </w:tcPr>
          <w:p w14:paraId="342D7C44" w14:textId="77777777" w:rsidR="00085F16" w:rsidRPr="007D5D03" w:rsidRDefault="00085F16" w:rsidP="00085F16">
            <w:pPr>
              <w:jc w:val="both"/>
              <w:rPr>
                <w:rFonts w:eastAsia="Cambria"/>
                <w:b/>
                <w:bCs/>
                <w:sz w:val="16"/>
                <w:szCs w:val="16"/>
              </w:rPr>
            </w:pPr>
            <w:r w:rsidRPr="007D5D03">
              <w:rPr>
                <w:rFonts w:eastAsia="Cambria"/>
                <w:b/>
                <w:bCs/>
                <w:sz w:val="16"/>
                <w:szCs w:val="16"/>
              </w:rPr>
              <w:t>1,771,604</w:t>
            </w:r>
          </w:p>
        </w:tc>
        <w:tc>
          <w:tcPr>
            <w:tcW w:w="541" w:type="pct"/>
            <w:tcBorders>
              <w:top w:val="single" w:sz="4" w:space="0" w:color="auto"/>
            </w:tcBorders>
            <w:shd w:val="clear" w:color="auto" w:fill="DEEAF6" w:themeFill="accent1" w:themeFillTint="33"/>
            <w:noWrap/>
            <w:vAlign w:val="bottom"/>
            <w:hideMark/>
          </w:tcPr>
          <w:p w14:paraId="50050FF3" w14:textId="77777777" w:rsidR="00085F16" w:rsidRPr="007D5D03" w:rsidRDefault="00085F16" w:rsidP="00085F16">
            <w:pPr>
              <w:jc w:val="both"/>
              <w:rPr>
                <w:rFonts w:eastAsia="Cambria"/>
                <w:b/>
                <w:bCs/>
                <w:sz w:val="16"/>
                <w:szCs w:val="16"/>
              </w:rPr>
            </w:pPr>
            <w:r w:rsidRPr="007D5D03">
              <w:rPr>
                <w:rFonts w:eastAsia="Cambria"/>
                <w:b/>
                <w:bCs/>
                <w:sz w:val="16"/>
                <w:szCs w:val="16"/>
              </w:rPr>
              <w:t>1,793,466</w:t>
            </w:r>
          </w:p>
        </w:tc>
        <w:tc>
          <w:tcPr>
            <w:tcW w:w="541" w:type="pct"/>
            <w:tcBorders>
              <w:top w:val="single" w:sz="4" w:space="0" w:color="auto"/>
            </w:tcBorders>
            <w:shd w:val="clear" w:color="auto" w:fill="DEEAF6" w:themeFill="accent1" w:themeFillTint="33"/>
          </w:tcPr>
          <w:p w14:paraId="6D41AF8C" w14:textId="77777777" w:rsidR="00085F16" w:rsidRPr="007D5D03" w:rsidRDefault="00085F16" w:rsidP="00085F16">
            <w:pPr>
              <w:jc w:val="both"/>
              <w:rPr>
                <w:rFonts w:eastAsia="Cambria"/>
                <w:b/>
                <w:bCs/>
                <w:sz w:val="16"/>
                <w:szCs w:val="16"/>
              </w:rPr>
            </w:pPr>
            <w:r w:rsidRPr="007D5D03">
              <w:rPr>
                <w:rFonts w:eastAsia="Cambria"/>
                <w:b/>
                <w:bCs/>
                <w:sz w:val="16"/>
                <w:szCs w:val="16"/>
              </w:rPr>
              <w:t>1,793,467</w:t>
            </w:r>
          </w:p>
        </w:tc>
        <w:tc>
          <w:tcPr>
            <w:tcW w:w="540" w:type="pct"/>
            <w:tcBorders>
              <w:top w:val="single" w:sz="4" w:space="0" w:color="auto"/>
            </w:tcBorders>
            <w:shd w:val="clear" w:color="auto" w:fill="DEEAF6" w:themeFill="accent1" w:themeFillTint="33"/>
          </w:tcPr>
          <w:p w14:paraId="0BF878A3" w14:textId="77777777" w:rsidR="00085F16" w:rsidRPr="007D5D03" w:rsidRDefault="00085F16" w:rsidP="00085F16">
            <w:pPr>
              <w:jc w:val="both"/>
              <w:rPr>
                <w:rFonts w:eastAsia="Cambria"/>
                <w:b/>
                <w:bCs/>
                <w:sz w:val="16"/>
                <w:szCs w:val="16"/>
              </w:rPr>
            </w:pPr>
            <w:r w:rsidRPr="007D5D03">
              <w:rPr>
                <w:rFonts w:eastAsia="Cambria"/>
                <w:b/>
                <w:bCs/>
                <w:sz w:val="16"/>
                <w:szCs w:val="16"/>
              </w:rPr>
              <w:t>1,793,467</w:t>
            </w:r>
          </w:p>
        </w:tc>
        <w:tc>
          <w:tcPr>
            <w:tcW w:w="539" w:type="pct"/>
            <w:tcBorders>
              <w:top w:val="single" w:sz="4" w:space="0" w:color="auto"/>
            </w:tcBorders>
            <w:shd w:val="clear" w:color="auto" w:fill="DEEAF6" w:themeFill="accent1" w:themeFillTint="33"/>
          </w:tcPr>
          <w:p w14:paraId="5638B28C" w14:textId="77777777" w:rsidR="00085F16" w:rsidRPr="007D5D03" w:rsidRDefault="00085F16" w:rsidP="00085F16">
            <w:pPr>
              <w:jc w:val="both"/>
              <w:rPr>
                <w:rFonts w:eastAsia="Cambria"/>
                <w:b/>
                <w:bCs/>
                <w:sz w:val="16"/>
                <w:szCs w:val="16"/>
              </w:rPr>
            </w:pPr>
            <w:r w:rsidRPr="007D5D03">
              <w:rPr>
                <w:rFonts w:eastAsia="Cambria"/>
                <w:b/>
                <w:bCs/>
                <w:sz w:val="16"/>
                <w:szCs w:val="16"/>
              </w:rPr>
              <w:t>1,798,506</w:t>
            </w:r>
          </w:p>
        </w:tc>
        <w:tc>
          <w:tcPr>
            <w:tcW w:w="539" w:type="pct"/>
            <w:tcBorders>
              <w:top w:val="single" w:sz="4" w:space="0" w:color="auto"/>
              <w:right w:val="single" w:sz="4" w:space="0" w:color="auto"/>
            </w:tcBorders>
            <w:shd w:val="clear" w:color="auto" w:fill="DEEAF6" w:themeFill="accent1" w:themeFillTint="33"/>
          </w:tcPr>
          <w:p w14:paraId="58267A94" w14:textId="77777777" w:rsidR="00085F16" w:rsidRPr="007D5D03" w:rsidRDefault="00085F16" w:rsidP="00085F16">
            <w:pPr>
              <w:jc w:val="both"/>
              <w:rPr>
                <w:rFonts w:eastAsia="Cambria"/>
                <w:b/>
                <w:bCs/>
                <w:sz w:val="16"/>
                <w:szCs w:val="16"/>
              </w:rPr>
            </w:pPr>
            <w:r w:rsidRPr="007D5D03">
              <w:rPr>
                <w:rFonts w:eastAsia="Cambria"/>
                <w:b/>
                <w:bCs/>
                <w:sz w:val="16"/>
                <w:szCs w:val="16"/>
              </w:rPr>
              <w:t>1,798,506</w:t>
            </w:r>
          </w:p>
        </w:tc>
      </w:tr>
      <w:tr w:rsidR="00085F16" w:rsidRPr="007D5D03" w14:paraId="32DC8BEF" w14:textId="77777777" w:rsidTr="00085F16">
        <w:trPr>
          <w:trHeight w:val="258"/>
        </w:trPr>
        <w:tc>
          <w:tcPr>
            <w:tcW w:w="1758" w:type="pct"/>
            <w:tcBorders>
              <w:left w:val="single" w:sz="4" w:space="0" w:color="auto"/>
              <w:right w:val="single" w:sz="4" w:space="0" w:color="auto"/>
            </w:tcBorders>
            <w:shd w:val="clear" w:color="auto" w:fill="DEEAF6" w:themeFill="accent1" w:themeFillTint="33"/>
            <w:noWrap/>
            <w:vAlign w:val="bottom"/>
            <w:hideMark/>
          </w:tcPr>
          <w:p w14:paraId="4D046E6E" w14:textId="77777777" w:rsidR="00085F16" w:rsidRPr="007D5D03" w:rsidRDefault="00085F16" w:rsidP="00085F16">
            <w:pPr>
              <w:jc w:val="right"/>
              <w:rPr>
                <w:rFonts w:eastAsia="Cambria"/>
                <w:sz w:val="16"/>
                <w:szCs w:val="16"/>
              </w:rPr>
            </w:pPr>
            <w:r>
              <w:rPr>
                <w:rFonts w:eastAsia="Cambria"/>
                <w:sz w:val="16"/>
                <w:szCs w:val="16"/>
              </w:rPr>
              <w:t>Meshkuj</w:t>
            </w:r>
          </w:p>
        </w:tc>
        <w:tc>
          <w:tcPr>
            <w:tcW w:w="542" w:type="pct"/>
            <w:tcBorders>
              <w:left w:val="single" w:sz="4" w:space="0" w:color="auto"/>
            </w:tcBorders>
            <w:shd w:val="clear" w:color="auto" w:fill="DEEAF6" w:themeFill="accent1" w:themeFillTint="33"/>
            <w:noWrap/>
            <w:vAlign w:val="bottom"/>
            <w:hideMark/>
          </w:tcPr>
          <w:p w14:paraId="3E0D51F2" w14:textId="77777777" w:rsidR="00085F16" w:rsidRPr="007D5D03" w:rsidRDefault="00085F16" w:rsidP="00085F16">
            <w:pPr>
              <w:jc w:val="both"/>
              <w:rPr>
                <w:rFonts w:eastAsia="Cambria"/>
                <w:sz w:val="16"/>
                <w:szCs w:val="16"/>
              </w:rPr>
            </w:pPr>
            <w:r w:rsidRPr="007D5D03">
              <w:rPr>
                <w:rFonts w:eastAsia="Cambria"/>
                <w:sz w:val="16"/>
                <w:szCs w:val="16"/>
              </w:rPr>
              <w:t>896,466</w:t>
            </w:r>
          </w:p>
        </w:tc>
        <w:tc>
          <w:tcPr>
            <w:tcW w:w="541" w:type="pct"/>
            <w:shd w:val="clear" w:color="auto" w:fill="DEEAF6" w:themeFill="accent1" w:themeFillTint="33"/>
            <w:noWrap/>
            <w:vAlign w:val="bottom"/>
            <w:hideMark/>
          </w:tcPr>
          <w:p w14:paraId="200D7E8B" w14:textId="77777777" w:rsidR="00085F16" w:rsidRPr="007D5D03" w:rsidRDefault="00085F16" w:rsidP="00085F16">
            <w:pPr>
              <w:jc w:val="both"/>
              <w:rPr>
                <w:rFonts w:eastAsia="Cambria"/>
                <w:sz w:val="16"/>
                <w:szCs w:val="16"/>
              </w:rPr>
            </w:pPr>
            <w:r w:rsidRPr="007D5D03">
              <w:rPr>
                <w:rFonts w:eastAsia="Cambria"/>
                <w:sz w:val="16"/>
                <w:szCs w:val="16"/>
              </w:rPr>
              <w:t>900,827</w:t>
            </w:r>
          </w:p>
        </w:tc>
        <w:tc>
          <w:tcPr>
            <w:tcW w:w="541" w:type="pct"/>
            <w:shd w:val="clear" w:color="auto" w:fill="DEEAF6" w:themeFill="accent1" w:themeFillTint="33"/>
          </w:tcPr>
          <w:p w14:paraId="40BC54DE" w14:textId="77777777" w:rsidR="00085F16" w:rsidRPr="007D5D03" w:rsidRDefault="00085F16" w:rsidP="00085F16">
            <w:pPr>
              <w:jc w:val="both"/>
              <w:rPr>
                <w:rFonts w:eastAsia="Cambria"/>
                <w:sz w:val="16"/>
                <w:szCs w:val="16"/>
              </w:rPr>
            </w:pPr>
            <w:r w:rsidRPr="007D5D03">
              <w:rPr>
                <w:rFonts w:eastAsia="Cambria"/>
                <w:sz w:val="16"/>
                <w:szCs w:val="16"/>
              </w:rPr>
              <w:t>903,959</w:t>
            </w:r>
          </w:p>
        </w:tc>
        <w:tc>
          <w:tcPr>
            <w:tcW w:w="540" w:type="pct"/>
            <w:shd w:val="clear" w:color="auto" w:fill="DEEAF6" w:themeFill="accent1" w:themeFillTint="33"/>
          </w:tcPr>
          <w:p w14:paraId="14108F3C" w14:textId="77777777" w:rsidR="00085F16" w:rsidRPr="007D5D03" w:rsidRDefault="00085F16" w:rsidP="00085F16">
            <w:pPr>
              <w:jc w:val="both"/>
              <w:rPr>
                <w:rFonts w:eastAsia="Cambria"/>
                <w:sz w:val="16"/>
                <w:szCs w:val="16"/>
              </w:rPr>
            </w:pPr>
            <w:r w:rsidRPr="007D5D03">
              <w:rPr>
                <w:rFonts w:eastAsia="Cambria"/>
                <w:sz w:val="16"/>
                <w:szCs w:val="16"/>
              </w:rPr>
              <w:t>905,364</w:t>
            </w:r>
          </w:p>
        </w:tc>
        <w:tc>
          <w:tcPr>
            <w:tcW w:w="539" w:type="pct"/>
            <w:shd w:val="clear" w:color="auto" w:fill="DEEAF6" w:themeFill="accent1" w:themeFillTint="33"/>
          </w:tcPr>
          <w:p w14:paraId="5A53A851" w14:textId="77777777" w:rsidR="00085F16" w:rsidRPr="007D5D03" w:rsidRDefault="00085F16" w:rsidP="00085F16">
            <w:pPr>
              <w:jc w:val="both"/>
              <w:rPr>
                <w:rFonts w:eastAsia="Cambria"/>
                <w:sz w:val="16"/>
                <w:szCs w:val="16"/>
              </w:rPr>
            </w:pPr>
            <w:r w:rsidRPr="007D5D03">
              <w:rPr>
                <w:rFonts w:eastAsia="Cambria"/>
                <w:sz w:val="16"/>
                <w:szCs w:val="16"/>
              </w:rPr>
              <w:t>908,499</w:t>
            </w:r>
          </w:p>
        </w:tc>
        <w:tc>
          <w:tcPr>
            <w:tcW w:w="539" w:type="pct"/>
            <w:tcBorders>
              <w:right w:val="single" w:sz="4" w:space="0" w:color="auto"/>
            </w:tcBorders>
            <w:shd w:val="clear" w:color="auto" w:fill="DEEAF6" w:themeFill="accent1" w:themeFillTint="33"/>
          </w:tcPr>
          <w:p w14:paraId="566D1C1E" w14:textId="77777777" w:rsidR="00085F16" w:rsidRPr="007D5D03" w:rsidRDefault="00085F16" w:rsidP="00085F16">
            <w:pPr>
              <w:jc w:val="both"/>
              <w:rPr>
                <w:rFonts w:eastAsia="Cambria"/>
                <w:sz w:val="16"/>
                <w:szCs w:val="16"/>
              </w:rPr>
            </w:pPr>
            <w:r w:rsidRPr="007D5D03">
              <w:rPr>
                <w:rFonts w:eastAsia="Cambria"/>
                <w:sz w:val="16"/>
                <w:szCs w:val="16"/>
              </w:rPr>
              <w:t>902,646</w:t>
            </w:r>
          </w:p>
        </w:tc>
      </w:tr>
      <w:tr w:rsidR="00085F16" w:rsidRPr="007D5D03" w14:paraId="2644E3E2" w14:textId="77777777" w:rsidTr="00085F16">
        <w:trPr>
          <w:trHeight w:val="80"/>
        </w:trPr>
        <w:tc>
          <w:tcPr>
            <w:tcW w:w="1758" w:type="pct"/>
            <w:tcBorders>
              <w:left w:val="single" w:sz="4" w:space="0" w:color="auto"/>
              <w:right w:val="single" w:sz="4" w:space="0" w:color="auto"/>
            </w:tcBorders>
            <w:shd w:val="clear" w:color="auto" w:fill="DEEAF6" w:themeFill="accent1" w:themeFillTint="33"/>
            <w:noWrap/>
            <w:vAlign w:val="bottom"/>
            <w:hideMark/>
          </w:tcPr>
          <w:p w14:paraId="51F10BEA" w14:textId="77777777" w:rsidR="00085F16" w:rsidRPr="007D5D03" w:rsidRDefault="00085F16" w:rsidP="00085F16">
            <w:pPr>
              <w:jc w:val="right"/>
              <w:rPr>
                <w:rFonts w:eastAsia="Cambria"/>
                <w:sz w:val="16"/>
                <w:szCs w:val="16"/>
              </w:rPr>
            </w:pPr>
            <w:r w:rsidRPr="007D5D03">
              <w:rPr>
                <w:rFonts w:eastAsia="Cambria"/>
                <w:sz w:val="16"/>
                <w:szCs w:val="16"/>
              </w:rPr>
              <w:t>Fe</w:t>
            </w:r>
            <w:r>
              <w:rPr>
                <w:rFonts w:eastAsia="Cambria"/>
                <w:sz w:val="16"/>
                <w:szCs w:val="16"/>
              </w:rPr>
              <w:t>mra</w:t>
            </w:r>
          </w:p>
        </w:tc>
        <w:tc>
          <w:tcPr>
            <w:tcW w:w="542" w:type="pct"/>
            <w:tcBorders>
              <w:left w:val="single" w:sz="4" w:space="0" w:color="auto"/>
            </w:tcBorders>
            <w:shd w:val="clear" w:color="auto" w:fill="DEEAF6" w:themeFill="accent1" w:themeFillTint="33"/>
            <w:noWrap/>
            <w:vAlign w:val="bottom"/>
            <w:hideMark/>
          </w:tcPr>
          <w:p w14:paraId="276303C6" w14:textId="77777777" w:rsidR="00085F16" w:rsidRPr="007D5D03" w:rsidRDefault="00085F16" w:rsidP="00085F16">
            <w:pPr>
              <w:jc w:val="both"/>
              <w:rPr>
                <w:rFonts w:eastAsia="Cambria"/>
                <w:sz w:val="16"/>
                <w:szCs w:val="16"/>
              </w:rPr>
            </w:pPr>
            <w:r w:rsidRPr="007D5D03">
              <w:rPr>
                <w:rFonts w:eastAsia="Cambria"/>
                <w:sz w:val="16"/>
                <w:szCs w:val="16"/>
              </w:rPr>
              <w:t>875,138</w:t>
            </w:r>
          </w:p>
        </w:tc>
        <w:tc>
          <w:tcPr>
            <w:tcW w:w="541" w:type="pct"/>
            <w:shd w:val="clear" w:color="auto" w:fill="DEEAF6" w:themeFill="accent1" w:themeFillTint="33"/>
            <w:noWrap/>
            <w:vAlign w:val="bottom"/>
            <w:hideMark/>
          </w:tcPr>
          <w:p w14:paraId="1C948EC2" w14:textId="77777777" w:rsidR="00085F16" w:rsidRPr="007D5D03" w:rsidRDefault="00085F16" w:rsidP="00085F16">
            <w:pPr>
              <w:jc w:val="both"/>
              <w:rPr>
                <w:rFonts w:eastAsia="Cambria"/>
                <w:sz w:val="16"/>
                <w:szCs w:val="16"/>
              </w:rPr>
            </w:pPr>
            <w:r w:rsidRPr="007D5D03">
              <w:rPr>
                <w:rFonts w:eastAsia="Cambria"/>
                <w:sz w:val="16"/>
                <w:szCs w:val="16"/>
              </w:rPr>
              <w:t>892,639</w:t>
            </w:r>
          </w:p>
        </w:tc>
        <w:tc>
          <w:tcPr>
            <w:tcW w:w="541" w:type="pct"/>
            <w:shd w:val="clear" w:color="auto" w:fill="DEEAF6" w:themeFill="accent1" w:themeFillTint="33"/>
          </w:tcPr>
          <w:p w14:paraId="0A357B6D" w14:textId="77777777" w:rsidR="00085F16" w:rsidRPr="007D5D03" w:rsidRDefault="00085F16" w:rsidP="00085F16">
            <w:pPr>
              <w:jc w:val="both"/>
              <w:rPr>
                <w:rFonts w:eastAsia="Cambria"/>
                <w:sz w:val="16"/>
                <w:szCs w:val="16"/>
              </w:rPr>
            </w:pPr>
            <w:r w:rsidRPr="007D5D03">
              <w:rPr>
                <w:rFonts w:eastAsia="Cambria"/>
                <w:sz w:val="16"/>
                <w:szCs w:val="16"/>
              </w:rPr>
              <w:t>889,508</w:t>
            </w:r>
          </w:p>
        </w:tc>
        <w:tc>
          <w:tcPr>
            <w:tcW w:w="540" w:type="pct"/>
            <w:shd w:val="clear" w:color="auto" w:fill="DEEAF6" w:themeFill="accent1" w:themeFillTint="33"/>
          </w:tcPr>
          <w:p w14:paraId="40CCBAFF" w14:textId="77777777" w:rsidR="00085F16" w:rsidRPr="007D5D03" w:rsidRDefault="00085F16" w:rsidP="00085F16">
            <w:pPr>
              <w:jc w:val="both"/>
              <w:rPr>
                <w:rFonts w:eastAsia="Cambria"/>
                <w:sz w:val="16"/>
                <w:szCs w:val="16"/>
              </w:rPr>
            </w:pPr>
            <w:r w:rsidRPr="007D5D03">
              <w:rPr>
                <w:rFonts w:eastAsia="Cambria"/>
                <w:sz w:val="16"/>
                <w:szCs w:val="16"/>
              </w:rPr>
              <w:t>888,103</w:t>
            </w:r>
          </w:p>
        </w:tc>
        <w:tc>
          <w:tcPr>
            <w:tcW w:w="539" w:type="pct"/>
            <w:shd w:val="clear" w:color="auto" w:fill="DEEAF6" w:themeFill="accent1" w:themeFillTint="33"/>
          </w:tcPr>
          <w:p w14:paraId="092E9D89" w14:textId="77777777" w:rsidR="00085F16" w:rsidRPr="007D5D03" w:rsidRDefault="00085F16" w:rsidP="00085F16">
            <w:pPr>
              <w:jc w:val="both"/>
              <w:rPr>
                <w:rFonts w:eastAsia="Cambria"/>
                <w:sz w:val="16"/>
                <w:szCs w:val="16"/>
              </w:rPr>
            </w:pPr>
            <w:r w:rsidRPr="007D5D03">
              <w:rPr>
                <w:rFonts w:eastAsia="Cambria"/>
                <w:sz w:val="16"/>
                <w:szCs w:val="16"/>
              </w:rPr>
              <w:t>890,007</w:t>
            </w:r>
          </w:p>
        </w:tc>
        <w:tc>
          <w:tcPr>
            <w:tcW w:w="539" w:type="pct"/>
            <w:tcBorders>
              <w:right w:val="single" w:sz="4" w:space="0" w:color="auto"/>
            </w:tcBorders>
            <w:shd w:val="clear" w:color="auto" w:fill="DEEAF6" w:themeFill="accent1" w:themeFillTint="33"/>
          </w:tcPr>
          <w:p w14:paraId="5C5E3C87" w14:textId="77777777" w:rsidR="00085F16" w:rsidRPr="007D5D03" w:rsidRDefault="00085F16" w:rsidP="00085F16">
            <w:pPr>
              <w:jc w:val="both"/>
              <w:rPr>
                <w:rFonts w:eastAsia="Cambria"/>
                <w:sz w:val="16"/>
                <w:szCs w:val="16"/>
              </w:rPr>
            </w:pPr>
            <w:r w:rsidRPr="007D5D03">
              <w:rPr>
                <w:rFonts w:eastAsia="Cambria"/>
                <w:sz w:val="16"/>
                <w:szCs w:val="16"/>
              </w:rPr>
              <w:t>893,020</w:t>
            </w:r>
          </w:p>
        </w:tc>
      </w:tr>
      <w:tr w:rsidR="00085F16" w:rsidRPr="007D5D03" w14:paraId="7833AA56" w14:textId="77777777" w:rsidTr="00085F16">
        <w:trPr>
          <w:trHeight w:val="70"/>
        </w:trPr>
        <w:tc>
          <w:tcPr>
            <w:tcW w:w="1758" w:type="pct"/>
            <w:tcBorders>
              <w:left w:val="single" w:sz="4" w:space="0" w:color="auto"/>
              <w:right w:val="single" w:sz="4" w:space="0" w:color="auto"/>
            </w:tcBorders>
            <w:shd w:val="clear" w:color="auto" w:fill="DEEAF6" w:themeFill="accent1" w:themeFillTint="33"/>
            <w:noWrap/>
            <w:vAlign w:val="bottom"/>
            <w:hideMark/>
          </w:tcPr>
          <w:p w14:paraId="3BE70A9A" w14:textId="77777777" w:rsidR="00085F16" w:rsidRPr="007D5D03" w:rsidRDefault="00085F16" w:rsidP="00085F16">
            <w:pPr>
              <w:jc w:val="both"/>
              <w:rPr>
                <w:rFonts w:eastAsia="Cambria"/>
                <w:b/>
                <w:bCs/>
                <w:sz w:val="16"/>
                <w:szCs w:val="16"/>
              </w:rPr>
            </w:pPr>
            <w:r>
              <w:rPr>
                <w:rFonts w:eastAsia="Cambria"/>
                <w:b/>
                <w:bCs/>
                <w:sz w:val="16"/>
                <w:szCs w:val="16"/>
              </w:rPr>
              <w:t>Popullësia në moshë pune</w:t>
            </w:r>
          </w:p>
        </w:tc>
        <w:tc>
          <w:tcPr>
            <w:tcW w:w="542" w:type="pct"/>
            <w:tcBorders>
              <w:left w:val="single" w:sz="4" w:space="0" w:color="auto"/>
            </w:tcBorders>
            <w:shd w:val="clear" w:color="auto" w:fill="DEEAF6" w:themeFill="accent1" w:themeFillTint="33"/>
            <w:noWrap/>
            <w:vAlign w:val="bottom"/>
            <w:hideMark/>
          </w:tcPr>
          <w:p w14:paraId="298E83F3" w14:textId="77777777" w:rsidR="00085F16" w:rsidRPr="007D5D03" w:rsidRDefault="00085F16" w:rsidP="00085F16">
            <w:pPr>
              <w:jc w:val="both"/>
              <w:rPr>
                <w:rFonts w:eastAsia="Cambria"/>
                <w:b/>
                <w:sz w:val="16"/>
                <w:szCs w:val="16"/>
              </w:rPr>
            </w:pPr>
            <w:r w:rsidRPr="007D5D03">
              <w:rPr>
                <w:rFonts w:eastAsia="Cambria"/>
                <w:b/>
                <w:sz w:val="16"/>
                <w:szCs w:val="16"/>
              </w:rPr>
              <w:t>1,184,529</w:t>
            </w:r>
          </w:p>
        </w:tc>
        <w:tc>
          <w:tcPr>
            <w:tcW w:w="541" w:type="pct"/>
            <w:shd w:val="clear" w:color="auto" w:fill="DEEAF6" w:themeFill="accent1" w:themeFillTint="33"/>
            <w:noWrap/>
            <w:vAlign w:val="bottom"/>
            <w:hideMark/>
          </w:tcPr>
          <w:p w14:paraId="5B68B820" w14:textId="77777777" w:rsidR="00085F16" w:rsidRPr="007D5D03" w:rsidRDefault="00085F16" w:rsidP="00085F16">
            <w:pPr>
              <w:jc w:val="both"/>
              <w:rPr>
                <w:rFonts w:eastAsia="Cambria"/>
                <w:b/>
                <w:sz w:val="16"/>
                <w:szCs w:val="16"/>
              </w:rPr>
            </w:pPr>
            <w:r w:rsidRPr="007D5D03">
              <w:rPr>
                <w:rFonts w:eastAsia="Cambria"/>
                <w:b/>
                <w:sz w:val="16"/>
                <w:szCs w:val="16"/>
              </w:rPr>
              <w:t>1,200,165</w:t>
            </w:r>
          </w:p>
        </w:tc>
        <w:tc>
          <w:tcPr>
            <w:tcW w:w="541" w:type="pct"/>
            <w:shd w:val="clear" w:color="auto" w:fill="DEEAF6" w:themeFill="accent1" w:themeFillTint="33"/>
          </w:tcPr>
          <w:p w14:paraId="5B6C7BF7" w14:textId="77777777" w:rsidR="00085F16" w:rsidRPr="007D5D03" w:rsidRDefault="00085F16" w:rsidP="00085F16">
            <w:pPr>
              <w:jc w:val="both"/>
              <w:rPr>
                <w:rFonts w:eastAsia="Cambria"/>
                <w:b/>
                <w:sz w:val="16"/>
                <w:szCs w:val="16"/>
              </w:rPr>
            </w:pPr>
            <w:r w:rsidRPr="007D5D03">
              <w:rPr>
                <w:rFonts w:eastAsia="Cambria"/>
                <w:b/>
                <w:sz w:val="16"/>
                <w:szCs w:val="16"/>
              </w:rPr>
              <w:t>1,198,273</w:t>
            </w:r>
          </w:p>
        </w:tc>
        <w:tc>
          <w:tcPr>
            <w:tcW w:w="540" w:type="pct"/>
            <w:shd w:val="clear" w:color="auto" w:fill="DEEAF6" w:themeFill="accent1" w:themeFillTint="33"/>
          </w:tcPr>
          <w:p w14:paraId="6BDC927D" w14:textId="77777777" w:rsidR="00085F16" w:rsidRPr="007D5D03" w:rsidRDefault="00085F16" w:rsidP="00085F16">
            <w:pPr>
              <w:jc w:val="both"/>
              <w:rPr>
                <w:rFonts w:eastAsia="Cambria"/>
                <w:b/>
                <w:sz w:val="16"/>
                <w:szCs w:val="16"/>
              </w:rPr>
            </w:pPr>
            <w:r w:rsidRPr="007D5D03">
              <w:rPr>
                <w:rFonts w:eastAsia="Cambria"/>
                <w:b/>
                <w:sz w:val="16"/>
                <w:szCs w:val="16"/>
              </w:rPr>
              <w:t>1,199,015</w:t>
            </w:r>
          </w:p>
        </w:tc>
        <w:tc>
          <w:tcPr>
            <w:tcW w:w="539" w:type="pct"/>
            <w:shd w:val="clear" w:color="auto" w:fill="DEEAF6" w:themeFill="accent1" w:themeFillTint="33"/>
          </w:tcPr>
          <w:p w14:paraId="07ECA47F" w14:textId="77777777" w:rsidR="00085F16" w:rsidRPr="007D5D03" w:rsidRDefault="00085F16" w:rsidP="00085F16">
            <w:pPr>
              <w:jc w:val="both"/>
              <w:rPr>
                <w:rFonts w:eastAsia="Cambria"/>
                <w:b/>
                <w:sz w:val="16"/>
                <w:szCs w:val="16"/>
              </w:rPr>
            </w:pPr>
            <w:r w:rsidRPr="007D5D03">
              <w:rPr>
                <w:rFonts w:eastAsia="Cambria"/>
                <w:b/>
                <w:sz w:val="16"/>
                <w:szCs w:val="16"/>
              </w:rPr>
              <w:t>1,207,216</w:t>
            </w:r>
          </w:p>
        </w:tc>
        <w:tc>
          <w:tcPr>
            <w:tcW w:w="539" w:type="pct"/>
            <w:tcBorders>
              <w:right w:val="single" w:sz="4" w:space="0" w:color="auto"/>
            </w:tcBorders>
            <w:shd w:val="clear" w:color="auto" w:fill="DEEAF6" w:themeFill="accent1" w:themeFillTint="33"/>
          </w:tcPr>
          <w:p w14:paraId="1C6F62F2" w14:textId="77777777" w:rsidR="00085F16" w:rsidRPr="007D5D03" w:rsidRDefault="00085F16" w:rsidP="00085F16">
            <w:pPr>
              <w:jc w:val="both"/>
              <w:rPr>
                <w:rFonts w:eastAsia="Cambria"/>
                <w:b/>
                <w:sz w:val="16"/>
                <w:szCs w:val="16"/>
              </w:rPr>
            </w:pPr>
            <w:r w:rsidRPr="007D5D03">
              <w:rPr>
                <w:rFonts w:eastAsia="Cambria"/>
                <w:b/>
                <w:sz w:val="16"/>
                <w:szCs w:val="16"/>
              </w:rPr>
              <w:t>1,198,308</w:t>
            </w:r>
          </w:p>
        </w:tc>
      </w:tr>
      <w:tr w:rsidR="00085F16" w:rsidRPr="007D5D03" w14:paraId="253B820E" w14:textId="77777777" w:rsidTr="00085F16">
        <w:trPr>
          <w:trHeight w:val="258"/>
        </w:trPr>
        <w:tc>
          <w:tcPr>
            <w:tcW w:w="1758" w:type="pct"/>
            <w:tcBorders>
              <w:left w:val="single" w:sz="4" w:space="0" w:color="auto"/>
              <w:right w:val="single" w:sz="4" w:space="0" w:color="auto"/>
            </w:tcBorders>
            <w:shd w:val="clear" w:color="auto" w:fill="DEEAF6" w:themeFill="accent1" w:themeFillTint="33"/>
            <w:noWrap/>
            <w:vAlign w:val="bottom"/>
            <w:hideMark/>
          </w:tcPr>
          <w:p w14:paraId="711AAFEF" w14:textId="77777777" w:rsidR="00085F16" w:rsidRPr="007D5D03" w:rsidRDefault="00085F16" w:rsidP="00085F16">
            <w:pPr>
              <w:jc w:val="right"/>
              <w:rPr>
                <w:rFonts w:eastAsia="Cambria"/>
                <w:sz w:val="16"/>
                <w:szCs w:val="16"/>
              </w:rPr>
            </w:pPr>
            <w:r>
              <w:rPr>
                <w:rFonts w:eastAsia="Cambria"/>
                <w:sz w:val="16"/>
                <w:szCs w:val="16"/>
              </w:rPr>
              <w:t>Meshkuj</w:t>
            </w:r>
          </w:p>
        </w:tc>
        <w:tc>
          <w:tcPr>
            <w:tcW w:w="542" w:type="pct"/>
            <w:tcBorders>
              <w:left w:val="single" w:sz="4" w:space="0" w:color="auto"/>
            </w:tcBorders>
            <w:shd w:val="clear" w:color="auto" w:fill="DEEAF6" w:themeFill="accent1" w:themeFillTint="33"/>
            <w:noWrap/>
            <w:vAlign w:val="bottom"/>
            <w:hideMark/>
          </w:tcPr>
          <w:p w14:paraId="27DC460F" w14:textId="77777777" w:rsidR="00085F16" w:rsidRPr="007D5D03" w:rsidRDefault="00085F16" w:rsidP="00085F16">
            <w:pPr>
              <w:jc w:val="both"/>
              <w:rPr>
                <w:rFonts w:eastAsia="Cambria"/>
                <w:sz w:val="16"/>
                <w:szCs w:val="16"/>
              </w:rPr>
            </w:pPr>
            <w:r w:rsidRPr="007D5D03">
              <w:rPr>
                <w:rFonts w:eastAsia="Cambria"/>
                <w:sz w:val="16"/>
                <w:szCs w:val="16"/>
              </w:rPr>
              <w:t>598,639</w:t>
            </w:r>
          </w:p>
        </w:tc>
        <w:tc>
          <w:tcPr>
            <w:tcW w:w="541" w:type="pct"/>
            <w:shd w:val="clear" w:color="auto" w:fill="DEEAF6" w:themeFill="accent1" w:themeFillTint="33"/>
            <w:noWrap/>
            <w:vAlign w:val="bottom"/>
            <w:hideMark/>
          </w:tcPr>
          <w:p w14:paraId="48786605" w14:textId="77777777" w:rsidR="00085F16" w:rsidRPr="007D5D03" w:rsidRDefault="00085F16" w:rsidP="00085F16">
            <w:pPr>
              <w:jc w:val="both"/>
              <w:rPr>
                <w:rFonts w:eastAsia="Cambria"/>
                <w:sz w:val="16"/>
                <w:szCs w:val="16"/>
              </w:rPr>
            </w:pPr>
            <w:r w:rsidRPr="007D5D03">
              <w:rPr>
                <w:rFonts w:eastAsia="Cambria"/>
                <w:sz w:val="16"/>
                <w:szCs w:val="16"/>
              </w:rPr>
              <w:t>604,443</w:t>
            </w:r>
          </w:p>
        </w:tc>
        <w:tc>
          <w:tcPr>
            <w:tcW w:w="541" w:type="pct"/>
            <w:shd w:val="clear" w:color="auto" w:fill="DEEAF6" w:themeFill="accent1" w:themeFillTint="33"/>
          </w:tcPr>
          <w:p w14:paraId="4DEEACFA" w14:textId="77777777" w:rsidR="00085F16" w:rsidRPr="007D5D03" w:rsidRDefault="00085F16" w:rsidP="00085F16">
            <w:pPr>
              <w:jc w:val="both"/>
              <w:rPr>
                <w:rFonts w:eastAsia="Cambria"/>
                <w:sz w:val="16"/>
                <w:szCs w:val="16"/>
              </w:rPr>
            </w:pPr>
            <w:r w:rsidRPr="007D5D03">
              <w:rPr>
                <w:rFonts w:eastAsia="Cambria"/>
                <w:sz w:val="16"/>
                <w:szCs w:val="16"/>
              </w:rPr>
              <w:t>600,092</w:t>
            </w:r>
          </w:p>
        </w:tc>
        <w:tc>
          <w:tcPr>
            <w:tcW w:w="540" w:type="pct"/>
            <w:shd w:val="clear" w:color="auto" w:fill="DEEAF6" w:themeFill="accent1" w:themeFillTint="33"/>
          </w:tcPr>
          <w:p w14:paraId="586EC085" w14:textId="77777777" w:rsidR="00085F16" w:rsidRPr="007D5D03" w:rsidRDefault="00085F16" w:rsidP="00085F16">
            <w:pPr>
              <w:jc w:val="both"/>
              <w:rPr>
                <w:rFonts w:eastAsia="Cambria"/>
                <w:sz w:val="16"/>
                <w:szCs w:val="16"/>
              </w:rPr>
            </w:pPr>
            <w:r w:rsidRPr="007D5D03">
              <w:rPr>
                <w:rFonts w:eastAsia="Cambria"/>
                <w:sz w:val="16"/>
                <w:szCs w:val="16"/>
              </w:rPr>
              <w:t>602,854</w:t>
            </w:r>
          </w:p>
        </w:tc>
        <w:tc>
          <w:tcPr>
            <w:tcW w:w="539" w:type="pct"/>
            <w:shd w:val="clear" w:color="auto" w:fill="DEEAF6" w:themeFill="accent1" w:themeFillTint="33"/>
          </w:tcPr>
          <w:p w14:paraId="2BDC9605" w14:textId="77777777" w:rsidR="00085F16" w:rsidRPr="007D5D03" w:rsidRDefault="00085F16" w:rsidP="00085F16">
            <w:pPr>
              <w:jc w:val="both"/>
              <w:rPr>
                <w:rFonts w:eastAsia="Cambria"/>
                <w:sz w:val="16"/>
                <w:szCs w:val="16"/>
              </w:rPr>
            </w:pPr>
            <w:r w:rsidRPr="007D5D03">
              <w:rPr>
                <w:rFonts w:eastAsia="Cambria"/>
                <w:sz w:val="16"/>
                <w:szCs w:val="16"/>
              </w:rPr>
              <w:t>607,921</w:t>
            </w:r>
          </w:p>
        </w:tc>
        <w:tc>
          <w:tcPr>
            <w:tcW w:w="539" w:type="pct"/>
            <w:tcBorders>
              <w:right w:val="single" w:sz="4" w:space="0" w:color="auto"/>
            </w:tcBorders>
            <w:shd w:val="clear" w:color="auto" w:fill="DEEAF6" w:themeFill="accent1" w:themeFillTint="33"/>
          </w:tcPr>
          <w:p w14:paraId="48740047" w14:textId="77777777" w:rsidR="00085F16" w:rsidRPr="007D5D03" w:rsidRDefault="00085F16" w:rsidP="00085F16">
            <w:pPr>
              <w:jc w:val="both"/>
              <w:rPr>
                <w:rFonts w:eastAsia="Cambria"/>
                <w:sz w:val="16"/>
                <w:szCs w:val="16"/>
              </w:rPr>
            </w:pPr>
            <w:r w:rsidRPr="007D5D03">
              <w:rPr>
                <w:rFonts w:eastAsia="Cambria"/>
                <w:sz w:val="16"/>
                <w:szCs w:val="16"/>
              </w:rPr>
              <w:t>600,061</w:t>
            </w:r>
          </w:p>
        </w:tc>
      </w:tr>
      <w:tr w:rsidR="00085F16" w:rsidRPr="007D5D03" w14:paraId="79C90DC8" w14:textId="77777777" w:rsidTr="00085F16">
        <w:trPr>
          <w:trHeight w:val="80"/>
        </w:trPr>
        <w:tc>
          <w:tcPr>
            <w:tcW w:w="1758" w:type="pct"/>
            <w:tcBorders>
              <w:left w:val="single" w:sz="4" w:space="0" w:color="auto"/>
              <w:right w:val="single" w:sz="4" w:space="0" w:color="auto"/>
            </w:tcBorders>
            <w:shd w:val="clear" w:color="auto" w:fill="DEEAF6" w:themeFill="accent1" w:themeFillTint="33"/>
            <w:noWrap/>
            <w:vAlign w:val="bottom"/>
            <w:hideMark/>
          </w:tcPr>
          <w:p w14:paraId="76F919E4" w14:textId="77777777" w:rsidR="00085F16" w:rsidRPr="007D5D03" w:rsidRDefault="00085F16" w:rsidP="00085F16">
            <w:pPr>
              <w:jc w:val="right"/>
              <w:rPr>
                <w:rFonts w:eastAsia="Cambria"/>
                <w:sz w:val="16"/>
                <w:szCs w:val="16"/>
              </w:rPr>
            </w:pPr>
            <w:r w:rsidRPr="007D5D03">
              <w:rPr>
                <w:rFonts w:eastAsia="Cambria"/>
                <w:sz w:val="16"/>
                <w:szCs w:val="16"/>
              </w:rPr>
              <w:t>Fe</w:t>
            </w:r>
            <w:r>
              <w:rPr>
                <w:rFonts w:eastAsia="Cambria"/>
                <w:sz w:val="16"/>
                <w:szCs w:val="16"/>
              </w:rPr>
              <w:t>mra</w:t>
            </w:r>
          </w:p>
        </w:tc>
        <w:tc>
          <w:tcPr>
            <w:tcW w:w="542" w:type="pct"/>
            <w:tcBorders>
              <w:left w:val="single" w:sz="4" w:space="0" w:color="auto"/>
            </w:tcBorders>
            <w:shd w:val="clear" w:color="auto" w:fill="DEEAF6" w:themeFill="accent1" w:themeFillTint="33"/>
            <w:noWrap/>
            <w:vAlign w:val="bottom"/>
            <w:hideMark/>
          </w:tcPr>
          <w:p w14:paraId="4D63329E" w14:textId="77777777" w:rsidR="00085F16" w:rsidRPr="007D5D03" w:rsidRDefault="00085F16" w:rsidP="00085F16">
            <w:pPr>
              <w:jc w:val="both"/>
              <w:rPr>
                <w:rFonts w:eastAsia="Cambria"/>
                <w:sz w:val="16"/>
                <w:szCs w:val="16"/>
              </w:rPr>
            </w:pPr>
            <w:r w:rsidRPr="007D5D03">
              <w:rPr>
                <w:rFonts w:eastAsia="Cambria"/>
                <w:sz w:val="16"/>
                <w:szCs w:val="16"/>
              </w:rPr>
              <w:t>585,890</w:t>
            </w:r>
          </w:p>
        </w:tc>
        <w:tc>
          <w:tcPr>
            <w:tcW w:w="541" w:type="pct"/>
            <w:shd w:val="clear" w:color="auto" w:fill="DEEAF6" w:themeFill="accent1" w:themeFillTint="33"/>
            <w:noWrap/>
            <w:vAlign w:val="bottom"/>
            <w:hideMark/>
          </w:tcPr>
          <w:p w14:paraId="7199BBBA" w14:textId="77777777" w:rsidR="00085F16" w:rsidRPr="007D5D03" w:rsidRDefault="00085F16" w:rsidP="00085F16">
            <w:pPr>
              <w:jc w:val="both"/>
              <w:rPr>
                <w:rFonts w:eastAsia="Cambria"/>
                <w:sz w:val="16"/>
                <w:szCs w:val="16"/>
              </w:rPr>
            </w:pPr>
            <w:r w:rsidRPr="007D5D03">
              <w:rPr>
                <w:rFonts w:eastAsia="Cambria"/>
                <w:sz w:val="16"/>
                <w:szCs w:val="16"/>
              </w:rPr>
              <w:t>595,722</w:t>
            </w:r>
          </w:p>
        </w:tc>
        <w:tc>
          <w:tcPr>
            <w:tcW w:w="541" w:type="pct"/>
            <w:shd w:val="clear" w:color="auto" w:fill="DEEAF6" w:themeFill="accent1" w:themeFillTint="33"/>
          </w:tcPr>
          <w:p w14:paraId="31C3B0BA" w14:textId="77777777" w:rsidR="00085F16" w:rsidRPr="007D5D03" w:rsidRDefault="00085F16" w:rsidP="00085F16">
            <w:pPr>
              <w:jc w:val="both"/>
              <w:rPr>
                <w:rFonts w:eastAsia="Cambria"/>
                <w:sz w:val="16"/>
                <w:szCs w:val="16"/>
              </w:rPr>
            </w:pPr>
            <w:r w:rsidRPr="007D5D03">
              <w:rPr>
                <w:rFonts w:eastAsia="Cambria"/>
                <w:sz w:val="16"/>
                <w:szCs w:val="16"/>
              </w:rPr>
              <w:t>590,180</w:t>
            </w:r>
          </w:p>
        </w:tc>
        <w:tc>
          <w:tcPr>
            <w:tcW w:w="540" w:type="pct"/>
            <w:shd w:val="clear" w:color="auto" w:fill="DEEAF6" w:themeFill="accent1" w:themeFillTint="33"/>
          </w:tcPr>
          <w:p w14:paraId="3B5FA79D" w14:textId="77777777" w:rsidR="00085F16" w:rsidRPr="007D5D03" w:rsidRDefault="00085F16" w:rsidP="00085F16">
            <w:pPr>
              <w:jc w:val="both"/>
              <w:rPr>
                <w:rFonts w:eastAsia="Cambria"/>
                <w:sz w:val="16"/>
                <w:szCs w:val="16"/>
              </w:rPr>
            </w:pPr>
            <w:r w:rsidRPr="007D5D03">
              <w:rPr>
                <w:rFonts w:eastAsia="Cambria"/>
                <w:sz w:val="16"/>
                <w:szCs w:val="16"/>
              </w:rPr>
              <w:t>596,161</w:t>
            </w:r>
          </w:p>
        </w:tc>
        <w:tc>
          <w:tcPr>
            <w:tcW w:w="539" w:type="pct"/>
            <w:shd w:val="clear" w:color="auto" w:fill="DEEAF6" w:themeFill="accent1" w:themeFillTint="33"/>
          </w:tcPr>
          <w:p w14:paraId="5FADF5EB" w14:textId="77777777" w:rsidR="00085F16" w:rsidRPr="007D5D03" w:rsidRDefault="00085F16" w:rsidP="00085F16">
            <w:pPr>
              <w:jc w:val="both"/>
              <w:rPr>
                <w:rFonts w:eastAsia="Cambria"/>
                <w:sz w:val="16"/>
                <w:szCs w:val="16"/>
              </w:rPr>
            </w:pPr>
            <w:r w:rsidRPr="007D5D03">
              <w:rPr>
                <w:rFonts w:eastAsia="Cambria"/>
                <w:sz w:val="16"/>
                <w:szCs w:val="16"/>
              </w:rPr>
              <w:t>599,295</w:t>
            </w:r>
          </w:p>
        </w:tc>
        <w:tc>
          <w:tcPr>
            <w:tcW w:w="539" w:type="pct"/>
            <w:tcBorders>
              <w:right w:val="single" w:sz="4" w:space="0" w:color="auto"/>
            </w:tcBorders>
            <w:shd w:val="clear" w:color="auto" w:fill="DEEAF6" w:themeFill="accent1" w:themeFillTint="33"/>
          </w:tcPr>
          <w:p w14:paraId="2FC027F1" w14:textId="77777777" w:rsidR="00085F16" w:rsidRPr="007D5D03" w:rsidRDefault="00085F16" w:rsidP="00085F16">
            <w:pPr>
              <w:jc w:val="both"/>
              <w:rPr>
                <w:rFonts w:eastAsia="Cambria"/>
                <w:sz w:val="16"/>
                <w:szCs w:val="16"/>
              </w:rPr>
            </w:pPr>
            <w:r w:rsidRPr="007D5D03">
              <w:rPr>
                <w:rFonts w:eastAsia="Cambria"/>
                <w:sz w:val="16"/>
                <w:szCs w:val="16"/>
              </w:rPr>
              <w:t>598,247</w:t>
            </w:r>
          </w:p>
        </w:tc>
      </w:tr>
      <w:tr w:rsidR="00085F16" w:rsidRPr="007D5D03" w14:paraId="1A9BAB12" w14:textId="77777777" w:rsidTr="00085F16">
        <w:trPr>
          <w:trHeight w:val="70"/>
        </w:trPr>
        <w:tc>
          <w:tcPr>
            <w:tcW w:w="1758" w:type="pct"/>
            <w:tcBorders>
              <w:left w:val="single" w:sz="4" w:space="0" w:color="auto"/>
              <w:right w:val="single" w:sz="4" w:space="0" w:color="auto"/>
            </w:tcBorders>
            <w:shd w:val="clear" w:color="auto" w:fill="DEEAF6" w:themeFill="accent1" w:themeFillTint="33"/>
            <w:noWrap/>
            <w:vAlign w:val="bottom"/>
            <w:hideMark/>
          </w:tcPr>
          <w:p w14:paraId="3122AB91" w14:textId="77777777" w:rsidR="00085F16" w:rsidRPr="007D5D03" w:rsidRDefault="00085F16" w:rsidP="00085F16">
            <w:pPr>
              <w:jc w:val="both"/>
              <w:rPr>
                <w:rFonts w:eastAsia="Cambria"/>
                <w:b/>
                <w:bCs/>
                <w:sz w:val="16"/>
                <w:szCs w:val="16"/>
              </w:rPr>
            </w:pPr>
            <w:r>
              <w:rPr>
                <w:rFonts w:eastAsia="Cambria"/>
                <w:b/>
                <w:bCs/>
                <w:sz w:val="16"/>
                <w:szCs w:val="16"/>
              </w:rPr>
              <w:t>Forca e Punës</w:t>
            </w:r>
          </w:p>
        </w:tc>
        <w:tc>
          <w:tcPr>
            <w:tcW w:w="542" w:type="pct"/>
            <w:tcBorders>
              <w:left w:val="single" w:sz="4" w:space="0" w:color="auto"/>
            </w:tcBorders>
            <w:shd w:val="clear" w:color="auto" w:fill="DEEAF6" w:themeFill="accent1" w:themeFillTint="33"/>
            <w:noWrap/>
            <w:vAlign w:val="bottom"/>
            <w:hideMark/>
          </w:tcPr>
          <w:p w14:paraId="1A1CA189" w14:textId="77777777" w:rsidR="00085F16" w:rsidRPr="007D5D03" w:rsidRDefault="00085F16" w:rsidP="00085F16">
            <w:pPr>
              <w:jc w:val="both"/>
              <w:rPr>
                <w:rFonts w:eastAsia="Cambria"/>
                <w:b/>
                <w:sz w:val="16"/>
                <w:szCs w:val="16"/>
              </w:rPr>
            </w:pPr>
            <w:r w:rsidRPr="007D5D03">
              <w:rPr>
                <w:rFonts w:eastAsia="Cambria"/>
                <w:b/>
                <w:sz w:val="16"/>
                <w:szCs w:val="16"/>
              </w:rPr>
              <w:t>457,831</w:t>
            </w:r>
          </w:p>
        </w:tc>
        <w:tc>
          <w:tcPr>
            <w:tcW w:w="541" w:type="pct"/>
            <w:shd w:val="clear" w:color="auto" w:fill="DEEAF6" w:themeFill="accent1" w:themeFillTint="33"/>
            <w:noWrap/>
            <w:vAlign w:val="bottom"/>
            <w:hideMark/>
          </w:tcPr>
          <w:p w14:paraId="576DBFA9" w14:textId="77777777" w:rsidR="00085F16" w:rsidRPr="007D5D03" w:rsidRDefault="00085F16" w:rsidP="00085F16">
            <w:pPr>
              <w:jc w:val="both"/>
              <w:rPr>
                <w:rFonts w:eastAsia="Cambria"/>
                <w:b/>
                <w:sz w:val="16"/>
                <w:szCs w:val="16"/>
              </w:rPr>
            </w:pPr>
            <w:r w:rsidRPr="007D5D03">
              <w:rPr>
                <w:rFonts w:eastAsia="Cambria"/>
                <w:b/>
                <w:sz w:val="16"/>
                <w:szCs w:val="16"/>
              </w:rPr>
              <w:t>513,678</w:t>
            </w:r>
          </w:p>
        </w:tc>
        <w:tc>
          <w:tcPr>
            <w:tcW w:w="541" w:type="pct"/>
            <w:shd w:val="clear" w:color="auto" w:fill="DEEAF6" w:themeFill="accent1" w:themeFillTint="33"/>
          </w:tcPr>
          <w:p w14:paraId="285EADC2" w14:textId="77777777" w:rsidR="00085F16" w:rsidRPr="007D5D03" w:rsidRDefault="00085F16" w:rsidP="00085F16">
            <w:pPr>
              <w:jc w:val="both"/>
              <w:rPr>
                <w:rFonts w:eastAsia="Cambria"/>
                <w:b/>
                <w:sz w:val="16"/>
                <w:szCs w:val="16"/>
              </w:rPr>
            </w:pPr>
            <w:r w:rsidRPr="007D5D03">
              <w:rPr>
                <w:rFonts w:eastAsia="Cambria"/>
                <w:b/>
                <w:sz w:val="16"/>
                <w:szCs w:val="16"/>
              </w:rPr>
              <w:t>490,103</w:t>
            </w:r>
          </w:p>
        </w:tc>
        <w:tc>
          <w:tcPr>
            <w:tcW w:w="540" w:type="pct"/>
            <w:shd w:val="clear" w:color="auto" w:fill="DEEAF6" w:themeFill="accent1" w:themeFillTint="33"/>
          </w:tcPr>
          <w:p w14:paraId="533CAC83" w14:textId="77777777" w:rsidR="00085F16" w:rsidRPr="007D5D03" w:rsidRDefault="00085F16" w:rsidP="00085F16">
            <w:pPr>
              <w:jc w:val="both"/>
              <w:rPr>
                <w:rFonts w:eastAsia="Cambria"/>
                <w:b/>
                <w:sz w:val="16"/>
                <w:szCs w:val="16"/>
              </w:rPr>
            </w:pPr>
            <w:r w:rsidRPr="007D5D03">
              <w:rPr>
                <w:rFonts w:eastAsia="Cambria"/>
                <w:b/>
                <w:sz w:val="16"/>
                <w:szCs w:val="16"/>
              </w:rPr>
              <w:t>484,160</w:t>
            </w:r>
          </w:p>
        </w:tc>
        <w:tc>
          <w:tcPr>
            <w:tcW w:w="539" w:type="pct"/>
            <w:shd w:val="clear" w:color="auto" w:fill="DEEAF6" w:themeFill="accent1" w:themeFillTint="33"/>
          </w:tcPr>
          <w:p w14:paraId="59B310E7" w14:textId="77777777" w:rsidR="00085F16" w:rsidRPr="007D5D03" w:rsidRDefault="00085F16" w:rsidP="00085F16">
            <w:pPr>
              <w:jc w:val="both"/>
              <w:rPr>
                <w:rFonts w:eastAsia="Cambria"/>
                <w:b/>
                <w:sz w:val="16"/>
                <w:szCs w:val="16"/>
              </w:rPr>
            </w:pPr>
            <w:r w:rsidRPr="007D5D03">
              <w:rPr>
                <w:rFonts w:eastAsia="Cambria"/>
                <w:b/>
                <w:sz w:val="16"/>
                <w:szCs w:val="16"/>
              </w:rPr>
              <w:t>466,731</w:t>
            </w:r>
          </w:p>
        </w:tc>
        <w:tc>
          <w:tcPr>
            <w:tcW w:w="539" w:type="pct"/>
            <w:tcBorders>
              <w:right w:val="single" w:sz="4" w:space="0" w:color="auto"/>
            </w:tcBorders>
            <w:shd w:val="clear" w:color="auto" w:fill="DEEAF6" w:themeFill="accent1" w:themeFillTint="33"/>
          </w:tcPr>
          <w:p w14:paraId="459C5CA9" w14:textId="77777777" w:rsidR="00085F16" w:rsidRPr="007D5D03" w:rsidRDefault="00085F16" w:rsidP="00085F16">
            <w:pPr>
              <w:jc w:val="both"/>
              <w:rPr>
                <w:rFonts w:eastAsia="Cambria"/>
                <w:b/>
                <w:sz w:val="16"/>
                <w:szCs w:val="16"/>
              </w:rPr>
            </w:pPr>
            <w:r w:rsidRPr="007D5D03">
              <w:rPr>
                <w:rFonts w:eastAsia="Cambria"/>
                <w:b/>
                <w:sz w:val="16"/>
                <w:szCs w:val="16"/>
              </w:rPr>
              <w:t>478,652</w:t>
            </w:r>
          </w:p>
        </w:tc>
      </w:tr>
      <w:tr w:rsidR="00085F16" w:rsidRPr="007D5D03" w14:paraId="26DCDF57" w14:textId="77777777" w:rsidTr="00085F16">
        <w:trPr>
          <w:trHeight w:val="258"/>
        </w:trPr>
        <w:tc>
          <w:tcPr>
            <w:tcW w:w="1758" w:type="pct"/>
            <w:tcBorders>
              <w:left w:val="single" w:sz="4" w:space="0" w:color="auto"/>
              <w:right w:val="single" w:sz="4" w:space="0" w:color="auto"/>
            </w:tcBorders>
            <w:shd w:val="clear" w:color="auto" w:fill="DEEAF6" w:themeFill="accent1" w:themeFillTint="33"/>
            <w:noWrap/>
            <w:vAlign w:val="bottom"/>
            <w:hideMark/>
          </w:tcPr>
          <w:p w14:paraId="60FE85B0" w14:textId="77777777" w:rsidR="00085F16" w:rsidRPr="007D5D03" w:rsidRDefault="00085F16" w:rsidP="00085F16">
            <w:pPr>
              <w:jc w:val="right"/>
              <w:rPr>
                <w:rFonts w:eastAsia="Cambria"/>
                <w:sz w:val="16"/>
                <w:szCs w:val="16"/>
              </w:rPr>
            </w:pPr>
            <w:r>
              <w:rPr>
                <w:rFonts w:eastAsia="Cambria"/>
                <w:sz w:val="16"/>
                <w:szCs w:val="16"/>
              </w:rPr>
              <w:t>Meshkuj</w:t>
            </w:r>
          </w:p>
        </w:tc>
        <w:tc>
          <w:tcPr>
            <w:tcW w:w="542" w:type="pct"/>
            <w:tcBorders>
              <w:left w:val="single" w:sz="4" w:space="0" w:color="auto"/>
            </w:tcBorders>
            <w:shd w:val="clear" w:color="auto" w:fill="DEEAF6" w:themeFill="accent1" w:themeFillTint="33"/>
            <w:noWrap/>
            <w:vAlign w:val="bottom"/>
            <w:hideMark/>
          </w:tcPr>
          <w:p w14:paraId="1F5B9AF7" w14:textId="77777777" w:rsidR="00085F16" w:rsidRPr="007D5D03" w:rsidRDefault="00085F16" w:rsidP="00085F16">
            <w:pPr>
              <w:jc w:val="both"/>
              <w:rPr>
                <w:rFonts w:eastAsia="Cambria"/>
                <w:sz w:val="16"/>
                <w:szCs w:val="16"/>
              </w:rPr>
            </w:pPr>
            <w:r w:rsidRPr="007D5D03">
              <w:rPr>
                <w:rFonts w:eastAsia="Cambria"/>
                <w:sz w:val="16"/>
                <w:szCs w:val="16"/>
              </w:rPr>
              <w:t>348,764</w:t>
            </w:r>
          </w:p>
        </w:tc>
        <w:tc>
          <w:tcPr>
            <w:tcW w:w="541" w:type="pct"/>
            <w:shd w:val="clear" w:color="auto" w:fill="DEEAF6" w:themeFill="accent1" w:themeFillTint="33"/>
            <w:noWrap/>
            <w:vAlign w:val="bottom"/>
            <w:hideMark/>
          </w:tcPr>
          <w:p w14:paraId="1854AA08" w14:textId="77777777" w:rsidR="00085F16" w:rsidRPr="007D5D03" w:rsidRDefault="00085F16" w:rsidP="00085F16">
            <w:pPr>
              <w:jc w:val="both"/>
              <w:rPr>
                <w:rFonts w:eastAsia="Cambria"/>
                <w:sz w:val="16"/>
                <w:szCs w:val="16"/>
              </w:rPr>
            </w:pPr>
            <w:r w:rsidRPr="007D5D03">
              <w:rPr>
                <w:rFonts w:eastAsia="Cambria"/>
                <w:sz w:val="16"/>
                <w:szCs w:val="16"/>
              </w:rPr>
              <w:t>394,651</w:t>
            </w:r>
          </w:p>
        </w:tc>
        <w:tc>
          <w:tcPr>
            <w:tcW w:w="541" w:type="pct"/>
            <w:shd w:val="clear" w:color="auto" w:fill="DEEAF6" w:themeFill="accent1" w:themeFillTint="33"/>
          </w:tcPr>
          <w:p w14:paraId="030BC682" w14:textId="77777777" w:rsidR="00085F16" w:rsidRPr="007D5D03" w:rsidRDefault="00085F16" w:rsidP="00085F16">
            <w:pPr>
              <w:jc w:val="both"/>
              <w:rPr>
                <w:rFonts w:eastAsia="Cambria"/>
                <w:sz w:val="16"/>
                <w:szCs w:val="16"/>
              </w:rPr>
            </w:pPr>
            <w:r w:rsidRPr="007D5D03">
              <w:rPr>
                <w:rFonts w:eastAsia="Cambria"/>
                <w:sz w:val="16"/>
                <w:szCs w:val="16"/>
              </w:rPr>
              <w:t>379,763</w:t>
            </w:r>
          </w:p>
        </w:tc>
        <w:tc>
          <w:tcPr>
            <w:tcW w:w="540" w:type="pct"/>
            <w:shd w:val="clear" w:color="auto" w:fill="DEEAF6" w:themeFill="accent1" w:themeFillTint="33"/>
          </w:tcPr>
          <w:p w14:paraId="75CB1548" w14:textId="77777777" w:rsidR="00085F16" w:rsidRPr="007D5D03" w:rsidRDefault="00085F16" w:rsidP="00085F16">
            <w:pPr>
              <w:jc w:val="both"/>
              <w:rPr>
                <w:rFonts w:eastAsia="Cambria"/>
                <w:sz w:val="16"/>
                <w:szCs w:val="16"/>
              </w:rPr>
            </w:pPr>
            <w:r w:rsidRPr="007D5D03">
              <w:rPr>
                <w:rFonts w:eastAsia="Cambria"/>
                <w:sz w:val="16"/>
                <w:szCs w:val="16"/>
              </w:rPr>
              <w:t>380,690</w:t>
            </w:r>
          </w:p>
        </w:tc>
        <w:tc>
          <w:tcPr>
            <w:tcW w:w="539" w:type="pct"/>
            <w:shd w:val="clear" w:color="auto" w:fill="DEEAF6" w:themeFill="accent1" w:themeFillTint="33"/>
          </w:tcPr>
          <w:p w14:paraId="0AFC63DF" w14:textId="77777777" w:rsidR="00085F16" w:rsidRPr="007D5D03" w:rsidRDefault="00085F16" w:rsidP="00085F16">
            <w:pPr>
              <w:jc w:val="both"/>
              <w:rPr>
                <w:rFonts w:eastAsia="Cambria"/>
                <w:sz w:val="16"/>
                <w:szCs w:val="16"/>
              </w:rPr>
            </w:pPr>
            <w:r w:rsidRPr="007D5D03">
              <w:rPr>
                <w:rFonts w:eastAsia="Cambria"/>
                <w:sz w:val="16"/>
                <w:szCs w:val="16"/>
              </w:rPr>
              <w:t>350,095</w:t>
            </w:r>
          </w:p>
        </w:tc>
        <w:tc>
          <w:tcPr>
            <w:tcW w:w="539" w:type="pct"/>
            <w:tcBorders>
              <w:right w:val="single" w:sz="4" w:space="0" w:color="auto"/>
            </w:tcBorders>
            <w:shd w:val="clear" w:color="auto" w:fill="DEEAF6" w:themeFill="accent1" w:themeFillTint="33"/>
          </w:tcPr>
          <w:p w14:paraId="0F901E08" w14:textId="77777777" w:rsidR="00085F16" w:rsidRPr="007D5D03" w:rsidRDefault="00085F16" w:rsidP="00085F16">
            <w:pPr>
              <w:jc w:val="both"/>
              <w:rPr>
                <w:rFonts w:eastAsia="Cambria"/>
                <w:sz w:val="16"/>
                <w:szCs w:val="16"/>
              </w:rPr>
            </w:pPr>
            <w:r w:rsidRPr="007D5D03">
              <w:rPr>
                <w:rFonts w:eastAsia="Cambria"/>
                <w:sz w:val="16"/>
                <w:szCs w:val="16"/>
              </w:rPr>
              <w:t>356,731</w:t>
            </w:r>
          </w:p>
        </w:tc>
      </w:tr>
      <w:tr w:rsidR="00085F16" w:rsidRPr="007D5D03" w14:paraId="1E1D5F31" w14:textId="77777777" w:rsidTr="00085F16">
        <w:trPr>
          <w:trHeight w:val="80"/>
        </w:trPr>
        <w:tc>
          <w:tcPr>
            <w:tcW w:w="1758" w:type="pct"/>
            <w:tcBorders>
              <w:left w:val="single" w:sz="4" w:space="0" w:color="auto"/>
              <w:right w:val="single" w:sz="4" w:space="0" w:color="auto"/>
            </w:tcBorders>
            <w:shd w:val="clear" w:color="auto" w:fill="DEEAF6" w:themeFill="accent1" w:themeFillTint="33"/>
            <w:noWrap/>
            <w:vAlign w:val="bottom"/>
            <w:hideMark/>
          </w:tcPr>
          <w:p w14:paraId="0270DC8F" w14:textId="77777777" w:rsidR="00085F16" w:rsidRPr="007D5D03" w:rsidRDefault="00085F16" w:rsidP="00085F16">
            <w:pPr>
              <w:jc w:val="right"/>
              <w:rPr>
                <w:rFonts w:eastAsia="Cambria"/>
                <w:sz w:val="16"/>
                <w:szCs w:val="16"/>
              </w:rPr>
            </w:pPr>
            <w:r w:rsidRPr="007D5D03">
              <w:rPr>
                <w:rFonts w:eastAsia="Cambria"/>
                <w:sz w:val="16"/>
                <w:szCs w:val="16"/>
              </w:rPr>
              <w:t>Fe</w:t>
            </w:r>
            <w:r>
              <w:rPr>
                <w:rFonts w:eastAsia="Cambria"/>
                <w:sz w:val="16"/>
                <w:szCs w:val="16"/>
              </w:rPr>
              <w:t>mra</w:t>
            </w:r>
          </w:p>
        </w:tc>
        <w:tc>
          <w:tcPr>
            <w:tcW w:w="542" w:type="pct"/>
            <w:tcBorders>
              <w:left w:val="single" w:sz="4" w:space="0" w:color="auto"/>
            </w:tcBorders>
            <w:shd w:val="clear" w:color="auto" w:fill="DEEAF6" w:themeFill="accent1" w:themeFillTint="33"/>
            <w:noWrap/>
            <w:vAlign w:val="bottom"/>
            <w:hideMark/>
          </w:tcPr>
          <w:p w14:paraId="3ECA0628" w14:textId="77777777" w:rsidR="00085F16" w:rsidRPr="007D5D03" w:rsidRDefault="00085F16" w:rsidP="00085F16">
            <w:pPr>
              <w:jc w:val="both"/>
              <w:rPr>
                <w:rFonts w:eastAsia="Cambria"/>
                <w:sz w:val="16"/>
                <w:szCs w:val="16"/>
              </w:rPr>
            </w:pPr>
            <w:r w:rsidRPr="007D5D03">
              <w:rPr>
                <w:rFonts w:eastAsia="Cambria"/>
                <w:sz w:val="16"/>
                <w:szCs w:val="16"/>
              </w:rPr>
              <w:t>109,067</w:t>
            </w:r>
          </w:p>
        </w:tc>
        <w:tc>
          <w:tcPr>
            <w:tcW w:w="541" w:type="pct"/>
            <w:shd w:val="clear" w:color="auto" w:fill="DEEAF6" w:themeFill="accent1" w:themeFillTint="33"/>
            <w:noWrap/>
            <w:vAlign w:val="bottom"/>
            <w:hideMark/>
          </w:tcPr>
          <w:p w14:paraId="675B0CD0" w14:textId="77777777" w:rsidR="00085F16" w:rsidRPr="007D5D03" w:rsidRDefault="00085F16" w:rsidP="00085F16">
            <w:pPr>
              <w:jc w:val="both"/>
              <w:rPr>
                <w:rFonts w:eastAsia="Cambria"/>
                <w:sz w:val="16"/>
                <w:szCs w:val="16"/>
              </w:rPr>
            </w:pPr>
            <w:r w:rsidRPr="007D5D03">
              <w:rPr>
                <w:rFonts w:eastAsia="Cambria"/>
                <w:sz w:val="16"/>
                <w:szCs w:val="16"/>
              </w:rPr>
              <w:t>119,027</w:t>
            </w:r>
          </w:p>
        </w:tc>
        <w:tc>
          <w:tcPr>
            <w:tcW w:w="541" w:type="pct"/>
            <w:shd w:val="clear" w:color="auto" w:fill="DEEAF6" w:themeFill="accent1" w:themeFillTint="33"/>
          </w:tcPr>
          <w:p w14:paraId="2B078811" w14:textId="77777777" w:rsidR="00085F16" w:rsidRPr="007D5D03" w:rsidRDefault="00085F16" w:rsidP="00085F16">
            <w:pPr>
              <w:jc w:val="both"/>
              <w:rPr>
                <w:rFonts w:eastAsia="Cambria"/>
                <w:sz w:val="16"/>
                <w:szCs w:val="16"/>
              </w:rPr>
            </w:pPr>
            <w:r w:rsidRPr="007D5D03">
              <w:rPr>
                <w:rFonts w:eastAsia="Cambria"/>
                <w:sz w:val="16"/>
                <w:szCs w:val="16"/>
              </w:rPr>
              <w:t>110,340</w:t>
            </w:r>
          </w:p>
        </w:tc>
        <w:tc>
          <w:tcPr>
            <w:tcW w:w="540" w:type="pct"/>
            <w:shd w:val="clear" w:color="auto" w:fill="DEEAF6" w:themeFill="accent1" w:themeFillTint="33"/>
          </w:tcPr>
          <w:p w14:paraId="5AFBBB5B" w14:textId="77777777" w:rsidR="00085F16" w:rsidRPr="007D5D03" w:rsidRDefault="00085F16" w:rsidP="00085F16">
            <w:pPr>
              <w:jc w:val="both"/>
              <w:rPr>
                <w:rFonts w:eastAsia="Cambria"/>
                <w:sz w:val="16"/>
                <w:szCs w:val="16"/>
              </w:rPr>
            </w:pPr>
            <w:r w:rsidRPr="007D5D03">
              <w:rPr>
                <w:rFonts w:eastAsia="Cambria"/>
                <w:sz w:val="16"/>
                <w:szCs w:val="16"/>
              </w:rPr>
              <w:t>103,470</w:t>
            </w:r>
          </w:p>
        </w:tc>
        <w:tc>
          <w:tcPr>
            <w:tcW w:w="539" w:type="pct"/>
            <w:shd w:val="clear" w:color="auto" w:fill="DEEAF6" w:themeFill="accent1" w:themeFillTint="33"/>
          </w:tcPr>
          <w:p w14:paraId="064F8155" w14:textId="77777777" w:rsidR="00085F16" w:rsidRPr="007D5D03" w:rsidRDefault="00085F16" w:rsidP="00085F16">
            <w:pPr>
              <w:jc w:val="both"/>
              <w:rPr>
                <w:rFonts w:eastAsia="Cambria"/>
                <w:sz w:val="16"/>
                <w:szCs w:val="16"/>
              </w:rPr>
            </w:pPr>
            <w:r w:rsidRPr="007D5D03">
              <w:rPr>
                <w:rFonts w:eastAsia="Cambria"/>
                <w:sz w:val="16"/>
                <w:szCs w:val="16"/>
              </w:rPr>
              <w:t>116,636</w:t>
            </w:r>
          </w:p>
        </w:tc>
        <w:tc>
          <w:tcPr>
            <w:tcW w:w="539" w:type="pct"/>
            <w:tcBorders>
              <w:right w:val="single" w:sz="4" w:space="0" w:color="auto"/>
            </w:tcBorders>
            <w:shd w:val="clear" w:color="auto" w:fill="DEEAF6" w:themeFill="accent1" w:themeFillTint="33"/>
          </w:tcPr>
          <w:p w14:paraId="3321433E" w14:textId="77777777" w:rsidR="00085F16" w:rsidRPr="007D5D03" w:rsidRDefault="00085F16" w:rsidP="00085F16">
            <w:pPr>
              <w:jc w:val="both"/>
              <w:rPr>
                <w:rFonts w:eastAsia="Cambria"/>
                <w:sz w:val="16"/>
                <w:szCs w:val="16"/>
              </w:rPr>
            </w:pPr>
            <w:r w:rsidRPr="007D5D03">
              <w:rPr>
                <w:rFonts w:eastAsia="Cambria"/>
                <w:sz w:val="16"/>
                <w:szCs w:val="16"/>
              </w:rPr>
              <w:t>121,921</w:t>
            </w:r>
          </w:p>
        </w:tc>
      </w:tr>
      <w:tr w:rsidR="00085F16" w:rsidRPr="007D5D03" w14:paraId="1C8F4DEE" w14:textId="77777777" w:rsidTr="00085F16">
        <w:trPr>
          <w:trHeight w:val="80"/>
        </w:trPr>
        <w:tc>
          <w:tcPr>
            <w:tcW w:w="1758" w:type="pct"/>
            <w:tcBorders>
              <w:left w:val="single" w:sz="4" w:space="0" w:color="auto"/>
              <w:right w:val="single" w:sz="4" w:space="0" w:color="auto"/>
            </w:tcBorders>
            <w:shd w:val="clear" w:color="auto" w:fill="DEEAF6" w:themeFill="accent1" w:themeFillTint="33"/>
            <w:noWrap/>
            <w:vAlign w:val="bottom"/>
            <w:hideMark/>
          </w:tcPr>
          <w:p w14:paraId="67D9A115" w14:textId="77777777" w:rsidR="00085F16" w:rsidRPr="007D5D03" w:rsidRDefault="00085F16" w:rsidP="00085F16">
            <w:pPr>
              <w:jc w:val="both"/>
              <w:rPr>
                <w:rFonts w:eastAsia="Cambria"/>
                <w:b/>
                <w:bCs/>
                <w:sz w:val="16"/>
                <w:szCs w:val="16"/>
              </w:rPr>
            </w:pPr>
            <w:r>
              <w:rPr>
                <w:rFonts w:eastAsia="Cambria"/>
                <w:b/>
                <w:bCs/>
                <w:sz w:val="16"/>
                <w:szCs w:val="16"/>
              </w:rPr>
              <w:t>Të Punësuar</w:t>
            </w:r>
          </w:p>
        </w:tc>
        <w:tc>
          <w:tcPr>
            <w:tcW w:w="542" w:type="pct"/>
            <w:tcBorders>
              <w:left w:val="single" w:sz="4" w:space="0" w:color="auto"/>
            </w:tcBorders>
            <w:shd w:val="clear" w:color="auto" w:fill="DEEAF6" w:themeFill="accent1" w:themeFillTint="33"/>
            <w:noWrap/>
            <w:vAlign w:val="bottom"/>
            <w:hideMark/>
          </w:tcPr>
          <w:p w14:paraId="23058B02" w14:textId="77777777" w:rsidR="00085F16" w:rsidRPr="007D5D03" w:rsidRDefault="00085F16" w:rsidP="00085F16">
            <w:pPr>
              <w:jc w:val="both"/>
              <w:rPr>
                <w:rFonts w:eastAsia="Cambria"/>
                <w:b/>
                <w:sz w:val="16"/>
                <w:szCs w:val="16"/>
              </w:rPr>
            </w:pPr>
            <w:r w:rsidRPr="007D5D03">
              <w:rPr>
                <w:rFonts w:eastAsia="Cambria"/>
                <w:b/>
                <w:sz w:val="16"/>
                <w:szCs w:val="16"/>
              </w:rPr>
              <w:t>331,761</w:t>
            </w:r>
          </w:p>
        </w:tc>
        <w:tc>
          <w:tcPr>
            <w:tcW w:w="541" w:type="pct"/>
            <w:shd w:val="clear" w:color="auto" w:fill="DEEAF6" w:themeFill="accent1" w:themeFillTint="33"/>
            <w:noWrap/>
            <w:vAlign w:val="bottom"/>
            <w:hideMark/>
          </w:tcPr>
          <w:p w14:paraId="26B2802E" w14:textId="77777777" w:rsidR="00085F16" w:rsidRPr="007D5D03" w:rsidRDefault="00085F16" w:rsidP="00085F16">
            <w:pPr>
              <w:jc w:val="both"/>
              <w:rPr>
                <w:rFonts w:eastAsia="Cambria"/>
                <w:b/>
                <w:sz w:val="16"/>
                <w:szCs w:val="16"/>
              </w:rPr>
            </w:pPr>
            <w:r w:rsidRPr="007D5D03">
              <w:rPr>
                <w:rFonts w:eastAsia="Cambria"/>
                <w:b/>
                <w:sz w:val="16"/>
                <w:szCs w:val="16"/>
              </w:rPr>
              <w:t>357,095</w:t>
            </w:r>
          </w:p>
        </w:tc>
        <w:tc>
          <w:tcPr>
            <w:tcW w:w="541" w:type="pct"/>
            <w:shd w:val="clear" w:color="auto" w:fill="DEEAF6" w:themeFill="accent1" w:themeFillTint="33"/>
          </w:tcPr>
          <w:p w14:paraId="28EC1DE2" w14:textId="77777777" w:rsidR="00085F16" w:rsidRPr="007D5D03" w:rsidRDefault="00085F16" w:rsidP="00085F16">
            <w:pPr>
              <w:jc w:val="both"/>
              <w:rPr>
                <w:rFonts w:eastAsia="Cambria"/>
                <w:b/>
                <w:sz w:val="16"/>
                <w:szCs w:val="16"/>
              </w:rPr>
            </w:pPr>
            <w:r w:rsidRPr="007D5D03">
              <w:rPr>
                <w:rFonts w:eastAsia="Cambria"/>
                <w:b/>
                <w:sz w:val="16"/>
                <w:szCs w:val="16"/>
              </w:rPr>
              <w:t>345,131</w:t>
            </w:r>
          </w:p>
        </w:tc>
        <w:tc>
          <w:tcPr>
            <w:tcW w:w="540" w:type="pct"/>
            <w:shd w:val="clear" w:color="auto" w:fill="DEEAF6" w:themeFill="accent1" w:themeFillTint="33"/>
          </w:tcPr>
          <w:p w14:paraId="05433149" w14:textId="77777777" w:rsidR="00085F16" w:rsidRPr="007D5D03" w:rsidRDefault="00085F16" w:rsidP="00085F16">
            <w:pPr>
              <w:jc w:val="both"/>
              <w:rPr>
                <w:rFonts w:eastAsia="Cambria"/>
                <w:b/>
                <w:sz w:val="16"/>
                <w:szCs w:val="16"/>
              </w:rPr>
            </w:pPr>
            <w:r w:rsidRPr="007D5D03">
              <w:rPr>
                <w:rFonts w:eastAsia="Cambria"/>
                <w:b/>
                <w:sz w:val="16"/>
                <w:szCs w:val="16"/>
              </w:rPr>
              <w:t>341,610</w:t>
            </w:r>
          </w:p>
        </w:tc>
        <w:tc>
          <w:tcPr>
            <w:tcW w:w="539" w:type="pct"/>
            <w:shd w:val="clear" w:color="auto" w:fill="DEEAF6" w:themeFill="accent1" w:themeFillTint="33"/>
          </w:tcPr>
          <w:p w14:paraId="7DC66A40" w14:textId="77777777" w:rsidR="00085F16" w:rsidRPr="007D5D03" w:rsidRDefault="00085F16" w:rsidP="00085F16">
            <w:pPr>
              <w:jc w:val="both"/>
              <w:rPr>
                <w:rFonts w:eastAsia="Cambria"/>
                <w:b/>
                <w:sz w:val="16"/>
                <w:szCs w:val="16"/>
              </w:rPr>
            </w:pPr>
            <w:r w:rsidRPr="007D5D03">
              <w:rPr>
                <w:rFonts w:eastAsia="Cambria"/>
                <w:b/>
                <w:sz w:val="16"/>
                <w:szCs w:val="16"/>
              </w:rPr>
              <w:t>341,014</w:t>
            </w:r>
          </w:p>
        </w:tc>
        <w:tc>
          <w:tcPr>
            <w:tcW w:w="539" w:type="pct"/>
            <w:tcBorders>
              <w:right w:val="single" w:sz="4" w:space="0" w:color="auto"/>
            </w:tcBorders>
            <w:shd w:val="clear" w:color="auto" w:fill="DEEAF6" w:themeFill="accent1" w:themeFillTint="33"/>
          </w:tcPr>
          <w:p w14:paraId="3FE703F3" w14:textId="77777777" w:rsidR="00085F16" w:rsidRPr="007D5D03" w:rsidRDefault="00085F16" w:rsidP="00085F16">
            <w:pPr>
              <w:jc w:val="both"/>
              <w:rPr>
                <w:rFonts w:eastAsia="Cambria"/>
                <w:b/>
                <w:sz w:val="16"/>
                <w:szCs w:val="16"/>
              </w:rPr>
            </w:pPr>
            <w:r w:rsidRPr="007D5D03">
              <w:rPr>
                <w:rFonts w:eastAsia="Cambria"/>
                <w:b/>
                <w:sz w:val="16"/>
                <w:szCs w:val="16"/>
              </w:rPr>
              <w:t>357,340</w:t>
            </w:r>
          </w:p>
        </w:tc>
      </w:tr>
      <w:tr w:rsidR="00085F16" w:rsidRPr="007D5D03" w14:paraId="68A465DF" w14:textId="77777777" w:rsidTr="00085F16">
        <w:trPr>
          <w:trHeight w:val="258"/>
        </w:trPr>
        <w:tc>
          <w:tcPr>
            <w:tcW w:w="1758" w:type="pct"/>
            <w:tcBorders>
              <w:left w:val="single" w:sz="4" w:space="0" w:color="auto"/>
              <w:right w:val="single" w:sz="4" w:space="0" w:color="auto"/>
            </w:tcBorders>
            <w:shd w:val="clear" w:color="auto" w:fill="DEEAF6" w:themeFill="accent1" w:themeFillTint="33"/>
            <w:noWrap/>
            <w:vAlign w:val="bottom"/>
            <w:hideMark/>
          </w:tcPr>
          <w:p w14:paraId="40AD7655" w14:textId="77777777" w:rsidR="00085F16" w:rsidRPr="007D5D03" w:rsidRDefault="00085F16" w:rsidP="00085F16">
            <w:pPr>
              <w:jc w:val="right"/>
              <w:rPr>
                <w:rFonts w:eastAsia="Cambria"/>
                <w:sz w:val="16"/>
                <w:szCs w:val="16"/>
              </w:rPr>
            </w:pPr>
            <w:r>
              <w:rPr>
                <w:rFonts w:eastAsia="Cambria"/>
                <w:sz w:val="16"/>
                <w:szCs w:val="16"/>
              </w:rPr>
              <w:t>Meshkuj</w:t>
            </w:r>
          </w:p>
        </w:tc>
        <w:tc>
          <w:tcPr>
            <w:tcW w:w="542" w:type="pct"/>
            <w:tcBorders>
              <w:left w:val="single" w:sz="4" w:space="0" w:color="auto"/>
            </w:tcBorders>
            <w:shd w:val="clear" w:color="auto" w:fill="DEEAF6" w:themeFill="accent1" w:themeFillTint="33"/>
            <w:noWrap/>
            <w:vAlign w:val="bottom"/>
            <w:hideMark/>
          </w:tcPr>
          <w:p w14:paraId="59A170AC" w14:textId="77777777" w:rsidR="00085F16" w:rsidRPr="007D5D03" w:rsidRDefault="00085F16" w:rsidP="00085F16">
            <w:pPr>
              <w:jc w:val="both"/>
              <w:rPr>
                <w:rFonts w:eastAsia="Cambria"/>
                <w:sz w:val="16"/>
                <w:szCs w:val="16"/>
              </w:rPr>
            </w:pPr>
            <w:r w:rsidRPr="007D5D03">
              <w:rPr>
                <w:rFonts w:eastAsia="Cambria"/>
                <w:sz w:val="16"/>
                <w:szCs w:val="16"/>
              </w:rPr>
              <w:t>257,398</w:t>
            </w:r>
          </w:p>
        </w:tc>
        <w:tc>
          <w:tcPr>
            <w:tcW w:w="541" w:type="pct"/>
            <w:shd w:val="clear" w:color="auto" w:fill="DEEAF6" w:themeFill="accent1" w:themeFillTint="33"/>
            <w:noWrap/>
            <w:vAlign w:val="bottom"/>
            <w:hideMark/>
          </w:tcPr>
          <w:p w14:paraId="216C4F80" w14:textId="77777777" w:rsidR="00085F16" w:rsidRPr="007D5D03" w:rsidRDefault="00085F16" w:rsidP="00085F16">
            <w:pPr>
              <w:jc w:val="both"/>
              <w:rPr>
                <w:rFonts w:eastAsia="Cambria"/>
                <w:sz w:val="16"/>
                <w:szCs w:val="16"/>
              </w:rPr>
            </w:pPr>
            <w:r w:rsidRPr="007D5D03">
              <w:rPr>
                <w:rFonts w:eastAsia="Cambria"/>
                <w:sz w:val="16"/>
                <w:szCs w:val="16"/>
              </w:rPr>
              <w:t>281,581</w:t>
            </w:r>
          </w:p>
        </w:tc>
        <w:tc>
          <w:tcPr>
            <w:tcW w:w="541" w:type="pct"/>
            <w:shd w:val="clear" w:color="auto" w:fill="DEEAF6" w:themeFill="accent1" w:themeFillTint="33"/>
          </w:tcPr>
          <w:p w14:paraId="5332B33F" w14:textId="77777777" w:rsidR="00085F16" w:rsidRPr="007D5D03" w:rsidRDefault="00085F16" w:rsidP="00085F16">
            <w:pPr>
              <w:jc w:val="both"/>
              <w:rPr>
                <w:rFonts w:eastAsia="Cambria"/>
                <w:sz w:val="16"/>
                <w:szCs w:val="16"/>
              </w:rPr>
            </w:pPr>
            <w:r w:rsidRPr="007D5D03">
              <w:rPr>
                <w:rFonts w:eastAsia="Cambria"/>
                <w:sz w:val="16"/>
                <w:szCs w:val="16"/>
              </w:rPr>
              <w:t>271,623</w:t>
            </w:r>
          </w:p>
        </w:tc>
        <w:tc>
          <w:tcPr>
            <w:tcW w:w="540" w:type="pct"/>
            <w:shd w:val="clear" w:color="auto" w:fill="DEEAF6" w:themeFill="accent1" w:themeFillTint="33"/>
          </w:tcPr>
          <w:p w14:paraId="5B13583E" w14:textId="77777777" w:rsidR="00085F16" w:rsidRPr="007D5D03" w:rsidRDefault="00085F16" w:rsidP="00085F16">
            <w:pPr>
              <w:jc w:val="both"/>
              <w:rPr>
                <w:rFonts w:eastAsia="Cambria"/>
                <w:sz w:val="16"/>
                <w:szCs w:val="16"/>
              </w:rPr>
            </w:pPr>
            <w:r w:rsidRPr="007D5D03">
              <w:rPr>
                <w:rFonts w:eastAsia="Cambria"/>
                <w:sz w:val="16"/>
                <w:szCs w:val="16"/>
              </w:rPr>
              <w:t>269,846</w:t>
            </w:r>
          </w:p>
        </w:tc>
        <w:tc>
          <w:tcPr>
            <w:tcW w:w="539" w:type="pct"/>
            <w:shd w:val="clear" w:color="auto" w:fill="DEEAF6" w:themeFill="accent1" w:themeFillTint="33"/>
          </w:tcPr>
          <w:p w14:paraId="102D32FE" w14:textId="77777777" w:rsidR="00085F16" w:rsidRPr="007D5D03" w:rsidRDefault="00085F16" w:rsidP="00085F16">
            <w:pPr>
              <w:jc w:val="both"/>
              <w:rPr>
                <w:rFonts w:eastAsia="Cambria"/>
                <w:sz w:val="16"/>
                <w:szCs w:val="16"/>
              </w:rPr>
            </w:pPr>
            <w:r w:rsidRPr="007D5D03">
              <w:rPr>
                <w:rFonts w:eastAsia="Cambria"/>
                <w:sz w:val="16"/>
                <w:szCs w:val="16"/>
              </w:rPr>
              <w:t>261,180</w:t>
            </w:r>
          </w:p>
        </w:tc>
        <w:tc>
          <w:tcPr>
            <w:tcW w:w="539" w:type="pct"/>
            <w:tcBorders>
              <w:right w:val="single" w:sz="4" w:space="0" w:color="auto"/>
            </w:tcBorders>
            <w:shd w:val="clear" w:color="auto" w:fill="DEEAF6" w:themeFill="accent1" w:themeFillTint="33"/>
          </w:tcPr>
          <w:p w14:paraId="310A0667" w14:textId="77777777" w:rsidR="00085F16" w:rsidRPr="007D5D03" w:rsidRDefault="00085F16" w:rsidP="00085F16">
            <w:pPr>
              <w:jc w:val="both"/>
              <w:rPr>
                <w:rFonts w:eastAsia="Cambria"/>
                <w:sz w:val="16"/>
                <w:szCs w:val="16"/>
              </w:rPr>
            </w:pPr>
            <w:r w:rsidRPr="007D5D03">
              <w:rPr>
                <w:rFonts w:eastAsia="Cambria"/>
                <w:sz w:val="16"/>
                <w:szCs w:val="16"/>
              </w:rPr>
              <w:t>275,278</w:t>
            </w:r>
          </w:p>
        </w:tc>
      </w:tr>
      <w:tr w:rsidR="00085F16" w:rsidRPr="007D5D03" w14:paraId="3E68079E" w14:textId="77777777" w:rsidTr="00085F16">
        <w:trPr>
          <w:trHeight w:val="80"/>
        </w:trPr>
        <w:tc>
          <w:tcPr>
            <w:tcW w:w="1758" w:type="pct"/>
            <w:tcBorders>
              <w:left w:val="single" w:sz="4" w:space="0" w:color="auto"/>
              <w:bottom w:val="single" w:sz="4" w:space="0" w:color="auto"/>
              <w:right w:val="single" w:sz="4" w:space="0" w:color="auto"/>
            </w:tcBorders>
            <w:shd w:val="clear" w:color="auto" w:fill="DEEAF6" w:themeFill="accent1" w:themeFillTint="33"/>
            <w:noWrap/>
            <w:vAlign w:val="bottom"/>
            <w:hideMark/>
          </w:tcPr>
          <w:p w14:paraId="05E50EA8" w14:textId="77777777" w:rsidR="00085F16" w:rsidRPr="007D5D03" w:rsidRDefault="00085F16" w:rsidP="00085F16">
            <w:pPr>
              <w:jc w:val="right"/>
              <w:rPr>
                <w:rFonts w:eastAsia="Cambria"/>
                <w:sz w:val="16"/>
                <w:szCs w:val="16"/>
              </w:rPr>
            </w:pPr>
            <w:r w:rsidRPr="007D5D03">
              <w:rPr>
                <w:rFonts w:eastAsia="Cambria"/>
                <w:sz w:val="16"/>
                <w:szCs w:val="16"/>
              </w:rPr>
              <w:t>Fe</w:t>
            </w:r>
            <w:r>
              <w:rPr>
                <w:rFonts w:eastAsia="Cambria"/>
                <w:sz w:val="16"/>
                <w:szCs w:val="16"/>
              </w:rPr>
              <w:t>mra</w:t>
            </w:r>
          </w:p>
        </w:tc>
        <w:tc>
          <w:tcPr>
            <w:tcW w:w="542" w:type="pct"/>
            <w:tcBorders>
              <w:left w:val="single" w:sz="4" w:space="0" w:color="auto"/>
              <w:bottom w:val="single" w:sz="4" w:space="0" w:color="auto"/>
            </w:tcBorders>
            <w:shd w:val="clear" w:color="auto" w:fill="DEEAF6" w:themeFill="accent1" w:themeFillTint="33"/>
            <w:noWrap/>
            <w:vAlign w:val="bottom"/>
            <w:hideMark/>
          </w:tcPr>
          <w:p w14:paraId="3F6FF310" w14:textId="77777777" w:rsidR="00085F16" w:rsidRPr="007D5D03" w:rsidRDefault="00085F16" w:rsidP="00085F16">
            <w:pPr>
              <w:jc w:val="both"/>
              <w:rPr>
                <w:rFonts w:eastAsia="Cambria"/>
                <w:sz w:val="16"/>
                <w:szCs w:val="16"/>
              </w:rPr>
            </w:pPr>
            <w:r w:rsidRPr="007D5D03">
              <w:rPr>
                <w:rFonts w:eastAsia="Cambria"/>
                <w:sz w:val="16"/>
                <w:szCs w:val="16"/>
              </w:rPr>
              <w:t>74,363</w:t>
            </w:r>
          </w:p>
        </w:tc>
        <w:tc>
          <w:tcPr>
            <w:tcW w:w="541" w:type="pct"/>
            <w:tcBorders>
              <w:bottom w:val="single" w:sz="4" w:space="0" w:color="auto"/>
            </w:tcBorders>
            <w:shd w:val="clear" w:color="auto" w:fill="DEEAF6" w:themeFill="accent1" w:themeFillTint="33"/>
            <w:noWrap/>
            <w:vAlign w:val="bottom"/>
            <w:hideMark/>
          </w:tcPr>
          <w:p w14:paraId="44CC70D9" w14:textId="77777777" w:rsidR="00085F16" w:rsidRPr="007D5D03" w:rsidRDefault="00085F16" w:rsidP="00085F16">
            <w:pPr>
              <w:jc w:val="both"/>
              <w:rPr>
                <w:rFonts w:eastAsia="Cambria"/>
                <w:sz w:val="16"/>
                <w:szCs w:val="16"/>
              </w:rPr>
            </w:pPr>
            <w:r w:rsidRPr="007D5D03">
              <w:rPr>
                <w:rFonts w:eastAsia="Cambria"/>
                <w:sz w:val="16"/>
                <w:szCs w:val="16"/>
              </w:rPr>
              <w:t>75,514</w:t>
            </w:r>
          </w:p>
        </w:tc>
        <w:tc>
          <w:tcPr>
            <w:tcW w:w="541" w:type="pct"/>
            <w:tcBorders>
              <w:bottom w:val="single" w:sz="4" w:space="0" w:color="auto"/>
            </w:tcBorders>
            <w:shd w:val="clear" w:color="auto" w:fill="DEEAF6" w:themeFill="accent1" w:themeFillTint="33"/>
          </w:tcPr>
          <w:p w14:paraId="72120BF9" w14:textId="77777777" w:rsidR="00085F16" w:rsidRPr="007D5D03" w:rsidRDefault="00085F16" w:rsidP="00085F16">
            <w:pPr>
              <w:jc w:val="both"/>
              <w:rPr>
                <w:rFonts w:eastAsia="Cambria"/>
                <w:sz w:val="16"/>
                <w:szCs w:val="16"/>
              </w:rPr>
            </w:pPr>
            <w:r w:rsidRPr="007D5D03">
              <w:rPr>
                <w:rFonts w:eastAsia="Cambria"/>
                <w:sz w:val="16"/>
                <w:szCs w:val="16"/>
              </w:rPr>
              <w:t>73,508</w:t>
            </w:r>
          </w:p>
        </w:tc>
        <w:tc>
          <w:tcPr>
            <w:tcW w:w="540" w:type="pct"/>
            <w:tcBorders>
              <w:bottom w:val="single" w:sz="4" w:space="0" w:color="auto"/>
            </w:tcBorders>
            <w:shd w:val="clear" w:color="auto" w:fill="DEEAF6" w:themeFill="accent1" w:themeFillTint="33"/>
          </w:tcPr>
          <w:p w14:paraId="396232D0" w14:textId="77777777" w:rsidR="00085F16" w:rsidRPr="007D5D03" w:rsidRDefault="00085F16" w:rsidP="00085F16">
            <w:pPr>
              <w:jc w:val="both"/>
              <w:rPr>
                <w:rFonts w:eastAsia="Cambria"/>
                <w:sz w:val="16"/>
                <w:szCs w:val="16"/>
              </w:rPr>
            </w:pPr>
            <w:r w:rsidRPr="007D5D03">
              <w:rPr>
                <w:rFonts w:eastAsia="Cambria"/>
                <w:sz w:val="16"/>
                <w:szCs w:val="16"/>
              </w:rPr>
              <w:t>71,764</w:t>
            </w:r>
          </w:p>
        </w:tc>
        <w:tc>
          <w:tcPr>
            <w:tcW w:w="539" w:type="pct"/>
            <w:tcBorders>
              <w:bottom w:val="single" w:sz="4" w:space="0" w:color="auto"/>
            </w:tcBorders>
            <w:shd w:val="clear" w:color="auto" w:fill="DEEAF6" w:themeFill="accent1" w:themeFillTint="33"/>
          </w:tcPr>
          <w:p w14:paraId="07442A03" w14:textId="77777777" w:rsidR="00085F16" w:rsidRPr="007D5D03" w:rsidRDefault="00085F16" w:rsidP="00085F16">
            <w:pPr>
              <w:jc w:val="both"/>
              <w:rPr>
                <w:rFonts w:eastAsia="Cambria"/>
                <w:sz w:val="16"/>
                <w:szCs w:val="16"/>
              </w:rPr>
            </w:pPr>
            <w:r w:rsidRPr="007D5D03">
              <w:rPr>
                <w:rFonts w:eastAsia="Cambria"/>
                <w:sz w:val="16"/>
                <w:szCs w:val="16"/>
              </w:rPr>
              <w:t>79,834</w:t>
            </w:r>
          </w:p>
        </w:tc>
        <w:tc>
          <w:tcPr>
            <w:tcW w:w="539" w:type="pct"/>
            <w:tcBorders>
              <w:bottom w:val="single" w:sz="4" w:space="0" w:color="auto"/>
              <w:right w:val="single" w:sz="4" w:space="0" w:color="auto"/>
            </w:tcBorders>
            <w:shd w:val="clear" w:color="auto" w:fill="DEEAF6" w:themeFill="accent1" w:themeFillTint="33"/>
          </w:tcPr>
          <w:p w14:paraId="5D0C5D66" w14:textId="77777777" w:rsidR="00085F16" w:rsidRPr="007D5D03" w:rsidRDefault="00085F16" w:rsidP="00085F16">
            <w:pPr>
              <w:jc w:val="both"/>
              <w:rPr>
                <w:rFonts w:eastAsia="Cambria"/>
                <w:sz w:val="16"/>
                <w:szCs w:val="16"/>
              </w:rPr>
            </w:pPr>
            <w:r w:rsidRPr="007D5D03">
              <w:rPr>
                <w:rFonts w:eastAsia="Cambria"/>
                <w:sz w:val="16"/>
                <w:szCs w:val="16"/>
              </w:rPr>
              <w:t>82,062</w:t>
            </w:r>
          </w:p>
        </w:tc>
      </w:tr>
      <w:tr w:rsidR="00085F16" w:rsidRPr="007D5D03" w14:paraId="505078A4" w14:textId="77777777" w:rsidTr="00085F16">
        <w:trPr>
          <w:trHeight w:val="70"/>
        </w:trPr>
        <w:tc>
          <w:tcPr>
            <w:tcW w:w="1758" w:type="pct"/>
            <w:tcBorders>
              <w:top w:val="single" w:sz="4" w:space="0" w:color="auto"/>
              <w:left w:val="single" w:sz="4" w:space="0" w:color="auto"/>
              <w:right w:val="single" w:sz="4" w:space="0" w:color="auto"/>
            </w:tcBorders>
            <w:shd w:val="clear" w:color="auto" w:fill="DEEAF6" w:themeFill="accent1" w:themeFillTint="33"/>
            <w:noWrap/>
            <w:vAlign w:val="bottom"/>
            <w:hideMark/>
          </w:tcPr>
          <w:p w14:paraId="37F91203" w14:textId="77777777" w:rsidR="00085F16" w:rsidRPr="007D5D03" w:rsidRDefault="00085F16" w:rsidP="00085F16">
            <w:pPr>
              <w:jc w:val="both"/>
              <w:rPr>
                <w:rFonts w:eastAsia="Cambria"/>
                <w:b/>
                <w:bCs/>
                <w:sz w:val="16"/>
                <w:szCs w:val="16"/>
              </w:rPr>
            </w:pPr>
            <w:r>
              <w:rPr>
                <w:rFonts w:eastAsia="Cambria"/>
                <w:b/>
                <w:bCs/>
                <w:sz w:val="16"/>
                <w:szCs w:val="16"/>
              </w:rPr>
              <w:t>Shkalla e Pjesëmarrjes në Forcën e Punës</w:t>
            </w:r>
          </w:p>
        </w:tc>
        <w:tc>
          <w:tcPr>
            <w:tcW w:w="542" w:type="pct"/>
            <w:tcBorders>
              <w:top w:val="single" w:sz="4" w:space="0" w:color="auto"/>
              <w:left w:val="single" w:sz="4" w:space="0" w:color="auto"/>
            </w:tcBorders>
            <w:shd w:val="clear" w:color="auto" w:fill="DEEAF6" w:themeFill="accent1" w:themeFillTint="33"/>
            <w:noWrap/>
            <w:vAlign w:val="bottom"/>
            <w:hideMark/>
          </w:tcPr>
          <w:p w14:paraId="6934E038" w14:textId="77777777" w:rsidR="00085F16" w:rsidRPr="007D5D03" w:rsidRDefault="00085F16" w:rsidP="00085F16">
            <w:pPr>
              <w:jc w:val="both"/>
              <w:rPr>
                <w:rFonts w:eastAsia="Cambria"/>
                <w:b/>
                <w:bCs/>
                <w:sz w:val="16"/>
                <w:szCs w:val="16"/>
              </w:rPr>
            </w:pPr>
            <w:r w:rsidRPr="007D5D03">
              <w:rPr>
                <w:rFonts w:eastAsia="Cambria"/>
                <w:b/>
                <w:bCs/>
                <w:sz w:val="16"/>
                <w:szCs w:val="16"/>
              </w:rPr>
              <w:t>38.7%</w:t>
            </w:r>
          </w:p>
        </w:tc>
        <w:tc>
          <w:tcPr>
            <w:tcW w:w="541" w:type="pct"/>
            <w:tcBorders>
              <w:top w:val="single" w:sz="4" w:space="0" w:color="auto"/>
            </w:tcBorders>
            <w:shd w:val="clear" w:color="auto" w:fill="DEEAF6" w:themeFill="accent1" w:themeFillTint="33"/>
            <w:noWrap/>
            <w:vAlign w:val="bottom"/>
            <w:hideMark/>
          </w:tcPr>
          <w:p w14:paraId="2C8AAA19" w14:textId="77777777" w:rsidR="00085F16" w:rsidRPr="007D5D03" w:rsidRDefault="00085F16" w:rsidP="00085F16">
            <w:pPr>
              <w:jc w:val="both"/>
              <w:rPr>
                <w:rFonts w:eastAsia="Cambria"/>
                <w:b/>
                <w:bCs/>
                <w:sz w:val="16"/>
                <w:szCs w:val="16"/>
              </w:rPr>
            </w:pPr>
            <w:r w:rsidRPr="007D5D03">
              <w:rPr>
                <w:rFonts w:eastAsia="Cambria"/>
                <w:b/>
                <w:bCs/>
                <w:sz w:val="16"/>
                <w:szCs w:val="16"/>
              </w:rPr>
              <w:t>42.8%</w:t>
            </w:r>
          </w:p>
        </w:tc>
        <w:tc>
          <w:tcPr>
            <w:tcW w:w="541" w:type="pct"/>
            <w:tcBorders>
              <w:top w:val="single" w:sz="4" w:space="0" w:color="auto"/>
            </w:tcBorders>
            <w:shd w:val="clear" w:color="auto" w:fill="DEEAF6" w:themeFill="accent1" w:themeFillTint="33"/>
          </w:tcPr>
          <w:p w14:paraId="5EAC4E2F" w14:textId="77777777" w:rsidR="00085F16" w:rsidRPr="007D5D03" w:rsidRDefault="00085F16" w:rsidP="00085F16">
            <w:pPr>
              <w:jc w:val="both"/>
              <w:rPr>
                <w:rFonts w:eastAsia="Cambria"/>
                <w:b/>
                <w:bCs/>
                <w:sz w:val="16"/>
                <w:szCs w:val="16"/>
              </w:rPr>
            </w:pPr>
            <w:r w:rsidRPr="007D5D03">
              <w:rPr>
                <w:rFonts w:eastAsia="Cambria"/>
                <w:b/>
                <w:bCs/>
                <w:sz w:val="16"/>
                <w:szCs w:val="16"/>
              </w:rPr>
              <w:t>40.9%</w:t>
            </w:r>
          </w:p>
        </w:tc>
        <w:tc>
          <w:tcPr>
            <w:tcW w:w="540" w:type="pct"/>
            <w:tcBorders>
              <w:top w:val="single" w:sz="4" w:space="0" w:color="auto"/>
            </w:tcBorders>
            <w:shd w:val="clear" w:color="auto" w:fill="DEEAF6" w:themeFill="accent1" w:themeFillTint="33"/>
          </w:tcPr>
          <w:p w14:paraId="13403765" w14:textId="77777777" w:rsidR="00085F16" w:rsidRPr="007D5D03" w:rsidRDefault="00085F16" w:rsidP="00085F16">
            <w:pPr>
              <w:jc w:val="both"/>
              <w:rPr>
                <w:rFonts w:eastAsia="Cambria"/>
                <w:b/>
                <w:bCs/>
                <w:sz w:val="16"/>
                <w:szCs w:val="16"/>
              </w:rPr>
            </w:pPr>
            <w:r w:rsidRPr="007D5D03">
              <w:rPr>
                <w:rFonts w:eastAsia="Cambria"/>
                <w:b/>
                <w:bCs/>
                <w:sz w:val="16"/>
                <w:szCs w:val="16"/>
              </w:rPr>
              <w:t>40.4%</w:t>
            </w:r>
          </w:p>
        </w:tc>
        <w:tc>
          <w:tcPr>
            <w:tcW w:w="539" w:type="pct"/>
            <w:tcBorders>
              <w:top w:val="single" w:sz="4" w:space="0" w:color="auto"/>
            </w:tcBorders>
            <w:shd w:val="clear" w:color="auto" w:fill="DEEAF6" w:themeFill="accent1" w:themeFillTint="33"/>
          </w:tcPr>
          <w:p w14:paraId="2199DAC3" w14:textId="77777777" w:rsidR="00085F16" w:rsidRPr="007D5D03" w:rsidRDefault="00085F16" w:rsidP="00085F16">
            <w:pPr>
              <w:jc w:val="both"/>
              <w:rPr>
                <w:rFonts w:eastAsia="Cambria"/>
                <w:b/>
                <w:bCs/>
                <w:sz w:val="16"/>
                <w:szCs w:val="16"/>
              </w:rPr>
            </w:pPr>
            <w:r w:rsidRPr="007D5D03">
              <w:rPr>
                <w:rFonts w:eastAsia="Cambria"/>
                <w:b/>
                <w:bCs/>
                <w:sz w:val="16"/>
                <w:szCs w:val="16"/>
              </w:rPr>
              <w:t>38.7%</w:t>
            </w:r>
          </w:p>
        </w:tc>
        <w:tc>
          <w:tcPr>
            <w:tcW w:w="539" w:type="pct"/>
            <w:tcBorders>
              <w:top w:val="single" w:sz="4" w:space="0" w:color="auto"/>
              <w:right w:val="single" w:sz="4" w:space="0" w:color="auto"/>
            </w:tcBorders>
            <w:shd w:val="clear" w:color="auto" w:fill="DEEAF6" w:themeFill="accent1" w:themeFillTint="33"/>
          </w:tcPr>
          <w:p w14:paraId="266A1FBE" w14:textId="77777777" w:rsidR="00085F16" w:rsidRPr="007D5D03" w:rsidRDefault="00085F16" w:rsidP="00085F16">
            <w:pPr>
              <w:jc w:val="both"/>
              <w:rPr>
                <w:rFonts w:eastAsia="Cambria"/>
                <w:b/>
                <w:bCs/>
                <w:sz w:val="16"/>
                <w:szCs w:val="16"/>
              </w:rPr>
            </w:pPr>
            <w:r w:rsidRPr="007D5D03">
              <w:rPr>
                <w:rFonts w:eastAsia="Cambria"/>
                <w:b/>
                <w:bCs/>
                <w:sz w:val="16"/>
                <w:szCs w:val="16"/>
              </w:rPr>
              <w:t>39.9%</w:t>
            </w:r>
          </w:p>
        </w:tc>
      </w:tr>
      <w:tr w:rsidR="00085F16" w:rsidRPr="007D5D03" w14:paraId="2E7A6769" w14:textId="77777777" w:rsidTr="00085F16">
        <w:trPr>
          <w:trHeight w:val="70"/>
        </w:trPr>
        <w:tc>
          <w:tcPr>
            <w:tcW w:w="1758" w:type="pct"/>
            <w:tcBorders>
              <w:left w:val="single" w:sz="4" w:space="0" w:color="auto"/>
              <w:right w:val="single" w:sz="4" w:space="0" w:color="auto"/>
            </w:tcBorders>
            <w:shd w:val="clear" w:color="auto" w:fill="DEEAF6" w:themeFill="accent1" w:themeFillTint="33"/>
            <w:noWrap/>
            <w:vAlign w:val="bottom"/>
            <w:hideMark/>
          </w:tcPr>
          <w:p w14:paraId="3A310365" w14:textId="77777777" w:rsidR="00085F16" w:rsidRPr="007D5D03" w:rsidRDefault="00085F16" w:rsidP="00085F16">
            <w:pPr>
              <w:jc w:val="both"/>
              <w:rPr>
                <w:rFonts w:eastAsia="Cambria"/>
                <w:b/>
                <w:bCs/>
                <w:sz w:val="16"/>
                <w:szCs w:val="16"/>
              </w:rPr>
            </w:pPr>
            <w:r>
              <w:rPr>
                <w:rFonts w:eastAsia="Cambria"/>
                <w:b/>
                <w:bCs/>
                <w:sz w:val="16"/>
                <w:szCs w:val="16"/>
              </w:rPr>
              <w:t>Shkalla e Punësimit</w:t>
            </w:r>
          </w:p>
        </w:tc>
        <w:tc>
          <w:tcPr>
            <w:tcW w:w="542" w:type="pct"/>
            <w:tcBorders>
              <w:left w:val="single" w:sz="4" w:space="0" w:color="auto"/>
            </w:tcBorders>
            <w:shd w:val="clear" w:color="auto" w:fill="DEEAF6" w:themeFill="accent1" w:themeFillTint="33"/>
            <w:noWrap/>
            <w:vAlign w:val="bottom"/>
            <w:hideMark/>
          </w:tcPr>
          <w:p w14:paraId="055C0F0A" w14:textId="77777777" w:rsidR="00085F16" w:rsidRPr="007D5D03" w:rsidRDefault="00085F16" w:rsidP="00085F16">
            <w:pPr>
              <w:jc w:val="both"/>
              <w:rPr>
                <w:rFonts w:eastAsia="Cambria"/>
                <w:b/>
                <w:bCs/>
                <w:sz w:val="16"/>
                <w:szCs w:val="16"/>
              </w:rPr>
            </w:pPr>
            <w:r w:rsidRPr="007D5D03">
              <w:rPr>
                <w:rFonts w:eastAsia="Cambria"/>
                <w:b/>
                <w:bCs/>
                <w:sz w:val="16"/>
                <w:szCs w:val="16"/>
              </w:rPr>
              <w:t>28.0%</w:t>
            </w:r>
          </w:p>
        </w:tc>
        <w:tc>
          <w:tcPr>
            <w:tcW w:w="541" w:type="pct"/>
            <w:shd w:val="clear" w:color="auto" w:fill="DEEAF6" w:themeFill="accent1" w:themeFillTint="33"/>
            <w:noWrap/>
            <w:vAlign w:val="bottom"/>
            <w:hideMark/>
          </w:tcPr>
          <w:p w14:paraId="37B9A1D7" w14:textId="77777777" w:rsidR="00085F16" w:rsidRPr="007D5D03" w:rsidRDefault="00085F16" w:rsidP="00085F16">
            <w:pPr>
              <w:jc w:val="both"/>
              <w:rPr>
                <w:rFonts w:eastAsia="Cambria"/>
                <w:b/>
                <w:bCs/>
                <w:sz w:val="16"/>
                <w:szCs w:val="16"/>
              </w:rPr>
            </w:pPr>
            <w:r w:rsidRPr="007D5D03">
              <w:rPr>
                <w:rFonts w:eastAsia="Cambria"/>
                <w:b/>
                <w:bCs/>
                <w:sz w:val="16"/>
                <w:szCs w:val="16"/>
              </w:rPr>
              <w:t>29.8%</w:t>
            </w:r>
          </w:p>
        </w:tc>
        <w:tc>
          <w:tcPr>
            <w:tcW w:w="541" w:type="pct"/>
            <w:shd w:val="clear" w:color="auto" w:fill="DEEAF6" w:themeFill="accent1" w:themeFillTint="33"/>
          </w:tcPr>
          <w:p w14:paraId="67827937" w14:textId="77777777" w:rsidR="00085F16" w:rsidRPr="007D5D03" w:rsidRDefault="00085F16" w:rsidP="00085F16">
            <w:pPr>
              <w:jc w:val="both"/>
              <w:rPr>
                <w:rFonts w:eastAsia="Cambria"/>
                <w:b/>
                <w:bCs/>
                <w:sz w:val="16"/>
                <w:szCs w:val="16"/>
              </w:rPr>
            </w:pPr>
            <w:r w:rsidRPr="007D5D03">
              <w:rPr>
                <w:rFonts w:eastAsia="Cambria"/>
                <w:b/>
                <w:bCs/>
                <w:sz w:val="16"/>
                <w:szCs w:val="16"/>
              </w:rPr>
              <w:t>28.8%</w:t>
            </w:r>
          </w:p>
        </w:tc>
        <w:tc>
          <w:tcPr>
            <w:tcW w:w="540" w:type="pct"/>
            <w:shd w:val="clear" w:color="auto" w:fill="DEEAF6" w:themeFill="accent1" w:themeFillTint="33"/>
          </w:tcPr>
          <w:p w14:paraId="13711118" w14:textId="77777777" w:rsidR="00085F16" w:rsidRPr="007D5D03" w:rsidRDefault="00085F16" w:rsidP="00085F16">
            <w:pPr>
              <w:jc w:val="both"/>
              <w:rPr>
                <w:rFonts w:eastAsia="Cambria"/>
                <w:b/>
                <w:bCs/>
                <w:sz w:val="16"/>
                <w:szCs w:val="16"/>
              </w:rPr>
            </w:pPr>
            <w:r w:rsidRPr="007D5D03">
              <w:rPr>
                <w:rFonts w:eastAsia="Cambria"/>
                <w:b/>
                <w:bCs/>
                <w:sz w:val="16"/>
                <w:szCs w:val="16"/>
              </w:rPr>
              <w:t>28.5%</w:t>
            </w:r>
          </w:p>
        </w:tc>
        <w:tc>
          <w:tcPr>
            <w:tcW w:w="539" w:type="pct"/>
            <w:shd w:val="clear" w:color="auto" w:fill="DEEAF6" w:themeFill="accent1" w:themeFillTint="33"/>
          </w:tcPr>
          <w:p w14:paraId="73A97E96" w14:textId="77777777" w:rsidR="00085F16" w:rsidRPr="007D5D03" w:rsidRDefault="00085F16" w:rsidP="00085F16">
            <w:pPr>
              <w:jc w:val="both"/>
              <w:rPr>
                <w:rFonts w:eastAsia="Cambria"/>
                <w:b/>
                <w:bCs/>
                <w:sz w:val="16"/>
                <w:szCs w:val="16"/>
              </w:rPr>
            </w:pPr>
            <w:r w:rsidRPr="007D5D03">
              <w:rPr>
                <w:rFonts w:eastAsia="Cambria"/>
                <w:b/>
                <w:bCs/>
                <w:sz w:val="16"/>
                <w:szCs w:val="16"/>
              </w:rPr>
              <w:t>28.2%</w:t>
            </w:r>
          </w:p>
        </w:tc>
        <w:tc>
          <w:tcPr>
            <w:tcW w:w="539" w:type="pct"/>
            <w:tcBorders>
              <w:right w:val="single" w:sz="4" w:space="0" w:color="auto"/>
            </w:tcBorders>
            <w:shd w:val="clear" w:color="auto" w:fill="DEEAF6" w:themeFill="accent1" w:themeFillTint="33"/>
          </w:tcPr>
          <w:p w14:paraId="486A3B86" w14:textId="77777777" w:rsidR="00085F16" w:rsidRPr="007D5D03" w:rsidRDefault="00085F16" w:rsidP="00085F16">
            <w:pPr>
              <w:jc w:val="both"/>
              <w:rPr>
                <w:rFonts w:eastAsia="Cambria"/>
                <w:b/>
                <w:bCs/>
                <w:sz w:val="16"/>
                <w:szCs w:val="16"/>
              </w:rPr>
            </w:pPr>
            <w:r w:rsidRPr="007D5D03">
              <w:rPr>
                <w:rFonts w:eastAsia="Cambria"/>
                <w:b/>
                <w:bCs/>
                <w:sz w:val="16"/>
                <w:szCs w:val="16"/>
              </w:rPr>
              <w:t>29.8%</w:t>
            </w:r>
          </w:p>
        </w:tc>
      </w:tr>
      <w:tr w:rsidR="00085F16" w:rsidRPr="007D5D03" w14:paraId="160E2A41" w14:textId="77777777" w:rsidTr="00085F16">
        <w:trPr>
          <w:trHeight w:val="80"/>
        </w:trPr>
        <w:tc>
          <w:tcPr>
            <w:tcW w:w="1758" w:type="pct"/>
            <w:tcBorders>
              <w:left w:val="single" w:sz="4" w:space="0" w:color="auto"/>
              <w:bottom w:val="single" w:sz="4" w:space="0" w:color="auto"/>
              <w:right w:val="single" w:sz="4" w:space="0" w:color="auto"/>
            </w:tcBorders>
            <w:shd w:val="clear" w:color="auto" w:fill="DEEAF6" w:themeFill="accent1" w:themeFillTint="33"/>
            <w:noWrap/>
            <w:vAlign w:val="bottom"/>
            <w:hideMark/>
          </w:tcPr>
          <w:p w14:paraId="28DDF7EB" w14:textId="77777777" w:rsidR="00085F16" w:rsidRPr="007D5D03" w:rsidRDefault="00085F16" w:rsidP="00085F16">
            <w:pPr>
              <w:jc w:val="both"/>
              <w:rPr>
                <w:rFonts w:eastAsia="Cambria"/>
                <w:b/>
                <w:bCs/>
                <w:sz w:val="16"/>
                <w:szCs w:val="16"/>
              </w:rPr>
            </w:pPr>
            <w:r>
              <w:rPr>
                <w:rFonts w:eastAsia="Cambria"/>
                <w:b/>
                <w:bCs/>
                <w:sz w:val="16"/>
                <w:szCs w:val="16"/>
              </w:rPr>
              <w:t>Shkalla e Papunësisë</w:t>
            </w:r>
          </w:p>
        </w:tc>
        <w:tc>
          <w:tcPr>
            <w:tcW w:w="542" w:type="pct"/>
            <w:tcBorders>
              <w:left w:val="single" w:sz="4" w:space="0" w:color="auto"/>
              <w:bottom w:val="single" w:sz="4" w:space="0" w:color="auto"/>
            </w:tcBorders>
            <w:shd w:val="clear" w:color="auto" w:fill="DEEAF6" w:themeFill="accent1" w:themeFillTint="33"/>
            <w:noWrap/>
            <w:vAlign w:val="bottom"/>
            <w:hideMark/>
          </w:tcPr>
          <w:p w14:paraId="667CC4DD" w14:textId="77777777" w:rsidR="00085F16" w:rsidRPr="007D5D03" w:rsidRDefault="00085F16" w:rsidP="00085F16">
            <w:pPr>
              <w:jc w:val="both"/>
              <w:rPr>
                <w:rFonts w:eastAsia="Cambria"/>
                <w:b/>
                <w:bCs/>
                <w:sz w:val="16"/>
                <w:szCs w:val="16"/>
              </w:rPr>
            </w:pPr>
            <w:r w:rsidRPr="007D5D03">
              <w:rPr>
                <w:rFonts w:eastAsia="Cambria"/>
                <w:b/>
                <w:bCs/>
                <w:sz w:val="16"/>
                <w:szCs w:val="16"/>
              </w:rPr>
              <w:t>27.5%</w:t>
            </w:r>
          </w:p>
        </w:tc>
        <w:tc>
          <w:tcPr>
            <w:tcW w:w="541" w:type="pct"/>
            <w:tcBorders>
              <w:bottom w:val="single" w:sz="4" w:space="0" w:color="auto"/>
            </w:tcBorders>
            <w:shd w:val="clear" w:color="auto" w:fill="DEEAF6" w:themeFill="accent1" w:themeFillTint="33"/>
            <w:noWrap/>
            <w:vAlign w:val="bottom"/>
            <w:hideMark/>
          </w:tcPr>
          <w:p w14:paraId="5B9951F6" w14:textId="77777777" w:rsidR="00085F16" w:rsidRPr="007D5D03" w:rsidRDefault="00085F16" w:rsidP="00085F16">
            <w:pPr>
              <w:jc w:val="both"/>
              <w:rPr>
                <w:rFonts w:eastAsia="Cambria"/>
                <w:b/>
                <w:bCs/>
                <w:sz w:val="16"/>
                <w:szCs w:val="16"/>
              </w:rPr>
            </w:pPr>
            <w:r w:rsidRPr="007D5D03">
              <w:rPr>
                <w:rFonts w:eastAsia="Cambria"/>
                <w:b/>
                <w:bCs/>
                <w:sz w:val="16"/>
                <w:szCs w:val="16"/>
              </w:rPr>
              <w:t>30.5%</w:t>
            </w:r>
          </w:p>
        </w:tc>
        <w:tc>
          <w:tcPr>
            <w:tcW w:w="541" w:type="pct"/>
            <w:tcBorders>
              <w:bottom w:val="single" w:sz="4" w:space="0" w:color="auto"/>
            </w:tcBorders>
            <w:shd w:val="clear" w:color="auto" w:fill="DEEAF6" w:themeFill="accent1" w:themeFillTint="33"/>
          </w:tcPr>
          <w:p w14:paraId="23EA37FD" w14:textId="77777777" w:rsidR="00085F16" w:rsidRPr="007D5D03" w:rsidRDefault="00085F16" w:rsidP="00085F16">
            <w:pPr>
              <w:jc w:val="both"/>
              <w:rPr>
                <w:rFonts w:eastAsia="Cambria"/>
                <w:b/>
                <w:bCs/>
                <w:sz w:val="16"/>
                <w:szCs w:val="16"/>
              </w:rPr>
            </w:pPr>
            <w:r w:rsidRPr="007D5D03">
              <w:rPr>
                <w:rFonts w:eastAsia="Cambria"/>
                <w:b/>
                <w:bCs/>
                <w:sz w:val="16"/>
                <w:szCs w:val="16"/>
              </w:rPr>
              <w:t>29.6%</w:t>
            </w:r>
          </w:p>
        </w:tc>
        <w:tc>
          <w:tcPr>
            <w:tcW w:w="540" w:type="pct"/>
            <w:tcBorders>
              <w:bottom w:val="single" w:sz="4" w:space="0" w:color="auto"/>
            </w:tcBorders>
            <w:shd w:val="clear" w:color="auto" w:fill="DEEAF6" w:themeFill="accent1" w:themeFillTint="33"/>
          </w:tcPr>
          <w:p w14:paraId="6B72B4C8" w14:textId="77777777" w:rsidR="00085F16" w:rsidRPr="007D5D03" w:rsidRDefault="00085F16" w:rsidP="00085F16">
            <w:pPr>
              <w:jc w:val="both"/>
              <w:rPr>
                <w:rFonts w:eastAsia="Cambria"/>
                <w:b/>
                <w:bCs/>
                <w:sz w:val="16"/>
                <w:szCs w:val="16"/>
              </w:rPr>
            </w:pPr>
            <w:r w:rsidRPr="007D5D03">
              <w:rPr>
                <w:rFonts w:eastAsia="Cambria"/>
                <w:b/>
                <w:bCs/>
                <w:sz w:val="16"/>
                <w:szCs w:val="16"/>
              </w:rPr>
              <w:t>29.4%</w:t>
            </w:r>
          </w:p>
        </w:tc>
        <w:tc>
          <w:tcPr>
            <w:tcW w:w="539" w:type="pct"/>
            <w:tcBorders>
              <w:bottom w:val="single" w:sz="4" w:space="0" w:color="auto"/>
            </w:tcBorders>
            <w:shd w:val="clear" w:color="auto" w:fill="DEEAF6" w:themeFill="accent1" w:themeFillTint="33"/>
          </w:tcPr>
          <w:p w14:paraId="2A8E4EA0" w14:textId="77777777" w:rsidR="00085F16" w:rsidRPr="007D5D03" w:rsidRDefault="00085F16" w:rsidP="00085F16">
            <w:pPr>
              <w:jc w:val="both"/>
              <w:rPr>
                <w:rFonts w:eastAsia="Cambria"/>
                <w:b/>
                <w:bCs/>
                <w:sz w:val="16"/>
                <w:szCs w:val="16"/>
              </w:rPr>
            </w:pPr>
            <w:r w:rsidRPr="007D5D03">
              <w:rPr>
                <w:rFonts w:eastAsia="Cambria"/>
                <w:b/>
                <w:bCs/>
                <w:sz w:val="16"/>
                <w:szCs w:val="16"/>
              </w:rPr>
              <w:t>26.9%</w:t>
            </w:r>
          </w:p>
        </w:tc>
        <w:tc>
          <w:tcPr>
            <w:tcW w:w="539" w:type="pct"/>
            <w:tcBorders>
              <w:bottom w:val="single" w:sz="4" w:space="0" w:color="auto"/>
              <w:right w:val="single" w:sz="4" w:space="0" w:color="auto"/>
            </w:tcBorders>
            <w:shd w:val="clear" w:color="auto" w:fill="DEEAF6" w:themeFill="accent1" w:themeFillTint="33"/>
          </w:tcPr>
          <w:p w14:paraId="306B0E3E" w14:textId="77777777" w:rsidR="00085F16" w:rsidRPr="007D5D03" w:rsidRDefault="00085F16" w:rsidP="00085F16">
            <w:pPr>
              <w:jc w:val="both"/>
              <w:rPr>
                <w:rFonts w:eastAsia="Cambria"/>
                <w:b/>
                <w:bCs/>
                <w:sz w:val="16"/>
                <w:szCs w:val="16"/>
              </w:rPr>
            </w:pPr>
            <w:r w:rsidRPr="007D5D03">
              <w:rPr>
                <w:rFonts w:eastAsia="Cambria"/>
                <w:b/>
                <w:bCs/>
                <w:sz w:val="16"/>
                <w:szCs w:val="16"/>
              </w:rPr>
              <w:t>25.3%</w:t>
            </w:r>
          </w:p>
        </w:tc>
      </w:tr>
    </w:tbl>
    <w:p w14:paraId="3877CF43" w14:textId="77777777" w:rsidR="00085F16" w:rsidRPr="00B922C3" w:rsidRDefault="00085F16" w:rsidP="00085F16">
      <w:pPr>
        <w:spacing w:before="240" w:after="240"/>
        <w:jc w:val="both"/>
        <w:rPr>
          <w:rFonts w:ascii="Times New Roman" w:hAnsi="Times New Roman" w:cs="Times New Roman"/>
        </w:rPr>
      </w:pPr>
      <w:r w:rsidRPr="00B922C3">
        <w:rPr>
          <w:rFonts w:ascii="Times New Roman" w:hAnsi="Times New Roman" w:cs="Times New Roman"/>
        </w:rPr>
        <w:t>Tabela 4 tregon produktivitetin e punës dhe koston për njësinë e punës për periudhën 2015: 2018. Siç shihet, kur krahasohen të dhënat e Anketës së Fuqisë Punëtore të vitit 2018 me ato në 2017, produktiviteti i punës (euro e BPV-së në orë) në një nivel kombëtar është rritur me 8.9 euro; ndërsa kosto e njësisë së punës është ulur me 2.6% në 2018.</w:t>
      </w:r>
    </w:p>
    <w:p w14:paraId="67571A66" w14:textId="77777777" w:rsidR="00085F16" w:rsidRPr="00FC648F" w:rsidRDefault="00085F16" w:rsidP="00085F16">
      <w:pPr>
        <w:pStyle w:val="Caption"/>
        <w:keepNext/>
        <w:spacing w:before="240" w:after="0"/>
        <w:rPr>
          <w:rFonts w:ascii="Times New Roman" w:hAnsi="Times New Roman"/>
          <w:b/>
          <w:i w:val="0"/>
          <w:color w:val="auto"/>
          <w:lang w:val="sq-AL"/>
        </w:rPr>
      </w:pPr>
      <w:bookmarkStart w:id="40" w:name="_Toc25673442"/>
      <w:r w:rsidRPr="00FC648F">
        <w:rPr>
          <w:rFonts w:ascii="Times New Roman" w:hAnsi="Times New Roman"/>
          <w:b/>
          <w:i w:val="0"/>
          <w:color w:val="auto"/>
          <w:lang w:val="sq-AL"/>
        </w:rPr>
        <w:t xml:space="preserve">Tabela </w:t>
      </w:r>
      <w:r w:rsidRPr="006A51C7">
        <w:rPr>
          <w:rFonts w:ascii="Times New Roman" w:hAnsi="Times New Roman"/>
          <w:b/>
          <w:i w:val="0"/>
          <w:color w:val="auto"/>
        </w:rPr>
        <w:fldChar w:fldCharType="begin"/>
      </w:r>
      <w:r w:rsidRPr="00FC648F">
        <w:rPr>
          <w:rFonts w:ascii="Times New Roman" w:hAnsi="Times New Roman"/>
          <w:b/>
          <w:i w:val="0"/>
          <w:color w:val="auto"/>
          <w:lang w:val="sq-AL"/>
        </w:rPr>
        <w:instrText xml:space="preserve"> SEQ Tabela \* ARABIC </w:instrText>
      </w:r>
      <w:r w:rsidRPr="006A51C7">
        <w:rPr>
          <w:rFonts w:ascii="Times New Roman" w:hAnsi="Times New Roman"/>
          <w:b/>
          <w:i w:val="0"/>
          <w:color w:val="auto"/>
        </w:rPr>
        <w:fldChar w:fldCharType="separate"/>
      </w:r>
      <w:r w:rsidRPr="00FC648F">
        <w:rPr>
          <w:rFonts w:ascii="Times New Roman" w:hAnsi="Times New Roman"/>
          <w:b/>
          <w:i w:val="0"/>
          <w:noProof/>
          <w:color w:val="auto"/>
          <w:lang w:val="sq-AL"/>
        </w:rPr>
        <w:t>4</w:t>
      </w:r>
      <w:r w:rsidRPr="006A51C7">
        <w:rPr>
          <w:rFonts w:ascii="Times New Roman" w:hAnsi="Times New Roman"/>
          <w:b/>
          <w:i w:val="0"/>
          <w:color w:val="auto"/>
        </w:rPr>
        <w:fldChar w:fldCharType="end"/>
      </w:r>
      <w:r w:rsidRPr="00FC648F">
        <w:rPr>
          <w:rFonts w:ascii="Times New Roman" w:hAnsi="Times New Roman"/>
          <w:b/>
          <w:i w:val="0"/>
          <w:color w:val="auto"/>
          <w:lang w:val="sq-AL"/>
        </w:rPr>
        <w:t xml:space="preserve"> Produktiviteti i punës dhe Kostot për Njësi të Punës – KPNJ 2015-2018</w:t>
      </w:r>
      <w:bookmarkEnd w:id="40"/>
    </w:p>
    <w:tbl>
      <w:tblPr>
        <w:tblW w:w="5000" w:type="pct"/>
        <w:tblBorders>
          <w:top w:val="single" w:sz="4" w:space="0" w:color="auto"/>
          <w:left w:val="single" w:sz="4" w:space="0" w:color="auto"/>
          <w:bottom w:val="single" w:sz="4" w:space="0" w:color="auto"/>
          <w:right w:val="single" w:sz="4" w:space="0" w:color="auto"/>
        </w:tblBorders>
        <w:shd w:val="clear" w:color="auto" w:fill="DEEAF6" w:themeFill="accent1" w:themeFillTint="33"/>
        <w:tblLook w:val="04A0" w:firstRow="1" w:lastRow="0" w:firstColumn="1" w:lastColumn="0" w:noHBand="0" w:noVBand="1"/>
      </w:tblPr>
      <w:tblGrid>
        <w:gridCol w:w="4190"/>
        <w:gridCol w:w="1292"/>
        <w:gridCol w:w="1292"/>
        <w:gridCol w:w="1288"/>
        <w:gridCol w:w="1288"/>
      </w:tblGrid>
      <w:tr w:rsidR="00085F16" w:rsidRPr="007D5D03" w14:paraId="53D25C6B" w14:textId="77777777" w:rsidTr="00085F16">
        <w:trPr>
          <w:trHeight w:val="40"/>
        </w:trPr>
        <w:tc>
          <w:tcPr>
            <w:tcW w:w="2240" w:type="pct"/>
            <w:tcBorders>
              <w:top w:val="single" w:sz="4" w:space="0" w:color="auto"/>
              <w:bottom w:val="single" w:sz="4" w:space="0" w:color="auto"/>
            </w:tcBorders>
            <w:shd w:val="clear" w:color="auto" w:fill="DEEAF6" w:themeFill="accent1" w:themeFillTint="33"/>
            <w:noWrap/>
            <w:vAlign w:val="center"/>
            <w:hideMark/>
          </w:tcPr>
          <w:p w14:paraId="139CABD3" w14:textId="77777777" w:rsidR="00085F16" w:rsidRPr="007D5D03" w:rsidRDefault="00085F16" w:rsidP="00085F16">
            <w:pPr>
              <w:jc w:val="both"/>
              <w:rPr>
                <w:rFonts w:eastAsia="Cambria"/>
                <w:b/>
                <w:bCs/>
                <w:sz w:val="16"/>
                <w:szCs w:val="16"/>
              </w:rPr>
            </w:pPr>
            <w:r w:rsidRPr="007D5D03">
              <w:rPr>
                <w:rFonts w:eastAsia="Cambria"/>
                <w:b/>
                <w:bCs/>
                <w:sz w:val="16"/>
                <w:szCs w:val="16"/>
              </w:rPr>
              <w:t>Indi</w:t>
            </w:r>
            <w:r>
              <w:rPr>
                <w:rFonts w:eastAsia="Cambria"/>
                <w:b/>
                <w:bCs/>
                <w:sz w:val="16"/>
                <w:szCs w:val="16"/>
              </w:rPr>
              <w:t>katori</w:t>
            </w:r>
          </w:p>
        </w:tc>
        <w:tc>
          <w:tcPr>
            <w:tcW w:w="691" w:type="pct"/>
            <w:tcBorders>
              <w:top w:val="single" w:sz="4" w:space="0" w:color="auto"/>
              <w:bottom w:val="single" w:sz="4" w:space="0" w:color="auto"/>
            </w:tcBorders>
            <w:shd w:val="clear" w:color="auto" w:fill="DEEAF6" w:themeFill="accent1" w:themeFillTint="33"/>
            <w:noWrap/>
            <w:vAlign w:val="bottom"/>
            <w:hideMark/>
          </w:tcPr>
          <w:p w14:paraId="7C787F49" w14:textId="77777777" w:rsidR="00085F16" w:rsidRPr="007D5D03" w:rsidRDefault="00085F16" w:rsidP="00085F16">
            <w:pPr>
              <w:jc w:val="both"/>
              <w:rPr>
                <w:rFonts w:eastAsia="Cambria"/>
                <w:b/>
                <w:bCs/>
                <w:sz w:val="16"/>
                <w:szCs w:val="16"/>
              </w:rPr>
            </w:pPr>
            <w:r w:rsidRPr="007D5D03">
              <w:rPr>
                <w:rFonts w:eastAsia="Cambria"/>
                <w:b/>
                <w:bCs/>
                <w:sz w:val="16"/>
                <w:szCs w:val="16"/>
              </w:rPr>
              <w:t>2015</w:t>
            </w:r>
          </w:p>
        </w:tc>
        <w:tc>
          <w:tcPr>
            <w:tcW w:w="691" w:type="pct"/>
            <w:tcBorders>
              <w:top w:val="single" w:sz="4" w:space="0" w:color="auto"/>
              <w:bottom w:val="single" w:sz="4" w:space="0" w:color="auto"/>
            </w:tcBorders>
            <w:shd w:val="clear" w:color="auto" w:fill="DEEAF6" w:themeFill="accent1" w:themeFillTint="33"/>
            <w:noWrap/>
            <w:vAlign w:val="bottom"/>
            <w:hideMark/>
          </w:tcPr>
          <w:p w14:paraId="35B81838" w14:textId="77777777" w:rsidR="00085F16" w:rsidRPr="007D5D03" w:rsidRDefault="00085F16" w:rsidP="00085F16">
            <w:pPr>
              <w:jc w:val="both"/>
              <w:rPr>
                <w:rFonts w:eastAsia="Cambria"/>
                <w:b/>
                <w:bCs/>
                <w:sz w:val="16"/>
                <w:szCs w:val="16"/>
              </w:rPr>
            </w:pPr>
            <w:r w:rsidRPr="007D5D03">
              <w:rPr>
                <w:rFonts w:eastAsia="Cambria"/>
                <w:b/>
                <w:bCs/>
                <w:sz w:val="16"/>
                <w:szCs w:val="16"/>
              </w:rPr>
              <w:t>2016</w:t>
            </w:r>
          </w:p>
        </w:tc>
        <w:tc>
          <w:tcPr>
            <w:tcW w:w="689" w:type="pct"/>
            <w:tcBorders>
              <w:top w:val="single" w:sz="4" w:space="0" w:color="auto"/>
              <w:bottom w:val="single" w:sz="4" w:space="0" w:color="auto"/>
            </w:tcBorders>
            <w:shd w:val="clear" w:color="auto" w:fill="DEEAF6" w:themeFill="accent1" w:themeFillTint="33"/>
            <w:noWrap/>
            <w:vAlign w:val="bottom"/>
            <w:hideMark/>
          </w:tcPr>
          <w:p w14:paraId="7285EA31" w14:textId="77777777" w:rsidR="00085F16" w:rsidRPr="007D5D03" w:rsidRDefault="00085F16" w:rsidP="00085F16">
            <w:pPr>
              <w:jc w:val="both"/>
              <w:rPr>
                <w:rFonts w:eastAsia="Cambria"/>
                <w:b/>
                <w:bCs/>
                <w:sz w:val="16"/>
                <w:szCs w:val="16"/>
              </w:rPr>
            </w:pPr>
            <w:r w:rsidRPr="007D5D03">
              <w:rPr>
                <w:rFonts w:eastAsia="Cambria"/>
                <w:b/>
                <w:bCs/>
                <w:sz w:val="16"/>
                <w:szCs w:val="16"/>
              </w:rPr>
              <w:t>2017</w:t>
            </w:r>
          </w:p>
        </w:tc>
        <w:tc>
          <w:tcPr>
            <w:tcW w:w="689" w:type="pct"/>
            <w:tcBorders>
              <w:top w:val="single" w:sz="4" w:space="0" w:color="auto"/>
              <w:bottom w:val="single" w:sz="4" w:space="0" w:color="auto"/>
            </w:tcBorders>
            <w:shd w:val="clear" w:color="auto" w:fill="DEEAF6" w:themeFill="accent1" w:themeFillTint="33"/>
          </w:tcPr>
          <w:p w14:paraId="16764F71" w14:textId="77777777" w:rsidR="00085F16" w:rsidRPr="007D5D03" w:rsidRDefault="00085F16" w:rsidP="00085F16">
            <w:pPr>
              <w:jc w:val="both"/>
              <w:rPr>
                <w:rFonts w:eastAsia="Cambria"/>
                <w:b/>
                <w:bCs/>
                <w:sz w:val="16"/>
                <w:szCs w:val="16"/>
              </w:rPr>
            </w:pPr>
            <w:r w:rsidRPr="007D5D03">
              <w:rPr>
                <w:rFonts w:eastAsia="Cambria"/>
                <w:b/>
                <w:bCs/>
                <w:sz w:val="16"/>
                <w:szCs w:val="16"/>
              </w:rPr>
              <w:t>2018</w:t>
            </w:r>
          </w:p>
        </w:tc>
      </w:tr>
      <w:tr w:rsidR="00085F16" w:rsidRPr="007D5D03" w14:paraId="02E598F1" w14:textId="77777777" w:rsidTr="00085F16">
        <w:trPr>
          <w:trHeight w:val="181"/>
        </w:trPr>
        <w:tc>
          <w:tcPr>
            <w:tcW w:w="2240" w:type="pct"/>
            <w:tcBorders>
              <w:top w:val="single" w:sz="4" w:space="0" w:color="auto"/>
            </w:tcBorders>
            <w:shd w:val="clear" w:color="auto" w:fill="DEEAF6" w:themeFill="accent1" w:themeFillTint="33"/>
            <w:noWrap/>
            <w:vAlign w:val="bottom"/>
            <w:hideMark/>
          </w:tcPr>
          <w:p w14:paraId="483061D1" w14:textId="77777777" w:rsidR="00085F16" w:rsidRPr="007D5D03" w:rsidRDefault="00085F16" w:rsidP="00085F16">
            <w:pPr>
              <w:jc w:val="both"/>
              <w:rPr>
                <w:sz w:val="16"/>
                <w:szCs w:val="16"/>
              </w:rPr>
            </w:pPr>
            <w:r>
              <w:rPr>
                <w:sz w:val="16"/>
                <w:szCs w:val="16"/>
              </w:rPr>
              <w:t>Orët e punës për javë për person</w:t>
            </w:r>
          </w:p>
        </w:tc>
        <w:tc>
          <w:tcPr>
            <w:tcW w:w="691" w:type="pct"/>
            <w:tcBorders>
              <w:top w:val="single" w:sz="4" w:space="0" w:color="auto"/>
            </w:tcBorders>
            <w:shd w:val="clear" w:color="auto" w:fill="DEEAF6" w:themeFill="accent1" w:themeFillTint="33"/>
            <w:noWrap/>
            <w:vAlign w:val="bottom"/>
            <w:hideMark/>
          </w:tcPr>
          <w:p w14:paraId="03256CD1" w14:textId="77777777" w:rsidR="00085F16" w:rsidRPr="007D5D03" w:rsidRDefault="00085F16" w:rsidP="00085F16">
            <w:pPr>
              <w:jc w:val="both"/>
              <w:rPr>
                <w:rFonts w:eastAsia="Cambria"/>
                <w:sz w:val="16"/>
                <w:szCs w:val="16"/>
              </w:rPr>
            </w:pPr>
            <w:r w:rsidRPr="007D5D03">
              <w:rPr>
                <w:rFonts w:eastAsia="Cambria"/>
                <w:sz w:val="16"/>
                <w:szCs w:val="16"/>
              </w:rPr>
              <w:t>41</w:t>
            </w:r>
          </w:p>
        </w:tc>
        <w:tc>
          <w:tcPr>
            <w:tcW w:w="691" w:type="pct"/>
            <w:tcBorders>
              <w:top w:val="single" w:sz="4" w:space="0" w:color="auto"/>
            </w:tcBorders>
            <w:shd w:val="clear" w:color="auto" w:fill="DEEAF6" w:themeFill="accent1" w:themeFillTint="33"/>
            <w:noWrap/>
            <w:vAlign w:val="bottom"/>
            <w:hideMark/>
          </w:tcPr>
          <w:p w14:paraId="4DCC31E4" w14:textId="77777777" w:rsidR="00085F16" w:rsidRPr="007D5D03" w:rsidRDefault="00085F16" w:rsidP="00085F16">
            <w:pPr>
              <w:jc w:val="both"/>
              <w:rPr>
                <w:rFonts w:eastAsia="Cambria"/>
                <w:sz w:val="16"/>
                <w:szCs w:val="16"/>
              </w:rPr>
            </w:pPr>
            <w:r w:rsidRPr="007D5D03">
              <w:rPr>
                <w:rFonts w:eastAsia="Cambria"/>
                <w:sz w:val="16"/>
                <w:szCs w:val="16"/>
              </w:rPr>
              <w:t>41</w:t>
            </w:r>
          </w:p>
        </w:tc>
        <w:tc>
          <w:tcPr>
            <w:tcW w:w="689" w:type="pct"/>
            <w:tcBorders>
              <w:top w:val="single" w:sz="4" w:space="0" w:color="auto"/>
            </w:tcBorders>
            <w:shd w:val="clear" w:color="auto" w:fill="DEEAF6" w:themeFill="accent1" w:themeFillTint="33"/>
            <w:noWrap/>
            <w:vAlign w:val="bottom"/>
            <w:hideMark/>
          </w:tcPr>
          <w:p w14:paraId="2DA2D8DD" w14:textId="77777777" w:rsidR="00085F16" w:rsidRPr="007D5D03" w:rsidRDefault="00085F16" w:rsidP="00085F16">
            <w:pPr>
              <w:jc w:val="both"/>
              <w:rPr>
                <w:rFonts w:eastAsia="Cambria"/>
                <w:sz w:val="16"/>
                <w:szCs w:val="16"/>
              </w:rPr>
            </w:pPr>
            <w:r w:rsidRPr="007D5D03">
              <w:rPr>
                <w:rFonts w:eastAsia="Cambria"/>
                <w:sz w:val="16"/>
                <w:szCs w:val="16"/>
              </w:rPr>
              <w:t>42</w:t>
            </w:r>
          </w:p>
        </w:tc>
        <w:tc>
          <w:tcPr>
            <w:tcW w:w="689" w:type="pct"/>
            <w:tcBorders>
              <w:top w:val="single" w:sz="4" w:space="0" w:color="auto"/>
            </w:tcBorders>
            <w:shd w:val="clear" w:color="auto" w:fill="DEEAF6" w:themeFill="accent1" w:themeFillTint="33"/>
          </w:tcPr>
          <w:p w14:paraId="5B666961" w14:textId="77777777" w:rsidR="00085F16" w:rsidRPr="007D5D03" w:rsidRDefault="00085F16" w:rsidP="00085F16">
            <w:pPr>
              <w:jc w:val="both"/>
              <w:rPr>
                <w:rFonts w:eastAsia="Cambria"/>
                <w:sz w:val="16"/>
                <w:szCs w:val="16"/>
              </w:rPr>
            </w:pPr>
            <w:r w:rsidRPr="007D5D03">
              <w:rPr>
                <w:rFonts w:eastAsia="Cambria"/>
                <w:sz w:val="16"/>
                <w:szCs w:val="16"/>
              </w:rPr>
              <w:t>42</w:t>
            </w:r>
          </w:p>
        </w:tc>
      </w:tr>
      <w:tr w:rsidR="00085F16" w:rsidRPr="007D5D03" w14:paraId="36F2A334" w14:textId="77777777" w:rsidTr="00085F16">
        <w:trPr>
          <w:trHeight w:val="276"/>
        </w:trPr>
        <w:tc>
          <w:tcPr>
            <w:tcW w:w="2240" w:type="pct"/>
            <w:shd w:val="clear" w:color="auto" w:fill="DEEAF6" w:themeFill="accent1" w:themeFillTint="33"/>
            <w:noWrap/>
            <w:vAlign w:val="bottom"/>
            <w:hideMark/>
          </w:tcPr>
          <w:p w14:paraId="3D28FBD7" w14:textId="77777777" w:rsidR="00085F16" w:rsidRPr="007D5D03" w:rsidRDefault="00085F16" w:rsidP="00085F16">
            <w:pPr>
              <w:jc w:val="both"/>
              <w:rPr>
                <w:sz w:val="16"/>
                <w:szCs w:val="16"/>
              </w:rPr>
            </w:pPr>
            <w:r>
              <w:rPr>
                <w:sz w:val="16"/>
                <w:szCs w:val="16"/>
              </w:rPr>
              <w:t>Paga mesatare</w:t>
            </w:r>
            <w:r w:rsidRPr="007D5D03">
              <w:rPr>
                <w:sz w:val="16"/>
                <w:szCs w:val="16"/>
              </w:rPr>
              <w:t xml:space="preserve"> (</w:t>
            </w:r>
            <w:r>
              <w:rPr>
                <w:sz w:val="16"/>
                <w:szCs w:val="16"/>
              </w:rPr>
              <w:t>ATK</w:t>
            </w:r>
            <w:r w:rsidRPr="007D5D03">
              <w:rPr>
                <w:sz w:val="16"/>
                <w:szCs w:val="16"/>
              </w:rPr>
              <w:t>)</w:t>
            </w:r>
          </w:p>
        </w:tc>
        <w:tc>
          <w:tcPr>
            <w:tcW w:w="691" w:type="pct"/>
            <w:shd w:val="clear" w:color="auto" w:fill="DEEAF6" w:themeFill="accent1" w:themeFillTint="33"/>
            <w:noWrap/>
            <w:vAlign w:val="bottom"/>
            <w:hideMark/>
          </w:tcPr>
          <w:p w14:paraId="685239FA" w14:textId="77777777" w:rsidR="00085F16" w:rsidRPr="007D5D03" w:rsidRDefault="00085F16" w:rsidP="00085F16">
            <w:pPr>
              <w:jc w:val="both"/>
              <w:rPr>
                <w:rFonts w:eastAsia="Cambria"/>
                <w:sz w:val="16"/>
                <w:szCs w:val="16"/>
              </w:rPr>
            </w:pPr>
            <w:r w:rsidRPr="007D5D03">
              <w:rPr>
                <w:rFonts w:eastAsia="Cambria"/>
                <w:sz w:val="16"/>
                <w:szCs w:val="16"/>
              </w:rPr>
              <w:t>510</w:t>
            </w:r>
          </w:p>
        </w:tc>
        <w:tc>
          <w:tcPr>
            <w:tcW w:w="691" w:type="pct"/>
            <w:shd w:val="clear" w:color="auto" w:fill="DEEAF6" w:themeFill="accent1" w:themeFillTint="33"/>
            <w:noWrap/>
            <w:vAlign w:val="bottom"/>
            <w:hideMark/>
          </w:tcPr>
          <w:p w14:paraId="3587189E" w14:textId="77777777" w:rsidR="00085F16" w:rsidRPr="007D5D03" w:rsidRDefault="00085F16" w:rsidP="00085F16">
            <w:pPr>
              <w:jc w:val="both"/>
              <w:rPr>
                <w:rFonts w:eastAsia="Cambria"/>
                <w:sz w:val="16"/>
                <w:szCs w:val="16"/>
              </w:rPr>
            </w:pPr>
            <w:r w:rsidRPr="007D5D03">
              <w:rPr>
                <w:rFonts w:eastAsia="Cambria"/>
                <w:sz w:val="16"/>
                <w:szCs w:val="16"/>
              </w:rPr>
              <w:t>519</w:t>
            </w:r>
          </w:p>
        </w:tc>
        <w:tc>
          <w:tcPr>
            <w:tcW w:w="689" w:type="pct"/>
            <w:shd w:val="clear" w:color="auto" w:fill="DEEAF6" w:themeFill="accent1" w:themeFillTint="33"/>
            <w:noWrap/>
            <w:vAlign w:val="bottom"/>
            <w:hideMark/>
          </w:tcPr>
          <w:p w14:paraId="1AC83559" w14:textId="77777777" w:rsidR="00085F16" w:rsidRPr="007D5D03" w:rsidRDefault="00085F16" w:rsidP="00085F16">
            <w:pPr>
              <w:jc w:val="both"/>
              <w:rPr>
                <w:rFonts w:eastAsia="Cambria"/>
                <w:sz w:val="16"/>
                <w:szCs w:val="16"/>
              </w:rPr>
            </w:pPr>
            <w:r w:rsidRPr="007D5D03">
              <w:rPr>
                <w:rFonts w:eastAsia="Cambria"/>
                <w:sz w:val="16"/>
                <w:szCs w:val="16"/>
              </w:rPr>
              <w:t>528</w:t>
            </w:r>
          </w:p>
        </w:tc>
        <w:tc>
          <w:tcPr>
            <w:tcW w:w="689" w:type="pct"/>
            <w:shd w:val="clear" w:color="auto" w:fill="DEEAF6" w:themeFill="accent1" w:themeFillTint="33"/>
          </w:tcPr>
          <w:p w14:paraId="0DB369E8" w14:textId="77777777" w:rsidR="00085F16" w:rsidRPr="007D5D03" w:rsidRDefault="00085F16" w:rsidP="00085F16">
            <w:pPr>
              <w:jc w:val="both"/>
              <w:rPr>
                <w:rFonts w:eastAsia="Cambria"/>
                <w:sz w:val="16"/>
                <w:szCs w:val="16"/>
              </w:rPr>
            </w:pPr>
            <w:r w:rsidRPr="007D5D03">
              <w:rPr>
                <w:rFonts w:eastAsia="Cambria"/>
                <w:sz w:val="16"/>
                <w:szCs w:val="16"/>
              </w:rPr>
              <w:t>558</w:t>
            </w:r>
          </w:p>
        </w:tc>
      </w:tr>
      <w:tr w:rsidR="00085F16" w:rsidRPr="007D5D03" w14:paraId="0AA4847A" w14:textId="77777777" w:rsidTr="00085F16">
        <w:trPr>
          <w:trHeight w:val="40"/>
        </w:trPr>
        <w:tc>
          <w:tcPr>
            <w:tcW w:w="2240" w:type="pct"/>
            <w:shd w:val="clear" w:color="auto" w:fill="DEEAF6" w:themeFill="accent1" w:themeFillTint="33"/>
            <w:noWrap/>
            <w:vAlign w:val="bottom"/>
            <w:hideMark/>
          </w:tcPr>
          <w:p w14:paraId="156BC508" w14:textId="77777777" w:rsidR="00085F16" w:rsidRPr="007D5D03" w:rsidRDefault="00085F16" w:rsidP="00085F16">
            <w:pPr>
              <w:jc w:val="both"/>
              <w:rPr>
                <w:sz w:val="16"/>
                <w:szCs w:val="16"/>
              </w:rPr>
            </w:pPr>
            <w:r>
              <w:rPr>
                <w:sz w:val="16"/>
                <w:szCs w:val="16"/>
              </w:rPr>
              <w:t>Numri i orëve të punës për person në vit</w:t>
            </w:r>
          </w:p>
        </w:tc>
        <w:tc>
          <w:tcPr>
            <w:tcW w:w="691" w:type="pct"/>
            <w:shd w:val="clear" w:color="auto" w:fill="DEEAF6" w:themeFill="accent1" w:themeFillTint="33"/>
            <w:noWrap/>
            <w:vAlign w:val="bottom"/>
            <w:hideMark/>
          </w:tcPr>
          <w:p w14:paraId="62726DCA" w14:textId="77777777" w:rsidR="00085F16" w:rsidRPr="007D5D03" w:rsidRDefault="00085F16" w:rsidP="00085F16">
            <w:pPr>
              <w:jc w:val="both"/>
              <w:rPr>
                <w:rFonts w:eastAsia="Cambria"/>
                <w:sz w:val="16"/>
                <w:szCs w:val="16"/>
              </w:rPr>
            </w:pPr>
            <w:r w:rsidRPr="007D5D03">
              <w:rPr>
                <w:rFonts w:eastAsia="Cambria"/>
                <w:sz w:val="16"/>
                <w:szCs w:val="16"/>
              </w:rPr>
              <w:t>2,132</w:t>
            </w:r>
          </w:p>
        </w:tc>
        <w:tc>
          <w:tcPr>
            <w:tcW w:w="691" w:type="pct"/>
            <w:shd w:val="clear" w:color="auto" w:fill="DEEAF6" w:themeFill="accent1" w:themeFillTint="33"/>
            <w:noWrap/>
            <w:vAlign w:val="bottom"/>
            <w:hideMark/>
          </w:tcPr>
          <w:p w14:paraId="5AEACCD3" w14:textId="77777777" w:rsidR="00085F16" w:rsidRPr="007D5D03" w:rsidRDefault="00085F16" w:rsidP="00085F16">
            <w:pPr>
              <w:jc w:val="both"/>
              <w:rPr>
                <w:rFonts w:eastAsia="Cambria"/>
                <w:sz w:val="16"/>
                <w:szCs w:val="16"/>
              </w:rPr>
            </w:pPr>
            <w:r w:rsidRPr="007D5D03">
              <w:rPr>
                <w:rFonts w:eastAsia="Cambria"/>
                <w:sz w:val="16"/>
                <w:szCs w:val="16"/>
              </w:rPr>
              <w:t>2,145</w:t>
            </w:r>
          </w:p>
        </w:tc>
        <w:tc>
          <w:tcPr>
            <w:tcW w:w="689" w:type="pct"/>
            <w:shd w:val="clear" w:color="auto" w:fill="DEEAF6" w:themeFill="accent1" w:themeFillTint="33"/>
            <w:noWrap/>
            <w:vAlign w:val="bottom"/>
            <w:hideMark/>
          </w:tcPr>
          <w:p w14:paraId="7CC0B0D0" w14:textId="77777777" w:rsidR="00085F16" w:rsidRPr="007D5D03" w:rsidRDefault="00085F16" w:rsidP="00085F16">
            <w:pPr>
              <w:jc w:val="both"/>
              <w:rPr>
                <w:rFonts w:eastAsia="Cambria"/>
                <w:sz w:val="16"/>
                <w:szCs w:val="16"/>
              </w:rPr>
            </w:pPr>
            <w:r w:rsidRPr="007D5D03">
              <w:rPr>
                <w:rFonts w:eastAsia="Cambria"/>
                <w:sz w:val="16"/>
                <w:szCs w:val="16"/>
              </w:rPr>
              <w:t>2,184</w:t>
            </w:r>
          </w:p>
        </w:tc>
        <w:tc>
          <w:tcPr>
            <w:tcW w:w="689" w:type="pct"/>
            <w:shd w:val="clear" w:color="auto" w:fill="DEEAF6" w:themeFill="accent1" w:themeFillTint="33"/>
          </w:tcPr>
          <w:p w14:paraId="074C0690" w14:textId="77777777" w:rsidR="00085F16" w:rsidRPr="007D5D03" w:rsidRDefault="00085F16" w:rsidP="00085F16">
            <w:pPr>
              <w:jc w:val="both"/>
              <w:rPr>
                <w:rFonts w:eastAsia="Cambria"/>
                <w:sz w:val="16"/>
                <w:szCs w:val="16"/>
              </w:rPr>
            </w:pPr>
            <w:r w:rsidRPr="007D5D03">
              <w:rPr>
                <w:rFonts w:eastAsia="Cambria"/>
                <w:sz w:val="16"/>
                <w:szCs w:val="16"/>
              </w:rPr>
              <w:t>2,184</w:t>
            </w:r>
          </w:p>
        </w:tc>
      </w:tr>
      <w:tr w:rsidR="00085F16" w:rsidRPr="007D5D03" w14:paraId="3B6BC73F" w14:textId="77777777" w:rsidTr="00085F16">
        <w:trPr>
          <w:trHeight w:val="40"/>
        </w:trPr>
        <w:tc>
          <w:tcPr>
            <w:tcW w:w="2240" w:type="pct"/>
            <w:shd w:val="clear" w:color="auto" w:fill="DEEAF6" w:themeFill="accent1" w:themeFillTint="33"/>
            <w:noWrap/>
            <w:vAlign w:val="bottom"/>
            <w:hideMark/>
          </w:tcPr>
          <w:p w14:paraId="647AFEB4" w14:textId="77777777" w:rsidR="00085F16" w:rsidRPr="007D5D03" w:rsidRDefault="00085F16" w:rsidP="00085F16">
            <w:pPr>
              <w:jc w:val="both"/>
              <w:rPr>
                <w:sz w:val="16"/>
                <w:szCs w:val="16"/>
              </w:rPr>
            </w:pPr>
            <w:r>
              <w:rPr>
                <w:sz w:val="16"/>
                <w:szCs w:val="16"/>
              </w:rPr>
              <w:t>Punësimi</w:t>
            </w:r>
          </w:p>
        </w:tc>
        <w:tc>
          <w:tcPr>
            <w:tcW w:w="691" w:type="pct"/>
            <w:shd w:val="clear" w:color="auto" w:fill="DEEAF6" w:themeFill="accent1" w:themeFillTint="33"/>
            <w:noWrap/>
            <w:vAlign w:val="bottom"/>
            <w:hideMark/>
          </w:tcPr>
          <w:p w14:paraId="5D8A3D0B" w14:textId="77777777" w:rsidR="00085F16" w:rsidRPr="007D5D03" w:rsidRDefault="00085F16" w:rsidP="00085F16">
            <w:pPr>
              <w:jc w:val="both"/>
              <w:rPr>
                <w:rFonts w:eastAsia="Cambria"/>
                <w:sz w:val="16"/>
                <w:szCs w:val="16"/>
              </w:rPr>
            </w:pPr>
            <w:r w:rsidRPr="007D5D03">
              <w:rPr>
                <w:rFonts w:eastAsia="Cambria"/>
                <w:sz w:val="16"/>
                <w:szCs w:val="16"/>
              </w:rPr>
              <w:t>296,940</w:t>
            </w:r>
          </w:p>
        </w:tc>
        <w:tc>
          <w:tcPr>
            <w:tcW w:w="691" w:type="pct"/>
            <w:shd w:val="clear" w:color="auto" w:fill="DEEAF6" w:themeFill="accent1" w:themeFillTint="33"/>
            <w:noWrap/>
            <w:vAlign w:val="bottom"/>
            <w:hideMark/>
          </w:tcPr>
          <w:p w14:paraId="1B54C04A" w14:textId="77777777" w:rsidR="00085F16" w:rsidRPr="007D5D03" w:rsidRDefault="00085F16" w:rsidP="00085F16">
            <w:pPr>
              <w:jc w:val="both"/>
              <w:rPr>
                <w:rFonts w:eastAsia="Cambria"/>
                <w:sz w:val="16"/>
                <w:szCs w:val="16"/>
              </w:rPr>
            </w:pPr>
            <w:r w:rsidRPr="007D5D03">
              <w:rPr>
                <w:rFonts w:eastAsia="Cambria"/>
                <w:sz w:val="16"/>
                <w:szCs w:val="16"/>
              </w:rPr>
              <w:t>331,761</w:t>
            </w:r>
          </w:p>
        </w:tc>
        <w:tc>
          <w:tcPr>
            <w:tcW w:w="689" w:type="pct"/>
            <w:shd w:val="clear" w:color="auto" w:fill="DEEAF6" w:themeFill="accent1" w:themeFillTint="33"/>
            <w:noWrap/>
            <w:vAlign w:val="bottom"/>
            <w:hideMark/>
          </w:tcPr>
          <w:p w14:paraId="1D61A2F0" w14:textId="77777777" w:rsidR="00085F16" w:rsidRPr="007D5D03" w:rsidRDefault="00085F16" w:rsidP="00085F16">
            <w:pPr>
              <w:jc w:val="both"/>
              <w:rPr>
                <w:rFonts w:eastAsia="Cambria"/>
                <w:sz w:val="16"/>
                <w:szCs w:val="16"/>
              </w:rPr>
            </w:pPr>
            <w:r w:rsidRPr="007D5D03">
              <w:rPr>
                <w:rFonts w:eastAsia="Cambria"/>
                <w:sz w:val="16"/>
                <w:szCs w:val="16"/>
              </w:rPr>
              <w:t>357,095</w:t>
            </w:r>
          </w:p>
        </w:tc>
        <w:tc>
          <w:tcPr>
            <w:tcW w:w="689" w:type="pct"/>
            <w:shd w:val="clear" w:color="auto" w:fill="DEEAF6" w:themeFill="accent1" w:themeFillTint="33"/>
          </w:tcPr>
          <w:p w14:paraId="45B492AD" w14:textId="77777777" w:rsidR="00085F16" w:rsidRPr="007D5D03" w:rsidRDefault="00085F16" w:rsidP="00085F16">
            <w:pPr>
              <w:jc w:val="both"/>
              <w:rPr>
                <w:rFonts w:eastAsia="Cambria"/>
                <w:sz w:val="16"/>
                <w:szCs w:val="16"/>
              </w:rPr>
            </w:pPr>
            <w:r w:rsidRPr="007D5D03">
              <w:rPr>
                <w:rFonts w:eastAsia="Cambria"/>
                <w:sz w:val="16"/>
                <w:szCs w:val="16"/>
              </w:rPr>
              <w:t>345,131</w:t>
            </w:r>
          </w:p>
        </w:tc>
      </w:tr>
      <w:tr w:rsidR="00085F16" w:rsidRPr="007D5D03" w14:paraId="06AFA9C2" w14:textId="77777777" w:rsidTr="00085F16">
        <w:trPr>
          <w:trHeight w:val="40"/>
        </w:trPr>
        <w:tc>
          <w:tcPr>
            <w:tcW w:w="2240" w:type="pct"/>
            <w:shd w:val="clear" w:color="auto" w:fill="DEEAF6" w:themeFill="accent1" w:themeFillTint="33"/>
            <w:noWrap/>
            <w:vAlign w:val="bottom"/>
            <w:hideMark/>
          </w:tcPr>
          <w:p w14:paraId="30C791E8" w14:textId="77777777" w:rsidR="00085F16" w:rsidRPr="007D5D03" w:rsidRDefault="00085F16" w:rsidP="00085F16">
            <w:pPr>
              <w:jc w:val="both"/>
              <w:rPr>
                <w:sz w:val="16"/>
                <w:szCs w:val="16"/>
              </w:rPr>
            </w:pPr>
            <w:r>
              <w:rPr>
                <w:sz w:val="16"/>
                <w:szCs w:val="16"/>
              </w:rPr>
              <w:t>BPV nominale (në milion Eur</w:t>
            </w:r>
            <w:r w:rsidRPr="007D5D03">
              <w:rPr>
                <w:sz w:val="16"/>
                <w:szCs w:val="16"/>
              </w:rPr>
              <w:t>)</w:t>
            </w:r>
          </w:p>
        </w:tc>
        <w:tc>
          <w:tcPr>
            <w:tcW w:w="691" w:type="pct"/>
            <w:shd w:val="clear" w:color="auto" w:fill="DEEAF6" w:themeFill="accent1" w:themeFillTint="33"/>
            <w:noWrap/>
            <w:vAlign w:val="bottom"/>
            <w:hideMark/>
          </w:tcPr>
          <w:p w14:paraId="733538D6" w14:textId="77777777" w:rsidR="00085F16" w:rsidRPr="007D5D03" w:rsidRDefault="00085F16" w:rsidP="00085F16">
            <w:pPr>
              <w:jc w:val="both"/>
              <w:rPr>
                <w:rFonts w:eastAsia="Cambria"/>
                <w:sz w:val="16"/>
                <w:szCs w:val="16"/>
              </w:rPr>
            </w:pPr>
            <w:r w:rsidRPr="007D5D03">
              <w:rPr>
                <w:rFonts w:eastAsia="Cambria"/>
                <w:sz w:val="16"/>
                <w:szCs w:val="16"/>
              </w:rPr>
              <w:t>5,807.01</w:t>
            </w:r>
          </w:p>
        </w:tc>
        <w:tc>
          <w:tcPr>
            <w:tcW w:w="691" w:type="pct"/>
            <w:shd w:val="clear" w:color="auto" w:fill="DEEAF6" w:themeFill="accent1" w:themeFillTint="33"/>
            <w:noWrap/>
            <w:vAlign w:val="bottom"/>
            <w:hideMark/>
          </w:tcPr>
          <w:p w14:paraId="5BD2557D" w14:textId="77777777" w:rsidR="00085F16" w:rsidRPr="007D5D03" w:rsidRDefault="00085F16" w:rsidP="00085F16">
            <w:pPr>
              <w:jc w:val="both"/>
              <w:rPr>
                <w:rFonts w:eastAsia="Cambria"/>
                <w:sz w:val="16"/>
                <w:szCs w:val="16"/>
              </w:rPr>
            </w:pPr>
            <w:r w:rsidRPr="007D5D03">
              <w:rPr>
                <w:rFonts w:eastAsia="Cambria"/>
                <w:sz w:val="16"/>
                <w:szCs w:val="16"/>
              </w:rPr>
              <w:t>6,070.11</w:t>
            </w:r>
          </w:p>
        </w:tc>
        <w:tc>
          <w:tcPr>
            <w:tcW w:w="689" w:type="pct"/>
            <w:shd w:val="clear" w:color="auto" w:fill="DEEAF6" w:themeFill="accent1" w:themeFillTint="33"/>
            <w:noWrap/>
            <w:vAlign w:val="bottom"/>
            <w:hideMark/>
          </w:tcPr>
          <w:p w14:paraId="2F267E0B" w14:textId="77777777" w:rsidR="00085F16" w:rsidRPr="007D5D03" w:rsidRDefault="00085F16" w:rsidP="00085F16">
            <w:pPr>
              <w:jc w:val="both"/>
              <w:rPr>
                <w:rFonts w:eastAsia="Cambria"/>
                <w:sz w:val="16"/>
                <w:szCs w:val="16"/>
              </w:rPr>
            </w:pPr>
            <w:r w:rsidRPr="007D5D03">
              <w:rPr>
                <w:rFonts w:eastAsia="Cambria"/>
                <w:sz w:val="16"/>
                <w:szCs w:val="16"/>
              </w:rPr>
              <w:t>6,413.86</w:t>
            </w:r>
          </w:p>
        </w:tc>
        <w:tc>
          <w:tcPr>
            <w:tcW w:w="689" w:type="pct"/>
            <w:shd w:val="clear" w:color="auto" w:fill="DEEAF6" w:themeFill="accent1" w:themeFillTint="33"/>
          </w:tcPr>
          <w:p w14:paraId="72BE3978" w14:textId="77777777" w:rsidR="00085F16" w:rsidRPr="007D5D03" w:rsidRDefault="00085F16" w:rsidP="00085F16">
            <w:pPr>
              <w:jc w:val="both"/>
              <w:rPr>
                <w:rFonts w:eastAsia="Cambria"/>
                <w:sz w:val="16"/>
                <w:szCs w:val="16"/>
              </w:rPr>
            </w:pPr>
            <w:r w:rsidRPr="007D5D03">
              <w:rPr>
                <w:rFonts w:eastAsia="Cambria"/>
                <w:sz w:val="16"/>
                <w:szCs w:val="16"/>
              </w:rPr>
              <w:t>6,725.91</w:t>
            </w:r>
          </w:p>
        </w:tc>
      </w:tr>
      <w:tr w:rsidR="00085F16" w:rsidRPr="007D5D03" w14:paraId="1364C0A2" w14:textId="77777777" w:rsidTr="00085F16">
        <w:trPr>
          <w:trHeight w:val="40"/>
        </w:trPr>
        <w:tc>
          <w:tcPr>
            <w:tcW w:w="2240" w:type="pct"/>
            <w:shd w:val="clear" w:color="auto" w:fill="DEEAF6" w:themeFill="accent1" w:themeFillTint="33"/>
            <w:noWrap/>
            <w:vAlign w:val="bottom"/>
            <w:hideMark/>
          </w:tcPr>
          <w:p w14:paraId="1C102004" w14:textId="77777777" w:rsidR="00085F16" w:rsidRPr="007D5D03" w:rsidRDefault="00085F16" w:rsidP="00085F16">
            <w:pPr>
              <w:jc w:val="both"/>
              <w:rPr>
                <w:sz w:val="16"/>
                <w:szCs w:val="16"/>
              </w:rPr>
            </w:pPr>
            <w:r>
              <w:rPr>
                <w:sz w:val="16"/>
                <w:szCs w:val="16"/>
              </w:rPr>
              <w:t>Total numri i orëve të punës (në mil</w:t>
            </w:r>
            <w:r w:rsidRPr="007D5D03">
              <w:rPr>
                <w:sz w:val="16"/>
                <w:szCs w:val="16"/>
              </w:rPr>
              <w:t>ion)</w:t>
            </w:r>
          </w:p>
        </w:tc>
        <w:tc>
          <w:tcPr>
            <w:tcW w:w="691" w:type="pct"/>
            <w:shd w:val="clear" w:color="auto" w:fill="DEEAF6" w:themeFill="accent1" w:themeFillTint="33"/>
            <w:noWrap/>
            <w:vAlign w:val="bottom"/>
            <w:hideMark/>
          </w:tcPr>
          <w:p w14:paraId="31A8F732" w14:textId="77777777" w:rsidR="00085F16" w:rsidRPr="007D5D03" w:rsidRDefault="00085F16" w:rsidP="00085F16">
            <w:pPr>
              <w:jc w:val="both"/>
              <w:rPr>
                <w:rFonts w:eastAsia="Cambria"/>
                <w:sz w:val="16"/>
                <w:szCs w:val="16"/>
              </w:rPr>
            </w:pPr>
            <w:r w:rsidRPr="007D5D03">
              <w:rPr>
                <w:rFonts w:eastAsia="Cambria"/>
                <w:sz w:val="16"/>
                <w:szCs w:val="16"/>
              </w:rPr>
              <w:t>633.08</w:t>
            </w:r>
          </w:p>
        </w:tc>
        <w:tc>
          <w:tcPr>
            <w:tcW w:w="691" w:type="pct"/>
            <w:shd w:val="clear" w:color="auto" w:fill="DEEAF6" w:themeFill="accent1" w:themeFillTint="33"/>
            <w:noWrap/>
            <w:vAlign w:val="bottom"/>
            <w:hideMark/>
          </w:tcPr>
          <w:p w14:paraId="3A20066A" w14:textId="77777777" w:rsidR="00085F16" w:rsidRPr="007D5D03" w:rsidRDefault="00085F16" w:rsidP="00085F16">
            <w:pPr>
              <w:jc w:val="both"/>
              <w:rPr>
                <w:rFonts w:eastAsia="Cambria"/>
                <w:sz w:val="16"/>
                <w:szCs w:val="16"/>
              </w:rPr>
            </w:pPr>
            <w:r w:rsidRPr="007D5D03">
              <w:rPr>
                <w:rFonts w:eastAsia="Cambria"/>
                <w:sz w:val="16"/>
                <w:szCs w:val="16"/>
              </w:rPr>
              <w:t>711.63</w:t>
            </w:r>
          </w:p>
        </w:tc>
        <w:tc>
          <w:tcPr>
            <w:tcW w:w="689" w:type="pct"/>
            <w:shd w:val="clear" w:color="auto" w:fill="DEEAF6" w:themeFill="accent1" w:themeFillTint="33"/>
            <w:noWrap/>
            <w:vAlign w:val="bottom"/>
            <w:hideMark/>
          </w:tcPr>
          <w:p w14:paraId="79A2F4C2" w14:textId="77777777" w:rsidR="00085F16" w:rsidRPr="007D5D03" w:rsidRDefault="00085F16" w:rsidP="00085F16">
            <w:pPr>
              <w:jc w:val="both"/>
              <w:rPr>
                <w:rFonts w:eastAsia="Cambria"/>
                <w:sz w:val="16"/>
                <w:szCs w:val="16"/>
              </w:rPr>
            </w:pPr>
            <w:r w:rsidRPr="007D5D03">
              <w:rPr>
                <w:rFonts w:eastAsia="Cambria"/>
                <w:sz w:val="16"/>
                <w:szCs w:val="16"/>
              </w:rPr>
              <w:t>779.90</w:t>
            </w:r>
          </w:p>
        </w:tc>
        <w:tc>
          <w:tcPr>
            <w:tcW w:w="689" w:type="pct"/>
            <w:shd w:val="clear" w:color="auto" w:fill="DEEAF6" w:themeFill="accent1" w:themeFillTint="33"/>
          </w:tcPr>
          <w:p w14:paraId="7B94B806" w14:textId="77777777" w:rsidR="00085F16" w:rsidRPr="007D5D03" w:rsidRDefault="00085F16" w:rsidP="00085F16">
            <w:pPr>
              <w:jc w:val="both"/>
              <w:rPr>
                <w:rFonts w:eastAsia="Cambria"/>
                <w:sz w:val="16"/>
                <w:szCs w:val="16"/>
              </w:rPr>
            </w:pPr>
            <w:r w:rsidRPr="007D5D03">
              <w:rPr>
                <w:rFonts w:eastAsia="Cambria"/>
                <w:sz w:val="16"/>
                <w:szCs w:val="16"/>
              </w:rPr>
              <w:t>753.77</w:t>
            </w:r>
          </w:p>
        </w:tc>
      </w:tr>
      <w:tr w:rsidR="00085F16" w:rsidRPr="007D5D03" w14:paraId="2118076F" w14:textId="77777777" w:rsidTr="00085F16">
        <w:trPr>
          <w:trHeight w:val="40"/>
        </w:trPr>
        <w:tc>
          <w:tcPr>
            <w:tcW w:w="2240" w:type="pct"/>
            <w:tcBorders>
              <w:bottom w:val="single" w:sz="4" w:space="0" w:color="auto"/>
            </w:tcBorders>
            <w:shd w:val="clear" w:color="auto" w:fill="DEEAF6" w:themeFill="accent1" w:themeFillTint="33"/>
            <w:noWrap/>
            <w:vAlign w:val="bottom"/>
          </w:tcPr>
          <w:p w14:paraId="1B3EC379" w14:textId="77777777" w:rsidR="00085F16" w:rsidRPr="007D5D03" w:rsidRDefault="00085F16" w:rsidP="00085F16">
            <w:pPr>
              <w:jc w:val="both"/>
              <w:rPr>
                <w:sz w:val="16"/>
                <w:szCs w:val="16"/>
              </w:rPr>
            </w:pPr>
            <w:r>
              <w:rPr>
                <w:sz w:val="16"/>
                <w:szCs w:val="16"/>
              </w:rPr>
              <w:t>Total Kompensimi i punës (në milion Eur</w:t>
            </w:r>
            <w:r w:rsidRPr="007D5D03">
              <w:rPr>
                <w:sz w:val="16"/>
                <w:szCs w:val="16"/>
              </w:rPr>
              <w:t>)</w:t>
            </w:r>
          </w:p>
        </w:tc>
        <w:tc>
          <w:tcPr>
            <w:tcW w:w="691" w:type="pct"/>
            <w:tcBorders>
              <w:bottom w:val="single" w:sz="4" w:space="0" w:color="auto"/>
            </w:tcBorders>
            <w:shd w:val="clear" w:color="auto" w:fill="DEEAF6" w:themeFill="accent1" w:themeFillTint="33"/>
            <w:noWrap/>
            <w:vAlign w:val="bottom"/>
          </w:tcPr>
          <w:p w14:paraId="51DDAA69" w14:textId="77777777" w:rsidR="00085F16" w:rsidRPr="007D5D03" w:rsidRDefault="00085F16" w:rsidP="00085F16">
            <w:pPr>
              <w:jc w:val="both"/>
              <w:rPr>
                <w:rFonts w:eastAsia="Cambria"/>
                <w:sz w:val="16"/>
                <w:szCs w:val="16"/>
              </w:rPr>
            </w:pPr>
            <w:r w:rsidRPr="007D5D03">
              <w:rPr>
                <w:rFonts w:eastAsia="Cambria"/>
                <w:sz w:val="16"/>
                <w:szCs w:val="16"/>
              </w:rPr>
              <w:t>1,817.27</w:t>
            </w:r>
          </w:p>
        </w:tc>
        <w:tc>
          <w:tcPr>
            <w:tcW w:w="691" w:type="pct"/>
            <w:tcBorders>
              <w:bottom w:val="single" w:sz="4" w:space="0" w:color="auto"/>
            </w:tcBorders>
            <w:shd w:val="clear" w:color="auto" w:fill="DEEAF6" w:themeFill="accent1" w:themeFillTint="33"/>
            <w:noWrap/>
            <w:vAlign w:val="bottom"/>
          </w:tcPr>
          <w:p w14:paraId="3FDF537D" w14:textId="77777777" w:rsidR="00085F16" w:rsidRPr="007D5D03" w:rsidRDefault="00085F16" w:rsidP="00085F16">
            <w:pPr>
              <w:jc w:val="both"/>
              <w:rPr>
                <w:rFonts w:eastAsia="Cambria"/>
                <w:sz w:val="16"/>
                <w:szCs w:val="16"/>
              </w:rPr>
            </w:pPr>
            <w:r w:rsidRPr="007D5D03">
              <w:rPr>
                <w:rFonts w:eastAsia="Cambria"/>
                <w:sz w:val="16"/>
                <w:szCs w:val="16"/>
              </w:rPr>
              <w:t>2,066.21</w:t>
            </w:r>
          </w:p>
        </w:tc>
        <w:tc>
          <w:tcPr>
            <w:tcW w:w="689" w:type="pct"/>
            <w:tcBorders>
              <w:bottom w:val="single" w:sz="4" w:space="0" w:color="auto"/>
            </w:tcBorders>
            <w:shd w:val="clear" w:color="auto" w:fill="DEEAF6" w:themeFill="accent1" w:themeFillTint="33"/>
            <w:noWrap/>
            <w:vAlign w:val="bottom"/>
          </w:tcPr>
          <w:p w14:paraId="7592B7FA" w14:textId="77777777" w:rsidR="00085F16" w:rsidRPr="007D5D03" w:rsidRDefault="00085F16" w:rsidP="00085F16">
            <w:pPr>
              <w:jc w:val="both"/>
              <w:rPr>
                <w:rFonts w:eastAsia="Cambria"/>
                <w:sz w:val="16"/>
                <w:szCs w:val="16"/>
              </w:rPr>
            </w:pPr>
            <w:r w:rsidRPr="007D5D03">
              <w:rPr>
                <w:rFonts w:eastAsia="Cambria"/>
                <w:sz w:val="16"/>
                <w:szCs w:val="16"/>
              </w:rPr>
              <w:t>2,262.55</w:t>
            </w:r>
          </w:p>
        </w:tc>
        <w:tc>
          <w:tcPr>
            <w:tcW w:w="689" w:type="pct"/>
            <w:tcBorders>
              <w:bottom w:val="single" w:sz="4" w:space="0" w:color="auto"/>
            </w:tcBorders>
            <w:shd w:val="clear" w:color="auto" w:fill="DEEAF6" w:themeFill="accent1" w:themeFillTint="33"/>
          </w:tcPr>
          <w:p w14:paraId="18A8DC4C" w14:textId="77777777" w:rsidR="00085F16" w:rsidRPr="007D5D03" w:rsidRDefault="00085F16" w:rsidP="00085F16">
            <w:pPr>
              <w:jc w:val="both"/>
              <w:rPr>
                <w:rFonts w:eastAsia="Cambria"/>
                <w:sz w:val="16"/>
                <w:szCs w:val="16"/>
              </w:rPr>
            </w:pPr>
            <w:r w:rsidRPr="007D5D03">
              <w:rPr>
                <w:rFonts w:eastAsia="Cambria"/>
                <w:sz w:val="16"/>
                <w:szCs w:val="16"/>
              </w:rPr>
              <w:t>2,311.0</w:t>
            </w:r>
          </w:p>
        </w:tc>
      </w:tr>
      <w:tr w:rsidR="00085F16" w:rsidRPr="007D5D03" w14:paraId="6ECEBE5A" w14:textId="77777777" w:rsidTr="00085F16">
        <w:trPr>
          <w:trHeight w:val="40"/>
        </w:trPr>
        <w:tc>
          <w:tcPr>
            <w:tcW w:w="2240" w:type="pct"/>
            <w:tcBorders>
              <w:top w:val="single" w:sz="4" w:space="0" w:color="auto"/>
              <w:bottom w:val="nil"/>
            </w:tcBorders>
            <w:shd w:val="clear" w:color="auto" w:fill="DEEAF6" w:themeFill="accent1" w:themeFillTint="33"/>
            <w:noWrap/>
            <w:vAlign w:val="bottom"/>
          </w:tcPr>
          <w:p w14:paraId="31E1ED2A" w14:textId="77777777" w:rsidR="00085F16" w:rsidRPr="007D5D03" w:rsidRDefault="00085F16" w:rsidP="00085F16">
            <w:pPr>
              <w:jc w:val="both"/>
              <w:rPr>
                <w:b/>
                <w:sz w:val="16"/>
                <w:szCs w:val="16"/>
              </w:rPr>
            </w:pPr>
            <w:r>
              <w:rPr>
                <w:b/>
                <w:sz w:val="16"/>
                <w:szCs w:val="16"/>
              </w:rPr>
              <w:t>Produktiviteti</w:t>
            </w:r>
            <w:r w:rsidRPr="007D5D03">
              <w:rPr>
                <w:b/>
                <w:sz w:val="16"/>
                <w:szCs w:val="16"/>
              </w:rPr>
              <w:t xml:space="preserve"> (euro of GDP per hour)</w:t>
            </w:r>
          </w:p>
        </w:tc>
        <w:tc>
          <w:tcPr>
            <w:tcW w:w="691" w:type="pct"/>
            <w:tcBorders>
              <w:top w:val="single" w:sz="4" w:space="0" w:color="auto"/>
              <w:bottom w:val="nil"/>
            </w:tcBorders>
            <w:shd w:val="clear" w:color="auto" w:fill="DEEAF6" w:themeFill="accent1" w:themeFillTint="33"/>
            <w:noWrap/>
            <w:vAlign w:val="bottom"/>
          </w:tcPr>
          <w:p w14:paraId="435434CE" w14:textId="77777777" w:rsidR="00085F16" w:rsidRPr="007D5D03" w:rsidRDefault="00085F16" w:rsidP="00085F16">
            <w:pPr>
              <w:jc w:val="both"/>
              <w:rPr>
                <w:rFonts w:eastAsia="Cambria"/>
                <w:b/>
                <w:sz w:val="16"/>
                <w:szCs w:val="16"/>
              </w:rPr>
            </w:pPr>
            <w:r w:rsidRPr="007D5D03">
              <w:rPr>
                <w:rFonts w:eastAsia="Cambria"/>
                <w:b/>
                <w:sz w:val="16"/>
                <w:szCs w:val="16"/>
              </w:rPr>
              <w:t>9.2</w:t>
            </w:r>
          </w:p>
        </w:tc>
        <w:tc>
          <w:tcPr>
            <w:tcW w:w="691" w:type="pct"/>
            <w:tcBorders>
              <w:top w:val="single" w:sz="4" w:space="0" w:color="auto"/>
              <w:bottom w:val="nil"/>
            </w:tcBorders>
            <w:shd w:val="clear" w:color="auto" w:fill="DEEAF6" w:themeFill="accent1" w:themeFillTint="33"/>
            <w:noWrap/>
            <w:vAlign w:val="bottom"/>
          </w:tcPr>
          <w:p w14:paraId="107AA6CB" w14:textId="77777777" w:rsidR="00085F16" w:rsidRPr="007D5D03" w:rsidRDefault="00085F16" w:rsidP="00085F16">
            <w:pPr>
              <w:jc w:val="both"/>
              <w:rPr>
                <w:rFonts w:eastAsia="Cambria"/>
                <w:b/>
                <w:sz w:val="16"/>
                <w:szCs w:val="16"/>
              </w:rPr>
            </w:pPr>
            <w:r w:rsidRPr="007D5D03">
              <w:rPr>
                <w:rFonts w:eastAsia="Cambria"/>
                <w:b/>
                <w:sz w:val="16"/>
                <w:szCs w:val="16"/>
              </w:rPr>
              <w:t>8.5</w:t>
            </w:r>
          </w:p>
        </w:tc>
        <w:tc>
          <w:tcPr>
            <w:tcW w:w="689" w:type="pct"/>
            <w:tcBorders>
              <w:top w:val="single" w:sz="4" w:space="0" w:color="auto"/>
              <w:bottom w:val="nil"/>
            </w:tcBorders>
            <w:shd w:val="clear" w:color="auto" w:fill="DEEAF6" w:themeFill="accent1" w:themeFillTint="33"/>
            <w:noWrap/>
            <w:vAlign w:val="bottom"/>
          </w:tcPr>
          <w:p w14:paraId="4C5D790F" w14:textId="77777777" w:rsidR="00085F16" w:rsidRPr="007D5D03" w:rsidRDefault="00085F16" w:rsidP="00085F16">
            <w:pPr>
              <w:jc w:val="both"/>
              <w:rPr>
                <w:rFonts w:eastAsia="Cambria"/>
                <w:b/>
                <w:sz w:val="16"/>
                <w:szCs w:val="16"/>
              </w:rPr>
            </w:pPr>
            <w:r w:rsidRPr="007D5D03">
              <w:rPr>
                <w:rFonts w:eastAsia="Cambria"/>
                <w:b/>
                <w:sz w:val="16"/>
                <w:szCs w:val="16"/>
              </w:rPr>
              <w:t>8.2</w:t>
            </w:r>
          </w:p>
        </w:tc>
        <w:tc>
          <w:tcPr>
            <w:tcW w:w="689" w:type="pct"/>
            <w:tcBorders>
              <w:top w:val="single" w:sz="4" w:space="0" w:color="auto"/>
              <w:bottom w:val="nil"/>
            </w:tcBorders>
            <w:shd w:val="clear" w:color="auto" w:fill="DEEAF6" w:themeFill="accent1" w:themeFillTint="33"/>
            <w:vAlign w:val="bottom"/>
          </w:tcPr>
          <w:p w14:paraId="38FA20F2" w14:textId="77777777" w:rsidR="00085F16" w:rsidRPr="007D5D03" w:rsidRDefault="00085F16" w:rsidP="00085F16">
            <w:pPr>
              <w:jc w:val="both"/>
              <w:rPr>
                <w:rFonts w:eastAsia="Cambria"/>
                <w:b/>
                <w:sz w:val="16"/>
                <w:szCs w:val="16"/>
              </w:rPr>
            </w:pPr>
            <w:r w:rsidRPr="007D5D03">
              <w:rPr>
                <w:rFonts w:eastAsia="Cambria"/>
                <w:b/>
                <w:sz w:val="16"/>
                <w:szCs w:val="16"/>
              </w:rPr>
              <w:t>8.9</w:t>
            </w:r>
          </w:p>
        </w:tc>
      </w:tr>
      <w:tr w:rsidR="00085F16" w:rsidRPr="007D5D03" w14:paraId="3F5D1011" w14:textId="77777777" w:rsidTr="00085F16">
        <w:trPr>
          <w:trHeight w:val="40"/>
        </w:trPr>
        <w:tc>
          <w:tcPr>
            <w:tcW w:w="2240" w:type="pct"/>
            <w:tcBorders>
              <w:top w:val="nil"/>
              <w:bottom w:val="nil"/>
            </w:tcBorders>
            <w:shd w:val="clear" w:color="auto" w:fill="DEEAF6" w:themeFill="accent1" w:themeFillTint="33"/>
            <w:noWrap/>
            <w:vAlign w:val="bottom"/>
            <w:hideMark/>
          </w:tcPr>
          <w:p w14:paraId="0C6965C1" w14:textId="77777777" w:rsidR="00085F16" w:rsidRPr="007D5D03" w:rsidRDefault="00085F16" w:rsidP="00085F16">
            <w:pPr>
              <w:jc w:val="both"/>
              <w:rPr>
                <w:b/>
                <w:sz w:val="16"/>
                <w:szCs w:val="16"/>
              </w:rPr>
            </w:pPr>
            <w:r>
              <w:rPr>
                <w:b/>
                <w:sz w:val="16"/>
                <w:szCs w:val="16"/>
              </w:rPr>
              <w:t>Kosto për njësi të punës (KPNJ)</w:t>
            </w:r>
            <w:r w:rsidRPr="007D5D03">
              <w:rPr>
                <w:b/>
                <w:sz w:val="16"/>
                <w:szCs w:val="16"/>
              </w:rPr>
              <w:t xml:space="preserve"> (ratio)</w:t>
            </w:r>
            <w:r w:rsidRPr="007D5D03">
              <w:rPr>
                <w:rStyle w:val="FootnoteReference"/>
                <w:sz w:val="16"/>
                <w:szCs w:val="16"/>
              </w:rPr>
              <w:footnoteReference w:id="5"/>
            </w:r>
          </w:p>
        </w:tc>
        <w:tc>
          <w:tcPr>
            <w:tcW w:w="691" w:type="pct"/>
            <w:tcBorders>
              <w:top w:val="nil"/>
              <w:bottom w:val="nil"/>
            </w:tcBorders>
            <w:shd w:val="clear" w:color="auto" w:fill="DEEAF6" w:themeFill="accent1" w:themeFillTint="33"/>
            <w:noWrap/>
            <w:vAlign w:val="bottom"/>
            <w:hideMark/>
          </w:tcPr>
          <w:p w14:paraId="427155AF" w14:textId="77777777" w:rsidR="00085F16" w:rsidRPr="007D5D03" w:rsidRDefault="00085F16" w:rsidP="00085F16">
            <w:pPr>
              <w:jc w:val="both"/>
              <w:rPr>
                <w:rFonts w:eastAsia="Cambria"/>
                <w:b/>
                <w:sz w:val="16"/>
                <w:szCs w:val="16"/>
              </w:rPr>
            </w:pPr>
            <w:r w:rsidRPr="007D5D03">
              <w:rPr>
                <w:rFonts w:eastAsia="Cambria"/>
                <w:b/>
                <w:sz w:val="16"/>
                <w:szCs w:val="16"/>
              </w:rPr>
              <w:t>0.31</w:t>
            </w:r>
          </w:p>
        </w:tc>
        <w:tc>
          <w:tcPr>
            <w:tcW w:w="691" w:type="pct"/>
            <w:tcBorders>
              <w:top w:val="nil"/>
              <w:bottom w:val="nil"/>
            </w:tcBorders>
            <w:shd w:val="clear" w:color="auto" w:fill="DEEAF6" w:themeFill="accent1" w:themeFillTint="33"/>
            <w:noWrap/>
            <w:vAlign w:val="bottom"/>
            <w:hideMark/>
          </w:tcPr>
          <w:p w14:paraId="10F0F9BD" w14:textId="77777777" w:rsidR="00085F16" w:rsidRPr="007D5D03" w:rsidRDefault="00085F16" w:rsidP="00085F16">
            <w:pPr>
              <w:jc w:val="both"/>
              <w:rPr>
                <w:rFonts w:eastAsia="Cambria"/>
                <w:b/>
                <w:sz w:val="16"/>
                <w:szCs w:val="16"/>
              </w:rPr>
            </w:pPr>
            <w:r w:rsidRPr="007D5D03">
              <w:rPr>
                <w:rFonts w:eastAsia="Cambria"/>
                <w:b/>
                <w:sz w:val="16"/>
                <w:szCs w:val="16"/>
              </w:rPr>
              <w:t>0.34</w:t>
            </w:r>
          </w:p>
        </w:tc>
        <w:tc>
          <w:tcPr>
            <w:tcW w:w="689" w:type="pct"/>
            <w:tcBorders>
              <w:top w:val="nil"/>
              <w:bottom w:val="nil"/>
            </w:tcBorders>
            <w:shd w:val="clear" w:color="auto" w:fill="DEEAF6" w:themeFill="accent1" w:themeFillTint="33"/>
            <w:noWrap/>
            <w:vAlign w:val="bottom"/>
            <w:hideMark/>
          </w:tcPr>
          <w:p w14:paraId="07A96F00" w14:textId="77777777" w:rsidR="00085F16" w:rsidRPr="007D5D03" w:rsidRDefault="00085F16" w:rsidP="00085F16">
            <w:pPr>
              <w:jc w:val="both"/>
              <w:rPr>
                <w:rFonts w:eastAsia="Cambria"/>
                <w:b/>
                <w:sz w:val="16"/>
                <w:szCs w:val="16"/>
              </w:rPr>
            </w:pPr>
            <w:r w:rsidRPr="007D5D03">
              <w:rPr>
                <w:rFonts w:eastAsia="Cambria"/>
                <w:b/>
                <w:sz w:val="16"/>
                <w:szCs w:val="16"/>
              </w:rPr>
              <w:t>0.35</w:t>
            </w:r>
          </w:p>
        </w:tc>
        <w:tc>
          <w:tcPr>
            <w:tcW w:w="689" w:type="pct"/>
            <w:tcBorders>
              <w:top w:val="nil"/>
              <w:bottom w:val="nil"/>
            </w:tcBorders>
            <w:shd w:val="clear" w:color="auto" w:fill="DEEAF6" w:themeFill="accent1" w:themeFillTint="33"/>
            <w:vAlign w:val="bottom"/>
          </w:tcPr>
          <w:p w14:paraId="0A141457" w14:textId="77777777" w:rsidR="00085F16" w:rsidRPr="007D5D03" w:rsidRDefault="00085F16" w:rsidP="00085F16">
            <w:pPr>
              <w:jc w:val="both"/>
              <w:rPr>
                <w:rFonts w:eastAsia="Cambria"/>
                <w:b/>
                <w:sz w:val="16"/>
                <w:szCs w:val="16"/>
              </w:rPr>
            </w:pPr>
            <w:r w:rsidRPr="007D5D03">
              <w:rPr>
                <w:rFonts w:eastAsia="Cambria"/>
                <w:b/>
                <w:sz w:val="16"/>
                <w:szCs w:val="16"/>
              </w:rPr>
              <w:t>0.34</w:t>
            </w:r>
          </w:p>
        </w:tc>
      </w:tr>
      <w:tr w:rsidR="00085F16" w:rsidRPr="007D5D03" w14:paraId="6434A263" w14:textId="77777777" w:rsidTr="00085F16">
        <w:trPr>
          <w:trHeight w:val="40"/>
        </w:trPr>
        <w:tc>
          <w:tcPr>
            <w:tcW w:w="2240" w:type="pct"/>
            <w:tcBorders>
              <w:top w:val="nil"/>
              <w:bottom w:val="nil"/>
            </w:tcBorders>
            <w:shd w:val="clear" w:color="auto" w:fill="DEEAF6" w:themeFill="accent1" w:themeFillTint="33"/>
            <w:noWrap/>
            <w:vAlign w:val="bottom"/>
            <w:hideMark/>
          </w:tcPr>
          <w:p w14:paraId="703E3A6F" w14:textId="77777777" w:rsidR="00085F16" w:rsidRPr="007D5D03" w:rsidRDefault="00085F16" w:rsidP="00085F16">
            <w:pPr>
              <w:jc w:val="both"/>
              <w:rPr>
                <w:b/>
                <w:bCs/>
                <w:sz w:val="16"/>
                <w:szCs w:val="16"/>
              </w:rPr>
            </w:pPr>
            <w:r>
              <w:rPr>
                <w:b/>
                <w:bCs/>
                <w:sz w:val="16"/>
                <w:szCs w:val="16"/>
              </w:rPr>
              <w:t>Produktiviteti i punës</w:t>
            </w:r>
            <w:r w:rsidRPr="007D5D03">
              <w:rPr>
                <w:b/>
                <w:bCs/>
                <w:sz w:val="16"/>
                <w:szCs w:val="16"/>
              </w:rPr>
              <w:t xml:space="preserve">, </w:t>
            </w:r>
            <w:r>
              <w:rPr>
                <w:b/>
                <w:bCs/>
                <w:sz w:val="16"/>
                <w:szCs w:val="16"/>
              </w:rPr>
              <w:t>norma e rritjes</w:t>
            </w:r>
            <w:r w:rsidRPr="007D5D03">
              <w:rPr>
                <w:b/>
                <w:bCs/>
                <w:sz w:val="16"/>
                <w:szCs w:val="16"/>
              </w:rPr>
              <w:t xml:space="preserve">, </w:t>
            </w:r>
            <w:r>
              <w:rPr>
                <w:b/>
                <w:bCs/>
                <w:sz w:val="16"/>
                <w:szCs w:val="16"/>
              </w:rPr>
              <w:t>v-m-v</w:t>
            </w:r>
          </w:p>
        </w:tc>
        <w:tc>
          <w:tcPr>
            <w:tcW w:w="691" w:type="pct"/>
            <w:tcBorders>
              <w:top w:val="nil"/>
              <w:bottom w:val="nil"/>
            </w:tcBorders>
            <w:shd w:val="clear" w:color="auto" w:fill="DEEAF6" w:themeFill="accent1" w:themeFillTint="33"/>
            <w:noWrap/>
            <w:vAlign w:val="bottom"/>
            <w:hideMark/>
          </w:tcPr>
          <w:p w14:paraId="1E54A17F" w14:textId="77777777" w:rsidR="00085F16" w:rsidRPr="007D5D03" w:rsidRDefault="00085F16" w:rsidP="00085F16">
            <w:pPr>
              <w:jc w:val="both"/>
              <w:rPr>
                <w:rFonts w:eastAsia="Cambria"/>
                <w:b/>
                <w:sz w:val="16"/>
                <w:szCs w:val="16"/>
              </w:rPr>
            </w:pPr>
            <w:r w:rsidRPr="007D5D03">
              <w:rPr>
                <w:rFonts w:eastAsia="Cambria"/>
                <w:b/>
                <w:sz w:val="16"/>
                <w:szCs w:val="16"/>
              </w:rPr>
              <w:t>12.9%</w:t>
            </w:r>
          </w:p>
        </w:tc>
        <w:tc>
          <w:tcPr>
            <w:tcW w:w="691" w:type="pct"/>
            <w:tcBorders>
              <w:top w:val="nil"/>
              <w:bottom w:val="nil"/>
            </w:tcBorders>
            <w:shd w:val="clear" w:color="auto" w:fill="DEEAF6" w:themeFill="accent1" w:themeFillTint="33"/>
            <w:noWrap/>
            <w:vAlign w:val="bottom"/>
            <w:hideMark/>
          </w:tcPr>
          <w:p w14:paraId="2FC451A4" w14:textId="77777777" w:rsidR="00085F16" w:rsidRPr="007D5D03" w:rsidRDefault="00085F16" w:rsidP="00085F16">
            <w:pPr>
              <w:jc w:val="both"/>
              <w:rPr>
                <w:rFonts w:eastAsia="Cambria"/>
                <w:b/>
                <w:sz w:val="16"/>
                <w:szCs w:val="16"/>
              </w:rPr>
            </w:pPr>
            <w:r w:rsidRPr="007D5D03">
              <w:rPr>
                <w:rFonts w:eastAsia="Cambria"/>
                <w:b/>
                <w:sz w:val="16"/>
                <w:szCs w:val="16"/>
              </w:rPr>
              <w:t>-7.0%</w:t>
            </w:r>
          </w:p>
        </w:tc>
        <w:tc>
          <w:tcPr>
            <w:tcW w:w="689" w:type="pct"/>
            <w:tcBorders>
              <w:top w:val="nil"/>
              <w:bottom w:val="nil"/>
            </w:tcBorders>
            <w:shd w:val="clear" w:color="auto" w:fill="DEEAF6" w:themeFill="accent1" w:themeFillTint="33"/>
            <w:noWrap/>
            <w:vAlign w:val="bottom"/>
            <w:hideMark/>
          </w:tcPr>
          <w:p w14:paraId="197CC584" w14:textId="77777777" w:rsidR="00085F16" w:rsidRPr="007D5D03" w:rsidRDefault="00085F16" w:rsidP="00085F16">
            <w:pPr>
              <w:jc w:val="both"/>
              <w:rPr>
                <w:rFonts w:eastAsia="Cambria"/>
                <w:b/>
                <w:sz w:val="16"/>
                <w:szCs w:val="16"/>
              </w:rPr>
            </w:pPr>
            <w:r w:rsidRPr="007D5D03">
              <w:rPr>
                <w:rFonts w:eastAsia="Cambria"/>
                <w:b/>
                <w:sz w:val="16"/>
                <w:szCs w:val="16"/>
              </w:rPr>
              <w:t>-3.6%</w:t>
            </w:r>
          </w:p>
        </w:tc>
        <w:tc>
          <w:tcPr>
            <w:tcW w:w="689" w:type="pct"/>
            <w:tcBorders>
              <w:top w:val="nil"/>
              <w:bottom w:val="nil"/>
            </w:tcBorders>
            <w:shd w:val="clear" w:color="auto" w:fill="DEEAF6" w:themeFill="accent1" w:themeFillTint="33"/>
            <w:vAlign w:val="bottom"/>
          </w:tcPr>
          <w:p w14:paraId="62B210A0" w14:textId="77777777" w:rsidR="00085F16" w:rsidRPr="007D5D03" w:rsidRDefault="00085F16" w:rsidP="00085F16">
            <w:pPr>
              <w:jc w:val="both"/>
              <w:rPr>
                <w:rFonts w:eastAsia="Cambria"/>
                <w:b/>
                <w:sz w:val="16"/>
                <w:szCs w:val="16"/>
              </w:rPr>
            </w:pPr>
            <w:r w:rsidRPr="007D5D03">
              <w:rPr>
                <w:rFonts w:eastAsia="Cambria"/>
                <w:b/>
                <w:sz w:val="16"/>
                <w:szCs w:val="16"/>
              </w:rPr>
              <w:t>8.5%</w:t>
            </w:r>
          </w:p>
        </w:tc>
      </w:tr>
      <w:tr w:rsidR="00085F16" w:rsidRPr="007D5D03" w14:paraId="13156204" w14:textId="77777777" w:rsidTr="00085F16">
        <w:trPr>
          <w:trHeight w:val="40"/>
        </w:trPr>
        <w:tc>
          <w:tcPr>
            <w:tcW w:w="2240" w:type="pct"/>
            <w:tcBorders>
              <w:top w:val="nil"/>
              <w:bottom w:val="single" w:sz="4" w:space="0" w:color="auto"/>
            </w:tcBorders>
            <w:shd w:val="clear" w:color="auto" w:fill="DEEAF6" w:themeFill="accent1" w:themeFillTint="33"/>
            <w:noWrap/>
            <w:vAlign w:val="center"/>
            <w:hideMark/>
          </w:tcPr>
          <w:p w14:paraId="5246AF1E" w14:textId="77777777" w:rsidR="00085F16" w:rsidRPr="007D5D03" w:rsidRDefault="00085F16" w:rsidP="00085F16">
            <w:pPr>
              <w:jc w:val="both"/>
              <w:rPr>
                <w:rFonts w:eastAsia="Cambria"/>
                <w:b/>
                <w:bCs/>
                <w:sz w:val="16"/>
                <w:szCs w:val="16"/>
              </w:rPr>
            </w:pPr>
            <w:r>
              <w:rPr>
                <w:b/>
                <w:sz w:val="16"/>
                <w:szCs w:val="16"/>
              </w:rPr>
              <w:t>(KPNJ)</w:t>
            </w:r>
            <w:r w:rsidRPr="007D5D03">
              <w:rPr>
                <w:b/>
                <w:sz w:val="16"/>
                <w:szCs w:val="16"/>
              </w:rPr>
              <w:t xml:space="preserve"> </w:t>
            </w:r>
            <w:r>
              <w:rPr>
                <w:b/>
                <w:bCs/>
                <w:sz w:val="16"/>
                <w:szCs w:val="16"/>
              </w:rPr>
              <w:t>norma e rritjes</w:t>
            </w:r>
            <w:r w:rsidRPr="007D5D03">
              <w:rPr>
                <w:b/>
                <w:bCs/>
                <w:sz w:val="16"/>
                <w:szCs w:val="16"/>
              </w:rPr>
              <w:t xml:space="preserve">, </w:t>
            </w:r>
            <w:r>
              <w:rPr>
                <w:b/>
                <w:bCs/>
                <w:sz w:val="16"/>
                <w:szCs w:val="16"/>
              </w:rPr>
              <w:t>v-m-v</w:t>
            </w:r>
          </w:p>
        </w:tc>
        <w:tc>
          <w:tcPr>
            <w:tcW w:w="691" w:type="pct"/>
            <w:tcBorders>
              <w:top w:val="nil"/>
              <w:bottom w:val="single" w:sz="4" w:space="0" w:color="auto"/>
            </w:tcBorders>
            <w:shd w:val="clear" w:color="auto" w:fill="DEEAF6" w:themeFill="accent1" w:themeFillTint="33"/>
            <w:noWrap/>
            <w:vAlign w:val="bottom"/>
            <w:hideMark/>
          </w:tcPr>
          <w:p w14:paraId="7CB8F51A" w14:textId="77777777" w:rsidR="00085F16" w:rsidRPr="007D5D03" w:rsidRDefault="00085F16" w:rsidP="00085F16">
            <w:pPr>
              <w:jc w:val="both"/>
              <w:rPr>
                <w:rFonts w:eastAsia="Cambria"/>
                <w:b/>
                <w:sz w:val="16"/>
                <w:szCs w:val="16"/>
              </w:rPr>
            </w:pPr>
            <w:r w:rsidRPr="007D5D03">
              <w:rPr>
                <w:rFonts w:eastAsia="Cambria"/>
                <w:b/>
                <w:sz w:val="16"/>
                <w:szCs w:val="16"/>
              </w:rPr>
              <w:t>-6.9%</w:t>
            </w:r>
          </w:p>
        </w:tc>
        <w:tc>
          <w:tcPr>
            <w:tcW w:w="691" w:type="pct"/>
            <w:tcBorders>
              <w:top w:val="nil"/>
              <w:bottom w:val="single" w:sz="4" w:space="0" w:color="auto"/>
            </w:tcBorders>
            <w:shd w:val="clear" w:color="auto" w:fill="DEEAF6" w:themeFill="accent1" w:themeFillTint="33"/>
            <w:noWrap/>
            <w:vAlign w:val="bottom"/>
            <w:hideMark/>
          </w:tcPr>
          <w:p w14:paraId="5E9FD32A" w14:textId="77777777" w:rsidR="00085F16" w:rsidRPr="007D5D03" w:rsidRDefault="00085F16" w:rsidP="00085F16">
            <w:pPr>
              <w:jc w:val="both"/>
              <w:rPr>
                <w:rFonts w:eastAsia="Cambria"/>
                <w:b/>
                <w:sz w:val="16"/>
                <w:szCs w:val="16"/>
              </w:rPr>
            </w:pPr>
            <w:r w:rsidRPr="007D5D03">
              <w:rPr>
                <w:rFonts w:eastAsia="Cambria"/>
                <w:b/>
                <w:sz w:val="16"/>
                <w:szCs w:val="16"/>
              </w:rPr>
              <w:t>8.8%</w:t>
            </w:r>
          </w:p>
        </w:tc>
        <w:tc>
          <w:tcPr>
            <w:tcW w:w="689" w:type="pct"/>
            <w:tcBorders>
              <w:top w:val="nil"/>
              <w:bottom w:val="single" w:sz="4" w:space="0" w:color="auto"/>
            </w:tcBorders>
            <w:shd w:val="clear" w:color="auto" w:fill="DEEAF6" w:themeFill="accent1" w:themeFillTint="33"/>
            <w:noWrap/>
            <w:vAlign w:val="bottom"/>
            <w:hideMark/>
          </w:tcPr>
          <w:p w14:paraId="3474E1AD" w14:textId="77777777" w:rsidR="00085F16" w:rsidRPr="007D5D03" w:rsidRDefault="00085F16" w:rsidP="00085F16">
            <w:pPr>
              <w:jc w:val="both"/>
              <w:rPr>
                <w:rFonts w:eastAsia="Cambria"/>
                <w:b/>
                <w:sz w:val="16"/>
                <w:szCs w:val="16"/>
              </w:rPr>
            </w:pPr>
            <w:r w:rsidRPr="007D5D03">
              <w:rPr>
                <w:rFonts w:eastAsia="Cambria"/>
                <w:b/>
                <w:sz w:val="16"/>
                <w:szCs w:val="16"/>
              </w:rPr>
              <w:t>3.6%</w:t>
            </w:r>
          </w:p>
        </w:tc>
        <w:tc>
          <w:tcPr>
            <w:tcW w:w="689" w:type="pct"/>
            <w:tcBorders>
              <w:top w:val="nil"/>
              <w:bottom w:val="single" w:sz="4" w:space="0" w:color="auto"/>
            </w:tcBorders>
            <w:shd w:val="clear" w:color="auto" w:fill="DEEAF6" w:themeFill="accent1" w:themeFillTint="33"/>
            <w:vAlign w:val="bottom"/>
          </w:tcPr>
          <w:p w14:paraId="03028783" w14:textId="77777777" w:rsidR="00085F16" w:rsidRPr="007D5D03" w:rsidRDefault="00085F16" w:rsidP="00085F16">
            <w:pPr>
              <w:jc w:val="both"/>
              <w:rPr>
                <w:rFonts w:eastAsia="Cambria"/>
                <w:b/>
                <w:sz w:val="16"/>
                <w:szCs w:val="16"/>
              </w:rPr>
            </w:pPr>
            <w:r w:rsidRPr="007D5D03">
              <w:rPr>
                <w:rFonts w:eastAsia="Cambria"/>
                <w:b/>
                <w:sz w:val="16"/>
                <w:szCs w:val="16"/>
              </w:rPr>
              <w:t>-2.6%</w:t>
            </w:r>
          </w:p>
        </w:tc>
      </w:tr>
    </w:tbl>
    <w:p w14:paraId="365DFA7D" w14:textId="77777777" w:rsidR="00085F16" w:rsidRPr="007D5D03" w:rsidRDefault="00085F16" w:rsidP="00085F16">
      <w:pPr>
        <w:jc w:val="both"/>
      </w:pPr>
    </w:p>
    <w:p w14:paraId="4E5F5F62" w14:textId="77777777" w:rsidR="00085F16" w:rsidRPr="007D5D03" w:rsidRDefault="00085F16" w:rsidP="00085F16">
      <w:pPr>
        <w:spacing w:before="240" w:after="120" w:line="276" w:lineRule="auto"/>
        <w:jc w:val="both"/>
      </w:pPr>
      <w:bookmarkStart w:id="41" w:name="_Toc504075960"/>
      <w:bookmarkStart w:id="42" w:name="_Toc536201033"/>
      <w:r w:rsidRPr="00B922C3">
        <w:rPr>
          <w:rFonts w:ascii="Times New Roman" w:hAnsi="Times New Roman" w:cs="Times New Roman"/>
          <w:noProof/>
          <w:sz w:val="24"/>
          <w:szCs w:val="24"/>
          <w:lang w:val="en-US"/>
        </w:rPr>
        <w:drawing>
          <wp:anchor distT="0" distB="0" distL="114300" distR="114300" simplePos="0" relativeHeight="251679744" behindDoc="0" locked="0" layoutInCell="1" allowOverlap="1" wp14:anchorId="5988D9F4" wp14:editId="721E5941">
            <wp:simplePos x="0" y="0"/>
            <wp:positionH relativeFrom="column">
              <wp:posOffset>0</wp:posOffset>
            </wp:positionH>
            <wp:positionV relativeFrom="paragraph">
              <wp:posOffset>343355</wp:posOffset>
            </wp:positionV>
            <wp:extent cx="3466800" cy="2203200"/>
            <wp:effectExtent l="0" t="0" r="635" b="6985"/>
            <wp:wrapSquare wrapText="bothSides"/>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Pr="00B922C3">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1152F6DF" wp14:editId="36D57DFD">
                <wp:simplePos x="0" y="0"/>
                <wp:positionH relativeFrom="column">
                  <wp:posOffset>0</wp:posOffset>
                </wp:positionH>
                <wp:positionV relativeFrom="paragraph">
                  <wp:posOffset>14605</wp:posOffset>
                </wp:positionV>
                <wp:extent cx="3467100" cy="17843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3467100" cy="178435"/>
                        </a:xfrm>
                        <a:prstGeom prst="rect">
                          <a:avLst/>
                        </a:prstGeom>
                        <a:solidFill>
                          <a:prstClr val="white"/>
                        </a:solidFill>
                        <a:ln>
                          <a:noFill/>
                        </a:ln>
                        <a:effectLst/>
                      </wps:spPr>
                      <wps:txbx>
                        <w:txbxContent>
                          <w:p w14:paraId="577503F6" w14:textId="77777777" w:rsidR="00FC648F" w:rsidRPr="00A36E78" w:rsidRDefault="00FC648F" w:rsidP="00085F16">
                            <w:pPr>
                              <w:pStyle w:val="Caption"/>
                              <w:rPr>
                                <w:rFonts w:ascii="Times New Roman" w:hAnsi="Times New Roman"/>
                                <w:b/>
                                <w:i w:val="0"/>
                                <w:color w:val="000000" w:themeColor="text1"/>
                                <w:szCs w:val="20"/>
                              </w:rPr>
                            </w:pPr>
                            <w:bookmarkStart w:id="43" w:name="_Toc25673457"/>
                            <w:r w:rsidRPr="00A36E78">
                              <w:rPr>
                                <w:rFonts w:ascii="Times New Roman" w:hAnsi="Times New Roman"/>
                                <w:b/>
                                <w:i w:val="0"/>
                                <w:color w:val="000000" w:themeColor="text1"/>
                                <w:szCs w:val="20"/>
                              </w:rPr>
                              <w:t xml:space="preserve">Grafiku </w:t>
                            </w:r>
                            <w:r w:rsidRPr="00A36E78">
                              <w:rPr>
                                <w:rFonts w:ascii="Times New Roman" w:hAnsi="Times New Roman"/>
                                <w:b/>
                                <w:i w:val="0"/>
                                <w:color w:val="000000" w:themeColor="text1"/>
                                <w:szCs w:val="20"/>
                              </w:rPr>
                              <w:fldChar w:fldCharType="begin"/>
                            </w:r>
                            <w:r w:rsidRPr="00A36E78">
                              <w:rPr>
                                <w:rFonts w:ascii="Times New Roman" w:hAnsi="Times New Roman"/>
                                <w:b/>
                                <w:i w:val="0"/>
                                <w:color w:val="000000" w:themeColor="text1"/>
                                <w:szCs w:val="20"/>
                              </w:rPr>
                              <w:instrText xml:space="preserve"> SEQ Grafiku \* ARABIC </w:instrText>
                            </w:r>
                            <w:r w:rsidRPr="00A36E78">
                              <w:rPr>
                                <w:rFonts w:ascii="Times New Roman" w:hAnsi="Times New Roman"/>
                                <w:b/>
                                <w:i w:val="0"/>
                                <w:color w:val="000000" w:themeColor="text1"/>
                                <w:szCs w:val="20"/>
                              </w:rPr>
                              <w:fldChar w:fldCharType="separate"/>
                            </w:r>
                            <w:r>
                              <w:rPr>
                                <w:rFonts w:ascii="Times New Roman" w:hAnsi="Times New Roman"/>
                                <w:b/>
                                <w:i w:val="0"/>
                                <w:noProof/>
                                <w:color w:val="000000" w:themeColor="text1"/>
                                <w:szCs w:val="20"/>
                              </w:rPr>
                              <w:t>5</w:t>
                            </w:r>
                            <w:r w:rsidRPr="00A36E78">
                              <w:rPr>
                                <w:rFonts w:ascii="Times New Roman" w:hAnsi="Times New Roman"/>
                                <w:b/>
                                <w:i w:val="0"/>
                                <w:color w:val="000000" w:themeColor="text1"/>
                                <w:szCs w:val="20"/>
                              </w:rPr>
                              <w:fldChar w:fldCharType="end"/>
                            </w:r>
                            <w:r w:rsidRPr="00A36E78">
                              <w:rPr>
                                <w:rFonts w:ascii="Times New Roman" w:hAnsi="Times New Roman"/>
                                <w:b/>
                                <w:i w:val="0"/>
                                <w:color w:val="000000" w:themeColor="text1"/>
                                <w:szCs w:val="20"/>
                              </w:rPr>
                              <w:t xml:space="preserve"> </w:t>
                            </w:r>
                            <w:r>
                              <w:rPr>
                                <w:rFonts w:ascii="Times New Roman" w:hAnsi="Times New Roman"/>
                                <w:b/>
                                <w:i w:val="0"/>
                                <w:color w:val="000000" w:themeColor="text1"/>
                                <w:szCs w:val="20"/>
                              </w:rPr>
                              <w:t>Paga Mesatare Bruto</w:t>
                            </w:r>
                            <w:r w:rsidRPr="00A36E78">
                              <w:rPr>
                                <w:rFonts w:ascii="Times New Roman" w:hAnsi="Times New Roman"/>
                                <w:b/>
                                <w:i w:val="0"/>
                                <w:color w:val="000000" w:themeColor="text1"/>
                                <w:szCs w:val="20"/>
                              </w:rPr>
                              <w:t>, in Euro</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52F6DF" id="Text Box 20" o:spid="_x0000_s1028" type="#_x0000_t202" style="position:absolute;left:0;text-align:left;margin-left:0;margin-top:1.15pt;width:273pt;height:14.0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" stroked="f">
                <v:textbox inset="0,0,0,0">
                  <w:txbxContent>
                    <w:p w14:paraId="577503F6" w14:textId="77777777" w:rsidR="00FC648F" w:rsidRPr="00A36E78" w:rsidRDefault="00FC648F" w:rsidP="00085F16">
                      <w:pPr>
                        <w:pStyle w:val="Caption"/>
                        <w:rPr>
                          <w:rFonts w:ascii="Times New Roman" w:hAnsi="Times New Roman"/>
                          <w:b/>
                          <w:i w:val="0"/>
                          <w:color w:val="000000" w:themeColor="text1"/>
                          <w:szCs w:val="20"/>
                        </w:rPr>
                      </w:pPr>
                      <w:bookmarkStart w:id="44" w:name="_Toc25673457"/>
                      <w:r w:rsidRPr="00A36E78">
                        <w:rPr>
                          <w:rFonts w:ascii="Times New Roman" w:hAnsi="Times New Roman"/>
                          <w:b/>
                          <w:i w:val="0"/>
                          <w:color w:val="000000" w:themeColor="text1"/>
                          <w:szCs w:val="20"/>
                        </w:rPr>
                        <w:t xml:space="preserve">Grafiku </w:t>
                      </w:r>
                      <w:r w:rsidRPr="00A36E78">
                        <w:rPr>
                          <w:rFonts w:ascii="Times New Roman" w:hAnsi="Times New Roman"/>
                          <w:b/>
                          <w:i w:val="0"/>
                          <w:color w:val="000000" w:themeColor="text1"/>
                          <w:szCs w:val="20"/>
                        </w:rPr>
                        <w:fldChar w:fldCharType="begin"/>
                      </w:r>
                      <w:r w:rsidRPr="00A36E78">
                        <w:rPr>
                          <w:rFonts w:ascii="Times New Roman" w:hAnsi="Times New Roman"/>
                          <w:b/>
                          <w:i w:val="0"/>
                          <w:color w:val="000000" w:themeColor="text1"/>
                          <w:szCs w:val="20"/>
                        </w:rPr>
                        <w:instrText xml:space="preserve"> SEQ Grafiku \* ARABIC </w:instrText>
                      </w:r>
                      <w:r w:rsidRPr="00A36E78">
                        <w:rPr>
                          <w:rFonts w:ascii="Times New Roman" w:hAnsi="Times New Roman"/>
                          <w:b/>
                          <w:i w:val="0"/>
                          <w:color w:val="000000" w:themeColor="text1"/>
                          <w:szCs w:val="20"/>
                        </w:rPr>
                        <w:fldChar w:fldCharType="separate"/>
                      </w:r>
                      <w:r>
                        <w:rPr>
                          <w:rFonts w:ascii="Times New Roman" w:hAnsi="Times New Roman"/>
                          <w:b/>
                          <w:i w:val="0"/>
                          <w:noProof/>
                          <w:color w:val="000000" w:themeColor="text1"/>
                          <w:szCs w:val="20"/>
                        </w:rPr>
                        <w:t>5</w:t>
                      </w:r>
                      <w:r w:rsidRPr="00A36E78">
                        <w:rPr>
                          <w:rFonts w:ascii="Times New Roman" w:hAnsi="Times New Roman"/>
                          <w:b/>
                          <w:i w:val="0"/>
                          <w:color w:val="000000" w:themeColor="text1"/>
                          <w:szCs w:val="20"/>
                        </w:rPr>
                        <w:fldChar w:fldCharType="end"/>
                      </w:r>
                      <w:r w:rsidRPr="00A36E78">
                        <w:rPr>
                          <w:rFonts w:ascii="Times New Roman" w:hAnsi="Times New Roman"/>
                          <w:b/>
                          <w:i w:val="0"/>
                          <w:color w:val="000000" w:themeColor="text1"/>
                          <w:szCs w:val="20"/>
                        </w:rPr>
                        <w:t xml:space="preserve"> </w:t>
                      </w:r>
                      <w:r>
                        <w:rPr>
                          <w:rFonts w:ascii="Times New Roman" w:hAnsi="Times New Roman"/>
                          <w:b/>
                          <w:i w:val="0"/>
                          <w:color w:val="000000" w:themeColor="text1"/>
                          <w:szCs w:val="20"/>
                        </w:rPr>
                        <w:t>Paga Mesatare Bruto</w:t>
                      </w:r>
                      <w:r w:rsidRPr="00A36E78">
                        <w:rPr>
                          <w:rFonts w:ascii="Times New Roman" w:hAnsi="Times New Roman"/>
                          <w:b/>
                          <w:i w:val="0"/>
                          <w:color w:val="000000" w:themeColor="text1"/>
                          <w:szCs w:val="20"/>
                        </w:rPr>
                        <w:t>, in Euro</w:t>
                      </w:r>
                      <w:bookmarkEnd w:id="44"/>
                    </w:p>
                  </w:txbxContent>
                </v:textbox>
                <w10:wrap type="square"/>
              </v:shape>
            </w:pict>
          </mc:Fallback>
        </mc:AlternateContent>
      </w:r>
      <w:bookmarkStart w:id="45" w:name="_Toc467135797"/>
      <w:bookmarkStart w:id="46" w:name="_Toc472500771"/>
      <w:r w:rsidRPr="00B922C3">
        <w:rPr>
          <w:rFonts w:ascii="Times New Roman" w:hAnsi="Times New Roman" w:cs="Times New Roman"/>
          <w:sz w:val="24"/>
          <w:szCs w:val="24"/>
        </w:rPr>
        <w:t xml:space="preserve"> Figura 5 tregon nivelin e pagës mesatare midis sektorëve të ndryshëm në Kosovë. Siç tregohet, gjatë dy viteve të fundit, niveli mesatar i pagave për të gjithë ekonominë është rritur me 3.7% (sektori publik me 4.5% dhe sektori privat me 4.0%). Rritja më e lartë në sektorin publik është margjinalisht si rezultat i indeksimit të përvojës së punës për zyrtarët e shërbimit publik. Sidoqoftë, duhet të theksohet se krahasimi midis pagave publike dhe private nuk ofron një krahasim plotësisht të qëndrueshëm, duke marrë parasysh ndryshimet në grupet e aftësive, kompensimin e performancës në sektorin privat, si dhe nën-deklarimin e mundshëm të të ardhurave në sektorin privat</w:t>
      </w:r>
      <w:r w:rsidRPr="007D5D03">
        <w:t>.</w:t>
      </w:r>
    </w:p>
    <w:p w14:paraId="3BDB0180" w14:textId="77777777" w:rsidR="00085F16" w:rsidRPr="007D5D03" w:rsidRDefault="00085F16" w:rsidP="00085F16">
      <w:pPr>
        <w:rPr>
          <w:b/>
        </w:rPr>
      </w:pPr>
      <w:bookmarkStart w:id="47" w:name="_Toc23327310"/>
      <w:bookmarkEnd w:id="41"/>
      <w:bookmarkEnd w:id="42"/>
      <w:bookmarkEnd w:id="45"/>
      <w:bookmarkEnd w:id="46"/>
    </w:p>
    <w:p w14:paraId="5BD56F9A" w14:textId="77777777" w:rsidR="00085F16" w:rsidRPr="007D5D03" w:rsidRDefault="00085F16" w:rsidP="00802FB3">
      <w:pPr>
        <w:pStyle w:val="ListParagraph"/>
        <w:numPr>
          <w:ilvl w:val="1"/>
          <w:numId w:val="85"/>
        </w:numPr>
        <w:ind w:left="709" w:hanging="720"/>
        <w:rPr>
          <w:rFonts w:ascii="Times New Roman" w:hAnsi="Times New Roman"/>
        </w:rPr>
      </w:pPr>
      <w:r>
        <w:rPr>
          <w:rFonts w:ascii="Times New Roman" w:hAnsi="Times New Roman"/>
          <w:b/>
          <w:sz w:val="24"/>
        </w:rPr>
        <w:t>Projeksionet m</w:t>
      </w:r>
      <w:r w:rsidRPr="007D5D03">
        <w:rPr>
          <w:rFonts w:ascii="Times New Roman" w:hAnsi="Times New Roman"/>
          <w:b/>
          <w:sz w:val="24"/>
        </w:rPr>
        <w:t xml:space="preserve">akroekonomike </w:t>
      </w:r>
      <w:bookmarkEnd w:id="47"/>
      <w:r>
        <w:rPr>
          <w:rFonts w:ascii="Times New Roman" w:hAnsi="Times New Roman"/>
          <w:b/>
          <w:sz w:val="24"/>
        </w:rPr>
        <w:t>afat-m</w:t>
      </w:r>
      <w:r w:rsidRPr="007D5D03">
        <w:rPr>
          <w:rFonts w:ascii="Times New Roman" w:hAnsi="Times New Roman"/>
          <w:b/>
          <w:sz w:val="24"/>
        </w:rPr>
        <w:t>esme</w:t>
      </w:r>
    </w:p>
    <w:p w14:paraId="26275A90" w14:textId="77777777" w:rsidR="00085F16" w:rsidRPr="0067685A" w:rsidRDefault="00085F16" w:rsidP="00802FB3">
      <w:pPr>
        <w:pStyle w:val="ERPL3"/>
        <w:numPr>
          <w:ilvl w:val="2"/>
          <w:numId w:val="88"/>
        </w:numPr>
        <w:ind w:hanging="1080"/>
        <w:rPr>
          <w:rFonts w:ascii="Times New Roman" w:hAnsi="Times New Roman"/>
          <w:i w:val="0"/>
        </w:rPr>
      </w:pPr>
      <w:bookmarkStart w:id="48" w:name="_Toc504051210"/>
      <w:bookmarkStart w:id="49" w:name="_Toc504051407"/>
      <w:bookmarkStart w:id="50" w:name="_Toc504338912"/>
      <w:bookmarkStart w:id="51" w:name="_Toc25873720"/>
      <w:r>
        <w:rPr>
          <w:rFonts w:ascii="Times New Roman" w:hAnsi="Times New Roman"/>
          <w:i w:val="0"/>
        </w:rPr>
        <w:t>Projeksionet e sektorit real</w:t>
      </w:r>
      <w:bookmarkEnd w:id="48"/>
      <w:bookmarkEnd w:id="49"/>
      <w:bookmarkEnd w:id="50"/>
      <w:bookmarkEnd w:id="51"/>
    </w:p>
    <w:p w14:paraId="4ECA0434" w14:textId="77777777" w:rsidR="00085F16" w:rsidRPr="00B922C3" w:rsidRDefault="00085F16" w:rsidP="00085F16">
      <w:pPr>
        <w:spacing w:after="240" w:line="276" w:lineRule="auto"/>
        <w:jc w:val="both"/>
        <w:rPr>
          <w:rFonts w:ascii="Times New Roman" w:hAnsi="Times New Roman" w:cs="Times New Roman"/>
          <w:i/>
          <w:sz w:val="24"/>
          <w:szCs w:val="24"/>
        </w:rPr>
      </w:pPr>
      <w:r w:rsidRPr="00B922C3">
        <w:rPr>
          <w:rFonts w:ascii="Times New Roman" w:hAnsi="Times New Roman" w:cs="Times New Roman"/>
          <w:i/>
          <w:sz w:val="24"/>
          <w:szCs w:val="24"/>
        </w:rPr>
        <w:t>Bazuar në zhvillimet aktuale të treguesve makroekonomikë për vitin 2019 si vit bazë për parashikimet, si dhe bazuar në zhvillimet e jashtme ekonomike, Ministria e Financave parashikon 4.0% rritje të BPV-së reale për vitin 2019. Ky parashikim nënkupton përshpejtim prej 0.2 pikëve përqindje në krahasim me 2018. Në vitin 2020, BPV reale parashikohet të rritet me 4.4% ndërsa nominale me 5.9%. Për dy vitet e ardhshme (2021 dhe 2022), rritja reale ekonomike pritet të jetë 4.5%. Rritja ekonomike për këto dy vjet bazohet në të njëjtën strukturë të burimeve të financimit si në vitin 2020. Indeksi i Cmimeve të Konsumit në vitin 2020 pritet të rritet me 1.8% për t'u pasuar nga një trend në rënie në dy vitet e ardhshme (duke arritur nivelin  1.2% në 2022).</w:t>
      </w:r>
    </w:p>
    <w:p w14:paraId="37101A14" w14:textId="77777777" w:rsidR="00085F16" w:rsidRPr="00B922C3" w:rsidRDefault="00085F16" w:rsidP="00085F16">
      <w:pPr>
        <w:spacing w:after="240" w:line="276" w:lineRule="auto"/>
        <w:jc w:val="both"/>
        <w:rPr>
          <w:rFonts w:ascii="Times New Roman" w:hAnsi="Times New Roman" w:cs="Times New Roman"/>
          <w:sz w:val="24"/>
          <w:szCs w:val="24"/>
        </w:rPr>
      </w:pPr>
      <w:r w:rsidRPr="00B922C3">
        <w:rPr>
          <w:rFonts w:ascii="Times New Roman" w:hAnsi="Times New Roman" w:cs="Times New Roman"/>
          <w:b/>
          <w:sz w:val="24"/>
          <w:szCs w:val="24"/>
        </w:rPr>
        <w:t>Konsumi</w:t>
      </w:r>
      <w:r w:rsidRPr="00B922C3">
        <w:rPr>
          <w:rFonts w:ascii="Times New Roman" w:hAnsi="Times New Roman" w:cs="Times New Roman"/>
          <w:sz w:val="24"/>
          <w:szCs w:val="24"/>
        </w:rPr>
        <w:t xml:space="preserve"> në vitin 2020 në terma realë pritet të rritet me 4.4% dhe të ketë kontribut prej 4.3 p.p. në rritjen reale. </w:t>
      </w:r>
      <w:r w:rsidRPr="00B922C3">
        <w:rPr>
          <w:rFonts w:ascii="Times New Roman" w:hAnsi="Times New Roman" w:cs="Times New Roman"/>
          <w:b/>
          <w:sz w:val="24"/>
          <w:szCs w:val="24"/>
        </w:rPr>
        <w:t>Konsumi privat</w:t>
      </w:r>
      <w:r w:rsidRPr="00B922C3">
        <w:rPr>
          <w:rFonts w:ascii="Times New Roman" w:hAnsi="Times New Roman" w:cs="Times New Roman"/>
          <w:sz w:val="24"/>
          <w:szCs w:val="24"/>
        </w:rPr>
        <w:t xml:space="preserve"> parashihet të ketë një rritje prej 3.4%, i shtyrë kryesisht nga një ambient me norma të interesit më të ulëta dhe një qasjeje më të lehtë në financa. Në të njëjtën kohë, pritet që të hyrat e disponueshme të rriten si rrjedhojë e një rritjeje në remitanca, transfere sociale dhe pritje për punësim në sektor privat. Remitancat do të vazhdojnë të jenë një burim i rëndësishëm financimi për konsumin e ekonomive familjare, edhe pse në periudhën afatmesme rritja e tyre parashihet të shfaq tendenca të lehta ngadalësimi si rezultat i vlerësimeve për një rritje më të moderuar në vendet evropiane (posaçërisht Gjermania dhe Zvicra që përbëjnë rreth 60% të origjinës së remitancave). </w:t>
      </w:r>
      <w:r w:rsidRPr="00B922C3">
        <w:rPr>
          <w:rFonts w:ascii="Times New Roman" w:hAnsi="Times New Roman" w:cs="Times New Roman"/>
          <w:b/>
          <w:sz w:val="24"/>
          <w:szCs w:val="24"/>
        </w:rPr>
        <w:t>Konsumi publik</w:t>
      </w:r>
      <w:r w:rsidRPr="00B922C3">
        <w:rPr>
          <w:rFonts w:ascii="Times New Roman" w:hAnsi="Times New Roman" w:cs="Times New Roman"/>
          <w:sz w:val="24"/>
          <w:szCs w:val="24"/>
        </w:rPr>
        <w:t xml:space="preserve"> në 2020 pritet të rritet me 10.5% v-m-v. Kjo rritje vjen si rezultat i një shpenzimi më të lartë të planifikuar në kategoritë paga dhe mëditje dhe mallra e shërbime. Vlen të theksohet se të dyja këto kategori të shpenzimeve publike kanë pasur nën shpenzim në vitin 2019 dhe për këtë arsye planifikimi i shpenzimeve për 2020 rezulton të ketë një rritje më të lartë krahasuar me 2019. </w:t>
      </w:r>
      <w:r w:rsidRPr="00B922C3">
        <w:rPr>
          <w:rFonts w:ascii="Times New Roman" w:hAnsi="Times New Roman" w:cs="Times New Roman"/>
          <w:sz w:val="24"/>
          <w:szCs w:val="24"/>
          <w:u w:val="single"/>
        </w:rPr>
        <w:t>Në dy vitet e ardhshme (2021 dhe 2022)</w:t>
      </w:r>
      <w:r w:rsidRPr="00B922C3">
        <w:rPr>
          <w:rFonts w:ascii="Times New Roman" w:hAnsi="Times New Roman" w:cs="Times New Roman"/>
          <w:sz w:val="24"/>
          <w:szCs w:val="24"/>
        </w:rPr>
        <w:t>, konsumi pritet të rritet me një mesatare prej 3.6% në terma realë dhe të ketë një kontribut prej 3.5 p.p. në rritje për të dy vitet. Konsumi privat vlerësohet të rritet mesatarisht me 4.1%, ndërsa konsumi publik me 0.5%. Këto rritje reflektojnë performancën e burimeve të financimit të të ardhurave të disponueshme.</w:t>
      </w:r>
    </w:p>
    <w:p w14:paraId="7FC54D46" w14:textId="77777777" w:rsidR="00085F16" w:rsidRPr="00B922C3" w:rsidRDefault="00085F16" w:rsidP="00085F16">
      <w:pPr>
        <w:spacing w:after="240" w:line="276" w:lineRule="auto"/>
        <w:jc w:val="both"/>
        <w:rPr>
          <w:rFonts w:ascii="Times New Roman" w:hAnsi="Times New Roman" w:cs="Times New Roman"/>
          <w:sz w:val="24"/>
          <w:szCs w:val="24"/>
        </w:rPr>
      </w:pPr>
      <w:r w:rsidRPr="00B922C3">
        <w:rPr>
          <w:rFonts w:ascii="Times New Roman" w:hAnsi="Times New Roman" w:cs="Times New Roman"/>
          <w:b/>
          <w:sz w:val="24"/>
          <w:szCs w:val="24"/>
        </w:rPr>
        <w:t xml:space="preserve">Investimet  </w:t>
      </w:r>
      <w:r w:rsidRPr="00B922C3">
        <w:rPr>
          <w:rFonts w:ascii="Times New Roman" w:hAnsi="Times New Roman" w:cs="Times New Roman"/>
          <w:sz w:val="24"/>
          <w:szCs w:val="24"/>
        </w:rPr>
        <w:t xml:space="preserve">në vitin 2020 pritet të rriten me 7.1% në terma realë dhe të kenë kontribut prej 2.1 p.p. në rritjen reale. Përmirësimi i qasjes në financa dhe ulja e kostos së kredive për sektorin privat  pritet të ofrojnë një stimul të rëndësishëm në </w:t>
      </w:r>
      <w:r w:rsidRPr="00B922C3">
        <w:rPr>
          <w:rFonts w:ascii="Times New Roman" w:hAnsi="Times New Roman" w:cs="Times New Roman"/>
          <w:b/>
          <w:sz w:val="24"/>
          <w:szCs w:val="24"/>
        </w:rPr>
        <w:t>investimet private</w:t>
      </w:r>
      <w:r w:rsidRPr="00B922C3">
        <w:rPr>
          <w:rFonts w:ascii="Times New Roman" w:hAnsi="Times New Roman" w:cs="Times New Roman"/>
          <w:sz w:val="24"/>
          <w:szCs w:val="24"/>
        </w:rPr>
        <w:t>. Në të njëjtën kohë, rritja e kapitalit të Fondit për Garantimin e Kredive pritet të lehtësoj qasjen në financa. Gjithashtu, Kosova në raportin e Bankës Botërore të të Bërit Biznes</w:t>
      </w:r>
      <w:r w:rsidRPr="00B922C3">
        <w:rPr>
          <w:rStyle w:val="FootnoteReference"/>
          <w:rFonts w:ascii="Times New Roman" w:hAnsi="Times New Roman" w:cs="Times New Roman"/>
          <w:sz w:val="24"/>
          <w:szCs w:val="24"/>
        </w:rPr>
        <w:footnoteReference w:id="6"/>
      </w:r>
      <w:r w:rsidRPr="00B922C3">
        <w:rPr>
          <w:rFonts w:ascii="Times New Roman" w:hAnsi="Times New Roman" w:cs="Times New Roman"/>
          <w:sz w:val="24"/>
          <w:szCs w:val="24"/>
        </w:rPr>
        <w:t xml:space="preserve"> 2020 është vlerësuar si një nga top 20 reformuesit ku sipas të gjeturave, Kosova ka përmirësuar dhënien e lejeve të ndërtimit, qasjen në energji elektrike, mbrojtjen e investitorëve dhe respektimin e kontratave.  Si rezultat i këtyre zhvillimeve, investimet private parashihet të rriten me 5.5% në vitin 2020. </w:t>
      </w:r>
      <w:r w:rsidRPr="00B922C3">
        <w:rPr>
          <w:rFonts w:ascii="Times New Roman" w:hAnsi="Times New Roman" w:cs="Times New Roman"/>
          <w:b/>
          <w:sz w:val="24"/>
          <w:szCs w:val="24"/>
        </w:rPr>
        <w:t>Investimet publike</w:t>
      </w:r>
      <w:r w:rsidRPr="00B922C3">
        <w:rPr>
          <w:rFonts w:ascii="Times New Roman" w:hAnsi="Times New Roman" w:cs="Times New Roman"/>
          <w:sz w:val="24"/>
          <w:szCs w:val="24"/>
        </w:rPr>
        <w:t xml:space="preserve"> në anën tjetër pritet të shënojnë një rritje prej 11.5%. Rreth 30% të shpenzimeve kapitale publike pritet të financohen përmes klauzolës së investimeve dhe fondeve të likuidimit. Këto investime publike pritet që të përmirësojnë infrastrukturën publike dhe të adresojnë pengesa strukturore në energji, shëndetësi, etj. </w:t>
      </w:r>
      <w:r w:rsidRPr="00B922C3">
        <w:rPr>
          <w:rFonts w:ascii="Times New Roman" w:hAnsi="Times New Roman" w:cs="Times New Roman"/>
          <w:sz w:val="24"/>
          <w:szCs w:val="24"/>
          <w:u w:val="single"/>
        </w:rPr>
        <w:t xml:space="preserve">Në dy vitet e ardhshme (2021 dhe 2022), </w:t>
      </w:r>
      <w:r w:rsidRPr="00B922C3">
        <w:rPr>
          <w:rFonts w:ascii="Times New Roman" w:hAnsi="Times New Roman" w:cs="Times New Roman"/>
          <w:sz w:val="24"/>
          <w:szCs w:val="24"/>
        </w:rPr>
        <w:t>investimet pritet të kenë një rritje reale prej 5.1%, ku investimet private pritet të rriten me 5.2% në përputhje me pritjet për qasje në financa. Nga ana tjetër, investimet publike pritet të rriten mesatarisht me 4.9% gjatë kësaj periudhe, duke reflektuar mungesën e fondeve të likuidimit për këto dy vjet. Kontributi i investimeve totale në  BPV reale, parashikohet të jetë 1.6 p.p. në 2021 dhe 1.5 p.p. në vitin 2022.</w:t>
      </w:r>
    </w:p>
    <w:p w14:paraId="4F3278BB" w14:textId="77777777" w:rsidR="00085F16" w:rsidRPr="00B922C3" w:rsidRDefault="00085F16" w:rsidP="00085F16">
      <w:pPr>
        <w:spacing w:after="240" w:line="276" w:lineRule="auto"/>
        <w:jc w:val="both"/>
        <w:rPr>
          <w:rFonts w:ascii="Times New Roman" w:hAnsi="Times New Roman" w:cs="Times New Roman"/>
          <w:sz w:val="24"/>
          <w:szCs w:val="24"/>
        </w:rPr>
      </w:pPr>
      <w:r w:rsidRPr="00B922C3">
        <w:rPr>
          <w:rFonts w:ascii="Times New Roman" w:hAnsi="Times New Roman" w:cs="Times New Roman"/>
          <w:b/>
          <w:sz w:val="24"/>
          <w:szCs w:val="24"/>
        </w:rPr>
        <w:t xml:space="preserve">Eksporti i mallrave dhe shërbimeve </w:t>
      </w:r>
      <w:r w:rsidRPr="00B922C3">
        <w:rPr>
          <w:rFonts w:ascii="Times New Roman" w:hAnsi="Times New Roman" w:cs="Times New Roman"/>
          <w:sz w:val="24"/>
          <w:szCs w:val="24"/>
        </w:rPr>
        <w:t xml:space="preserve">pritet të shënojë rritje reale prej 8.7% dhe të kontribojë me 2.5 p.p. në rritjen reale. </w:t>
      </w:r>
      <w:r w:rsidRPr="00B922C3">
        <w:rPr>
          <w:rFonts w:ascii="Times New Roman" w:hAnsi="Times New Roman" w:cs="Times New Roman"/>
          <w:b/>
          <w:sz w:val="24"/>
          <w:szCs w:val="24"/>
        </w:rPr>
        <w:t>Eksporti i mallrave</w:t>
      </w:r>
      <w:r w:rsidRPr="00B922C3">
        <w:rPr>
          <w:rFonts w:ascii="Times New Roman" w:hAnsi="Times New Roman" w:cs="Times New Roman"/>
          <w:sz w:val="24"/>
          <w:szCs w:val="24"/>
        </w:rPr>
        <w:t xml:space="preserve"> parashihet të rritet me 5.9%, si rezultat i zhvillimeve në mjedisin e jashtëm ekonomik, i skemave të qeverisë për mbështetjen e sektorit të përpunimit, dhe implementimit të mëtutjeshëm të MSA-së. Duke pasur parasysh se nikeli është një ndër mallrat kryesore që Kosova eksporton, zhvillimet në tregun e nikelit pritet të kenë një efekt pozitiv në eksportin e mallrave. Çmimet ndërkombëtare të nikelit sipas WEO pritet të rriten me rreth 18% në vitin 2020. Kjo rritje e konsiderueshme në çmimin e nikelit i atribuohet rritjes së shpejtë të kërkesës për automjete elektrike dhe nevojës për nikel në prodhimin e baterive të këtyre automjeteve. Një tjetër faktor shtytës në rritjen e eksporteve është skema e qeverisë për industrinë përpunuese, e cila mendohet të ulë koston e prodhimit dhe të rrisë prodhimin. Gjithashtu, implementimi i mëtutjeshëm i MSA-së pritet të ketë një efekt pozitiv në rritjen e konkurrueshmërisë së mallrave kosovare në tregun e BE-së. Në anën tjetër, </w:t>
      </w:r>
      <w:r w:rsidRPr="00B922C3">
        <w:rPr>
          <w:rFonts w:ascii="Times New Roman" w:hAnsi="Times New Roman" w:cs="Times New Roman"/>
          <w:b/>
          <w:sz w:val="24"/>
          <w:szCs w:val="24"/>
        </w:rPr>
        <w:t>eksporti i shërbimeve</w:t>
      </w:r>
      <w:r w:rsidRPr="00B922C3">
        <w:rPr>
          <w:rFonts w:ascii="Times New Roman" w:hAnsi="Times New Roman" w:cs="Times New Roman"/>
          <w:sz w:val="24"/>
          <w:szCs w:val="24"/>
        </w:rPr>
        <w:t xml:space="preserve"> pritet të rritet me rreth 9.4% në terma realë. Kjo rritje, e cila ndjek trendin historik të eksportit të shërbimeve, do të mbështetet kryesisht nga eksporti i shërbimeve të udhëtimit dhe shërbimeve të telekomunikimit. </w:t>
      </w:r>
      <w:r w:rsidRPr="00B922C3">
        <w:rPr>
          <w:rFonts w:ascii="Times New Roman" w:hAnsi="Times New Roman" w:cs="Times New Roman"/>
          <w:sz w:val="24"/>
          <w:szCs w:val="24"/>
          <w:u w:val="single"/>
        </w:rPr>
        <w:t>Në dy vitet e ardhshme (2021 dhe 2022)</w:t>
      </w:r>
      <w:r w:rsidRPr="00B922C3">
        <w:rPr>
          <w:rFonts w:ascii="Times New Roman" w:hAnsi="Times New Roman" w:cs="Times New Roman"/>
          <w:sz w:val="24"/>
          <w:szCs w:val="24"/>
        </w:rPr>
        <w:t xml:space="preserve"> eksporti i mallrave dhe shërbimeve pritet të rritet me një mesatare prej 8.1% në këtë periudhë i nxitur kryesisht nga eksporti i shërbimeve i cili pritet të rritet me 9.4%. Nga ana tjetër, eksporti i mallrave pritet të ketë një rritje më të moderuar prej 2.5% mesatarisht në terma realë. Kontributi i eksportit të mallrave dhe shërbimeve pritet të jetë 2.4 p.p. në 2021 dhe 2022.</w:t>
      </w:r>
      <w:r w:rsidRPr="00FC648F">
        <w:rPr>
          <w:rFonts w:ascii="Times New Roman" w:hAnsi="Times New Roman" w:cs="Times New Roman"/>
          <w:noProof/>
          <w:sz w:val="24"/>
          <w:szCs w:val="24"/>
        </w:rPr>
        <w:t xml:space="preserve"> </w:t>
      </w:r>
    </w:p>
    <w:p w14:paraId="5E4E72FA" w14:textId="77777777" w:rsidR="00085F16" w:rsidRPr="00B922C3" w:rsidRDefault="00085F16" w:rsidP="00085F16">
      <w:pPr>
        <w:spacing w:after="240" w:line="276" w:lineRule="auto"/>
        <w:jc w:val="both"/>
        <w:rPr>
          <w:rFonts w:ascii="Times New Roman" w:hAnsi="Times New Roman" w:cs="Times New Roman"/>
          <w:sz w:val="24"/>
          <w:szCs w:val="24"/>
        </w:rPr>
      </w:pPr>
      <w:bookmarkStart w:id="52" w:name="_Toc23846876"/>
      <w:r w:rsidRPr="00B922C3">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374F167F" wp14:editId="701ED9D4">
                <wp:simplePos x="0" y="0"/>
                <wp:positionH relativeFrom="column">
                  <wp:posOffset>-47625</wp:posOffset>
                </wp:positionH>
                <wp:positionV relativeFrom="paragraph">
                  <wp:posOffset>2167890</wp:posOffset>
                </wp:positionV>
                <wp:extent cx="5705475" cy="174625"/>
                <wp:effectExtent l="0" t="0" r="9525" b="0"/>
                <wp:wrapSquare wrapText="bothSides"/>
                <wp:docPr id="24" name="Text Box 24"/>
                <wp:cNvGraphicFramePr/>
                <a:graphic xmlns:a="http://schemas.openxmlformats.org/drawingml/2006/main">
                  <a:graphicData uri="http://schemas.microsoft.com/office/word/2010/wordprocessingShape">
                    <wps:wsp>
                      <wps:cNvSpPr txBox="1"/>
                      <wps:spPr>
                        <a:xfrm>
                          <a:off x="0" y="0"/>
                          <a:ext cx="5705475" cy="174625"/>
                        </a:xfrm>
                        <a:prstGeom prst="rect">
                          <a:avLst/>
                        </a:prstGeom>
                        <a:solidFill>
                          <a:prstClr val="white"/>
                        </a:solidFill>
                        <a:ln>
                          <a:noFill/>
                        </a:ln>
                        <a:effectLst/>
                      </wps:spPr>
                      <wps:txbx>
                        <w:txbxContent>
                          <w:p w14:paraId="2C4CEBEC" w14:textId="77777777" w:rsidR="00FC648F" w:rsidRPr="00420D3C" w:rsidRDefault="00FC648F" w:rsidP="00085F16">
                            <w:pPr>
                              <w:pStyle w:val="Caption"/>
                              <w:rPr>
                                <w:rFonts w:ascii="Times New Roman" w:hAnsi="Times New Roman"/>
                                <w:b/>
                                <w:i w:val="0"/>
                                <w:noProof/>
                                <w:color w:val="auto"/>
                              </w:rPr>
                            </w:pPr>
                            <w:bookmarkStart w:id="53" w:name="_Toc25673458"/>
                            <w:r w:rsidRPr="00420D3C">
                              <w:rPr>
                                <w:rFonts w:ascii="Times New Roman" w:hAnsi="Times New Roman"/>
                                <w:b/>
                                <w:i w:val="0"/>
                                <w:color w:val="auto"/>
                              </w:rPr>
                              <w:t xml:space="preserve">Grafiku </w:t>
                            </w:r>
                            <w:r w:rsidRPr="00420D3C">
                              <w:rPr>
                                <w:rFonts w:ascii="Times New Roman" w:hAnsi="Times New Roman"/>
                                <w:b/>
                                <w:i w:val="0"/>
                                <w:color w:val="auto"/>
                              </w:rPr>
                              <w:fldChar w:fldCharType="begin"/>
                            </w:r>
                            <w:r w:rsidRPr="00420D3C">
                              <w:rPr>
                                <w:rFonts w:ascii="Times New Roman" w:hAnsi="Times New Roman"/>
                                <w:b/>
                                <w:i w:val="0"/>
                                <w:color w:val="auto"/>
                              </w:rPr>
                              <w:instrText xml:space="preserve"> SEQ Grafiku \* ARABIC </w:instrText>
                            </w:r>
                            <w:r w:rsidRPr="00420D3C">
                              <w:rPr>
                                <w:rFonts w:ascii="Times New Roman" w:hAnsi="Times New Roman"/>
                                <w:b/>
                                <w:i w:val="0"/>
                                <w:color w:val="auto"/>
                              </w:rPr>
                              <w:fldChar w:fldCharType="separate"/>
                            </w:r>
                            <w:r>
                              <w:rPr>
                                <w:rFonts w:ascii="Times New Roman" w:hAnsi="Times New Roman"/>
                                <w:b/>
                                <w:i w:val="0"/>
                                <w:noProof/>
                                <w:color w:val="auto"/>
                              </w:rPr>
                              <w:t>6</w:t>
                            </w:r>
                            <w:r w:rsidRPr="00420D3C">
                              <w:rPr>
                                <w:rFonts w:ascii="Times New Roman" w:hAnsi="Times New Roman"/>
                                <w:b/>
                                <w:i w:val="0"/>
                                <w:color w:val="auto"/>
                              </w:rPr>
                              <w:fldChar w:fldCharType="end"/>
                            </w:r>
                            <w:r w:rsidRPr="00420D3C">
                              <w:rPr>
                                <w:rFonts w:ascii="Times New Roman" w:hAnsi="Times New Roman"/>
                                <w:b/>
                                <w:i w:val="0"/>
                                <w:color w:val="auto"/>
                              </w:rPr>
                              <w:t xml:space="preserve"> </w:t>
                            </w:r>
                            <w:bookmarkEnd w:id="53"/>
                            <w:r>
                              <w:rPr>
                                <w:rFonts w:ascii="Times New Roman" w:hAnsi="Times New Roman"/>
                                <w:b/>
                                <w:i w:val="0"/>
                                <w:color w:val="auto"/>
                              </w:rPr>
                              <w:t>BPV reale dhe komponentët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4F167F" id="Text Box 24" o:spid="_x0000_s1029" type="#_x0000_t202" style="position:absolute;left:0;text-align:left;margin-left:-3.75pt;margin-top:170.7pt;width:449.25pt;height:13.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" stroked="f">
                <v:textbox inset="0,0,0,0">
                  <w:txbxContent>
                    <w:p w14:paraId="2C4CEBEC" w14:textId="77777777" w:rsidR="00FC648F" w:rsidRPr="00420D3C" w:rsidRDefault="00FC648F" w:rsidP="00085F16">
                      <w:pPr>
                        <w:pStyle w:val="Caption"/>
                        <w:rPr>
                          <w:rFonts w:ascii="Times New Roman" w:hAnsi="Times New Roman"/>
                          <w:b/>
                          <w:i w:val="0"/>
                          <w:noProof/>
                          <w:color w:val="auto"/>
                        </w:rPr>
                      </w:pPr>
                      <w:bookmarkStart w:id="54" w:name="_Toc25673458"/>
                      <w:r w:rsidRPr="00420D3C">
                        <w:rPr>
                          <w:rFonts w:ascii="Times New Roman" w:hAnsi="Times New Roman"/>
                          <w:b/>
                          <w:i w:val="0"/>
                          <w:color w:val="auto"/>
                        </w:rPr>
                        <w:t xml:space="preserve">Grafiku </w:t>
                      </w:r>
                      <w:r w:rsidRPr="00420D3C">
                        <w:rPr>
                          <w:rFonts w:ascii="Times New Roman" w:hAnsi="Times New Roman"/>
                          <w:b/>
                          <w:i w:val="0"/>
                          <w:color w:val="auto"/>
                        </w:rPr>
                        <w:fldChar w:fldCharType="begin"/>
                      </w:r>
                      <w:r w:rsidRPr="00420D3C">
                        <w:rPr>
                          <w:rFonts w:ascii="Times New Roman" w:hAnsi="Times New Roman"/>
                          <w:b/>
                          <w:i w:val="0"/>
                          <w:color w:val="auto"/>
                        </w:rPr>
                        <w:instrText xml:space="preserve"> SEQ Grafiku \* ARABIC </w:instrText>
                      </w:r>
                      <w:r w:rsidRPr="00420D3C">
                        <w:rPr>
                          <w:rFonts w:ascii="Times New Roman" w:hAnsi="Times New Roman"/>
                          <w:b/>
                          <w:i w:val="0"/>
                          <w:color w:val="auto"/>
                        </w:rPr>
                        <w:fldChar w:fldCharType="separate"/>
                      </w:r>
                      <w:r>
                        <w:rPr>
                          <w:rFonts w:ascii="Times New Roman" w:hAnsi="Times New Roman"/>
                          <w:b/>
                          <w:i w:val="0"/>
                          <w:noProof/>
                          <w:color w:val="auto"/>
                        </w:rPr>
                        <w:t>6</w:t>
                      </w:r>
                      <w:r w:rsidRPr="00420D3C">
                        <w:rPr>
                          <w:rFonts w:ascii="Times New Roman" w:hAnsi="Times New Roman"/>
                          <w:b/>
                          <w:i w:val="0"/>
                          <w:color w:val="auto"/>
                        </w:rPr>
                        <w:fldChar w:fldCharType="end"/>
                      </w:r>
                      <w:r w:rsidRPr="00420D3C">
                        <w:rPr>
                          <w:rFonts w:ascii="Times New Roman" w:hAnsi="Times New Roman"/>
                          <w:b/>
                          <w:i w:val="0"/>
                          <w:color w:val="auto"/>
                        </w:rPr>
                        <w:t xml:space="preserve"> </w:t>
                      </w:r>
                      <w:bookmarkEnd w:id="54"/>
                      <w:r>
                        <w:rPr>
                          <w:rFonts w:ascii="Times New Roman" w:hAnsi="Times New Roman"/>
                          <w:b/>
                          <w:i w:val="0"/>
                          <w:color w:val="auto"/>
                        </w:rPr>
                        <w:t>BPV reale dhe komponentët</w:t>
                      </w:r>
                    </w:p>
                  </w:txbxContent>
                </v:textbox>
                <w10:wrap type="square"/>
              </v:shape>
            </w:pict>
          </mc:Fallback>
        </mc:AlternateContent>
      </w:r>
      <w:bookmarkEnd w:id="52"/>
      <w:r w:rsidRPr="00B922C3">
        <w:rPr>
          <w:rFonts w:ascii="Times New Roman" w:hAnsi="Times New Roman" w:cs="Times New Roman"/>
          <w:b/>
          <w:sz w:val="24"/>
          <w:szCs w:val="24"/>
        </w:rPr>
        <w:t xml:space="preserve">Importi i mallrave dhe shërbimeve </w:t>
      </w:r>
      <w:r w:rsidRPr="00B922C3">
        <w:rPr>
          <w:rFonts w:ascii="Times New Roman" w:hAnsi="Times New Roman" w:cs="Times New Roman"/>
          <w:sz w:val="24"/>
          <w:szCs w:val="24"/>
        </w:rPr>
        <w:t xml:space="preserve">pritet të rritet me 7.8% në terma realë në 2020 dhe të ketë një kontribut negativ në rritjen reale prej 4.5 p.p. </w:t>
      </w:r>
      <w:r w:rsidRPr="00B922C3">
        <w:rPr>
          <w:rFonts w:ascii="Times New Roman" w:hAnsi="Times New Roman" w:cs="Times New Roman"/>
          <w:b/>
          <w:sz w:val="24"/>
          <w:szCs w:val="24"/>
        </w:rPr>
        <w:t>Importi i mallrave</w:t>
      </w:r>
      <w:r w:rsidRPr="00B922C3">
        <w:rPr>
          <w:rFonts w:ascii="Times New Roman" w:hAnsi="Times New Roman" w:cs="Times New Roman"/>
          <w:sz w:val="24"/>
          <w:szCs w:val="24"/>
        </w:rPr>
        <w:t xml:space="preserve"> parashihet të shënojë një rritje prej 8.2% duke ndjekur dinamikën e investimeve dhe të konsumit. Në anën tjetër, </w:t>
      </w:r>
      <w:r w:rsidRPr="00B922C3">
        <w:rPr>
          <w:rFonts w:ascii="Times New Roman" w:hAnsi="Times New Roman" w:cs="Times New Roman"/>
          <w:b/>
          <w:sz w:val="24"/>
          <w:szCs w:val="24"/>
        </w:rPr>
        <w:t>importi i shërbimeve</w:t>
      </w:r>
      <w:r w:rsidRPr="00B922C3">
        <w:rPr>
          <w:rFonts w:ascii="Times New Roman" w:hAnsi="Times New Roman" w:cs="Times New Roman"/>
          <w:sz w:val="24"/>
          <w:szCs w:val="24"/>
        </w:rPr>
        <w:t xml:space="preserve"> pritet të ketë një rritje prej 6.3 % duke u bazuar në ecurinë e shërbimeve të financuara nga donatorët dhe uljen e shërbimeve të telekomunikimit. </w:t>
      </w:r>
      <w:r w:rsidRPr="00B922C3">
        <w:rPr>
          <w:rFonts w:ascii="Times New Roman" w:hAnsi="Times New Roman" w:cs="Times New Roman"/>
          <w:sz w:val="24"/>
          <w:szCs w:val="24"/>
          <w:u w:val="single"/>
        </w:rPr>
        <w:t>Në dy vitet e ardhshme (2021 dhe 2022),</w:t>
      </w:r>
      <w:r w:rsidRPr="00B922C3">
        <w:rPr>
          <w:rFonts w:ascii="Times New Roman" w:hAnsi="Times New Roman" w:cs="Times New Roman"/>
          <w:sz w:val="24"/>
          <w:szCs w:val="24"/>
        </w:rPr>
        <w:t xml:space="preserve"> importi i mallrave dhe shërbimeve parashikohet të rritet me 5.1%. Importi i mallrave pritet të rritet me 4.8% ndërsa importi i shërbimeve me 6.4%. Importi i mallrave pritet të ndjekë dinamikën e investimeve dhe konsumit, ndërsa ai i shërbimeve pritet të ndjekë trendin historik. Kontributi i importit të mallrave dhe shërbimeve pritet të jetë mesatarisht 2.9 p.p. në 2021 dhe 2022.</w:t>
      </w:r>
    </w:p>
    <w:p w14:paraId="029DC0E2" w14:textId="77777777" w:rsidR="00085F16" w:rsidRDefault="00085F16" w:rsidP="00085F16">
      <w:pPr>
        <w:spacing w:before="240" w:after="120"/>
        <w:jc w:val="both"/>
        <w:rPr>
          <w:b/>
        </w:rPr>
      </w:pPr>
      <w:r>
        <w:rPr>
          <w:noProof/>
          <w:lang w:val="en-US"/>
        </w:rPr>
        <w:drawing>
          <wp:inline distT="0" distB="0" distL="0" distR="0" wp14:anchorId="6A979618" wp14:editId="54660F21">
            <wp:extent cx="5572800" cy="2343600"/>
            <wp:effectExtent l="0" t="0" r="889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8FD4C54" w14:textId="77777777" w:rsidR="00085F16" w:rsidRPr="00B922C3" w:rsidRDefault="00085F16" w:rsidP="00085F16">
      <w:pPr>
        <w:spacing w:before="240" w:after="120" w:line="276" w:lineRule="auto"/>
        <w:jc w:val="both"/>
        <w:rPr>
          <w:rFonts w:ascii="Times New Roman" w:hAnsi="Times New Roman" w:cs="Times New Roman"/>
          <w:b/>
          <w:sz w:val="24"/>
          <w:szCs w:val="24"/>
        </w:rPr>
      </w:pPr>
      <w:r w:rsidRPr="00B922C3">
        <w:rPr>
          <w:rFonts w:ascii="Times New Roman" w:hAnsi="Times New Roman" w:cs="Times New Roman"/>
          <w:b/>
          <w:sz w:val="24"/>
          <w:szCs w:val="24"/>
        </w:rPr>
        <w:t xml:space="preserve">Inflacioni </w:t>
      </w:r>
      <w:r w:rsidRPr="00B922C3">
        <w:rPr>
          <w:rFonts w:ascii="Times New Roman" w:hAnsi="Times New Roman" w:cs="Times New Roman"/>
          <w:sz w:val="24"/>
          <w:szCs w:val="24"/>
        </w:rPr>
        <w:t>në vitin 2020 parashihet të luhatet rreth vlerës prej 1.8%. Kjo rritje në çmime bazohet kryesisht në pritjet për çmimet në tregun ndërkombëtar duke pasur parasysh që Kosova është një ekonomi e vogël dhe e hapur si dhe trendin historik të çmimeve vendore në disa prej kategorive kryesore. Gjithashtu, efekti bazë i inflacionit në vitin 2019 krijon pritshmëri për një nivel më të ulët të çmimeve të konsumit në vitin e ardhshëm. Inflacioni në 2021 dhe 2022 parashikohet të luhatet mesatarisht rreth 1.2% (1.3% në 2021 dhe 1.2% në 2022). Kjo rritje e çmimeve bazohet në pamjen e çmimeve në tregun ndërkombëtar, duke marrë parasysh që Kosova është një ekonomi e vogël dhe e hapur, si dhe tendenca e çmimeve vendore në disa nga kategoritë kryesore.</w:t>
      </w:r>
    </w:p>
    <w:p w14:paraId="2866357F" w14:textId="77777777" w:rsidR="00085F16" w:rsidRPr="00B922C3" w:rsidRDefault="00085F16" w:rsidP="00085F16">
      <w:pPr>
        <w:spacing w:after="120" w:line="276" w:lineRule="auto"/>
        <w:jc w:val="both"/>
        <w:rPr>
          <w:rFonts w:ascii="Times New Roman" w:hAnsi="Times New Roman" w:cs="Times New Roman"/>
          <w:sz w:val="24"/>
          <w:szCs w:val="24"/>
        </w:rPr>
      </w:pPr>
      <w:r w:rsidRPr="00B922C3">
        <w:rPr>
          <w:rFonts w:ascii="Times New Roman" w:hAnsi="Times New Roman" w:cs="Times New Roman"/>
          <w:b/>
          <w:sz w:val="24"/>
          <w:szCs w:val="24"/>
        </w:rPr>
        <w:t>Çmimet e importit</w:t>
      </w:r>
      <w:r w:rsidRPr="00B922C3">
        <w:rPr>
          <w:rFonts w:ascii="Times New Roman" w:hAnsi="Times New Roman" w:cs="Times New Roman"/>
          <w:sz w:val="24"/>
          <w:szCs w:val="24"/>
        </w:rPr>
        <w:t xml:space="preserve"> të mallrave vlerësohet të rriten me 1.3% në 2020 duke u bazuar në çmimet e tregjeve ndërkombëtare në kategoritë e mallrave që Kosova importon. Ndërsa, </w:t>
      </w:r>
      <w:r w:rsidRPr="00B922C3">
        <w:rPr>
          <w:rFonts w:ascii="Times New Roman" w:hAnsi="Times New Roman" w:cs="Times New Roman"/>
          <w:b/>
          <w:sz w:val="24"/>
          <w:szCs w:val="24"/>
        </w:rPr>
        <w:t>çmimet e eksportit</w:t>
      </w:r>
      <w:r w:rsidRPr="00B922C3">
        <w:rPr>
          <w:rFonts w:ascii="Times New Roman" w:hAnsi="Times New Roman" w:cs="Times New Roman"/>
          <w:sz w:val="24"/>
          <w:szCs w:val="24"/>
        </w:rPr>
        <w:t xml:space="preserve"> të mallrave pritet të rriten me 3.4% në 2020 gjithashtu duke u bazuar në çmimet e tregjeve ndërkombëtare e posaçërisht bazuar në rritjen e çmimit të nikelit. Në 2021 dhe 2022, çmimet e importit dhe eksportit të mallrave vlerësohet të rriten me një normë më të ngadaltë sesa në vitin 2020.</w:t>
      </w:r>
    </w:p>
    <w:p w14:paraId="741F00CE" w14:textId="77777777" w:rsidR="00085F16" w:rsidRPr="00B922C3" w:rsidRDefault="00085F16" w:rsidP="00802FB3">
      <w:pPr>
        <w:pStyle w:val="ERPL3"/>
        <w:numPr>
          <w:ilvl w:val="0"/>
          <w:numId w:val="91"/>
        </w:numPr>
        <w:ind w:hanging="720"/>
        <w:rPr>
          <w:rFonts w:ascii="Times New Roman" w:hAnsi="Times New Roman"/>
          <w:i w:val="0"/>
          <w:iCs/>
          <w:lang w:val="sq-AL"/>
        </w:rPr>
      </w:pPr>
      <w:bookmarkStart w:id="55" w:name="_Toc504051211"/>
      <w:bookmarkStart w:id="56" w:name="_Toc504051408"/>
      <w:bookmarkStart w:id="57" w:name="_Toc504338913"/>
      <w:bookmarkStart w:id="58" w:name="_Toc25873721"/>
      <w:r w:rsidRPr="00B922C3">
        <w:rPr>
          <w:rFonts w:ascii="Times New Roman" w:hAnsi="Times New Roman"/>
          <w:i w:val="0"/>
          <w:iCs/>
        </w:rPr>
        <w:t>Politika monetare dhe e kursit të këmbimit dhe inflacioni</w:t>
      </w:r>
      <w:bookmarkEnd w:id="55"/>
      <w:bookmarkEnd w:id="56"/>
      <w:bookmarkEnd w:id="57"/>
      <w:bookmarkEnd w:id="58"/>
    </w:p>
    <w:p w14:paraId="646EDD76" w14:textId="77777777" w:rsidR="00085F16" w:rsidRPr="00B922C3" w:rsidRDefault="00085F16" w:rsidP="00085F16">
      <w:pPr>
        <w:spacing w:after="120" w:line="276" w:lineRule="auto"/>
        <w:jc w:val="both"/>
        <w:rPr>
          <w:rFonts w:ascii="Times New Roman" w:hAnsi="Times New Roman" w:cs="Times New Roman"/>
          <w:sz w:val="24"/>
          <w:szCs w:val="24"/>
        </w:rPr>
      </w:pPr>
      <w:r w:rsidRPr="00B922C3">
        <w:rPr>
          <w:rFonts w:ascii="Times New Roman" w:hAnsi="Times New Roman" w:cs="Times New Roman"/>
          <w:sz w:val="24"/>
          <w:szCs w:val="24"/>
        </w:rPr>
        <w:t>Në vitin 1999, Kosova në mënyrë të njëanshme adoptoi Deutsche Mark dhe më vonë Euro si valutë të saj zyrtare. Si pasojë, vendi është i kufizuar për sa i përket disponueshmërisë së instrumenteve tradicionale të politikës monetare, që nënkupton që Kosovës i mungojnë mjetet tradicionale të kërkuara për të kontrolluar zhvillimet e inflacionit në ekonominë e saj. Në mungesë të instrumenteve të tilla, dhe për shkak të varësisë të lartë të ekonomisë së Kosovës ndaj importeve, zhvillimet e inflacionit janë kryesisht të ndikuara nga luhatjet në çmimet e mallrave ndërkombëtare.</w:t>
      </w:r>
    </w:p>
    <w:p w14:paraId="0C32F72D" w14:textId="77777777" w:rsidR="00085F16" w:rsidRDefault="00085F16" w:rsidP="00085F16">
      <w:pPr>
        <w:spacing w:after="120" w:line="276" w:lineRule="auto"/>
        <w:jc w:val="both"/>
      </w:pPr>
      <w:r w:rsidRPr="00B922C3">
        <w:rPr>
          <w:rFonts w:ascii="Times New Roman" w:hAnsi="Times New Roman" w:cs="Times New Roman"/>
          <w:sz w:val="24"/>
          <w:szCs w:val="24"/>
        </w:rPr>
        <w:t>Për më tepër, nivelet e qëndrueshme të çmimeve kanë kontribuar në rritjen e një kursi real efektiv të këmbimit (REER)</w:t>
      </w:r>
      <w:r w:rsidRPr="00B922C3">
        <w:rPr>
          <w:rStyle w:val="FootnoteReference"/>
          <w:rFonts w:ascii="Times New Roman" w:hAnsi="Times New Roman" w:cs="Times New Roman"/>
          <w:sz w:val="24"/>
          <w:szCs w:val="24"/>
        </w:rPr>
        <w:footnoteReference w:id="7"/>
      </w:r>
      <w:r w:rsidRPr="00B922C3">
        <w:rPr>
          <w:rFonts w:ascii="Times New Roman" w:hAnsi="Times New Roman" w:cs="Times New Roman"/>
          <w:sz w:val="24"/>
          <w:szCs w:val="24"/>
        </w:rPr>
        <w:t>. Deri në gusht të vitit 2019, REER është vlerësuar margjinalisht me një mesatare prej 2.7%, dhe NEER është vlerësuar me 1.4%</w:t>
      </w:r>
      <w:r w:rsidRPr="007D5D03">
        <w:t>.</w:t>
      </w:r>
    </w:p>
    <w:p w14:paraId="1A411DC4" w14:textId="77777777" w:rsidR="00085F16" w:rsidRDefault="00085F16" w:rsidP="00085F16">
      <w:pPr>
        <w:spacing w:after="120" w:line="276" w:lineRule="auto"/>
        <w:jc w:val="both"/>
      </w:pPr>
    </w:p>
    <w:p w14:paraId="4F1FA651" w14:textId="77777777" w:rsidR="00085F16" w:rsidRPr="00FC648F" w:rsidRDefault="00085F16" w:rsidP="00802FB3">
      <w:pPr>
        <w:pStyle w:val="ERPL3"/>
        <w:numPr>
          <w:ilvl w:val="0"/>
          <w:numId w:val="92"/>
        </w:numPr>
        <w:ind w:hanging="720"/>
        <w:rPr>
          <w:i w:val="0"/>
          <w:iCs/>
          <w:lang w:val="sq-AL"/>
        </w:rPr>
      </w:pPr>
      <w:bookmarkStart w:id="59" w:name="_Toc25873722"/>
      <w:bookmarkStart w:id="60" w:name="_Toc504051212"/>
      <w:bookmarkStart w:id="61" w:name="_Toc504051409"/>
      <w:bookmarkStart w:id="62" w:name="_Toc504338914"/>
      <w:r w:rsidRPr="00FC648F">
        <w:rPr>
          <w:i w:val="0"/>
          <w:iCs/>
          <w:lang w:val="sq-AL"/>
        </w:rPr>
        <w:t>Sektori i jashtëm dhe qëndrueshmëria e tij afatmesme</w:t>
      </w:r>
      <w:bookmarkEnd w:id="59"/>
      <w:r w:rsidRPr="00FC648F">
        <w:rPr>
          <w:i w:val="0"/>
          <w:iCs/>
          <w:lang w:val="sq-AL"/>
        </w:rPr>
        <w:t xml:space="preserve"> </w:t>
      </w:r>
      <w:bookmarkEnd w:id="60"/>
      <w:bookmarkEnd w:id="61"/>
      <w:bookmarkEnd w:id="62"/>
    </w:p>
    <w:p w14:paraId="0C3C6186" w14:textId="77777777" w:rsidR="00085F16" w:rsidRPr="00591E18" w:rsidRDefault="00085F16" w:rsidP="00802FB3">
      <w:pPr>
        <w:pStyle w:val="ERPL3"/>
        <w:numPr>
          <w:ilvl w:val="3"/>
          <w:numId w:val="85"/>
        </w:numPr>
        <w:rPr>
          <w:i w:val="0"/>
          <w:iCs/>
        </w:rPr>
      </w:pPr>
      <w:r w:rsidRPr="00FC648F">
        <w:rPr>
          <w:i w:val="0"/>
          <w:iCs/>
          <w:lang w:val="sq-AL"/>
        </w:rPr>
        <w:t xml:space="preserve"> </w:t>
      </w:r>
      <w:bookmarkStart w:id="63" w:name="_Toc25873723"/>
      <w:r w:rsidRPr="00591E18">
        <w:rPr>
          <w:i w:val="0"/>
          <w:iCs/>
        </w:rPr>
        <w:t>Llogaria Rrjedhëse</w:t>
      </w:r>
      <w:bookmarkEnd w:id="63"/>
    </w:p>
    <w:p w14:paraId="0375FAF8" w14:textId="77777777" w:rsidR="00085F16" w:rsidRPr="00B922C3" w:rsidRDefault="00085F16" w:rsidP="00085F16">
      <w:pPr>
        <w:spacing w:after="240" w:line="276" w:lineRule="auto"/>
        <w:jc w:val="both"/>
        <w:rPr>
          <w:rFonts w:ascii="Times New Roman" w:hAnsi="Times New Roman" w:cs="Times New Roman"/>
          <w:sz w:val="24"/>
          <w:szCs w:val="24"/>
        </w:rPr>
      </w:pPr>
      <w:r w:rsidRPr="00B922C3">
        <w:rPr>
          <w:rFonts w:ascii="Times New Roman" w:hAnsi="Times New Roman" w:cs="Times New Roman"/>
          <w:sz w:val="24"/>
          <w:szCs w:val="24"/>
        </w:rPr>
        <w:t>Lëvizjet në llogarinë rrjedhëse të bilancit të pagesave gjatë periudhës janar-gusht 2019 ndjekën ecurinë e përmirësuar të sektorit të shërbimeve, si dhe rritjen e influkseve në llogarisë e të ardhurave primare. Gjatë kësaj periudhe, llogaria rrjedhëse regjistroi një deficit të ulët prej 67 milion eurosh, që tregon një përmirësim prej rreth 61% (104 milion Euro) krahasuar me të njëjtën periudhë të vitit të kaluar.</w:t>
      </w:r>
    </w:p>
    <w:p w14:paraId="6029B2CA" w14:textId="77777777" w:rsidR="00085F16" w:rsidRPr="00C7356B" w:rsidRDefault="00085F16" w:rsidP="00085F16">
      <w:pPr>
        <w:pStyle w:val="Caption"/>
        <w:keepNext/>
        <w:spacing w:before="240" w:after="0"/>
        <w:rPr>
          <w:rFonts w:ascii="Times New Roman" w:hAnsi="Times New Roman"/>
          <w:b/>
          <w:i w:val="0"/>
          <w:color w:val="auto"/>
        </w:rPr>
      </w:pPr>
      <w:bookmarkStart w:id="64" w:name="_Toc25673443"/>
      <w:r w:rsidRPr="00C7356B">
        <w:rPr>
          <w:rFonts w:ascii="Times New Roman" w:hAnsi="Times New Roman"/>
          <w:b/>
          <w:i w:val="0"/>
          <w:color w:val="auto"/>
        </w:rPr>
        <w:t xml:space="preserve">Tabela </w:t>
      </w:r>
      <w:r w:rsidRPr="00C7356B">
        <w:rPr>
          <w:rFonts w:ascii="Times New Roman" w:hAnsi="Times New Roman"/>
          <w:b/>
          <w:i w:val="0"/>
          <w:color w:val="auto"/>
        </w:rPr>
        <w:fldChar w:fldCharType="begin"/>
      </w:r>
      <w:r w:rsidRPr="00C7356B">
        <w:rPr>
          <w:rFonts w:ascii="Times New Roman" w:hAnsi="Times New Roman"/>
          <w:b/>
          <w:i w:val="0"/>
          <w:color w:val="auto"/>
        </w:rPr>
        <w:instrText xml:space="preserve"> SEQ Tabela \* ARABIC </w:instrText>
      </w:r>
      <w:r w:rsidRPr="00C7356B">
        <w:rPr>
          <w:rFonts w:ascii="Times New Roman" w:hAnsi="Times New Roman"/>
          <w:b/>
          <w:i w:val="0"/>
          <w:color w:val="auto"/>
        </w:rPr>
        <w:fldChar w:fldCharType="separate"/>
      </w:r>
      <w:r>
        <w:rPr>
          <w:rFonts w:ascii="Times New Roman" w:hAnsi="Times New Roman"/>
          <w:b/>
          <w:i w:val="0"/>
          <w:noProof/>
          <w:color w:val="auto"/>
        </w:rPr>
        <w:t>5</w:t>
      </w:r>
      <w:r w:rsidRPr="00C7356B">
        <w:rPr>
          <w:rFonts w:ascii="Times New Roman" w:hAnsi="Times New Roman"/>
          <w:b/>
          <w:i w:val="0"/>
          <w:color w:val="auto"/>
        </w:rPr>
        <w:fldChar w:fldCharType="end"/>
      </w:r>
      <w:r w:rsidRPr="00C7356B">
        <w:rPr>
          <w:rFonts w:ascii="Times New Roman" w:hAnsi="Times New Roman"/>
          <w:b/>
          <w:i w:val="0"/>
          <w:color w:val="auto"/>
        </w:rPr>
        <w:t xml:space="preserve"> E</w:t>
      </w:r>
      <w:r>
        <w:rPr>
          <w:rFonts w:ascii="Times New Roman" w:hAnsi="Times New Roman"/>
          <w:b/>
          <w:i w:val="0"/>
          <w:color w:val="auto"/>
        </w:rPr>
        <w:t>ksporti dhe Importi i Mallrave dhe Shërbimeve</w:t>
      </w:r>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1" w:themeFillTint="33"/>
        <w:tblLook w:val="04A0" w:firstRow="1" w:lastRow="0" w:firstColumn="1" w:lastColumn="0" w:noHBand="0" w:noVBand="1"/>
      </w:tblPr>
      <w:tblGrid>
        <w:gridCol w:w="4288"/>
        <w:gridCol w:w="1266"/>
        <w:gridCol w:w="1266"/>
        <w:gridCol w:w="1266"/>
        <w:gridCol w:w="1264"/>
      </w:tblGrid>
      <w:tr w:rsidR="00085F16" w:rsidRPr="00B922C3" w14:paraId="18287E30" w14:textId="77777777" w:rsidTr="00085F16">
        <w:trPr>
          <w:trHeight w:val="330"/>
        </w:trPr>
        <w:tc>
          <w:tcPr>
            <w:tcW w:w="2293" w:type="pct"/>
            <w:shd w:val="clear" w:color="auto" w:fill="DEEAF6" w:themeFill="accent1" w:themeFillTint="33"/>
            <w:noWrap/>
            <w:vAlign w:val="bottom"/>
            <w:hideMark/>
          </w:tcPr>
          <w:p w14:paraId="3ABCE027" w14:textId="77777777" w:rsidR="00085F16" w:rsidRPr="00B922C3" w:rsidRDefault="00085F16" w:rsidP="00B922C3">
            <w:pPr>
              <w:spacing w:after="0"/>
              <w:rPr>
                <w:rFonts w:ascii="Times New Roman" w:hAnsi="Times New Roman" w:cs="Times New Roman"/>
                <w:sz w:val="20"/>
              </w:rPr>
            </w:pPr>
            <w:r w:rsidRPr="00B922C3">
              <w:rPr>
                <w:rFonts w:ascii="Times New Roman" w:hAnsi="Times New Roman" w:cs="Times New Roman"/>
                <w:sz w:val="20"/>
              </w:rPr>
              <w:t>Ndryshim në %, nëse nuk ceket ndryshe</w:t>
            </w:r>
          </w:p>
        </w:tc>
        <w:tc>
          <w:tcPr>
            <w:tcW w:w="677" w:type="pct"/>
            <w:shd w:val="clear" w:color="auto" w:fill="DEEAF6" w:themeFill="accent1" w:themeFillTint="33"/>
            <w:noWrap/>
            <w:vAlign w:val="bottom"/>
            <w:hideMark/>
          </w:tcPr>
          <w:p w14:paraId="7AEFF9CD" w14:textId="77777777" w:rsidR="00085F16" w:rsidRPr="00B922C3" w:rsidRDefault="00085F16" w:rsidP="00B922C3">
            <w:pPr>
              <w:spacing w:after="0"/>
              <w:jc w:val="right"/>
              <w:rPr>
                <w:rFonts w:ascii="Times New Roman" w:hAnsi="Times New Roman" w:cs="Times New Roman"/>
                <w:b/>
                <w:bCs/>
                <w:sz w:val="20"/>
              </w:rPr>
            </w:pPr>
            <w:r w:rsidRPr="00B922C3">
              <w:rPr>
                <w:rFonts w:ascii="Times New Roman" w:hAnsi="Times New Roman" w:cs="Times New Roman"/>
                <w:b/>
                <w:bCs/>
                <w:sz w:val="20"/>
              </w:rPr>
              <w:t>2019</w:t>
            </w:r>
          </w:p>
        </w:tc>
        <w:tc>
          <w:tcPr>
            <w:tcW w:w="677" w:type="pct"/>
            <w:shd w:val="clear" w:color="auto" w:fill="DEEAF6" w:themeFill="accent1" w:themeFillTint="33"/>
            <w:noWrap/>
            <w:vAlign w:val="bottom"/>
            <w:hideMark/>
          </w:tcPr>
          <w:p w14:paraId="634F322B" w14:textId="77777777" w:rsidR="00085F16" w:rsidRPr="00B922C3" w:rsidRDefault="00085F16" w:rsidP="00B922C3">
            <w:pPr>
              <w:spacing w:after="0"/>
              <w:jc w:val="right"/>
              <w:rPr>
                <w:rFonts w:ascii="Times New Roman" w:hAnsi="Times New Roman" w:cs="Times New Roman"/>
                <w:b/>
                <w:bCs/>
                <w:sz w:val="20"/>
              </w:rPr>
            </w:pPr>
            <w:r w:rsidRPr="00B922C3">
              <w:rPr>
                <w:rFonts w:ascii="Times New Roman" w:hAnsi="Times New Roman" w:cs="Times New Roman"/>
                <w:b/>
                <w:bCs/>
                <w:sz w:val="20"/>
              </w:rPr>
              <w:t>2020</w:t>
            </w:r>
          </w:p>
        </w:tc>
        <w:tc>
          <w:tcPr>
            <w:tcW w:w="677" w:type="pct"/>
            <w:shd w:val="clear" w:color="auto" w:fill="DEEAF6" w:themeFill="accent1" w:themeFillTint="33"/>
            <w:noWrap/>
            <w:vAlign w:val="bottom"/>
            <w:hideMark/>
          </w:tcPr>
          <w:p w14:paraId="70448FD5" w14:textId="77777777" w:rsidR="00085F16" w:rsidRPr="00B922C3" w:rsidRDefault="00085F16" w:rsidP="00B922C3">
            <w:pPr>
              <w:spacing w:after="0"/>
              <w:jc w:val="right"/>
              <w:rPr>
                <w:rFonts w:ascii="Times New Roman" w:hAnsi="Times New Roman" w:cs="Times New Roman"/>
                <w:b/>
                <w:bCs/>
                <w:sz w:val="20"/>
              </w:rPr>
            </w:pPr>
            <w:r w:rsidRPr="00B922C3">
              <w:rPr>
                <w:rFonts w:ascii="Times New Roman" w:hAnsi="Times New Roman" w:cs="Times New Roman"/>
                <w:b/>
                <w:bCs/>
                <w:sz w:val="20"/>
              </w:rPr>
              <w:t>2021</w:t>
            </w:r>
          </w:p>
        </w:tc>
        <w:tc>
          <w:tcPr>
            <w:tcW w:w="676" w:type="pct"/>
            <w:shd w:val="clear" w:color="auto" w:fill="DEEAF6" w:themeFill="accent1" w:themeFillTint="33"/>
            <w:noWrap/>
            <w:vAlign w:val="bottom"/>
            <w:hideMark/>
          </w:tcPr>
          <w:p w14:paraId="114ED405" w14:textId="77777777" w:rsidR="00085F16" w:rsidRPr="00B922C3" w:rsidRDefault="00085F16" w:rsidP="00B922C3">
            <w:pPr>
              <w:spacing w:after="0"/>
              <w:jc w:val="right"/>
              <w:rPr>
                <w:rFonts w:ascii="Times New Roman" w:hAnsi="Times New Roman" w:cs="Times New Roman"/>
                <w:b/>
                <w:bCs/>
                <w:sz w:val="20"/>
              </w:rPr>
            </w:pPr>
            <w:r w:rsidRPr="00B922C3">
              <w:rPr>
                <w:rFonts w:ascii="Times New Roman" w:hAnsi="Times New Roman" w:cs="Times New Roman"/>
                <w:b/>
                <w:bCs/>
                <w:sz w:val="20"/>
              </w:rPr>
              <w:t>2022</w:t>
            </w:r>
          </w:p>
        </w:tc>
      </w:tr>
      <w:tr w:rsidR="00085F16" w:rsidRPr="00B922C3" w14:paraId="62228CA6" w14:textId="77777777" w:rsidTr="00085F16">
        <w:trPr>
          <w:trHeight w:val="152"/>
        </w:trPr>
        <w:tc>
          <w:tcPr>
            <w:tcW w:w="2293" w:type="pct"/>
            <w:shd w:val="clear" w:color="auto" w:fill="DEEAF6" w:themeFill="accent1" w:themeFillTint="33"/>
            <w:noWrap/>
            <w:vAlign w:val="bottom"/>
            <w:hideMark/>
          </w:tcPr>
          <w:p w14:paraId="647DBE05" w14:textId="77777777" w:rsidR="00085F16" w:rsidRPr="00B922C3" w:rsidRDefault="00085F16" w:rsidP="00B922C3">
            <w:pPr>
              <w:spacing w:after="0"/>
              <w:rPr>
                <w:rFonts w:ascii="Times New Roman" w:hAnsi="Times New Roman" w:cs="Times New Roman"/>
                <w:b/>
                <w:bCs/>
                <w:sz w:val="20"/>
              </w:rPr>
            </w:pPr>
            <w:r w:rsidRPr="00B922C3">
              <w:rPr>
                <w:rFonts w:ascii="Times New Roman" w:hAnsi="Times New Roman" w:cs="Times New Roman"/>
                <w:b/>
                <w:bCs/>
                <w:sz w:val="20"/>
              </w:rPr>
              <w:t>Exportet (nominale në milionë)</w:t>
            </w:r>
          </w:p>
        </w:tc>
        <w:tc>
          <w:tcPr>
            <w:tcW w:w="677" w:type="pct"/>
            <w:shd w:val="clear" w:color="auto" w:fill="DEEAF6" w:themeFill="accent1" w:themeFillTint="33"/>
            <w:noWrap/>
            <w:vAlign w:val="bottom"/>
            <w:hideMark/>
          </w:tcPr>
          <w:p w14:paraId="46EFA3B4" w14:textId="77777777" w:rsidR="00085F16" w:rsidRPr="00B922C3" w:rsidRDefault="00085F16" w:rsidP="00B922C3">
            <w:pPr>
              <w:spacing w:after="0"/>
              <w:jc w:val="right"/>
              <w:rPr>
                <w:rFonts w:ascii="Times New Roman" w:hAnsi="Times New Roman" w:cs="Times New Roman"/>
                <w:b/>
                <w:bCs/>
                <w:sz w:val="20"/>
              </w:rPr>
            </w:pPr>
            <w:r w:rsidRPr="00B922C3">
              <w:rPr>
                <w:rFonts w:ascii="Times New Roman" w:hAnsi="Times New Roman" w:cs="Times New Roman"/>
                <w:b/>
                <w:bCs/>
                <w:sz w:val="20"/>
              </w:rPr>
              <w:t>1,964</w:t>
            </w:r>
          </w:p>
        </w:tc>
        <w:tc>
          <w:tcPr>
            <w:tcW w:w="677" w:type="pct"/>
            <w:shd w:val="clear" w:color="auto" w:fill="DEEAF6" w:themeFill="accent1" w:themeFillTint="33"/>
            <w:noWrap/>
            <w:vAlign w:val="bottom"/>
            <w:hideMark/>
          </w:tcPr>
          <w:p w14:paraId="7267FAB7" w14:textId="77777777" w:rsidR="00085F16" w:rsidRPr="00B922C3" w:rsidRDefault="00085F16" w:rsidP="00B922C3">
            <w:pPr>
              <w:spacing w:after="0"/>
              <w:jc w:val="right"/>
              <w:rPr>
                <w:rFonts w:ascii="Times New Roman" w:hAnsi="Times New Roman" w:cs="Times New Roman"/>
                <w:b/>
                <w:bCs/>
                <w:sz w:val="20"/>
              </w:rPr>
            </w:pPr>
            <w:r w:rsidRPr="00B922C3">
              <w:rPr>
                <w:rFonts w:ascii="Times New Roman" w:hAnsi="Times New Roman" w:cs="Times New Roman"/>
                <w:b/>
                <w:bCs/>
                <w:sz w:val="20"/>
              </w:rPr>
              <w:t>2,143</w:t>
            </w:r>
          </w:p>
        </w:tc>
        <w:tc>
          <w:tcPr>
            <w:tcW w:w="677" w:type="pct"/>
            <w:shd w:val="clear" w:color="auto" w:fill="DEEAF6" w:themeFill="accent1" w:themeFillTint="33"/>
            <w:noWrap/>
            <w:vAlign w:val="bottom"/>
            <w:hideMark/>
          </w:tcPr>
          <w:p w14:paraId="1A0A45E1" w14:textId="77777777" w:rsidR="00085F16" w:rsidRPr="00B922C3" w:rsidRDefault="00085F16" w:rsidP="00B922C3">
            <w:pPr>
              <w:spacing w:after="0"/>
              <w:jc w:val="right"/>
              <w:rPr>
                <w:rFonts w:ascii="Times New Roman" w:hAnsi="Times New Roman" w:cs="Times New Roman"/>
                <w:b/>
                <w:bCs/>
                <w:sz w:val="20"/>
              </w:rPr>
            </w:pPr>
            <w:r w:rsidRPr="00B922C3">
              <w:rPr>
                <w:rFonts w:ascii="Times New Roman" w:hAnsi="Times New Roman" w:cs="Times New Roman"/>
                <w:b/>
                <w:bCs/>
                <w:sz w:val="20"/>
              </w:rPr>
              <w:t>2,322</w:t>
            </w:r>
          </w:p>
        </w:tc>
        <w:tc>
          <w:tcPr>
            <w:tcW w:w="676" w:type="pct"/>
            <w:shd w:val="clear" w:color="auto" w:fill="DEEAF6" w:themeFill="accent1" w:themeFillTint="33"/>
            <w:noWrap/>
            <w:vAlign w:val="bottom"/>
            <w:hideMark/>
          </w:tcPr>
          <w:p w14:paraId="172784E9" w14:textId="77777777" w:rsidR="00085F16" w:rsidRPr="00B922C3" w:rsidRDefault="00085F16" w:rsidP="00B922C3">
            <w:pPr>
              <w:spacing w:after="0"/>
              <w:jc w:val="right"/>
              <w:rPr>
                <w:rFonts w:ascii="Times New Roman" w:hAnsi="Times New Roman" w:cs="Times New Roman"/>
                <w:b/>
                <w:bCs/>
                <w:sz w:val="20"/>
              </w:rPr>
            </w:pPr>
            <w:r w:rsidRPr="00B922C3">
              <w:rPr>
                <w:rFonts w:ascii="Times New Roman" w:hAnsi="Times New Roman" w:cs="Times New Roman"/>
                <w:b/>
                <w:bCs/>
                <w:sz w:val="20"/>
              </w:rPr>
              <w:t>2,516</w:t>
            </w:r>
          </w:p>
        </w:tc>
      </w:tr>
      <w:tr w:rsidR="00085F16" w:rsidRPr="00B922C3" w14:paraId="5D1CB212" w14:textId="77777777" w:rsidTr="00085F16">
        <w:trPr>
          <w:trHeight w:val="188"/>
        </w:trPr>
        <w:tc>
          <w:tcPr>
            <w:tcW w:w="2293" w:type="pct"/>
            <w:shd w:val="clear" w:color="auto" w:fill="DEEAF6" w:themeFill="accent1" w:themeFillTint="33"/>
            <w:noWrap/>
            <w:vAlign w:val="bottom"/>
            <w:hideMark/>
          </w:tcPr>
          <w:p w14:paraId="627AAA5F" w14:textId="77777777" w:rsidR="00085F16" w:rsidRPr="00B922C3" w:rsidRDefault="00085F16" w:rsidP="00B922C3">
            <w:pPr>
              <w:spacing w:after="0"/>
              <w:rPr>
                <w:rFonts w:ascii="Times New Roman" w:hAnsi="Times New Roman" w:cs="Times New Roman"/>
                <w:b/>
                <w:bCs/>
                <w:sz w:val="20"/>
              </w:rPr>
            </w:pPr>
            <w:r w:rsidRPr="00B922C3">
              <w:rPr>
                <w:rFonts w:ascii="Times New Roman" w:hAnsi="Times New Roman" w:cs="Times New Roman"/>
                <w:b/>
                <w:bCs/>
                <w:sz w:val="20"/>
              </w:rPr>
              <w:t>Exportet</w:t>
            </w:r>
          </w:p>
        </w:tc>
        <w:tc>
          <w:tcPr>
            <w:tcW w:w="677" w:type="pct"/>
            <w:shd w:val="clear" w:color="auto" w:fill="DEEAF6" w:themeFill="accent1" w:themeFillTint="33"/>
            <w:noWrap/>
            <w:vAlign w:val="bottom"/>
            <w:hideMark/>
          </w:tcPr>
          <w:p w14:paraId="16E6F833" w14:textId="77777777" w:rsidR="00085F16" w:rsidRPr="00B922C3" w:rsidRDefault="00085F16" w:rsidP="00B922C3">
            <w:pPr>
              <w:spacing w:after="0"/>
              <w:jc w:val="right"/>
              <w:rPr>
                <w:rFonts w:ascii="Times New Roman" w:hAnsi="Times New Roman" w:cs="Times New Roman"/>
                <w:b/>
                <w:bCs/>
                <w:sz w:val="20"/>
              </w:rPr>
            </w:pPr>
            <w:r w:rsidRPr="00B922C3">
              <w:rPr>
                <w:rFonts w:ascii="Times New Roman" w:hAnsi="Times New Roman" w:cs="Times New Roman"/>
                <w:b/>
                <w:bCs/>
                <w:sz w:val="20"/>
              </w:rPr>
              <w:t>10.5%</w:t>
            </w:r>
          </w:p>
        </w:tc>
        <w:tc>
          <w:tcPr>
            <w:tcW w:w="677" w:type="pct"/>
            <w:shd w:val="clear" w:color="auto" w:fill="DEEAF6" w:themeFill="accent1" w:themeFillTint="33"/>
            <w:noWrap/>
            <w:vAlign w:val="bottom"/>
            <w:hideMark/>
          </w:tcPr>
          <w:p w14:paraId="35CC6F68" w14:textId="77777777" w:rsidR="00085F16" w:rsidRPr="00B922C3" w:rsidRDefault="00085F16" w:rsidP="00B922C3">
            <w:pPr>
              <w:spacing w:after="0"/>
              <w:jc w:val="right"/>
              <w:rPr>
                <w:rFonts w:ascii="Times New Roman" w:hAnsi="Times New Roman" w:cs="Times New Roman"/>
                <w:b/>
                <w:bCs/>
                <w:sz w:val="20"/>
              </w:rPr>
            </w:pPr>
            <w:r w:rsidRPr="00B922C3">
              <w:rPr>
                <w:rFonts w:ascii="Times New Roman" w:hAnsi="Times New Roman" w:cs="Times New Roman"/>
                <w:b/>
                <w:bCs/>
                <w:sz w:val="20"/>
              </w:rPr>
              <w:t>9.1%</w:t>
            </w:r>
          </w:p>
        </w:tc>
        <w:tc>
          <w:tcPr>
            <w:tcW w:w="677" w:type="pct"/>
            <w:shd w:val="clear" w:color="auto" w:fill="DEEAF6" w:themeFill="accent1" w:themeFillTint="33"/>
            <w:noWrap/>
            <w:vAlign w:val="bottom"/>
            <w:hideMark/>
          </w:tcPr>
          <w:p w14:paraId="7EDAA911" w14:textId="77777777" w:rsidR="00085F16" w:rsidRPr="00B922C3" w:rsidRDefault="00085F16" w:rsidP="00B922C3">
            <w:pPr>
              <w:spacing w:after="0"/>
              <w:jc w:val="right"/>
              <w:rPr>
                <w:rFonts w:ascii="Times New Roman" w:hAnsi="Times New Roman" w:cs="Times New Roman"/>
                <w:b/>
                <w:bCs/>
                <w:sz w:val="20"/>
              </w:rPr>
            </w:pPr>
            <w:r w:rsidRPr="00B922C3">
              <w:rPr>
                <w:rFonts w:ascii="Times New Roman" w:hAnsi="Times New Roman" w:cs="Times New Roman"/>
                <w:b/>
                <w:bCs/>
                <w:sz w:val="20"/>
              </w:rPr>
              <w:t>8.4%</w:t>
            </w:r>
          </w:p>
        </w:tc>
        <w:tc>
          <w:tcPr>
            <w:tcW w:w="676" w:type="pct"/>
            <w:shd w:val="clear" w:color="auto" w:fill="DEEAF6" w:themeFill="accent1" w:themeFillTint="33"/>
            <w:noWrap/>
            <w:vAlign w:val="bottom"/>
            <w:hideMark/>
          </w:tcPr>
          <w:p w14:paraId="2594EB89" w14:textId="77777777" w:rsidR="00085F16" w:rsidRPr="00B922C3" w:rsidRDefault="00085F16" w:rsidP="00B922C3">
            <w:pPr>
              <w:spacing w:after="0"/>
              <w:jc w:val="right"/>
              <w:rPr>
                <w:rFonts w:ascii="Times New Roman" w:hAnsi="Times New Roman" w:cs="Times New Roman"/>
                <w:b/>
                <w:bCs/>
                <w:sz w:val="20"/>
              </w:rPr>
            </w:pPr>
            <w:r w:rsidRPr="00B922C3">
              <w:rPr>
                <w:rFonts w:ascii="Times New Roman" w:hAnsi="Times New Roman" w:cs="Times New Roman"/>
                <w:b/>
                <w:bCs/>
                <w:sz w:val="20"/>
              </w:rPr>
              <w:t>8.4%</w:t>
            </w:r>
          </w:p>
        </w:tc>
      </w:tr>
      <w:tr w:rsidR="00085F16" w:rsidRPr="00B922C3" w14:paraId="3B72F984" w14:textId="77777777" w:rsidTr="00085F16">
        <w:trPr>
          <w:trHeight w:val="143"/>
        </w:trPr>
        <w:tc>
          <w:tcPr>
            <w:tcW w:w="2293" w:type="pct"/>
            <w:shd w:val="clear" w:color="auto" w:fill="DEEAF6" w:themeFill="accent1" w:themeFillTint="33"/>
            <w:noWrap/>
            <w:vAlign w:val="bottom"/>
            <w:hideMark/>
          </w:tcPr>
          <w:p w14:paraId="30E84B6F" w14:textId="77777777" w:rsidR="00085F16" w:rsidRPr="00B922C3" w:rsidRDefault="00085F16" w:rsidP="00B922C3">
            <w:pPr>
              <w:spacing w:after="0"/>
              <w:rPr>
                <w:rFonts w:ascii="Times New Roman" w:hAnsi="Times New Roman" w:cs="Times New Roman"/>
                <w:sz w:val="20"/>
              </w:rPr>
            </w:pPr>
            <w:r w:rsidRPr="00B922C3">
              <w:rPr>
                <w:rFonts w:ascii="Times New Roman" w:hAnsi="Times New Roman" w:cs="Times New Roman"/>
                <w:sz w:val="20"/>
              </w:rPr>
              <w:t>Mallra</w:t>
            </w:r>
          </w:p>
        </w:tc>
        <w:tc>
          <w:tcPr>
            <w:tcW w:w="677" w:type="pct"/>
            <w:shd w:val="clear" w:color="auto" w:fill="DEEAF6" w:themeFill="accent1" w:themeFillTint="33"/>
            <w:noWrap/>
            <w:vAlign w:val="bottom"/>
            <w:hideMark/>
          </w:tcPr>
          <w:p w14:paraId="5AA2B491" w14:textId="77777777" w:rsidR="00085F16" w:rsidRPr="00B922C3" w:rsidRDefault="00085F16" w:rsidP="00B922C3">
            <w:pPr>
              <w:spacing w:after="0"/>
              <w:jc w:val="right"/>
              <w:rPr>
                <w:rFonts w:ascii="Times New Roman" w:hAnsi="Times New Roman" w:cs="Times New Roman"/>
                <w:sz w:val="20"/>
              </w:rPr>
            </w:pPr>
            <w:r w:rsidRPr="00B922C3">
              <w:rPr>
                <w:rFonts w:ascii="Times New Roman" w:hAnsi="Times New Roman" w:cs="Times New Roman"/>
                <w:sz w:val="20"/>
              </w:rPr>
              <w:t>6.0%</w:t>
            </w:r>
          </w:p>
        </w:tc>
        <w:tc>
          <w:tcPr>
            <w:tcW w:w="677" w:type="pct"/>
            <w:shd w:val="clear" w:color="auto" w:fill="DEEAF6" w:themeFill="accent1" w:themeFillTint="33"/>
            <w:noWrap/>
            <w:vAlign w:val="bottom"/>
            <w:hideMark/>
          </w:tcPr>
          <w:p w14:paraId="2EF61750" w14:textId="77777777" w:rsidR="00085F16" w:rsidRPr="00B922C3" w:rsidRDefault="00085F16" w:rsidP="00B922C3">
            <w:pPr>
              <w:spacing w:after="0"/>
              <w:jc w:val="right"/>
              <w:rPr>
                <w:rFonts w:ascii="Times New Roman" w:hAnsi="Times New Roman" w:cs="Times New Roman"/>
                <w:sz w:val="20"/>
              </w:rPr>
            </w:pPr>
            <w:r w:rsidRPr="00B922C3">
              <w:rPr>
                <w:rFonts w:ascii="Times New Roman" w:hAnsi="Times New Roman" w:cs="Times New Roman"/>
                <w:sz w:val="20"/>
              </w:rPr>
              <w:t>6.7%</w:t>
            </w:r>
          </w:p>
        </w:tc>
        <w:tc>
          <w:tcPr>
            <w:tcW w:w="677" w:type="pct"/>
            <w:shd w:val="clear" w:color="auto" w:fill="DEEAF6" w:themeFill="accent1" w:themeFillTint="33"/>
            <w:noWrap/>
            <w:vAlign w:val="bottom"/>
            <w:hideMark/>
          </w:tcPr>
          <w:p w14:paraId="31E91C79" w14:textId="77777777" w:rsidR="00085F16" w:rsidRPr="00B922C3" w:rsidRDefault="00085F16" w:rsidP="00B922C3">
            <w:pPr>
              <w:spacing w:after="0"/>
              <w:jc w:val="right"/>
              <w:rPr>
                <w:rFonts w:ascii="Times New Roman" w:hAnsi="Times New Roman" w:cs="Times New Roman"/>
                <w:sz w:val="20"/>
              </w:rPr>
            </w:pPr>
            <w:r w:rsidRPr="00B922C3">
              <w:rPr>
                <w:rFonts w:ascii="Times New Roman" w:hAnsi="Times New Roman" w:cs="Times New Roman"/>
                <w:sz w:val="20"/>
              </w:rPr>
              <w:t>3.0%</w:t>
            </w:r>
          </w:p>
        </w:tc>
        <w:tc>
          <w:tcPr>
            <w:tcW w:w="676" w:type="pct"/>
            <w:shd w:val="clear" w:color="auto" w:fill="DEEAF6" w:themeFill="accent1" w:themeFillTint="33"/>
            <w:noWrap/>
            <w:vAlign w:val="bottom"/>
            <w:hideMark/>
          </w:tcPr>
          <w:p w14:paraId="56F62193" w14:textId="77777777" w:rsidR="00085F16" w:rsidRPr="00B922C3" w:rsidRDefault="00085F16" w:rsidP="00B922C3">
            <w:pPr>
              <w:spacing w:after="0"/>
              <w:jc w:val="right"/>
              <w:rPr>
                <w:rFonts w:ascii="Times New Roman" w:hAnsi="Times New Roman" w:cs="Times New Roman"/>
                <w:sz w:val="20"/>
              </w:rPr>
            </w:pPr>
            <w:r w:rsidRPr="00B922C3">
              <w:rPr>
                <w:rFonts w:ascii="Times New Roman" w:hAnsi="Times New Roman" w:cs="Times New Roman"/>
                <w:sz w:val="20"/>
              </w:rPr>
              <w:t>2.5%</w:t>
            </w:r>
          </w:p>
        </w:tc>
      </w:tr>
      <w:tr w:rsidR="00085F16" w:rsidRPr="00B922C3" w14:paraId="2E546B85" w14:textId="77777777" w:rsidTr="00085F16">
        <w:trPr>
          <w:trHeight w:val="170"/>
        </w:trPr>
        <w:tc>
          <w:tcPr>
            <w:tcW w:w="2293" w:type="pct"/>
            <w:shd w:val="clear" w:color="auto" w:fill="DEEAF6" w:themeFill="accent1" w:themeFillTint="33"/>
            <w:noWrap/>
            <w:vAlign w:val="bottom"/>
            <w:hideMark/>
          </w:tcPr>
          <w:p w14:paraId="44DB131F" w14:textId="77777777" w:rsidR="00085F16" w:rsidRPr="00B922C3" w:rsidRDefault="00085F16" w:rsidP="00B922C3">
            <w:pPr>
              <w:spacing w:after="0"/>
              <w:rPr>
                <w:rFonts w:ascii="Times New Roman" w:hAnsi="Times New Roman" w:cs="Times New Roman"/>
                <w:sz w:val="20"/>
              </w:rPr>
            </w:pPr>
            <w:r w:rsidRPr="00B922C3">
              <w:rPr>
                <w:rFonts w:ascii="Times New Roman" w:hAnsi="Times New Roman" w:cs="Times New Roman"/>
                <w:sz w:val="20"/>
              </w:rPr>
              <w:t>Shërbime</w:t>
            </w:r>
          </w:p>
        </w:tc>
        <w:tc>
          <w:tcPr>
            <w:tcW w:w="677" w:type="pct"/>
            <w:shd w:val="clear" w:color="auto" w:fill="DEEAF6" w:themeFill="accent1" w:themeFillTint="33"/>
            <w:noWrap/>
            <w:vAlign w:val="bottom"/>
            <w:hideMark/>
          </w:tcPr>
          <w:p w14:paraId="237961C2" w14:textId="77777777" w:rsidR="00085F16" w:rsidRPr="00B922C3" w:rsidRDefault="00085F16" w:rsidP="00B922C3">
            <w:pPr>
              <w:spacing w:after="0"/>
              <w:jc w:val="right"/>
              <w:rPr>
                <w:rFonts w:ascii="Times New Roman" w:hAnsi="Times New Roman" w:cs="Times New Roman"/>
                <w:sz w:val="20"/>
              </w:rPr>
            </w:pPr>
            <w:r w:rsidRPr="00B922C3">
              <w:rPr>
                <w:rFonts w:ascii="Times New Roman" w:hAnsi="Times New Roman" w:cs="Times New Roman"/>
                <w:sz w:val="20"/>
              </w:rPr>
              <w:t>11.7%</w:t>
            </w:r>
          </w:p>
        </w:tc>
        <w:tc>
          <w:tcPr>
            <w:tcW w:w="677" w:type="pct"/>
            <w:shd w:val="clear" w:color="auto" w:fill="DEEAF6" w:themeFill="accent1" w:themeFillTint="33"/>
            <w:noWrap/>
            <w:vAlign w:val="bottom"/>
            <w:hideMark/>
          </w:tcPr>
          <w:p w14:paraId="02A80C9F" w14:textId="77777777" w:rsidR="00085F16" w:rsidRPr="00B922C3" w:rsidRDefault="00085F16" w:rsidP="00B922C3">
            <w:pPr>
              <w:spacing w:after="0"/>
              <w:jc w:val="right"/>
              <w:rPr>
                <w:rFonts w:ascii="Times New Roman" w:hAnsi="Times New Roman" w:cs="Times New Roman"/>
                <w:sz w:val="20"/>
              </w:rPr>
            </w:pPr>
            <w:r w:rsidRPr="00B922C3">
              <w:rPr>
                <w:rFonts w:ascii="Times New Roman" w:hAnsi="Times New Roman" w:cs="Times New Roman"/>
                <w:sz w:val="20"/>
              </w:rPr>
              <w:t>9.7%</w:t>
            </w:r>
          </w:p>
        </w:tc>
        <w:tc>
          <w:tcPr>
            <w:tcW w:w="677" w:type="pct"/>
            <w:shd w:val="clear" w:color="auto" w:fill="DEEAF6" w:themeFill="accent1" w:themeFillTint="33"/>
            <w:noWrap/>
            <w:vAlign w:val="bottom"/>
            <w:hideMark/>
          </w:tcPr>
          <w:p w14:paraId="03F8EBA2" w14:textId="77777777" w:rsidR="00085F16" w:rsidRPr="00B922C3" w:rsidRDefault="00085F16" w:rsidP="00B922C3">
            <w:pPr>
              <w:spacing w:after="0"/>
              <w:jc w:val="right"/>
              <w:rPr>
                <w:rFonts w:ascii="Times New Roman" w:hAnsi="Times New Roman" w:cs="Times New Roman"/>
                <w:sz w:val="20"/>
              </w:rPr>
            </w:pPr>
            <w:r w:rsidRPr="00B922C3">
              <w:rPr>
                <w:rFonts w:ascii="Times New Roman" w:hAnsi="Times New Roman" w:cs="Times New Roman"/>
                <w:sz w:val="20"/>
              </w:rPr>
              <w:t>9.7%</w:t>
            </w:r>
          </w:p>
        </w:tc>
        <w:tc>
          <w:tcPr>
            <w:tcW w:w="676" w:type="pct"/>
            <w:shd w:val="clear" w:color="auto" w:fill="DEEAF6" w:themeFill="accent1" w:themeFillTint="33"/>
            <w:noWrap/>
            <w:vAlign w:val="bottom"/>
            <w:hideMark/>
          </w:tcPr>
          <w:p w14:paraId="7F745E59" w14:textId="77777777" w:rsidR="00085F16" w:rsidRPr="00B922C3" w:rsidRDefault="00085F16" w:rsidP="00B922C3">
            <w:pPr>
              <w:spacing w:after="0"/>
              <w:jc w:val="right"/>
              <w:rPr>
                <w:rFonts w:ascii="Times New Roman" w:hAnsi="Times New Roman" w:cs="Times New Roman"/>
                <w:sz w:val="20"/>
              </w:rPr>
            </w:pPr>
            <w:r w:rsidRPr="00B922C3">
              <w:rPr>
                <w:rFonts w:ascii="Times New Roman" w:hAnsi="Times New Roman" w:cs="Times New Roman"/>
                <w:sz w:val="20"/>
              </w:rPr>
              <w:t>9.7%</w:t>
            </w:r>
          </w:p>
        </w:tc>
      </w:tr>
      <w:tr w:rsidR="00085F16" w:rsidRPr="00B922C3" w14:paraId="594CB357" w14:textId="77777777" w:rsidTr="00085F16">
        <w:trPr>
          <w:trHeight w:val="188"/>
        </w:trPr>
        <w:tc>
          <w:tcPr>
            <w:tcW w:w="2293" w:type="pct"/>
            <w:shd w:val="clear" w:color="auto" w:fill="DEEAF6" w:themeFill="accent1" w:themeFillTint="33"/>
            <w:noWrap/>
            <w:vAlign w:val="bottom"/>
            <w:hideMark/>
          </w:tcPr>
          <w:p w14:paraId="77AD86EF" w14:textId="77777777" w:rsidR="00085F16" w:rsidRPr="00B922C3" w:rsidRDefault="00085F16" w:rsidP="00B922C3">
            <w:pPr>
              <w:spacing w:after="0"/>
              <w:rPr>
                <w:rFonts w:ascii="Times New Roman" w:hAnsi="Times New Roman" w:cs="Times New Roman"/>
                <w:b/>
                <w:bCs/>
                <w:sz w:val="20"/>
              </w:rPr>
            </w:pPr>
            <w:r w:rsidRPr="00B922C3">
              <w:rPr>
                <w:rFonts w:ascii="Times New Roman" w:hAnsi="Times New Roman" w:cs="Times New Roman"/>
                <w:b/>
                <w:bCs/>
                <w:sz w:val="20"/>
              </w:rPr>
              <w:t>Importet (nominale në milionë)</w:t>
            </w:r>
          </w:p>
        </w:tc>
        <w:tc>
          <w:tcPr>
            <w:tcW w:w="677" w:type="pct"/>
            <w:shd w:val="clear" w:color="auto" w:fill="DEEAF6" w:themeFill="accent1" w:themeFillTint="33"/>
            <w:noWrap/>
            <w:vAlign w:val="bottom"/>
            <w:hideMark/>
          </w:tcPr>
          <w:p w14:paraId="571E72D0" w14:textId="77777777" w:rsidR="00085F16" w:rsidRPr="00B922C3" w:rsidRDefault="00085F16" w:rsidP="00B922C3">
            <w:pPr>
              <w:spacing w:after="0"/>
              <w:jc w:val="right"/>
              <w:rPr>
                <w:rFonts w:ascii="Times New Roman" w:hAnsi="Times New Roman" w:cs="Times New Roman"/>
                <w:b/>
                <w:bCs/>
                <w:sz w:val="20"/>
              </w:rPr>
            </w:pPr>
            <w:r w:rsidRPr="00B922C3">
              <w:rPr>
                <w:rFonts w:ascii="Times New Roman" w:hAnsi="Times New Roman" w:cs="Times New Roman"/>
                <w:b/>
                <w:bCs/>
                <w:sz w:val="20"/>
              </w:rPr>
              <w:t>3,955</w:t>
            </w:r>
          </w:p>
        </w:tc>
        <w:tc>
          <w:tcPr>
            <w:tcW w:w="677" w:type="pct"/>
            <w:shd w:val="clear" w:color="auto" w:fill="DEEAF6" w:themeFill="accent1" w:themeFillTint="33"/>
            <w:noWrap/>
            <w:vAlign w:val="bottom"/>
            <w:hideMark/>
          </w:tcPr>
          <w:p w14:paraId="4627764B" w14:textId="77777777" w:rsidR="00085F16" w:rsidRPr="00B922C3" w:rsidRDefault="00085F16" w:rsidP="00B922C3">
            <w:pPr>
              <w:spacing w:after="0"/>
              <w:jc w:val="right"/>
              <w:rPr>
                <w:rFonts w:ascii="Times New Roman" w:hAnsi="Times New Roman" w:cs="Times New Roman"/>
                <w:b/>
                <w:bCs/>
                <w:sz w:val="20"/>
              </w:rPr>
            </w:pPr>
            <w:r w:rsidRPr="00B922C3">
              <w:rPr>
                <w:rFonts w:ascii="Times New Roman" w:hAnsi="Times New Roman" w:cs="Times New Roman"/>
                <w:b/>
                <w:bCs/>
                <w:sz w:val="20"/>
              </w:rPr>
              <w:t>4,340</w:t>
            </w:r>
          </w:p>
        </w:tc>
        <w:tc>
          <w:tcPr>
            <w:tcW w:w="677" w:type="pct"/>
            <w:shd w:val="clear" w:color="auto" w:fill="DEEAF6" w:themeFill="accent1" w:themeFillTint="33"/>
            <w:noWrap/>
            <w:vAlign w:val="bottom"/>
            <w:hideMark/>
          </w:tcPr>
          <w:p w14:paraId="72F20830" w14:textId="77777777" w:rsidR="00085F16" w:rsidRPr="00B922C3" w:rsidRDefault="00085F16" w:rsidP="00B922C3">
            <w:pPr>
              <w:spacing w:after="0"/>
              <w:jc w:val="right"/>
              <w:rPr>
                <w:rFonts w:ascii="Times New Roman" w:hAnsi="Times New Roman" w:cs="Times New Roman"/>
                <w:b/>
                <w:bCs/>
                <w:sz w:val="20"/>
              </w:rPr>
            </w:pPr>
            <w:r w:rsidRPr="00B922C3">
              <w:rPr>
                <w:rFonts w:ascii="Times New Roman" w:hAnsi="Times New Roman" w:cs="Times New Roman"/>
                <w:b/>
                <w:bCs/>
                <w:sz w:val="20"/>
              </w:rPr>
              <w:t>4,616</w:t>
            </w:r>
          </w:p>
        </w:tc>
        <w:tc>
          <w:tcPr>
            <w:tcW w:w="676" w:type="pct"/>
            <w:shd w:val="clear" w:color="auto" w:fill="DEEAF6" w:themeFill="accent1" w:themeFillTint="33"/>
            <w:noWrap/>
            <w:vAlign w:val="bottom"/>
            <w:hideMark/>
          </w:tcPr>
          <w:p w14:paraId="4A311DB0" w14:textId="77777777" w:rsidR="00085F16" w:rsidRPr="00B922C3" w:rsidRDefault="00085F16" w:rsidP="00B922C3">
            <w:pPr>
              <w:spacing w:after="0"/>
              <w:jc w:val="right"/>
              <w:rPr>
                <w:rFonts w:ascii="Times New Roman" w:hAnsi="Times New Roman" w:cs="Times New Roman"/>
                <w:b/>
                <w:bCs/>
                <w:sz w:val="20"/>
              </w:rPr>
            </w:pPr>
            <w:r w:rsidRPr="00B922C3">
              <w:rPr>
                <w:rFonts w:ascii="Times New Roman" w:hAnsi="Times New Roman" w:cs="Times New Roman"/>
                <w:b/>
                <w:bCs/>
                <w:sz w:val="20"/>
              </w:rPr>
              <w:t>4,911</w:t>
            </w:r>
          </w:p>
        </w:tc>
      </w:tr>
      <w:tr w:rsidR="00085F16" w:rsidRPr="00B922C3" w14:paraId="00906E25" w14:textId="77777777" w:rsidTr="00085F16">
        <w:trPr>
          <w:trHeight w:val="233"/>
        </w:trPr>
        <w:tc>
          <w:tcPr>
            <w:tcW w:w="2293" w:type="pct"/>
            <w:shd w:val="clear" w:color="auto" w:fill="DEEAF6" w:themeFill="accent1" w:themeFillTint="33"/>
            <w:noWrap/>
            <w:vAlign w:val="bottom"/>
            <w:hideMark/>
          </w:tcPr>
          <w:p w14:paraId="6E88F89A" w14:textId="77777777" w:rsidR="00085F16" w:rsidRPr="00B922C3" w:rsidRDefault="00085F16" w:rsidP="00B922C3">
            <w:pPr>
              <w:spacing w:after="0"/>
              <w:rPr>
                <w:rFonts w:ascii="Times New Roman" w:hAnsi="Times New Roman" w:cs="Times New Roman"/>
                <w:b/>
                <w:bCs/>
                <w:sz w:val="20"/>
              </w:rPr>
            </w:pPr>
            <w:r w:rsidRPr="00B922C3">
              <w:rPr>
                <w:rFonts w:ascii="Times New Roman" w:hAnsi="Times New Roman" w:cs="Times New Roman"/>
                <w:b/>
                <w:bCs/>
                <w:sz w:val="20"/>
              </w:rPr>
              <w:t>Importet</w:t>
            </w:r>
          </w:p>
        </w:tc>
        <w:tc>
          <w:tcPr>
            <w:tcW w:w="677" w:type="pct"/>
            <w:shd w:val="clear" w:color="auto" w:fill="DEEAF6" w:themeFill="accent1" w:themeFillTint="33"/>
            <w:noWrap/>
            <w:vAlign w:val="bottom"/>
            <w:hideMark/>
          </w:tcPr>
          <w:p w14:paraId="17B630A5" w14:textId="77777777" w:rsidR="00085F16" w:rsidRPr="00B922C3" w:rsidRDefault="00085F16" w:rsidP="00B922C3">
            <w:pPr>
              <w:spacing w:after="0"/>
              <w:jc w:val="right"/>
              <w:rPr>
                <w:rFonts w:ascii="Times New Roman" w:hAnsi="Times New Roman" w:cs="Times New Roman"/>
                <w:b/>
                <w:bCs/>
                <w:sz w:val="20"/>
              </w:rPr>
            </w:pPr>
            <w:r w:rsidRPr="00B922C3">
              <w:rPr>
                <w:rFonts w:ascii="Times New Roman" w:hAnsi="Times New Roman" w:cs="Times New Roman"/>
                <w:b/>
                <w:bCs/>
                <w:sz w:val="20"/>
              </w:rPr>
              <w:t>5.8%</w:t>
            </w:r>
          </w:p>
        </w:tc>
        <w:tc>
          <w:tcPr>
            <w:tcW w:w="677" w:type="pct"/>
            <w:shd w:val="clear" w:color="auto" w:fill="DEEAF6" w:themeFill="accent1" w:themeFillTint="33"/>
            <w:noWrap/>
            <w:vAlign w:val="bottom"/>
            <w:hideMark/>
          </w:tcPr>
          <w:p w14:paraId="4374F7CB" w14:textId="77777777" w:rsidR="00085F16" w:rsidRPr="00B922C3" w:rsidRDefault="00085F16" w:rsidP="00B922C3">
            <w:pPr>
              <w:spacing w:after="0"/>
              <w:jc w:val="right"/>
              <w:rPr>
                <w:rFonts w:ascii="Times New Roman" w:hAnsi="Times New Roman" w:cs="Times New Roman"/>
                <w:b/>
                <w:bCs/>
                <w:sz w:val="20"/>
              </w:rPr>
            </w:pPr>
            <w:r w:rsidRPr="00B922C3">
              <w:rPr>
                <w:rFonts w:ascii="Times New Roman" w:hAnsi="Times New Roman" w:cs="Times New Roman"/>
                <w:b/>
                <w:bCs/>
                <w:sz w:val="20"/>
              </w:rPr>
              <w:t>9.7%</w:t>
            </w:r>
          </w:p>
        </w:tc>
        <w:tc>
          <w:tcPr>
            <w:tcW w:w="677" w:type="pct"/>
            <w:shd w:val="clear" w:color="auto" w:fill="DEEAF6" w:themeFill="accent1" w:themeFillTint="33"/>
            <w:noWrap/>
            <w:vAlign w:val="bottom"/>
            <w:hideMark/>
          </w:tcPr>
          <w:p w14:paraId="7952F604" w14:textId="77777777" w:rsidR="00085F16" w:rsidRPr="00B922C3" w:rsidRDefault="00085F16" w:rsidP="00B922C3">
            <w:pPr>
              <w:spacing w:after="0"/>
              <w:jc w:val="right"/>
              <w:rPr>
                <w:rFonts w:ascii="Times New Roman" w:hAnsi="Times New Roman" w:cs="Times New Roman"/>
                <w:b/>
                <w:bCs/>
                <w:sz w:val="20"/>
              </w:rPr>
            </w:pPr>
            <w:r w:rsidRPr="00B922C3">
              <w:rPr>
                <w:rFonts w:ascii="Times New Roman" w:hAnsi="Times New Roman" w:cs="Times New Roman"/>
                <w:b/>
                <w:bCs/>
                <w:sz w:val="20"/>
              </w:rPr>
              <w:t>6.3%</w:t>
            </w:r>
          </w:p>
        </w:tc>
        <w:tc>
          <w:tcPr>
            <w:tcW w:w="676" w:type="pct"/>
            <w:shd w:val="clear" w:color="auto" w:fill="DEEAF6" w:themeFill="accent1" w:themeFillTint="33"/>
            <w:noWrap/>
            <w:vAlign w:val="bottom"/>
            <w:hideMark/>
          </w:tcPr>
          <w:p w14:paraId="7EB4FE65" w14:textId="77777777" w:rsidR="00085F16" w:rsidRPr="00B922C3" w:rsidRDefault="00085F16" w:rsidP="00B922C3">
            <w:pPr>
              <w:spacing w:after="0"/>
              <w:jc w:val="right"/>
              <w:rPr>
                <w:rFonts w:ascii="Times New Roman" w:hAnsi="Times New Roman" w:cs="Times New Roman"/>
                <w:b/>
                <w:bCs/>
                <w:sz w:val="20"/>
              </w:rPr>
            </w:pPr>
            <w:r w:rsidRPr="00B922C3">
              <w:rPr>
                <w:rFonts w:ascii="Times New Roman" w:hAnsi="Times New Roman" w:cs="Times New Roman"/>
                <w:b/>
                <w:bCs/>
                <w:sz w:val="20"/>
              </w:rPr>
              <w:t>6.4%</w:t>
            </w:r>
          </w:p>
        </w:tc>
      </w:tr>
      <w:tr w:rsidR="00085F16" w:rsidRPr="00B922C3" w14:paraId="72CF1359" w14:textId="77777777" w:rsidTr="00085F16">
        <w:trPr>
          <w:trHeight w:val="260"/>
        </w:trPr>
        <w:tc>
          <w:tcPr>
            <w:tcW w:w="2293" w:type="pct"/>
            <w:shd w:val="clear" w:color="auto" w:fill="DEEAF6" w:themeFill="accent1" w:themeFillTint="33"/>
            <w:noWrap/>
            <w:vAlign w:val="bottom"/>
            <w:hideMark/>
          </w:tcPr>
          <w:p w14:paraId="3FDE21E3" w14:textId="77777777" w:rsidR="00085F16" w:rsidRPr="00B922C3" w:rsidRDefault="00085F16" w:rsidP="00B922C3">
            <w:pPr>
              <w:spacing w:after="0"/>
              <w:rPr>
                <w:rFonts w:ascii="Times New Roman" w:hAnsi="Times New Roman" w:cs="Times New Roman"/>
                <w:sz w:val="20"/>
              </w:rPr>
            </w:pPr>
            <w:r w:rsidRPr="00B922C3">
              <w:rPr>
                <w:rFonts w:ascii="Times New Roman" w:hAnsi="Times New Roman" w:cs="Times New Roman"/>
                <w:sz w:val="20"/>
              </w:rPr>
              <w:t>Mallra</w:t>
            </w:r>
          </w:p>
        </w:tc>
        <w:tc>
          <w:tcPr>
            <w:tcW w:w="677" w:type="pct"/>
            <w:shd w:val="clear" w:color="auto" w:fill="DEEAF6" w:themeFill="accent1" w:themeFillTint="33"/>
            <w:noWrap/>
            <w:vAlign w:val="bottom"/>
            <w:hideMark/>
          </w:tcPr>
          <w:p w14:paraId="47C6CDE5" w14:textId="77777777" w:rsidR="00085F16" w:rsidRPr="00B922C3" w:rsidRDefault="00085F16" w:rsidP="00B922C3">
            <w:pPr>
              <w:spacing w:after="0"/>
              <w:jc w:val="right"/>
              <w:rPr>
                <w:rFonts w:ascii="Times New Roman" w:hAnsi="Times New Roman" w:cs="Times New Roman"/>
                <w:sz w:val="20"/>
              </w:rPr>
            </w:pPr>
            <w:r w:rsidRPr="00B922C3">
              <w:rPr>
                <w:rFonts w:ascii="Times New Roman" w:hAnsi="Times New Roman" w:cs="Times New Roman"/>
                <w:sz w:val="20"/>
              </w:rPr>
              <w:t>5.4%</w:t>
            </w:r>
          </w:p>
        </w:tc>
        <w:tc>
          <w:tcPr>
            <w:tcW w:w="677" w:type="pct"/>
            <w:shd w:val="clear" w:color="auto" w:fill="DEEAF6" w:themeFill="accent1" w:themeFillTint="33"/>
            <w:noWrap/>
            <w:vAlign w:val="bottom"/>
            <w:hideMark/>
          </w:tcPr>
          <w:p w14:paraId="30D5939F" w14:textId="77777777" w:rsidR="00085F16" w:rsidRPr="00B922C3" w:rsidRDefault="00085F16" w:rsidP="00B922C3">
            <w:pPr>
              <w:spacing w:after="0"/>
              <w:jc w:val="right"/>
              <w:rPr>
                <w:rFonts w:ascii="Times New Roman" w:hAnsi="Times New Roman" w:cs="Times New Roman"/>
                <w:sz w:val="20"/>
              </w:rPr>
            </w:pPr>
            <w:r w:rsidRPr="00B922C3">
              <w:rPr>
                <w:rFonts w:ascii="Times New Roman" w:hAnsi="Times New Roman" w:cs="Times New Roman"/>
                <w:sz w:val="20"/>
              </w:rPr>
              <w:t>10.1%</w:t>
            </w:r>
          </w:p>
        </w:tc>
        <w:tc>
          <w:tcPr>
            <w:tcW w:w="677" w:type="pct"/>
            <w:shd w:val="clear" w:color="auto" w:fill="DEEAF6" w:themeFill="accent1" w:themeFillTint="33"/>
            <w:noWrap/>
            <w:vAlign w:val="bottom"/>
            <w:hideMark/>
          </w:tcPr>
          <w:p w14:paraId="0C8D14E7" w14:textId="77777777" w:rsidR="00085F16" w:rsidRPr="00B922C3" w:rsidRDefault="00085F16" w:rsidP="00B922C3">
            <w:pPr>
              <w:spacing w:after="0"/>
              <w:jc w:val="right"/>
              <w:rPr>
                <w:rFonts w:ascii="Times New Roman" w:hAnsi="Times New Roman" w:cs="Times New Roman"/>
                <w:sz w:val="20"/>
              </w:rPr>
            </w:pPr>
            <w:r w:rsidRPr="00B922C3">
              <w:rPr>
                <w:rFonts w:ascii="Times New Roman" w:hAnsi="Times New Roman" w:cs="Times New Roman"/>
                <w:sz w:val="20"/>
              </w:rPr>
              <w:t>6.0%</w:t>
            </w:r>
          </w:p>
        </w:tc>
        <w:tc>
          <w:tcPr>
            <w:tcW w:w="676" w:type="pct"/>
            <w:shd w:val="clear" w:color="auto" w:fill="DEEAF6" w:themeFill="accent1" w:themeFillTint="33"/>
            <w:noWrap/>
            <w:vAlign w:val="bottom"/>
            <w:hideMark/>
          </w:tcPr>
          <w:p w14:paraId="1B67A91A" w14:textId="77777777" w:rsidR="00085F16" w:rsidRPr="00B922C3" w:rsidRDefault="00085F16" w:rsidP="00B922C3">
            <w:pPr>
              <w:spacing w:after="0"/>
              <w:jc w:val="right"/>
              <w:rPr>
                <w:rFonts w:ascii="Times New Roman" w:hAnsi="Times New Roman" w:cs="Times New Roman"/>
                <w:sz w:val="20"/>
              </w:rPr>
            </w:pPr>
            <w:r w:rsidRPr="00B922C3">
              <w:rPr>
                <w:rFonts w:ascii="Times New Roman" w:hAnsi="Times New Roman" w:cs="Times New Roman"/>
                <w:sz w:val="20"/>
              </w:rPr>
              <w:t>6.1%</w:t>
            </w:r>
          </w:p>
        </w:tc>
      </w:tr>
      <w:tr w:rsidR="00085F16" w:rsidRPr="00B922C3" w14:paraId="0D244078" w14:textId="77777777" w:rsidTr="00085F16">
        <w:trPr>
          <w:trHeight w:val="260"/>
        </w:trPr>
        <w:tc>
          <w:tcPr>
            <w:tcW w:w="2293" w:type="pct"/>
            <w:shd w:val="clear" w:color="auto" w:fill="DEEAF6" w:themeFill="accent1" w:themeFillTint="33"/>
            <w:noWrap/>
            <w:vAlign w:val="bottom"/>
            <w:hideMark/>
          </w:tcPr>
          <w:p w14:paraId="0D26336C" w14:textId="77777777" w:rsidR="00085F16" w:rsidRPr="00B922C3" w:rsidRDefault="00085F16" w:rsidP="00B922C3">
            <w:pPr>
              <w:spacing w:after="0"/>
              <w:rPr>
                <w:rFonts w:ascii="Times New Roman" w:hAnsi="Times New Roman" w:cs="Times New Roman"/>
                <w:sz w:val="20"/>
              </w:rPr>
            </w:pPr>
            <w:r w:rsidRPr="00B922C3">
              <w:rPr>
                <w:rFonts w:ascii="Times New Roman" w:hAnsi="Times New Roman" w:cs="Times New Roman"/>
                <w:sz w:val="20"/>
              </w:rPr>
              <w:t>Shërbime</w:t>
            </w:r>
          </w:p>
        </w:tc>
        <w:tc>
          <w:tcPr>
            <w:tcW w:w="677" w:type="pct"/>
            <w:shd w:val="clear" w:color="auto" w:fill="DEEAF6" w:themeFill="accent1" w:themeFillTint="33"/>
            <w:noWrap/>
            <w:vAlign w:val="bottom"/>
            <w:hideMark/>
          </w:tcPr>
          <w:p w14:paraId="0D8F73E7" w14:textId="77777777" w:rsidR="00085F16" w:rsidRPr="00B922C3" w:rsidRDefault="00085F16" w:rsidP="00B922C3">
            <w:pPr>
              <w:spacing w:after="0"/>
              <w:jc w:val="right"/>
              <w:rPr>
                <w:rFonts w:ascii="Times New Roman" w:hAnsi="Times New Roman" w:cs="Times New Roman"/>
                <w:sz w:val="20"/>
              </w:rPr>
            </w:pPr>
            <w:r w:rsidRPr="00B922C3">
              <w:rPr>
                <w:rFonts w:ascii="Times New Roman" w:hAnsi="Times New Roman" w:cs="Times New Roman"/>
                <w:sz w:val="20"/>
              </w:rPr>
              <w:t>8.0%</w:t>
            </w:r>
          </w:p>
        </w:tc>
        <w:tc>
          <w:tcPr>
            <w:tcW w:w="677" w:type="pct"/>
            <w:shd w:val="clear" w:color="auto" w:fill="DEEAF6" w:themeFill="accent1" w:themeFillTint="33"/>
            <w:noWrap/>
            <w:vAlign w:val="bottom"/>
            <w:hideMark/>
          </w:tcPr>
          <w:p w14:paraId="535E2B33" w14:textId="77777777" w:rsidR="00085F16" w:rsidRPr="00B922C3" w:rsidRDefault="00085F16" w:rsidP="00B922C3">
            <w:pPr>
              <w:spacing w:after="0"/>
              <w:jc w:val="right"/>
              <w:rPr>
                <w:rFonts w:ascii="Times New Roman" w:hAnsi="Times New Roman" w:cs="Times New Roman"/>
                <w:sz w:val="20"/>
              </w:rPr>
            </w:pPr>
            <w:r w:rsidRPr="00B922C3">
              <w:rPr>
                <w:rFonts w:ascii="Times New Roman" w:hAnsi="Times New Roman" w:cs="Times New Roman"/>
                <w:sz w:val="20"/>
              </w:rPr>
              <w:t>8.0%</w:t>
            </w:r>
          </w:p>
        </w:tc>
        <w:tc>
          <w:tcPr>
            <w:tcW w:w="677" w:type="pct"/>
            <w:shd w:val="clear" w:color="auto" w:fill="DEEAF6" w:themeFill="accent1" w:themeFillTint="33"/>
            <w:noWrap/>
            <w:vAlign w:val="bottom"/>
            <w:hideMark/>
          </w:tcPr>
          <w:p w14:paraId="5EAC2BE7" w14:textId="77777777" w:rsidR="00085F16" w:rsidRPr="00B922C3" w:rsidRDefault="00085F16" w:rsidP="00B922C3">
            <w:pPr>
              <w:spacing w:after="0"/>
              <w:jc w:val="right"/>
              <w:rPr>
                <w:rFonts w:ascii="Times New Roman" w:hAnsi="Times New Roman" w:cs="Times New Roman"/>
                <w:sz w:val="20"/>
              </w:rPr>
            </w:pPr>
            <w:r w:rsidRPr="00B922C3">
              <w:rPr>
                <w:rFonts w:ascii="Times New Roman" w:hAnsi="Times New Roman" w:cs="Times New Roman"/>
                <w:sz w:val="20"/>
              </w:rPr>
              <w:t>8.0%</w:t>
            </w:r>
          </w:p>
        </w:tc>
        <w:tc>
          <w:tcPr>
            <w:tcW w:w="676" w:type="pct"/>
            <w:shd w:val="clear" w:color="auto" w:fill="DEEAF6" w:themeFill="accent1" w:themeFillTint="33"/>
            <w:noWrap/>
            <w:vAlign w:val="bottom"/>
            <w:hideMark/>
          </w:tcPr>
          <w:p w14:paraId="0E1D17BC" w14:textId="77777777" w:rsidR="00085F16" w:rsidRPr="00B922C3" w:rsidRDefault="00085F16" w:rsidP="00B922C3">
            <w:pPr>
              <w:spacing w:after="0"/>
              <w:jc w:val="right"/>
              <w:rPr>
                <w:rFonts w:ascii="Times New Roman" w:hAnsi="Times New Roman" w:cs="Times New Roman"/>
                <w:sz w:val="20"/>
              </w:rPr>
            </w:pPr>
            <w:r w:rsidRPr="00B922C3">
              <w:rPr>
                <w:rFonts w:ascii="Times New Roman" w:hAnsi="Times New Roman" w:cs="Times New Roman"/>
                <w:sz w:val="20"/>
              </w:rPr>
              <w:t>8.0%</w:t>
            </w:r>
          </w:p>
        </w:tc>
      </w:tr>
    </w:tbl>
    <w:p w14:paraId="42CA05C6" w14:textId="77777777" w:rsidR="00085F16" w:rsidRPr="007D5D03" w:rsidRDefault="00085F16" w:rsidP="00085F16">
      <w:pPr>
        <w:jc w:val="both"/>
      </w:pPr>
    </w:p>
    <w:p w14:paraId="5B4C5006" w14:textId="77777777" w:rsidR="00085F16" w:rsidRPr="00B922C3" w:rsidRDefault="00085F16" w:rsidP="00085F16">
      <w:pPr>
        <w:spacing w:line="276" w:lineRule="auto"/>
        <w:jc w:val="both"/>
        <w:rPr>
          <w:rFonts w:ascii="Times New Roman" w:hAnsi="Times New Roman" w:cs="Times New Roman"/>
          <w:sz w:val="24"/>
          <w:szCs w:val="24"/>
        </w:rPr>
      </w:pPr>
      <w:r w:rsidRPr="00B922C3">
        <w:rPr>
          <w:rFonts w:ascii="Times New Roman" w:hAnsi="Times New Roman" w:cs="Times New Roman"/>
          <w:sz w:val="24"/>
          <w:szCs w:val="24"/>
        </w:rPr>
        <w:t>Bilanci i tregtisë së mallrave është përkeqësuar lehtësisht me rreth 2.5% krahasuar me janar-gusht 2018; megjithatë, ecuria e eksporteve ka qenë inkurajuese. Eksporti i mallrave gjatë periudhës janar-gusht 2019 u rrit me 9.8% në krahasim me të njëjtën periudhë të vitit 2018. Një rritje e tillë paraqet një përmirësim të ndjeshëm në krahasim me performancën e dobët në 2018 (rënia vjetore prej 2.8%). Kontributi më i lartë në këtë rritje të eksportit të mallrave për këtë periudhë të vitit 2019 ishte eksporti i metaleve bazë (9.5 p.p.) i cili u rrit me 31.0%, v-m-v; eksporti i plastikës (2.0 p.p.) ose një rritje prej 16.5%, v-m-v; dhe eksporti i mallrave të tjera të prodhuar (1.9 p.p.) me një rritje prej 52.8%, v-m-v. Ndërsa, kategoria e produkteve minerale ka rënë me 25.8% gjatë kësaj periudhe dhe pati një kontribut negativ prej 4.3 p.p. në ndryshimin vjetor të eksportit të mallrave. Eksporti i mallrave për vitin 2019 pritet të arrijë në 398 milion Euro dhe të ketë një rritje prej 6.0% në terma vjetorë. Ndërsa për periudhën afatmesme, eksporti i mallrave pritet të rritet me 4.1%.</w:t>
      </w:r>
    </w:p>
    <w:p w14:paraId="320DE464" w14:textId="77777777" w:rsidR="00085F16" w:rsidRPr="00B922C3" w:rsidRDefault="00085F16" w:rsidP="00085F16">
      <w:pPr>
        <w:spacing w:after="240" w:line="276" w:lineRule="auto"/>
        <w:jc w:val="both"/>
        <w:rPr>
          <w:rFonts w:ascii="Times New Roman" w:hAnsi="Times New Roman" w:cs="Times New Roman"/>
          <w:sz w:val="24"/>
          <w:szCs w:val="24"/>
        </w:rPr>
      </w:pPr>
      <w:r w:rsidRPr="00B922C3">
        <w:rPr>
          <w:rFonts w:ascii="Times New Roman" w:hAnsi="Times New Roman" w:cs="Times New Roman"/>
          <w:noProof/>
          <w:sz w:val="24"/>
          <w:szCs w:val="24"/>
          <w:lang w:val="en-US"/>
        </w:rPr>
        <w:drawing>
          <wp:anchor distT="0" distB="0" distL="114300" distR="114300" simplePos="0" relativeHeight="251675648" behindDoc="0" locked="0" layoutInCell="1" allowOverlap="1" wp14:anchorId="6A5F3ADB" wp14:editId="6261C38A">
            <wp:simplePos x="0" y="0"/>
            <wp:positionH relativeFrom="margin">
              <wp:align>left</wp:align>
            </wp:positionH>
            <wp:positionV relativeFrom="paragraph">
              <wp:posOffset>2316101</wp:posOffset>
            </wp:positionV>
            <wp:extent cx="3114000" cy="1706400"/>
            <wp:effectExtent l="0" t="0" r="10795" b="8255"/>
            <wp:wrapSquare wrapText="bothSides"/>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Pr="00B922C3">
        <w:rPr>
          <w:rFonts w:ascii="Times New Roman" w:hAnsi="Times New Roman" w:cs="Times New Roman"/>
          <w:noProof/>
          <w:sz w:val="24"/>
          <w:szCs w:val="24"/>
          <w:lang w:val="en-US"/>
        </w:rPr>
        <mc:AlternateContent>
          <mc:Choice Requires="wps">
            <w:drawing>
              <wp:anchor distT="0" distB="0" distL="114300" distR="114300" simplePos="0" relativeHeight="251669504" behindDoc="1" locked="0" layoutInCell="1" allowOverlap="1" wp14:anchorId="5B97791F" wp14:editId="5D0E7AFE">
                <wp:simplePos x="0" y="0"/>
                <wp:positionH relativeFrom="column">
                  <wp:posOffset>23688</wp:posOffset>
                </wp:positionH>
                <wp:positionV relativeFrom="paragraph">
                  <wp:posOffset>2111210</wp:posOffset>
                </wp:positionV>
                <wp:extent cx="3114675" cy="218440"/>
                <wp:effectExtent l="0" t="0" r="9525" b="0"/>
                <wp:wrapTight wrapText="bothSides">
                  <wp:wrapPolygon edited="0">
                    <wp:start x="0" y="0"/>
                    <wp:lineTo x="0" y="18837"/>
                    <wp:lineTo x="21534" y="18837"/>
                    <wp:lineTo x="21534"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3114675" cy="218440"/>
                        </a:xfrm>
                        <a:prstGeom prst="rect">
                          <a:avLst/>
                        </a:prstGeom>
                        <a:solidFill>
                          <a:prstClr val="white"/>
                        </a:solidFill>
                        <a:ln>
                          <a:noFill/>
                        </a:ln>
                        <a:effectLst/>
                      </wps:spPr>
                      <wps:txbx>
                        <w:txbxContent>
                          <w:p w14:paraId="086FB134" w14:textId="77777777" w:rsidR="00FC648F" w:rsidRPr="00140810" w:rsidRDefault="00FC648F" w:rsidP="00085F16">
                            <w:pPr>
                              <w:pStyle w:val="Caption"/>
                              <w:rPr>
                                <w:b/>
                                <w:i w:val="0"/>
                                <w:color w:val="auto"/>
                              </w:rPr>
                            </w:pPr>
                            <w:bookmarkStart w:id="65" w:name="_Toc25673459"/>
                            <w:r w:rsidRPr="00140810">
                              <w:rPr>
                                <w:b/>
                                <w:i w:val="0"/>
                                <w:color w:val="auto"/>
                              </w:rPr>
                              <w:t xml:space="preserve">Grafiku </w:t>
                            </w:r>
                            <w:r w:rsidRPr="00140810">
                              <w:rPr>
                                <w:b/>
                                <w:i w:val="0"/>
                                <w:color w:val="auto"/>
                              </w:rPr>
                              <w:fldChar w:fldCharType="begin"/>
                            </w:r>
                            <w:r w:rsidRPr="00140810">
                              <w:rPr>
                                <w:b/>
                                <w:i w:val="0"/>
                                <w:color w:val="auto"/>
                              </w:rPr>
                              <w:instrText xml:space="preserve"> SEQ Grafiku \* ARABIC </w:instrText>
                            </w:r>
                            <w:r w:rsidRPr="00140810">
                              <w:rPr>
                                <w:b/>
                                <w:i w:val="0"/>
                                <w:color w:val="auto"/>
                              </w:rPr>
                              <w:fldChar w:fldCharType="separate"/>
                            </w:r>
                            <w:r>
                              <w:rPr>
                                <w:b/>
                                <w:i w:val="0"/>
                                <w:noProof/>
                                <w:color w:val="auto"/>
                              </w:rPr>
                              <w:t>7</w:t>
                            </w:r>
                            <w:r w:rsidRPr="00140810">
                              <w:rPr>
                                <w:b/>
                                <w:i w:val="0"/>
                                <w:color w:val="auto"/>
                              </w:rPr>
                              <w:fldChar w:fldCharType="end"/>
                            </w:r>
                            <w:r w:rsidRPr="00140810">
                              <w:rPr>
                                <w:b/>
                                <w:i w:val="0"/>
                                <w:color w:val="auto"/>
                              </w:rPr>
                              <w:t xml:space="preserve"> Herfindahl Hirchman Index</w:t>
                            </w:r>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97791F" id="Text Box 25" o:spid="_x0000_s1030" type="#_x0000_t202" style="position:absolute;left:0;text-align:left;margin-left:1.85pt;margin-top:166.25pt;width:245.25pt;height:17.2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" stroked="f">
                <v:textbox inset="0,0,0,0">
                  <w:txbxContent>
                    <w:p w14:paraId="086FB134" w14:textId="77777777" w:rsidR="00FC648F" w:rsidRPr="00140810" w:rsidRDefault="00FC648F" w:rsidP="00085F16">
                      <w:pPr>
                        <w:pStyle w:val="Caption"/>
                        <w:rPr>
                          <w:b/>
                          <w:i w:val="0"/>
                          <w:color w:val="auto"/>
                        </w:rPr>
                      </w:pPr>
                      <w:bookmarkStart w:id="66" w:name="_Toc25673459"/>
                      <w:r w:rsidRPr="00140810">
                        <w:rPr>
                          <w:b/>
                          <w:i w:val="0"/>
                          <w:color w:val="auto"/>
                        </w:rPr>
                        <w:t xml:space="preserve">Grafiku </w:t>
                      </w:r>
                      <w:r w:rsidRPr="00140810">
                        <w:rPr>
                          <w:b/>
                          <w:i w:val="0"/>
                          <w:color w:val="auto"/>
                        </w:rPr>
                        <w:fldChar w:fldCharType="begin"/>
                      </w:r>
                      <w:r w:rsidRPr="00140810">
                        <w:rPr>
                          <w:b/>
                          <w:i w:val="0"/>
                          <w:color w:val="auto"/>
                        </w:rPr>
                        <w:instrText xml:space="preserve"> SEQ Grafiku \* ARABIC </w:instrText>
                      </w:r>
                      <w:r w:rsidRPr="00140810">
                        <w:rPr>
                          <w:b/>
                          <w:i w:val="0"/>
                          <w:color w:val="auto"/>
                        </w:rPr>
                        <w:fldChar w:fldCharType="separate"/>
                      </w:r>
                      <w:r>
                        <w:rPr>
                          <w:b/>
                          <w:i w:val="0"/>
                          <w:noProof/>
                          <w:color w:val="auto"/>
                        </w:rPr>
                        <w:t>7</w:t>
                      </w:r>
                      <w:r w:rsidRPr="00140810">
                        <w:rPr>
                          <w:b/>
                          <w:i w:val="0"/>
                          <w:color w:val="auto"/>
                        </w:rPr>
                        <w:fldChar w:fldCharType="end"/>
                      </w:r>
                      <w:r w:rsidRPr="00140810">
                        <w:rPr>
                          <w:b/>
                          <w:i w:val="0"/>
                          <w:color w:val="auto"/>
                        </w:rPr>
                        <w:t xml:space="preserve"> Herfindahl Hirchman Index</w:t>
                      </w:r>
                      <w:bookmarkEnd w:id="66"/>
                    </w:p>
                  </w:txbxContent>
                </v:textbox>
                <w10:wrap type="tight"/>
              </v:shape>
            </w:pict>
          </mc:Fallback>
        </mc:AlternateContent>
      </w:r>
      <w:r w:rsidRPr="00B922C3">
        <w:rPr>
          <w:rFonts w:ascii="Times New Roman" w:hAnsi="Times New Roman" w:cs="Times New Roman"/>
          <w:sz w:val="24"/>
          <w:szCs w:val="24"/>
        </w:rPr>
        <w:t>Eshtë inkurajuese të theksohet se vendi ka pësuar ndryshime në strukturën e eksportit të mallrave. Diversifikimi i tillë i eksportit mund të arrihet përmes diversifikimit ose zgjerimit të shportës aktuale të mallrave që eksporton një vend. Diversifikimi është një zhvillim pozitiv për një ekonomi siç është Kosova sepse ndryshimet në përbërjen e eksportit ndihmojnë në ndërtimin e  mekanizmave mbrojtës në ekonomi që do të zvogëlojnë efektin e ndryshueshmërisë së çmimeve në tregjet ndërkombëtare. Kjo zvogëlon varësinë ndaj disa sektorëve dhe dobësitë e mundshme që lidhen me to. Për të matur diversifikimin e eksporteve, është përdorur Indeksi Hirschman Herfindahl</w:t>
      </w:r>
      <w:r w:rsidRPr="00B922C3">
        <w:rPr>
          <w:rStyle w:val="FootnoteReference"/>
          <w:rFonts w:ascii="Times New Roman" w:hAnsi="Times New Roman" w:cs="Times New Roman"/>
          <w:sz w:val="24"/>
          <w:szCs w:val="24"/>
        </w:rPr>
        <w:footnoteReference w:id="8"/>
      </w:r>
      <w:r w:rsidRPr="00B922C3">
        <w:rPr>
          <w:rFonts w:ascii="Times New Roman" w:hAnsi="Times New Roman" w:cs="Times New Roman"/>
          <w:sz w:val="24"/>
          <w:szCs w:val="24"/>
        </w:rPr>
        <w:t>. Kosova ka pasur diversifikim të eksporteve përgjatë viteve. MSA dhe masat e politikave për të stimuluar sektorin e prodhimit kanë luajtur një rol në këtë proces. Zbatimi i mëtutjeshëm i MSA-së gjithashtu pritet të ketë një efekt pozitiv në rritjen e konkurrencës së mallrave të Kosovës në tregun e BE</w:t>
      </w:r>
      <w:r w:rsidRPr="007D5D03">
        <w:t>-</w:t>
      </w:r>
      <w:r w:rsidRPr="00B922C3">
        <w:rPr>
          <w:rFonts w:ascii="Times New Roman" w:hAnsi="Times New Roman" w:cs="Times New Roman"/>
          <w:sz w:val="24"/>
          <w:szCs w:val="24"/>
        </w:rPr>
        <w:t xml:space="preserve">së, si dhe të rrisë pjesëmarrjen e eksporteve me destinim në BE në totalin e eksporteve të Kosovës. Struktura e eksportit të Kosovës është ende e koncentruar drejt eksportit të metaleve bazë dhe produkteve minerale, të cilat gjatë vitit 2019 janar-gusht përbënin 47.5% të eksporteve totale, megjithatë kjo është në rënie (në 2018 këto kategori përbëjnë 48% ndërsa në 2017 58.6 % e eksporteve totale). Siç shihet në Grafik 7, ky përqendrim në strukturën e eksportit po zvogëlohet në mënyrë të vazhdueshme pasi prodhuesit po rritin kapacitetin e tyre të prodhimit. Kategoritë e mallrave që kanë rritur pjesëmarrjen e tyre në eksportet totale janë artikujt ushqimorë të përgatitur dhe produktet nga plastika. Përbërja gjeografike e eksporteve të mallrave, duke u përqëndruar në shtetet dhe grupet e shteteve që përbëjnë më shumë se 80% të </w:t>
      </w:r>
      <w:r w:rsidRPr="00B922C3">
        <w:rPr>
          <w:rFonts w:ascii="Times New Roman" w:hAnsi="Times New Roman" w:cs="Times New Roman"/>
          <w:noProof/>
          <w:sz w:val="24"/>
          <w:szCs w:val="24"/>
          <w:lang w:val="en-US"/>
        </w:rPr>
        <mc:AlternateContent>
          <mc:Choice Requires="wps">
            <w:drawing>
              <wp:anchor distT="0" distB="0" distL="114300" distR="114300" simplePos="0" relativeHeight="251663360" behindDoc="1" locked="0" layoutInCell="1" allowOverlap="1" wp14:anchorId="0F914F39" wp14:editId="5498F53A">
                <wp:simplePos x="0" y="0"/>
                <wp:positionH relativeFrom="margin">
                  <wp:posOffset>-45267</wp:posOffset>
                </wp:positionH>
                <wp:positionV relativeFrom="paragraph">
                  <wp:posOffset>4144167</wp:posOffset>
                </wp:positionV>
                <wp:extent cx="3143250" cy="182880"/>
                <wp:effectExtent l="0" t="0" r="0" b="7620"/>
                <wp:wrapTight wrapText="bothSides">
                  <wp:wrapPolygon edited="0">
                    <wp:start x="0" y="0"/>
                    <wp:lineTo x="0" y="20250"/>
                    <wp:lineTo x="21469" y="20250"/>
                    <wp:lineTo x="21469" y="0"/>
                    <wp:lineTo x="0" y="0"/>
                  </wp:wrapPolygon>
                </wp:wrapTight>
                <wp:docPr id="44" name="Text Box 44"/>
                <wp:cNvGraphicFramePr/>
                <a:graphic xmlns:a="http://schemas.openxmlformats.org/drawingml/2006/main">
                  <a:graphicData uri="http://schemas.microsoft.com/office/word/2010/wordprocessingShape">
                    <wps:wsp>
                      <wps:cNvSpPr txBox="1"/>
                      <wps:spPr>
                        <a:xfrm>
                          <a:off x="0" y="0"/>
                          <a:ext cx="3143250" cy="182880"/>
                        </a:xfrm>
                        <a:prstGeom prst="rect">
                          <a:avLst/>
                        </a:prstGeom>
                        <a:solidFill>
                          <a:prstClr val="white"/>
                        </a:solidFill>
                        <a:ln>
                          <a:noFill/>
                        </a:ln>
                      </wps:spPr>
                      <wps:txbx>
                        <w:txbxContent>
                          <w:p w14:paraId="1ED3BB84" w14:textId="77777777" w:rsidR="00FC648F" w:rsidRPr="00770F42" w:rsidRDefault="00FC648F" w:rsidP="00085F16">
                            <w:pPr>
                              <w:pStyle w:val="Caption"/>
                              <w:rPr>
                                <w:rFonts w:eastAsiaTheme="minorHAnsi"/>
                                <w:noProof/>
                                <w:color w:val="auto"/>
                                <w:lang w:val="en-US"/>
                              </w:rPr>
                            </w:pPr>
                            <w:r>
                              <w:rPr>
                                <w:rFonts w:eastAsiaTheme="minorHAnsi"/>
                                <w:noProof/>
                                <w:color w:val="auto"/>
                                <w:lang w:val="en-US"/>
                              </w:rPr>
                              <w:t>Burimi:</w:t>
                            </w:r>
                            <w:r w:rsidRPr="00770F42">
                              <w:rPr>
                                <w:rFonts w:eastAsiaTheme="minorHAnsi"/>
                                <w:noProof/>
                                <w:color w:val="auto"/>
                                <w:lang w:val="en-US"/>
                              </w:rPr>
                              <w:t xml:space="preserve"> </w:t>
                            </w:r>
                            <w:r>
                              <w:rPr>
                                <w:rFonts w:eastAsiaTheme="minorHAnsi"/>
                                <w:noProof/>
                                <w:color w:val="auto"/>
                                <w:lang w:val="en-US"/>
                              </w:rPr>
                              <w:t xml:space="preserve">ASK dhe BQK </w:t>
                            </w:r>
                            <w:r w:rsidRPr="00770F42">
                              <w:rPr>
                                <w:rFonts w:eastAsiaTheme="minorHAnsi"/>
                                <w:noProof/>
                                <w:color w:val="auto"/>
                                <w:lang w:val="en-US"/>
                              </w:rPr>
                              <w:t>2019*</w:t>
                            </w:r>
                            <w:r>
                              <w:rPr>
                                <w:rFonts w:eastAsiaTheme="minorHAnsi"/>
                                <w:noProof/>
                                <w:color w:val="auto"/>
                                <w:lang w:val="en-US"/>
                              </w:rPr>
                              <w:t xml:space="preserve"> TM1-TM3</w:t>
                            </w:r>
                            <w:r w:rsidRPr="00770F42">
                              <w:rPr>
                                <w:rFonts w:eastAsiaTheme="minorHAnsi"/>
                                <w:noProof/>
                                <w:color w:val="auto"/>
                                <w:lang w:val="en-US"/>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14F39" id="Text Box 44" o:spid="_x0000_s1031" type="#_x0000_t202" style="position:absolute;left:0;text-align:left;margin-left:-3.55pt;margin-top:326.3pt;width:247.5pt;height:14.4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" stroked="f">
                <v:textbox inset="0,0,0,0">
                  <w:txbxContent>
                    <w:p w14:paraId="1ED3BB84" w14:textId="77777777" w:rsidR="00FC648F" w:rsidRPr="00770F42" w:rsidRDefault="00FC648F" w:rsidP="00085F16">
                      <w:pPr>
                        <w:pStyle w:val="Caption"/>
                        <w:rPr>
                          <w:rFonts w:eastAsiaTheme="minorHAnsi"/>
                          <w:noProof/>
                          <w:color w:val="auto"/>
                          <w:lang w:val="en-US"/>
                        </w:rPr>
                      </w:pPr>
                      <w:r>
                        <w:rPr>
                          <w:rFonts w:eastAsiaTheme="minorHAnsi"/>
                          <w:noProof/>
                          <w:color w:val="auto"/>
                          <w:lang w:val="en-US"/>
                        </w:rPr>
                        <w:t>Burimi:</w:t>
                      </w:r>
                      <w:r w:rsidRPr="00770F42">
                        <w:rPr>
                          <w:rFonts w:eastAsiaTheme="minorHAnsi"/>
                          <w:noProof/>
                          <w:color w:val="auto"/>
                          <w:lang w:val="en-US"/>
                        </w:rPr>
                        <w:t xml:space="preserve"> </w:t>
                      </w:r>
                      <w:r>
                        <w:rPr>
                          <w:rFonts w:eastAsiaTheme="minorHAnsi"/>
                          <w:noProof/>
                          <w:color w:val="auto"/>
                          <w:lang w:val="en-US"/>
                        </w:rPr>
                        <w:t xml:space="preserve">ASK dhe BQK </w:t>
                      </w:r>
                      <w:r w:rsidRPr="00770F42">
                        <w:rPr>
                          <w:rFonts w:eastAsiaTheme="minorHAnsi"/>
                          <w:noProof/>
                          <w:color w:val="auto"/>
                          <w:lang w:val="en-US"/>
                        </w:rPr>
                        <w:t>2019*</w:t>
                      </w:r>
                      <w:r>
                        <w:rPr>
                          <w:rFonts w:eastAsiaTheme="minorHAnsi"/>
                          <w:noProof/>
                          <w:color w:val="auto"/>
                          <w:lang w:val="en-US"/>
                        </w:rPr>
                        <w:t xml:space="preserve"> TM1-TM3</w:t>
                      </w:r>
                      <w:r w:rsidRPr="00770F42">
                        <w:rPr>
                          <w:rFonts w:eastAsiaTheme="minorHAnsi"/>
                          <w:noProof/>
                          <w:color w:val="auto"/>
                          <w:lang w:val="en-US"/>
                        </w:rPr>
                        <w:t xml:space="preserve"> </w:t>
                      </w:r>
                    </w:p>
                  </w:txbxContent>
                </v:textbox>
                <w10:wrap type="tight" anchorx="margin"/>
              </v:shape>
            </w:pict>
          </mc:Fallback>
        </mc:AlternateContent>
      </w:r>
      <w:r w:rsidRPr="00B922C3">
        <w:rPr>
          <w:rFonts w:ascii="Times New Roman" w:hAnsi="Times New Roman" w:cs="Times New Roman"/>
          <w:sz w:val="24"/>
          <w:szCs w:val="24"/>
        </w:rPr>
        <w:t>shteteve ku destinohen eksportet e  Kosovës, gjithashtu reflekton ndryshime përgjatë viteve. Pjesëmarrja e eksporteve të mallrave në BE ka vazhduar të rritet gjatë viteve, me një rritje më të konsiderueshme në vitin 2019. Në të njëjtën kohë, eksportet në vendet e CEFTA-s në vitin 2019 si pjesëmarrje në eksportet totale kanë rënë  në 39.7% nga 47.2 % në vitin 2018. Pritet që ekonomia e vendit të përfitojë  në periudhën afatmesme nga diversifikimi i përgjithshëm i strukturës së eksporteve të mallrave sepse kjo ndihmon që eksportet të jenë më të qëndrueshme.</w:t>
      </w:r>
      <w:r w:rsidRPr="00B922C3">
        <w:rPr>
          <w:rFonts w:ascii="Times New Roman" w:hAnsi="Times New Roman" w:cs="Times New Roman"/>
          <w:noProof/>
          <w:sz w:val="24"/>
          <w:szCs w:val="24"/>
        </w:rPr>
        <w:t xml:space="preserve"> </w:t>
      </w:r>
    </w:p>
    <w:p w14:paraId="59FFA333" w14:textId="77777777" w:rsidR="00085F16" w:rsidRPr="00B922C3" w:rsidRDefault="00085F16" w:rsidP="00085F16">
      <w:pPr>
        <w:spacing w:after="240" w:line="276" w:lineRule="auto"/>
        <w:jc w:val="both"/>
        <w:rPr>
          <w:rFonts w:ascii="Times New Roman" w:hAnsi="Times New Roman" w:cs="Times New Roman"/>
          <w:sz w:val="24"/>
          <w:szCs w:val="24"/>
        </w:rPr>
      </w:pPr>
      <w:r w:rsidRPr="00B922C3">
        <w:rPr>
          <w:rFonts w:ascii="Times New Roman" w:hAnsi="Times New Roman" w:cs="Times New Roman"/>
          <w:b/>
          <w:sz w:val="24"/>
          <w:szCs w:val="24"/>
        </w:rPr>
        <w:t>Eksporti i shërbimeve</w:t>
      </w:r>
      <w:r w:rsidRPr="00B922C3">
        <w:rPr>
          <w:rFonts w:ascii="Times New Roman" w:hAnsi="Times New Roman" w:cs="Times New Roman"/>
          <w:sz w:val="24"/>
          <w:szCs w:val="24"/>
        </w:rPr>
        <w:t xml:space="preserve"> për periudhën janar-gusht ishte 8.5% më i lartë në krahasim me të njëjtën periudhë të vitit 2018, kryesisht për shkak të shërbimeve më të larta të udhëtimit. Shërbimet e udhëtimit kontribuan me 6.0 (p.p.) dhe u rritën me 7.2% v-m-v; shërbimet kompjuterike, informatike dhe shërbimet telekomunikuese kontribuan me (0.6 p.p.) dhe u rrit me 21.2% v-m-v. Eksporti i shërbimeve për vitin 2019 pritet të arrijë në 1566 milion Euro dhe të regjistrojë një rritje vjetore prej 11.7%. Ndërsa gjatë periudhës afatmesme, eksporti i shërbimeve pritet të rritet me rreth 9.7%. Kjo rritje, e cila ndjek trendin historik të eksportit të shërbimeve, do të mbështetet kryesisht nga eksporti i shërbimeve të udhëtimit dhe shërbimeve të telekomunikimit.</w:t>
      </w:r>
    </w:p>
    <w:p w14:paraId="3F24B152" w14:textId="77777777" w:rsidR="00085F16" w:rsidRPr="00B922C3" w:rsidRDefault="00085F16" w:rsidP="00085F16">
      <w:pPr>
        <w:spacing w:after="240" w:line="276" w:lineRule="auto"/>
        <w:jc w:val="both"/>
        <w:rPr>
          <w:rFonts w:ascii="Times New Roman" w:hAnsi="Times New Roman" w:cs="Times New Roman"/>
          <w:sz w:val="24"/>
          <w:szCs w:val="24"/>
        </w:rPr>
      </w:pPr>
      <w:r w:rsidRPr="00B922C3">
        <w:rPr>
          <w:rFonts w:ascii="Times New Roman" w:hAnsi="Times New Roman" w:cs="Times New Roman"/>
          <w:b/>
          <w:sz w:val="24"/>
          <w:szCs w:val="24"/>
        </w:rPr>
        <w:t xml:space="preserve">Importi i mallrave </w:t>
      </w:r>
      <w:r w:rsidRPr="00B922C3">
        <w:rPr>
          <w:rFonts w:ascii="Times New Roman" w:hAnsi="Times New Roman" w:cs="Times New Roman"/>
          <w:sz w:val="24"/>
          <w:szCs w:val="24"/>
        </w:rPr>
        <w:t>në periudhën janar-gusht u rrit me 4.4% në krahasim me të njëjtën periudhë të vitit 2018. Kategoritë e mëposhtme kishin kontributin më të lartë në këto rritje; mjetet e transportit (1.6 p.p.) të cilat u rritën me 20.5%, v-m-v; produkte minerale (1.1 p.p.) të cilat u rritën me 7.4% v-m-v; dhe kafshë të gjalla dhe produkte blegtorale (0.6 p.p.) të cilat u rritën me 15.6 v-m-v. Nga ana tjetër, kategoria e "Makinerive, mjeteve, pajisjeve elektrike" kishtë rënie prej 6.8% në vit dhe pati një kontribut negativ prej 0.9 p.p.. Në të njëjtën kohë, struktura e importeve të mallrave nga vende të ndryshme dhe grupe vendesh ka qenë relativisht konstante ndër vite, me partnerët kryesorë që janë vendet anëtare të BE-së dhe CEFTA-s. Sidoqoftë, pjesëmarrja e importit të mallrave nga vendet e BE-së është rritur në vitin 2019, pavarësisht se kishte një pjesëmarrje konstante në të kaluarën; ndërsa importet nga vendet e CEFTA-s në vitin 2019 janë ulur ndjeshëm si një pjesë e importeve totale. Këto zhvillime janë pjesërisht për shkak të efektit të MSA-së por edhe për shkak të taksës për Serbinë dhe Bosnjë dhe Hercegovinën, e cila zhvendosi importet e Kosovës nga këto dy vende drejt importeve nga vendet e tjera. Importi i mallrave për vitin 2019 pritet të arrijë në 3,273 milion Euro dhe të ketë një rritje prej 5.4% në terma vjetorë. Gjatë periudhës afatmesme, importi i mallrave parashikohet të rritet me 7.4% duke ndjekur dinamikën e investimeve dhe konsumit.</w:t>
      </w:r>
    </w:p>
    <w:p w14:paraId="7DB36FCD" w14:textId="77777777" w:rsidR="00085F16" w:rsidRPr="00B922C3" w:rsidRDefault="00085F16" w:rsidP="00085F16">
      <w:pPr>
        <w:spacing w:after="240" w:line="276" w:lineRule="auto"/>
        <w:jc w:val="both"/>
        <w:rPr>
          <w:rFonts w:ascii="Times New Roman" w:hAnsi="Times New Roman" w:cs="Times New Roman"/>
          <w:sz w:val="24"/>
          <w:szCs w:val="24"/>
        </w:rPr>
      </w:pPr>
      <w:r w:rsidRPr="00B922C3">
        <w:rPr>
          <w:rFonts w:ascii="Times New Roman" w:hAnsi="Times New Roman" w:cs="Times New Roman"/>
          <w:b/>
          <w:sz w:val="24"/>
          <w:szCs w:val="24"/>
        </w:rPr>
        <w:t>Importi i shërbimeve</w:t>
      </w:r>
      <w:r w:rsidRPr="00B922C3">
        <w:rPr>
          <w:rFonts w:ascii="Times New Roman" w:hAnsi="Times New Roman" w:cs="Times New Roman"/>
          <w:sz w:val="24"/>
          <w:szCs w:val="24"/>
        </w:rPr>
        <w:t xml:space="preserve"> nga ana tjetër, ishte 4.3% më i lartë se ai i regjistruar në të njëjtën periudhë të vitit 2018. Importet e shërbimeve të udhëtimit kontribuan (4.1 p.p) dhe patën një rritje prej 8.8% v-m-v, dhe importi i shërbimeve të transportit (1.3 p.p.) ose 7.2% v-m-v. Ndërsa, shërbimet kompjuterike, informatike dhe shërbimet telekomunikuese shënuan rënie prej 26.4% në vit duke kontribuar negativisht me 2.0 p.p.. Importi i shërbimeve për vitin 2019 pritet të arrijë në Eur 682 milion dhe të regjistrojë 8.0% rritje në terma vjetorë. Gjatë periudhës afatmesme, importi i shërbimeve pritet të rritet me 8.0%, bazuar në performancën e shërbimeve të financuara nga donatorët dhe uljen e importit të shërbimeve të telekomunikimit.</w:t>
      </w:r>
    </w:p>
    <w:p w14:paraId="67D50395" w14:textId="77777777" w:rsidR="00085F16" w:rsidRPr="00B922C3" w:rsidRDefault="00085F16" w:rsidP="00085F16">
      <w:pPr>
        <w:spacing w:before="240" w:after="240" w:line="276" w:lineRule="auto"/>
        <w:jc w:val="both"/>
        <w:rPr>
          <w:rFonts w:ascii="Times New Roman" w:hAnsi="Times New Roman" w:cs="Times New Roman"/>
          <w:sz w:val="24"/>
          <w:szCs w:val="24"/>
        </w:rPr>
      </w:pPr>
      <w:r>
        <w:rPr>
          <w:noProof/>
          <w:lang w:val="en-US"/>
        </w:rPr>
        <w:drawing>
          <wp:anchor distT="0" distB="0" distL="114300" distR="114300" simplePos="0" relativeHeight="251680768" behindDoc="1" locked="0" layoutInCell="1" allowOverlap="1" wp14:anchorId="0B04A2C4" wp14:editId="4BE4F3DF">
            <wp:simplePos x="0" y="0"/>
            <wp:positionH relativeFrom="margin">
              <wp:align>left</wp:align>
            </wp:positionH>
            <wp:positionV relativeFrom="paragraph">
              <wp:posOffset>129540</wp:posOffset>
            </wp:positionV>
            <wp:extent cx="3943350" cy="2038350"/>
            <wp:effectExtent l="0" t="0" r="0" b="0"/>
            <wp:wrapTight wrapText="bothSides">
              <wp:wrapPolygon edited="0">
                <wp:start x="0" y="0"/>
                <wp:lineTo x="0" y="21398"/>
                <wp:lineTo x="21496" y="21398"/>
                <wp:lineTo x="21496"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70528" behindDoc="0" locked="0" layoutInCell="1" allowOverlap="1" wp14:anchorId="296C9478" wp14:editId="45888CFF">
                <wp:simplePos x="0" y="0"/>
                <wp:positionH relativeFrom="column">
                  <wp:posOffset>0</wp:posOffset>
                </wp:positionH>
                <wp:positionV relativeFrom="paragraph">
                  <wp:posOffset>0</wp:posOffset>
                </wp:positionV>
                <wp:extent cx="3350260" cy="174625"/>
                <wp:effectExtent l="0" t="0" r="2540" b="0"/>
                <wp:wrapSquare wrapText="bothSides"/>
                <wp:docPr id="26" name="Text Box 26"/>
                <wp:cNvGraphicFramePr/>
                <a:graphic xmlns:a="http://schemas.openxmlformats.org/drawingml/2006/main">
                  <a:graphicData uri="http://schemas.microsoft.com/office/word/2010/wordprocessingShape">
                    <wps:wsp>
                      <wps:cNvSpPr txBox="1"/>
                      <wps:spPr>
                        <a:xfrm>
                          <a:off x="0" y="0"/>
                          <a:ext cx="3350260" cy="174625"/>
                        </a:xfrm>
                        <a:prstGeom prst="rect">
                          <a:avLst/>
                        </a:prstGeom>
                        <a:solidFill>
                          <a:prstClr val="white"/>
                        </a:solidFill>
                        <a:ln>
                          <a:noFill/>
                        </a:ln>
                        <a:effectLst/>
                      </wps:spPr>
                      <wps:txbx>
                        <w:txbxContent>
                          <w:p w14:paraId="537B83FE" w14:textId="77777777" w:rsidR="00FC648F" w:rsidRPr="006621FC" w:rsidRDefault="00FC648F" w:rsidP="00085F16">
                            <w:pPr>
                              <w:pStyle w:val="Caption"/>
                              <w:keepNext/>
                              <w:spacing w:after="0" w:line="276" w:lineRule="auto"/>
                              <w:rPr>
                                <w:rFonts w:ascii="Times New Roman" w:hAnsi="Times New Roman"/>
                                <w:b/>
                                <w:i w:val="0"/>
                                <w:color w:val="auto"/>
                              </w:rPr>
                            </w:pPr>
                            <w:bookmarkStart w:id="67" w:name="_Toc25673460"/>
                            <w:r w:rsidRPr="006621FC">
                              <w:rPr>
                                <w:rFonts w:ascii="Times New Roman" w:hAnsi="Times New Roman"/>
                                <w:b/>
                                <w:i w:val="0"/>
                                <w:color w:val="auto"/>
                              </w:rPr>
                              <w:t xml:space="preserve">Grafiku </w:t>
                            </w:r>
                            <w:r w:rsidRPr="006621FC">
                              <w:rPr>
                                <w:rFonts w:ascii="Times New Roman" w:hAnsi="Times New Roman"/>
                                <w:b/>
                                <w:i w:val="0"/>
                                <w:color w:val="auto"/>
                              </w:rPr>
                              <w:fldChar w:fldCharType="begin"/>
                            </w:r>
                            <w:r w:rsidRPr="006621FC">
                              <w:rPr>
                                <w:rFonts w:ascii="Times New Roman" w:hAnsi="Times New Roman"/>
                                <w:b/>
                                <w:i w:val="0"/>
                                <w:color w:val="auto"/>
                              </w:rPr>
                              <w:instrText xml:space="preserve"> SEQ Grafiku \* ARABIC </w:instrText>
                            </w:r>
                            <w:r w:rsidRPr="006621FC">
                              <w:rPr>
                                <w:rFonts w:ascii="Times New Roman" w:hAnsi="Times New Roman"/>
                                <w:b/>
                                <w:i w:val="0"/>
                                <w:color w:val="auto"/>
                              </w:rPr>
                              <w:fldChar w:fldCharType="separate"/>
                            </w:r>
                            <w:r>
                              <w:rPr>
                                <w:rFonts w:ascii="Times New Roman" w:hAnsi="Times New Roman"/>
                                <w:b/>
                                <w:i w:val="0"/>
                                <w:noProof/>
                                <w:color w:val="auto"/>
                              </w:rPr>
                              <w:t>8</w:t>
                            </w:r>
                            <w:r w:rsidRPr="006621FC">
                              <w:rPr>
                                <w:rFonts w:ascii="Times New Roman" w:hAnsi="Times New Roman"/>
                                <w:b/>
                                <w:i w:val="0"/>
                                <w:color w:val="auto"/>
                              </w:rPr>
                              <w:fldChar w:fldCharType="end"/>
                            </w:r>
                            <w:r w:rsidRPr="006621FC">
                              <w:rPr>
                                <w:rFonts w:ascii="Times New Roman" w:hAnsi="Times New Roman"/>
                                <w:b/>
                                <w:i w:val="0"/>
                                <w:color w:val="auto"/>
                              </w:rPr>
                              <w:t xml:space="preserve"> Indeksi </w:t>
                            </w:r>
                            <w:r>
                              <w:rPr>
                                <w:rFonts w:ascii="Times New Roman" w:hAnsi="Times New Roman"/>
                                <w:b/>
                                <w:i w:val="0"/>
                                <w:color w:val="auto"/>
                              </w:rPr>
                              <w:t>i</w:t>
                            </w:r>
                            <w:r w:rsidRPr="006621FC">
                              <w:rPr>
                                <w:rFonts w:ascii="Times New Roman" w:hAnsi="Times New Roman"/>
                                <w:b/>
                                <w:i w:val="0"/>
                                <w:color w:val="auto"/>
                              </w:rPr>
                              <w:t xml:space="preserve"> Hapjes së Tregtisë</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6C9478" id="Text Box 26" o:spid="_x0000_s1032" type="#_x0000_t202" style="position:absolute;left:0;text-align:left;margin-left:0;margin-top:0;width:263.8pt;height:13.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" stroked="f">
                <v:textbox inset="0,0,0,0">
                  <w:txbxContent>
                    <w:p w14:paraId="537B83FE" w14:textId="77777777" w:rsidR="00FC648F" w:rsidRPr="006621FC" w:rsidRDefault="00FC648F" w:rsidP="00085F16">
                      <w:pPr>
                        <w:pStyle w:val="Caption"/>
                        <w:keepNext/>
                        <w:spacing w:after="0" w:line="276" w:lineRule="auto"/>
                        <w:rPr>
                          <w:rFonts w:ascii="Times New Roman" w:hAnsi="Times New Roman"/>
                          <w:b/>
                          <w:i w:val="0"/>
                          <w:color w:val="auto"/>
                        </w:rPr>
                      </w:pPr>
                      <w:bookmarkStart w:id="68" w:name="_Toc25673460"/>
                      <w:r w:rsidRPr="006621FC">
                        <w:rPr>
                          <w:rFonts w:ascii="Times New Roman" w:hAnsi="Times New Roman"/>
                          <w:b/>
                          <w:i w:val="0"/>
                          <w:color w:val="auto"/>
                        </w:rPr>
                        <w:t xml:space="preserve">Grafiku </w:t>
                      </w:r>
                      <w:r w:rsidRPr="006621FC">
                        <w:rPr>
                          <w:rFonts w:ascii="Times New Roman" w:hAnsi="Times New Roman"/>
                          <w:b/>
                          <w:i w:val="0"/>
                          <w:color w:val="auto"/>
                        </w:rPr>
                        <w:fldChar w:fldCharType="begin"/>
                      </w:r>
                      <w:r w:rsidRPr="006621FC">
                        <w:rPr>
                          <w:rFonts w:ascii="Times New Roman" w:hAnsi="Times New Roman"/>
                          <w:b/>
                          <w:i w:val="0"/>
                          <w:color w:val="auto"/>
                        </w:rPr>
                        <w:instrText xml:space="preserve"> SEQ Grafiku \* ARABIC </w:instrText>
                      </w:r>
                      <w:r w:rsidRPr="006621FC">
                        <w:rPr>
                          <w:rFonts w:ascii="Times New Roman" w:hAnsi="Times New Roman"/>
                          <w:b/>
                          <w:i w:val="0"/>
                          <w:color w:val="auto"/>
                        </w:rPr>
                        <w:fldChar w:fldCharType="separate"/>
                      </w:r>
                      <w:r>
                        <w:rPr>
                          <w:rFonts w:ascii="Times New Roman" w:hAnsi="Times New Roman"/>
                          <w:b/>
                          <w:i w:val="0"/>
                          <w:noProof/>
                          <w:color w:val="auto"/>
                        </w:rPr>
                        <w:t>8</w:t>
                      </w:r>
                      <w:r w:rsidRPr="006621FC">
                        <w:rPr>
                          <w:rFonts w:ascii="Times New Roman" w:hAnsi="Times New Roman"/>
                          <w:b/>
                          <w:i w:val="0"/>
                          <w:color w:val="auto"/>
                        </w:rPr>
                        <w:fldChar w:fldCharType="end"/>
                      </w:r>
                      <w:r w:rsidRPr="006621FC">
                        <w:rPr>
                          <w:rFonts w:ascii="Times New Roman" w:hAnsi="Times New Roman"/>
                          <w:b/>
                          <w:i w:val="0"/>
                          <w:color w:val="auto"/>
                        </w:rPr>
                        <w:t xml:space="preserve"> Indeksi </w:t>
                      </w:r>
                      <w:r>
                        <w:rPr>
                          <w:rFonts w:ascii="Times New Roman" w:hAnsi="Times New Roman"/>
                          <w:b/>
                          <w:i w:val="0"/>
                          <w:color w:val="auto"/>
                        </w:rPr>
                        <w:t>i</w:t>
                      </w:r>
                      <w:r w:rsidRPr="006621FC">
                        <w:rPr>
                          <w:rFonts w:ascii="Times New Roman" w:hAnsi="Times New Roman"/>
                          <w:b/>
                          <w:i w:val="0"/>
                          <w:color w:val="auto"/>
                        </w:rPr>
                        <w:t xml:space="preserve"> Hapjes së Tregtisë</w:t>
                      </w:r>
                      <w:bookmarkEnd w:id="68"/>
                    </w:p>
                  </w:txbxContent>
                </v:textbox>
                <w10:wrap type="square"/>
              </v:shape>
            </w:pict>
          </mc:Fallback>
        </mc:AlternateContent>
      </w:r>
      <w:r w:rsidRPr="007D5D03">
        <w:rPr>
          <w:noProof/>
          <w:lang w:val="en-US"/>
        </w:rPr>
        <mc:AlternateContent>
          <mc:Choice Requires="wps">
            <w:drawing>
              <wp:anchor distT="0" distB="0" distL="114300" distR="114300" simplePos="0" relativeHeight="251664384" behindDoc="1" locked="0" layoutInCell="1" allowOverlap="1" wp14:anchorId="2295DE77" wp14:editId="6A844E2C">
                <wp:simplePos x="0" y="0"/>
                <wp:positionH relativeFrom="margin">
                  <wp:posOffset>0</wp:posOffset>
                </wp:positionH>
                <wp:positionV relativeFrom="paragraph">
                  <wp:posOffset>2188155</wp:posOffset>
                </wp:positionV>
                <wp:extent cx="3364865" cy="212090"/>
                <wp:effectExtent l="0" t="0" r="6985" b="0"/>
                <wp:wrapTight wrapText="bothSides">
                  <wp:wrapPolygon edited="0">
                    <wp:start x="0" y="0"/>
                    <wp:lineTo x="0" y="19401"/>
                    <wp:lineTo x="21523" y="19401"/>
                    <wp:lineTo x="21523"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3364865" cy="212090"/>
                        </a:xfrm>
                        <a:prstGeom prst="rect">
                          <a:avLst/>
                        </a:prstGeom>
                        <a:solidFill>
                          <a:prstClr val="white"/>
                        </a:solidFill>
                        <a:ln>
                          <a:noFill/>
                        </a:ln>
                      </wps:spPr>
                      <wps:txbx>
                        <w:txbxContent>
                          <w:p w14:paraId="05D47200" w14:textId="77777777" w:rsidR="00FC648F" w:rsidRPr="00770F42" w:rsidRDefault="00FC648F" w:rsidP="00085F16">
                            <w:pPr>
                              <w:pStyle w:val="Caption"/>
                              <w:rPr>
                                <w:rFonts w:eastAsiaTheme="minorHAnsi"/>
                                <w:noProof/>
                                <w:color w:val="auto"/>
                                <w:lang w:val="en-US"/>
                              </w:rPr>
                            </w:pPr>
                            <w:r>
                              <w:rPr>
                                <w:rFonts w:eastAsiaTheme="minorHAnsi"/>
                                <w:noProof/>
                                <w:color w:val="auto"/>
                                <w:lang w:val="en-US"/>
                              </w:rPr>
                              <w:t>Source: World Bank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5DE77" id="Text Box 4" o:spid="_x0000_s1033" type="#_x0000_t202" style="position:absolute;left:0;text-align:left;margin-left:0;margin-top:172.3pt;width:264.95pt;height:16.7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" stroked="f">
                <v:textbox inset="0,0,0,0">
                  <w:txbxContent>
                    <w:p w14:paraId="05D47200" w14:textId="77777777" w:rsidR="00FC648F" w:rsidRPr="00770F42" w:rsidRDefault="00FC648F" w:rsidP="00085F16">
                      <w:pPr>
                        <w:pStyle w:val="Caption"/>
                        <w:rPr>
                          <w:rFonts w:eastAsiaTheme="minorHAnsi"/>
                          <w:noProof/>
                          <w:color w:val="auto"/>
                          <w:lang w:val="en-US"/>
                        </w:rPr>
                      </w:pPr>
                      <w:r>
                        <w:rPr>
                          <w:rFonts w:eastAsiaTheme="minorHAnsi"/>
                          <w:noProof/>
                          <w:color w:val="auto"/>
                          <w:lang w:val="en-US"/>
                        </w:rPr>
                        <w:t>Source: World Bank</w:t>
                      </w:r>
                    </w:p>
                  </w:txbxContent>
                </v:textbox>
                <w10:wrap type="tight" anchorx="margin"/>
              </v:shape>
            </w:pict>
          </mc:Fallback>
        </mc:AlternateContent>
      </w:r>
      <w:r w:rsidRPr="007D5D03">
        <w:rPr>
          <w:noProof/>
        </w:rPr>
        <w:t xml:space="preserve"> </w:t>
      </w:r>
      <w:r w:rsidRPr="00B922C3">
        <w:rPr>
          <w:rFonts w:ascii="Times New Roman" w:hAnsi="Times New Roman" w:cs="Times New Roman"/>
          <w:sz w:val="24"/>
          <w:szCs w:val="24"/>
        </w:rPr>
        <w:t>Në përgjithësi, pavarësisht se është një ekonomi e vogël e hapur me tregti të lirë, Kosova karakterizohet nga një h</w:t>
      </w:r>
      <w:r w:rsidRPr="00B922C3">
        <w:rPr>
          <w:rFonts w:ascii="Times New Roman" w:hAnsi="Times New Roman" w:cs="Times New Roman"/>
          <w:b/>
          <w:sz w:val="24"/>
          <w:szCs w:val="24"/>
        </w:rPr>
        <w:t>apje e ulët e tregtisë</w:t>
      </w:r>
      <w:r w:rsidRPr="00B922C3">
        <w:rPr>
          <w:rFonts w:ascii="Times New Roman" w:hAnsi="Times New Roman" w:cs="Times New Roman"/>
          <w:sz w:val="24"/>
          <w:szCs w:val="24"/>
        </w:rPr>
        <w:t xml:space="preserve"> </w:t>
      </w:r>
      <w:r w:rsidRPr="00B922C3">
        <w:rPr>
          <w:rStyle w:val="FootnoteReference"/>
          <w:rFonts w:ascii="Times New Roman" w:hAnsi="Times New Roman" w:cs="Times New Roman"/>
          <w:sz w:val="24"/>
          <w:szCs w:val="24"/>
        </w:rPr>
        <w:footnoteReference w:id="9"/>
      </w:r>
      <w:r w:rsidRPr="00B922C3">
        <w:rPr>
          <w:rFonts w:ascii="Times New Roman" w:hAnsi="Times New Roman" w:cs="Times New Roman"/>
          <w:sz w:val="24"/>
          <w:szCs w:val="24"/>
        </w:rPr>
        <w:t xml:space="preserve">në krahasim me vendet fqinje. Kjo kryesisht për shkak se, ndërsa niveli i importit vazhdon të jetë i lartë, eksporti mbetet i ulët, që paraqet një nga sfidat kryesore strukturore me të cilat përballet ekonomia e Kosovës. Sidoqoftë, gjatë tre viteve të fundit ekonomia e Kosovës ka përjetuar një nivel më të lartë të hapjes së tregtisë. Ndryshimet e fundit të politikës tatimore për të stimuluar prodhimin e brendshëm dhe zbatimin e mëtutjeshëm të MSA-së pritet të rrisin eksportet dhe të heqin më tej barrierat tregtare. </w:t>
      </w:r>
    </w:p>
    <w:p w14:paraId="71F74B8F" w14:textId="77777777" w:rsidR="00085F16" w:rsidRPr="00B922C3" w:rsidRDefault="00085F16" w:rsidP="00085F16">
      <w:pPr>
        <w:spacing w:before="240" w:after="240" w:line="276" w:lineRule="auto"/>
        <w:jc w:val="both"/>
        <w:rPr>
          <w:rFonts w:ascii="Times New Roman" w:hAnsi="Times New Roman" w:cs="Times New Roman"/>
          <w:sz w:val="24"/>
          <w:szCs w:val="24"/>
        </w:rPr>
      </w:pPr>
      <w:r w:rsidRPr="00B922C3">
        <w:rPr>
          <w:rFonts w:ascii="Times New Roman" w:hAnsi="Times New Roman" w:cs="Times New Roman"/>
          <w:b/>
          <w:sz w:val="24"/>
          <w:szCs w:val="24"/>
        </w:rPr>
        <w:t>Bilanci i të ardhurave primare</w:t>
      </w:r>
      <w:r w:rsidRPr="00B922C3">
        <w:rPr>
          <w:rFonts w:ascii="Times New Roman" w:hAnsi="Times New Roman" w:cs="Times New Roman"/>
          <w:sz w:val="24"/>
          <w:szCs w:val="24"/>
        </w:rPr>
        <w:t xml:space="preserve"> për periudhën janar-gusht 2019 është rritur ndjeshëm me rreth 73%, duke arritur një vlerë prej Eur 115.5 milion krahasuar me 66.8 milion në të njëjtën periudhë të 2018, kryesisht si rezultat i të ardhurave më të larta nga kategoria e kompensimit të punëtorëve, e cila u rrit me 8.8% në krahasim me të njëjtën periudhë të vitit 2018. Të ardhurat primare për vitin 2019 pritet të regjistrojnë një vlerë prej Eur 176.6 milion ose 56.1% më të lartë se në vitin 2018. Kjo rritje pritet të kontribuojë në një bilanc të përmirësuar të llogarisë rrjedhëse për vitin 2019. </w:t>
      </w:r>
      <w:r w:rsidRPr="00B922C3">
        <w:rPr>
          <w:rFonts w:ascii="Times New Roman" w:hAnsi="Times New Roman" w:cs="Times New Roman"/>
          <w:b/>
          <w:sz w:val="24"/>
          <w:szCs w:val="24"/>
        </w:rPr>
        <w:t>Bilanci i të ardhurave sekondare</w:t>
      </w:r>
      <w:r w:rsidRPr="00B922C3">
        <w:rPr>
          <w:rFonts w:ascii="Times New Roman" w:hAnsi="Times New Roman" w:cs="Times New Roman"/>
          <w:sz w:val="24"/>
          <w:szCs w:val="24"/>
        </w:rPr>
        <w:t xml:space="preserve"> për janar-gusht 2019 arriti në 841.8 milion €, që është 2.2% më i lartë se bilanci në të njëjtën periudhë të një viti më parë. Kjo rritje i atribuohet kryesisht përmirësimit të bilancit të remitencave (8.4%, v-m-v). Të ardhurat sekondare për vitin 2019 pritet të regjistrojnë një vlerë prej Eur 1,316 milion ose 4.4% më të lartë se në vitin 2018. Për periudhën afatmesme, bilanci i të ardhurave primare pritet të rritet me 3.7% mesatarisht, kryesisht për shkak të ardhurave nga kategoria e kompensimit të punëtorëve. Bilanci i të ardhurave dytësore për periudhën afatmesme pritet të rritet mesatarisht me 4.8%, i nxitur kryesisht nga remitancat. Këto dy komponentë janë kryesisht burime të qëndrueshme të financimit dhe pjesëmarrja e tyre në BPV (rreth 21.5%) pritet të ruajë një nivel të ngjashëm në planin afatmesëm.</w:t>
      </w:r>
      <w:r w:rsidRPr="00FC648F">
        <w:rPr>
          <w:rFonts w:ascii="Times New Roman" w:hAnsi="Times New Roman" w:cs="Times New Roman"/>
          <w:noProof/>
          <w:sz w:val="24"/>
          <w:szCs w:val="24"/>
        </w:rPr>
        <w:t xml:space="preserve"> </w:t>
      </w:r>
    </w:p>
    <w:p w14:paraId="371AA463" w14:textId="77777777" w:rsidR="00085F16" w:rsidRPr="009053CA" w:rsidRDefault="00085F16" w:rsidP="00802FB3">
      <w:pPr>
        <w:pStyle w:val="ERPL3"/>
        <w:numPr>
          <w:ilvl w:val="3"/>
          <w:numId w:val="86"/>
        </w:numPr>
        <w:rPr>
          <w:rFonts w:ascii="Times New Roman" w:hAnsi="Times New Roman"/>
          <w:i w:val="0"/>
          <w:iCs/>
        </w:rPr>
      </w:pPr>
      <w:bookmarkStart w:id="69" w:name="_Toc25873724"/>
      <w:r>
        <w:rPr>
          <w:noProof/>
          <w:lang w:val="en-US"/>
        </w:rPr>
        <w:drawing>
          <wp:anchor distT="0" distB="0" distL="114300" distR="114300" simplePos="0" relativeHeight="251676672" behindDoc="0" locked="0" layoutInCell="1" allowOverlap="1" wp14:anchorId="70B7F11B" wp14:editId="5BA99410">
            <wp:simplePos x="0" y="0"/>
            <wp:positionH relativeFrom="margin">
              <wp:align>right</wp:align>
            </wp:positionH>
            <wp:positionV relativeFrom="paragraph">
              <wp:posOffset>475397</wp:posOffset>
            </wp:positionV>
            <wp:extent cx="5732145" cy="2772410"/>
            <wp:effectExtent l="0" t="0" r="1905" b="8890"/>
            <wp:wrapSquare wrapText="bothSides"/>
            <wp:docPr id="15" name="Chart 1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2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Pr="009E40A0">
        <w:rPr>
          <w:rFonts w:ascii="Times New Roman" w:hAnsi="Times New Roman"/>
          <w:i w:val="0"/>
          <w:iCs/>
          <w:noProof/>
          <w:lang w:val="en-US"/>
        </w:rPr>
        <mc:AlternateContent>
          <mc:Choice Requires="wps">
            <w:drawing>
              <wp:anchor distT="0" distB="0" distL="114300" distR="114300" simplePos="0" relativeHeight="251671552" behindDoc="0" locked="0" layoutInCell="1" allowOverlap="1" wp14:anchorId="13A22260" wp14:editId="4E0D7A51">
                <wp:simplePos x="0" y="0"/>
                <wp:positionH relativeFrom="margin">
                  <wp:align>right</wp:align>
                </wp:positionH>
                <wp:positionV relativeFrom="paragraph">
                  <wp:posOffset>299720</wp:posOffset>
                </wp:positionV>
                <wp:extent cx="5732145" cy="166370"/>
                <wp:effectExtent l="0" t="0" r="1905" b="5080"/>
                <wp:wrapSquare wrapText="bothSides"/>
                <wp:docPr id="27" name="Text Box 27"/>
                <wp:cNvGraphicFramePr/>
                <a:graphic xmlns:a="http://schemas.openxmlformats.org/drawingml/2006/main">
                  <a:graphicData uri="http://schemas.microsoft.com/office/word/2010/wordprocessingShape">
                    <wps:wsp>
                      <wps:cNvSpPr txBox="1"/>
                      <wps:spPr>
                        <a:xfrm>
                          <a:off x="0" y="0"/>
                          <a:ext cx="5732145" cy="166370"/>
                        </a:xfrm>
                        <a:prstGeom prst="rect">
                          <a:avLst/>
                        </a:prstGeom>
                        <a:solidFill>
                          <a:prstClr val="white"/>
                        </a:solidFill>
                        <a:ln>
                          <a:noFill/>
                        </a:ln>
                        <a:effectLst/>
                      </wps:spPr>
                      <wps:txbx>
                        <w:txbxContent>
                          <w:p w14:paraId="4D67CA6B" w14:textId="77777777" w:rsidR="00FC648F" w:rsidRPr="00432C5B" w:rsidRDefault="00FC648F" w:rsidP="00085F16">
                            <w:pPr>
                              <w:pStyle w:val="Caption"/>
                              <w:rPr>
                                <w:rFonts w:ascii="Times New Roman" w:hAnsi="Times New Roman"/>
                                <w:b/>
                                <w:i w:val="0"/>
                                <w:color w:val="auto"/>
                              </w:rPr>
                            </w:pPr>
                            <w:bookmarkStart w:id="70" w:name="_Toc25673461"/>
                            <w:r w:rsidRPr="00432C5B">
                              <w:rPr>
                                <w:rFonts w:ascii="Times New Roman" w:hAnsi="Times New Roman"/>
                                <w:b/>
                                <w:i w:val="0"/>
                                <w:color w:val="auto"/>
                              </w:rPr>
                              <w:t xml:space="preserve">Grafiku </w:t>
                            </w:r>
                            <w:r w:rsidRPr="00432C5B">
                              <w:rPr>
                                <w:rFonts w:ascii="Times New Roman" w:hAnsi="Times New Roman"/>
                                <w:b/>
                                <w:i w:val="0"/>
                                <w:color w:val="auto"/>
                              </w:rPr>
                              <w:fldChar w:fldCharType="begin"/>
                            </w:r>
                            <w:r w:rsidRPr="00432C5B">
                              <w:rPr>
                                <w:rFonts w:ascii="Times New Roman" w:hAnsi="Times New Roman"/>
                                <w:b/>
                                <w:i w:val="0"/>
                                <w:color w:val="auto"/>
                              </w:rPr>
                              <w:instrText xml:space="preserve"> SEQ Grafiku \* ARABIC </w:instrText>
                            </w:r>
                            <w:r w:rsidRPr="00432C5B">
                              <w:rPr>
                                <w:rFonts w:ascii="Times New Roman" w:hAnsi="Times New Roman"/>
                                <w:b/>
                                <w:i w:val="0"/>
                                <w:color w:val="auto"/>
                              </w:rPr>
                              <w:fldChar w:fldCharType="separate"/>
                            </w:r>
                            <w:r>
                              <w:rPr>
                                <w:rFonts w:ascii="Times New Roman" w:hAnsi="Times New Roman"/>
                                <w:b/>
                                <w:i w:val="0"/>
                                <w:noProof/>
                                <w:color w:val="auto"/>
                              </w:rPr>
                              <w:t>9</w:t>
                            </w:r>
                            <w:r w:rsidRPr="00432C5B">
                              <w:rPr>
                                <w:rFonts w:ascii="Times New Roman" w:hAnsi="Times New Roman"/>
                                <w:b/>
                                <w:i w:val="0"/>
                                <w:color w:val="auto"/>
                              </w:rPr>
                              <w:fldChar w:fldCharType="end"/>
                            </w:r>
                            <w:r w:rsidRPr="00432C5B">
                              <w:rPr>
                                <w:rFonts w:ascii="Times New Roman" w:hAnsi="Times New Roman"/>
                                <w:b/>
                                <w:i w:val="0"/>
                                <w:color w:val="auto"/>
                              </w:rPr>
                              <w:t xml:space="preserve"> </w:t>
                            </w:r>
                            <w:r>
                              <w:rPr>
                                <w:rFonts w:ascii="Times New Roman" w:hAnsi="Times New Roman"/>
                                <w:b/>
                                <w:i w:val="0"/>
                                <w:color w:val="auto"/>
                              </w:rPr>
                              <w:t>Komponentët e Llogarisë Financiare, % e BPV-së</w:t>
                            </w:r>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A22260" id="Text Box 27" o:spid="_x0000_s1034" type="#_x0000_t202" style="position:absolute;left:0;text-align:left;margin-left:400.15pt;margin-top:23.6pt;width:451.35pt;height:13.1pt;z-index:2516715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" stroked="f">
                <v:textbox inset="0,0,0,0">
                  <w:txbxContent>
                    <w:p w14:paraId="4D67CA6B" w14:textId="77777777" w:rsidR="00FC648F" w:rsidRPr="00432C5B" w:rsidRDefault="00FC648F" w:rsidP="00085F16">
                      <w:pPr>
                        <w:pStyle w:val="Caption"/>
                        <w:rPr>
                          <w:rFonts w:ascii="Times New Roman" w:hAnsi="Times New Roman"/>
                          <w:b/>
                          <w:i w:val="0"/>
                          <w:color w:val="auto"/>
                        </w:rPr>
                      </w:pPr>
                      <w:bookmarkStart w:id="71" w:name="_Toc25673461"/>
                      <w:r w:rsidRPr="00432C5B">
                        <w:rPr>
                          <w:rFonts w:ascii="Times New Roman" w:hAnsi="Times New Roman"/>
                          <w:b/>
                          <w:i w:val="0"/>
                          <w:color w:val="auto"/>
                        </w:rPr>
                        <w:t xml:space="preserve">Grafiku </w:t>
                      </w:r>
                      <w:r w:rsidRPr="00432C5B">
                        <w:rPr>
                          <w:rFonts w:ascii="Times New Roman" w:hAnsi="Times New Roman"/>
                          <w:b/>
                          <w:i w:val="0"/>
                          <w:color w:val="auto"/>
                        </w:rPr>
                        <w:fldChar w:fldCharType="begin"/>
                      </w:r>
                      <w:r w:rsidRPr="00432C5B">
                        <w:rPr>
                          <w:rFonts w:ascii="Times New Roman" w:hAnsi="Times New Roman"/>
                          <w:b/>
                          <w:i w:val="0"/>
                          <w:color w:val="auto"/>
                        </w:rPr>
                        <w:instrText xml:space="preserve"> SEQ Grafiku \* ARABIC </w:instrText>
                      </w:r>
                      <w:r w:rsidRPr="00432C5B">
                        <w:rPr>
                          <w:rFonts w:ascii="Times New Roman" w:hAnsi="Times New Roman"/>
                          <w:b/>
                          <w:i w:val="0"/>
                          <w:color w:val="auto"/>
                        </w:rPr>
                        <w:fldChar w:fldCharType="separate"/>
                      </w:r>
                      <w:r>
                        <w:rPr>
                          <w:rFonts w:ascii="Times New Roman" w:hAnsi="Times New Roman"/>
                          <w:b/>
                          <w:i w:val="0"/>
                          <w:noProof/>
                          <w:color w:val="auto"/>
                        </w:rPr>
                        <w:t>9</w:t>
                      </w:r>
                      <w:r w:rsidRPr="00432C5B">
                        <w:rPr>
                          <w:rFonts w:ascii="Times New Roman" w:hAnsi="Times New Roman"/>
                          <w:b/>
                          <w:i w:val="0"/>
                          <w:color w:val="auto"/>
                        </w:rPr>
                        <w:fldChar w:fldCharType="end"/>
                      </w:r>
                      <w:r w:rsidRPr="00432C5B">
                        <w:rPr>
                          <w:rFonts w:ascii="Times New Roman" w:hAnsi="Times New Roman"/>
                          <w:b/>
                          <w:i w:val="0"/>
                          <w:color w:val="auto"/>
                        </w:rPr>
                        <w:t xml:space="preserve"> </w:t>
                      </w:r>
                      <w:r>
                        <w:rPr>
                          <w:rFonts w:ascii="Times New Roman" w:hAnsi="Times New Roman"/>
                          <w:b/>
                          <w:i w:val="0"/>
                          <w:color w:val="auto"/>
                        </w:rPr>
                        <w:t>Komponentët e Llogarisë Financiare, % e BPV-së</w:t>
                      </w:r>
                      <w:bookmarkEnd w:id="71"/>
                    </w:p>
                  </w:txbxContent>
                </v:textbox>
                <w10:wrap type="square" anchorx="margin"/>
              </v:shape>
            </w:pict>
          </mc:Fallback>
        </mc:AlternateContent>
      </w:r>
      <w:r w:rsidRPr="009053CA">
        <w:rPr>
          <w:rFonts w:ascii="Times New Roman" w:hAnsi="Times New Roman"/>
          <w:i w:val="0"/>
          <w:iCs/>
          <w:lang w:val="en-US"/>
        </w:rPr>
        <w:t>Llogaria Financiare</w:t>
      </w:r>
      <w:bookmarkEnd w:id="69"/>
    </w:p>
    <w:p w14:paraId="14213220" w14:textId="77777777" w:rsidR="00085F16" w:rsidRPr="00B922C3" w:rsidRDefault="00085F16" w:rsidP="00085F16">
      <w:pPr>
        <w:spacing w:before="240" w:after="120" w:line="276" w:lineRule="auto"/>
        <w:jc w:val="both"/>
        <w:rPr>
          <w:rFonts w:ascii="Times New Roman" w:hAnsi="Times New Roman" w:cs="Times New Roman"/>
          <w:sz w:val="24"/>
          <w:szCs w:val="24"/>
        </w:rPr>
      </w:pPr>
      <w:r w:rsidRPr="00B922C3">
        <w:rPr>
          <w:rFonts w:ascii="Times New Roman" w:hAnsi="Times New Roman" w:cs="Times New Roman"/>
          <w:sz w:val="24"/>
          <w:szCs w:val="24"/>
        </w:rPr>
        <w:t>Deri në gusht të vitit 2019, hyrjet totale të IHD-ve arritën rreth 199.2 milion euro. Në krahasim me të njëjtën periudhë të vitit të kaluar, IHD-të u rritën me 22.9%. Investimet direkte jashtë vendit u rritën me 6.5 milion Euro në këtë periudhë. Portfolio investimet në asetet e huaja u ulën me 59.5 milion Euro gjatë periudhës janar-gusht 2019 ndërsa portfolio investimet në Kosovë mbetën zero. Aktivet e investimeve tjera u ulën me 31 milion Euro dhe detyrimet e investimeve tjera u rritën me 92 milion Euro në të njëjtën periudhë të vitit 2019, kryesisht për shkak të kredive. Investimet e Huaja Direkte vazhdojnë të përbëjnë pjesën më të madhe në detyrimet e llogarisë financiare, rreth 68.3% për periudhën janar-gusht të vitit 2019, 75.2% në fund të vitit 2018 dhe 55.4% në fund të vitit në 2017. Si të tilla, IHD-të shihen si një burim i qëndrueshëm financimi pasi që kanë aftësi më të mira për ndarjen e rrezikut dhe janë më të përshtatshme për stabilitetin makro. Sidoqoftë, duhet të theksohet se rreth 75.7% e IHD-ve totale gjatë periudhës janar-gusht 2019 ishin në pasuri të patundshme. Ndërsa, ndërmjetësimi financiar vijon si absorbuesi i dytë më i madh i IHD-ve, që përbën 12.2% të totalit të IHD-ve. Në përgjithësi, hyrjet e kapitalit në sektorin jo të tregtueshëm (të tilla si aktivitetet e pasurive të patundshme, marrja me qira, dhe ndërmjetësimi financiar) janë më të prirura për krijimin e brishtësisë financiare përmes mospërputhjeve të bilancit pasi sektorë të tillë janë të vështirë për të krijuar të ardhura nga eksporti. Megjithatë, IHD-të si komponenti më i madh i detyrimeve të llogarisë financiare janë më të qëndrushme dhe nuk krijojnë borxh për vendin.</w:t>
      </w:r>
    </w:p>
    <w:p w14:paraId="588CA607" w14:textId="77777777" w:rsidR="00085F16" w:rsidRPr="00FC648F" w:rsidRDefault="00085F16" w:rsidP="00085F16">
      <w:pPr>
        <w:pStyle w:val="Caption"/>
        <w:spacing w:before="240" w:after="120" w:line="276" w:lineRule="auto"/>
        <w:jc w:val="both"/>
        <w:rPr>
          <w:rFonts w:ascii="Times New Roman" w:hAnsi="Times New Roman"/>
          <w:i w:val="0"/>
          <w:color w:val="auto"/>
          <w:sz w:val="24"/>
          <w:szCs w:val="24"/>
          <w:lang w:val="sq-AL"/>
        </w:rPr>
      </w:pPr>
      <w:r w:rsidRPr="00B922C3">
        <w:rPr>
          <w:rFonts w:ascii="Times New Roman" w:hAnsi="Times New Roman"/>
          <w:noProof/>
          <w:lang w:val="en-US"/>
        </w:rPr>
        <w:drawing>
          <wp:anchor distT="0" distB="0" distL="114300" distR="114300" simplePos="0" relativeHeight="251677696" behindDoc="0" locked="0" layoutInCell="1" allowOverlap="1" wp14:anchorId="761A4D2A" wp14:editId="6A0F38FE">
            <wp:simplePos x="0" y="0"/>
            <wp:positionH relativeFrom="margin">
              <wp:align>left</wp:align>
            </wp:positionH>
            <wp:positionV relativeFrom="paragraph">
              <wp:posOffset>774255</wp:posOffset>
            </wp:positionV>
            <wp:extent cx="3427200" cy="1915200"/>
            <wp:effectExtent l="0" t="0" r="1905" b="8890"/>
            <wp:wrapSquare wrapText="bothSides"/>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Pr="00B922C3">
        <w:rPr>
          <w:rFonts w:ascii="Times New Roman" w:hAnsi="Times New Roman"/>
          <w:i w:val="0"/>
          <w:noProof/>
          <w:color w:val="auto"/>
          <w:sz w:val="24"/>
          <w:szCs w:val="24"/>
          <w:lang w:val="en-US"/>
        </w:rPr>
        <mc:AlternateContent>
          <mc:Choice Requires="wps">
            <w:drawing>
              <wp:anchor distT="0" distB="0" distL="114300" distR="114300" simplePos="0" relativeHeight="251673600" behindDoc="0" locked="0" layoutInCell="1" allowOverlap="1" wp14:anchorId="650A6879" wp14:editId="5B56E1FE">
                <wp:simplePos x="0" y="0"/>
                <wp:positionH relativeFrom="margin">
                  <wp:align>left</wp:align>
                </wp:positionH>
                <wp:positionV relativeFrom="paragraph">
                  <wp:posOffset>608965</wp:posOffset>
                </wp:positionV>
                <wp:extent cx="3426460" cy="174625"/>
                <wp:effectExtent l="0" t="0" r="2540" b="0"/>
                <wp:wrapSquare wrapText="bothSides"/>
                <wp:docPr id="30" name="Text Box 30"/>
                <wp:cNvGraphicFramePr/>
                <a:graphic xmlns:a="http://schemas.openxmlformats.org/drawingml/2006/main">
                  <a:graphicData uri="http://schemas.microsoft.com/office/word/2010/wordprocessingShape">
                    <wps:wsp>
                      <wps:cNvSpPr txBox="1"/>
                      <wps:spPr>
                        <a:xfrm>
                          <a:off x="0" y="0"/>
                          <a:ext cx="3426460" cy="174625"/>
                        </a:xfrm>
                        <a:prstGeom prst="rect">
                          <a:avLst/>
                        </a:prstGeom>
                        <a:solidFill>
                          <a:prstClr val="white"/>
                        </a:solidFill>
                        <a:ln>
                          <a:noFill/>
                        </a:ln>
                        <a:effectLst/>
                      </wps:spPr>
                      <wps:txbx>
                        <w:txbxContent>
                          <w:p w14:paraId="5E24A582" w14:textId="77777777" w:rsidR="00FC648F" w:rsidRPr="00432C5B" w:rsidRDefault="00FC648F" w:rsidP="00085F16">
                            <w:pPr>
                              <w:pStyle w:val="Caption"/>
                              <w:spacing w:after="0"/>
                              <w:rPr>
                                <w:rFonts w:ascii="Times New Roman" w:hAnsi="Times New Roman"/>
                                <w:b/>
                                <w:i w:val="0"/>
                                <w:color w:val="auto"/>
                              </w:rPr>
                            </w:pPr>
                            <w:bookmarkStart w:id="72" w:name="_Toc25673462"/>
                            <w:r w:rsidRPr="00432C5B">
                              <w:rPr>
                                <w:rFonts w:ascii="Times New Roman" w:hAnsi="Times New Roman"/>
                                <w:b/>
                                <w:i w:val="0"/>
                                <w:color w:val="auto"/>
                              </w:rPr>
                              <w:t xml:space="preserve">Grafiku </w:t>
                            </w:r>
                            <w:r w:rsidRPr="00432C5B">
                              <w:rPr>
                                <w:rFonts w:ascii="Times New Roman" w:hAnsi="Times New Roman"/>
                                <w:b/>
                                <w:i w:val="0"/>
                                <w:color w:val="auto"/>
                              </w:rPr>
                              <w:fldChar w:fldCharType="begin"/>
                            </w:r>
                            <w:r w:rsidRPr="00432C5B">
                              <w:rPr>
                                <w:rFonts w:ascii="Times New Roman" w:hAnsi="Times New Roman"/>
                                <w:b/>
                                <w:i w:val="0"/>
                                <w:color w:val="auto"/>
                              </w:rPr>
                              <w:instrText xml:space="preserve"> SEQ Grafiku \* ARABIC </w:instrText>
                            </w:r>
                            <w:r w:rsidRPr="00432C5B">
                              <w:rPr>
                                <w:rFonts w:ascii="Times New Roman" w:hAnsi="Times New Roman"/>
                                <w:b/>
                                <w:i w:val="0"/>
                                <w:color w:val="auto"/>
                              </w:rPr>
                              <w:fldChar w:fldCharType="separate"/>
                            </w:r>
                            <w:r>
                              <w:rPr>
                                <w:rFonts w:ascii="Times New Roman" w:hAnsi="Times New Roman"/>
                                <w:b/>
                                <w:i w:val="0"/>
                                <w:noProof/>
                                <w:color w:val="auto"/>
                              </w:rPr>
                              <w:t>10</w:t>
                            </w:r>
                            <w:r w:rsidRPr="00432C5B">
                              <w:rPr>
                                <w:rFonts w:ascii="Times New Roman" w:hAnsi="Times New Roman"/>
                                <w:b/>
                                <w:i w:val="0"/>
                                <w:color w:val="auto"/>
                              </w:rPr>
                              <w:fldChar w:fldCharType="end"/>
                            </w:r>
                            <w:r>
                              <w:rPr>
                                <w:rFonts w:ascii="Times New Roman" w:hAnsi="Times New Roman"/>
                                <w:b/>
                                <w:i w:val="0"/>
                                <w:color w:val="auto"/>
                              </w:rPr>
                              <w:t xml:space="preserve"> Pozicioni i Investimeve Ndërkombëtare Net</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0A6879" id="Text Box 30" o:spid="_x0000_s1035" type="#_x0000_t202" style="position:absolute;left:0;text-align:left;margin-left:0;margin-top:47.95pt;width:269.8pt;height:13.75pt;z-index:2516736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" stroked="f">
                <v:textbox inset="0,0,0,0">
                  <w:txbxContent>
                    <w:p w14:paraId="5E24A582" w14:textId="77777777" w:rsidR="00FC648F" w:rsidRPr="00432C5B" w:rsidRDefault="00FC648F" w:rsidP="00085F16">
                      <w:pPr>
                        <w:pStyle w:val="Caption"/>
                        <w:spacing w:after="0"/>
                        <w:rPr>
                          <w:rFonts w:ascii="Times New Roman" w:hAnsi="Times New Roman"/>
                          <w:b/>
                          <w:i w:val="0"/>
                          <w:color w:val="auto"/>
                        </w:rPr>
                      </w:pPr>
                      <w:bookmarkStart w:id="73" w:name="_Toc25673462"/>
                      <w:r w:rsidRPr="00432C5B">
                        <w:rPr>
                          <w:rFonts w:ascii="Times New Roman" w:hAnsi="Times New Roman"/>
                          <w:b/>
                          <w:i w:val="0"/>
                          <w:color w:val="auto"/>
                        </w:rPr>
                        <w:t xml:space="preserve">Grafiku </w:t>
                      </w:r>
                      <w:r w:rsidRPr="00432C5B">
                        <w:rPr>
                          <w:rFonts w:ascii="Times New Roman" w:hAnsi="Times New Roman"/>
                          <w:b/>
                          <w:i w:val="0"/>
                          <w:color w:val="auto"/>
                        </w:rPr>
                        <w:fldChar w:fldCharType="begin"/>
                      </w:r>
                      <w:r w:rsidRPr="00432C5B">
                        <w:rPr>
                          <w:rFonts w:ascii="Times New Roman" w:hAnsi="Times New Roman"/>
                          <w:b/>
                          <w:i w:val="0"/>
                          <w:color w:val="auto"/>
                        </w:rPr>
                        <w:instrText xml:space="preserve"> SEQ Grafiku \* ARABIC </w:instrText>
                      </w:r>
                      <w:r w:rsidRPr="00432C5B">
                        <w:rPr>
                          <w:rFonts w:ascii="Times New Roman" w:hAnsi="Times New Roman"/>
                          <w:b/>
                          <w:i w:val="0"/>
                          <w:color w:val="auto"/>
                        </w:rPr>
                        <w:fldChar w:fldCharType="separate"/>
                      </w:r>
                      <w:r>
                        <w:rPr>
                          <w:rFonts w:ascii="Times New Roman" w:hAnsi="Times New Roman"/>
                          <w:b/>
                          <w:i w:val="0"/>
                          <w:noProof/>
                          <w:color w:val="auto"/>
                        </w:rPr>
                        <w:t>10</w:t>
                      </w:r>
                      <w:r w:rsidRPr="00432C5B">
                        <w:rPr>
                          <w:rFonts w:ascii="Times New Roman" w:hAnsi="Times New Roman"/>
                          <w:b/>
                          <w:i w:val="0"/>
                          <w:color w:val="auto"/>
                        </w:rPr>
                        <w:fldChar w:fldCharType="end"/>
                      </w:r>
                      <w:r>
                        <w:rPr>
                          <w:rFonts w:ascii="Times New Roman" w:hAnsi="Times New Roman"/>
                          <w:b/>
                          <w:i w:val="0"/>
                          <w:color w:val="auto"/>
                        </w:rPr>
                        <w:t xml:space="preserve"> Pozicioni i Investimeve Ndërkombëtare Net</w:t>
                      </w:r>
                      <w:bookmarkEnd w:id="73"/>
                    </w:p>
                  </w:txbxContent>
                </v:textbox>
                <w10:wrap type="square" anchorx="margin"/>
              </v:shape>
            </w:pict>
          </mc:Fallback>
        </mc:AlternateContent>
      </w:r>
      <w:r w:rsidRPr="00FC648F">
        <w:rPr>
          <w:rFonts w:ascii="Times New Roman" w:hAnsi="Times New Roman"/>
          <w:i w:val="0"/>
          <w:color w:val="auto"/>
          <w:sz w:val="24"/>
          <w:szCs w:val="24"/>
          <w:lang w:val="sq-AL"/>
        </w:rPr>
        <w:t>Pozicioni i Investimeve Ndërkombëtare (IIP) pasqyron stokun e aktiveve dhe detyrimeve deri në tremujorin e dytë të 2019, ky pozicion arriti bilancin neto të pozicionit të investimeve ndërkombëtare (IIP) prej -452.4 milion euro. Në strukturën e aseteve mbizotërojnë investimet e tjera që përbëjnë 37.5% të aktiveve, e ndjekur nga portfolio investimet, të cilat përbëjnë rreth 34.5% të aktiveve, dhe investimet direkte me 7.5%. Nga ana tjetër, investimet e huaja direkte vazhdojnë të jenë kategoria më e madhe brenda detyrimeve, duke përbërë rreth 71% të gjithsej detyrimeve deri në fund të tremujorit të dytë 2019. Ndërsa, 29% e gjithsej detyrimeve është e përbërë nga investimet e tjera, pjesërisht nga borxhi i qeverisë së përgjithshme dhe detyrimet e sektorëve të tjerë.</w:t>
      </w:r>
    </w:p>
    <w:bookmarkEnd w:id="22"/>
    <w:p w14:paraId="26CA416C" w14:textId="77777777" w:rsidR="00085F16" w:rsidRPr="00E31BF8" w:rsidRDefault="00085F16" w:rsidP="00802FB3">
      <w:pPr>
        <w:pStyle w:val="ListParagraph"/>
        <w:numPr>
          <w:ilvl w:val="1"/>
          <w:numId w:val="86"/>
        </w:numPr>
        <w:rPr>
          <w:rFonts w:ascii="Times New Roman" w:eastAsia="Times New Roman" w:hAnsi="Times New Roman"/>
          <w:b/>
          <w:iCs/>
          <w:kern w:val="28"/>
          <w:sz w:val="24"/>
          <w:szCs w:val="24"/>
          <w:lang w:val="en-US"/>
        </w:rPr>
      </w:pPr>
      <w:r w:rsidRPr="00E31BF8">
        <w:rPr>
          <w:rFonts w:ascii="Times New Roman" w:eastAsia="Times New Roman" w:hAnsi="Times New Roman"/>
          <w:b/>
          <w:iCs/>
          <w:kern w:val="28"/>
          <w:sz w:val="24"/>
          <w:szCs w:val="24"/>
          <w:lang w:val="en-US"/>
        </w:rPr>
        <w:t>Sektori Financiar</w:t>
      </w:r>
    </w:p>
    <w:p w14:paraId="063E00CC" w14:textId="77777777" w:rsidR="00085F16" w:rsidRPr="00B922C3" w:rsidRDefault="00085F16" w:rsidP="00085F16">
      <w:pPr>
        <w:spacing w:line="276" w:lineRule="auto"/>
        <w:rPr>
          <w:rFonts w:ascii="Times New Roman" w:hAnsi="Times New Roman" w:cs="Times New Roman"/>
          <w:sz w:val="24"/>
          <w:szCs w:val="24"/>
          <w:lang w:val="en-US"/>
        </w:rPr>
      </w:pPr>
      <w:r w:rsidRPr="00B922C3">
        <w:rPr>
          <w:rFonts w:ascii="Times New Roman" w:hAnsi="Times New Roman" w:cs="Times New Roman"/>
          <w:sz w:val="24"/>
          <w:szCs w:val="24"/>
          <w:lang w:val="en-US"/>
        </w:rPr>
        <w:t>Objektivi kryesor i Bankës Qendrore të Republikës së Kosovës (BQK) është nxitja e qëndrueshmërisë, aftësisë paguese dhe funksionimit efikas të një sistemi të qëndrueshëm financiar të bazuar në treg, inkurajimit të shfaqjes së instrumenteve financiare të sigurta dhe mbështetjes së politikave të përgjithshme ekonomike në Kosovë, me synim për të kontribuar në një shpërndarje efikase të burimeve në përputhje me parimet e një ekonomie të tregut të hapur. BQK-ja vepron si rregullator dhe mbikëqyrës i sistemit financiar. Mjeti kryesor i saj i politikës monetare është kërkesa minimale e rezervave, ndërsa gjithashtu ka funksion të huadhënies (së kufizuar) si zgjidhje e fundit (specifikohet më tej në Rregulloren për Ndihmën e Likuiditetit Emergjent, e cila u miratua nga Bordi i BQK-së në shtator 2015).</w:t>
      </w:r>
    </w:p>
    <w:p w14:paraId="13B154CC" w14:textId="77777777" w:rsidR="00085F16" w:rsidRPr="00B922C3" w:rsidRDefault="00085F16" w:rsidP="00085F16">
      <w:pPr>
        <w:spacing w:before="120" w:after="240" w:line="276" w:lineRule="auto"/>
        <w:jc w:val="both"/>
        <w:rPr>
          <w:rFonts w:ascii="Times New Roman" w:hAnsi="Times New Roman" w:cs="Times New Roman"/>
          <w:sz w:val="24"/>
          <w:szCs w:val="24"/>
          <w:lang w:val="en-US"/>
        </w:rPr>
      </w:pPr>
      <w:r w:rsidRPr="00B922C3">
        <w:rPr>
          <w:rFonts w:ascii="Times New Roman" w:hAnsi="Times New Roman" w:cs="Times New Roman"/>
          <w:sz w:val="24"/>
          <w:szCs w:val="24"/>
          <w:lang w:val="en-US"/>
        </w:rPr>
        <w:t>Sidoqoftë, meqenëse politikat monetare janë të përqendruara kryesisht në inflacionin dhe punësimin, stabiliteti financiar i lihet kryesisht qasjeve makro prudenciale; me fjalë të tjera, BQK plotëson mjetet e kufizuara të politikave monetare me mjetet makro prudenciale. Korniza makro makroprudenciale e miratuar nga BQK në vitin 2016 bazohet plotësisht në rekomandimet e lëshuara nga Bordi i Riskut Sistemik Evropian (2014a dhe 2014b) në lidhje me Objektivat dhe Mandatin e Autoriteteve për të zbatuar Politikat Makro Prudenciale. Fokusi i BQK-së në zbatimin e politikave makro prudenciale është përqendruar në pesë fushat në vijim; (a) Zbutja dhe parandalimi i rritjes së tepërt të kredisë dhe ekspozimit; (b) Zbutja dhe parandalimi i tepërt i mospërputhjes së maturitetit; (c) Zbutja dhe parandalimi i mungesës së likuiditetit (d) Kufizimi direkt dhe indirekt i ekspozimeve të koncentruara (e) Kufizimi i ndikimit sistemik të stimujve të pakoordinuara me synim të zvogëlimit të keqpërdorimeve. Rrjedhimisht, BQK-ja vlerëson rreziqet sistemike (përmes dy dimensioneve ciklike që i referohen shpërndarjes së rreziqeve në kohë dhe strukturore që i referohet shpërndarjes së rreziqeve në sistemin financiar në çfarëdo momenti kohor) në stabilitetin financiar në baza tremujore për të mbrojtur stabilitetin e sistemit financiar në tërësi.</w:t>
      </w:r>
    </w:p>
    <w:p w14:paraId="150EE2EA" w14:textId="77777777" w:rsidR="00085F16" w:rsidRPr="00B922C3" w:rsidRDefault="00085F16" w:rsidP="00085F16">
      <w:pPr>
        <w:spacing w:before="120" w:after="240" w:line="276" w:lineRule="auto"/>
        <w:jc w:val="both"/>
        <w:rPr>
          <w:rFonts w:ascii="Times New Roman" w:hAnsi="Times New Roman" w:cs="Times New Roman"/>
          <w:sz w:val="24"/>
          <w:szCs w:val="24"/>
          <w:lang w:val="en-US"/>
        </w:rPr>
      </w:pPr>
      <w:r w:rsidRPr="00B922C3">
        <w:rPr>
          <w:rFonts w:ascii="Times New Roman" w:hAnsi="Times New Roman" w:cs="Times New Roman"/>
          <w:sz w:val="24"/>
          <w:szCs w:val="24"/>
          <w:lang w:val="en-US"/>
        </w:rPr>
        <w:t>Asetet totale të sistemit financiar në shtator të 2019, duke përjashtuar Bankën Qendrore të Republikës së Kosovës (BQK), për herë të parë tejkaluan vlerën e shtatë miliardë eurove, duke shënuar një normë vjetore të rritjes prej 12.5%, dhe duke arritur vlerën e 7.01 miliardë euro (97.8% e BPV-së), në krahasim me normën mesatare të rritjes së dy viteve</w:t>
      </w:r>
      <w:r w:rsidRPr="00B922C3">
        <w:rPr>
          <w:rStyle w:val="FootnoteReference"/>
          <w:rFonts w:ascii="Times New Roman" w:hAnsi="Times New Roman" w:cs="Times New Roman"/>
          <w:sz w:val="24"/>
          <w:szCs w:val="24"/>
          <w:lang w:val="en-US"/>
        </w:rPr>
        <w:footnoteReference w:id="10"/>
      </w:r>
      <w:r w:rsidRPr="00B922C3">
        <w:rPr>
          <w:rFonts w:ascii="Times New Roman" w:hAnsi="Times New Roman" w:cs="Times New Roman"/>
          <w:sz w:val="24"/>
          <w:szCs w:val="24"/>
          <w:lang w:val="en-US"/>
        </w:rPr>
        <w:t xml:space="preserve"> të fundit prej 9.2%. Bankat mbesin sektori kryesor me 65.3% të totalit të aseteve të sektorit financiar; pastaj vijnë Fondet Pensionale dhe Institucionet e Mikrofinancës me përkatësisht 27.3% dhe 4.3% pjesëmarrje në vlerën totale të aseteve të sektorit financiar. Aktiviteti i huadhënies vazhdoi nivelin e tij dyshifror të rritjes edhe gjatë vitit 2019, por me një ritëm më të ngadaltë në krahasim me periudhën paraprake. Vlera totale e kredive u rrit çdo vit me 10.3% (sipas të dhënave në shtator të 2019), krahasuar me normën mesatare të rritjes së dy viteve të fundit prej 10.8%, për shkak të një rritje të kredisë për ndërmarrjet dhe ekonomitë familjare (Grafiku 16).</w:t>
      </w:r>
    </w:p>
    <w:p w14:paraId="7723E573" w14:textId="77777777" w:rsidR="00085F16" w:rsidRPr="00B922C3" w:rsidRDefault="00085F16" w:rsidP="00085F16">
      <w:pPr>
        <w:spacing w:before="120" w:after="240" w:line="276" w:lineRule="auto"/>
        <w:jc w:val="both"/>
        <w:rPr>
          <w:rFonts w:ascii="Times New Roman" w:hAnsi="Times New Roman" w:cs="Times New Roman"/>
          <w:sz w:val="24"/>
          <w:szCs w:val="24"/>
          <w:lang w:val="en-US"/>
        </w:rPr>
      </w:pPr>
      <w:r w:rsidRPr="00B922C3">
        <w:rPr>
          <w:rFonts w:ascii="Times New Roman" w:hAnsi="Times New Roman" w:cs="Times New Roman"/>
          <w:sz w:val="24"/>
          <w:szCs w:val="24"/>
          <w:lang w:val="en-US"/>
        </w:rPr>
        <w:t xml:space="preserve">Rritja e aktivitetit të kredisë është ndikuar edhe nga normat e favorshme të interesit, konkurrenca mes bankave, niveli i lartë i likuiditetit në sektorin bankar dhe përmirësimi i cilësisë së portofolit të kredisë. Huadhënia për familje ka mbetur dinamike përgjatë kësaj periudhe (megjithëse ritmi është ngadalësuar në krahasim me të njëjtën periudhë të vitit 2018), me një normë vjetore të rritjes prej 10.8% (11.3% deri në shtator 2018). Huadhënia ndaj korporatave jo-financiare arriti një rritje mesatare vjetore prej 9.9% sipas të dhënave në shtator të 2019 krahasuar me ritmin e rritjes prej 11.7% në të njëjtën periudhë të vitit të kaluar. Huadhënia e re me hipotekë u rrit me 8.5% në bazë vjetore, sipas të dhënave në shtator të 2019, ndërsa kreditë e reja për konsum kanë rënë me 3.3% për periudhën në fjalë. Kreditë e reja për ndërmarrje u rritën me 12.0% në vit (shtator 2019), që është dukshëm rritje më e lartë në krahasim me ritmin e rritjes vjetore të së njëjtës periudhë të vitit paraprak (4.5%). </w:t>
      </w:r>
    </w:p>
    <w:p w14:paraId="372660B1" w14:textId="77777777" w:rsidR="00085F16" w:rsidRPr="00FC648F" w:rsidRDefault="00085F16" w:rsidP="00085F16">
      <w:pPr>
        <w:spacing w:before="120" w:after="240" w:line="276" w:lineRule="auto"/>
        <w:jc w:val="both"/>
        <w:rPr>
          <w:rFonts w:ascii="Times New Roman" w:hAnsi="Times New Roman" w:cs="Times New Roman"/>
          <w:sz w:val="24"/>
          <w:szCs w:val="24"/>
        </w:rPr>
      </w:pPr>
      <w:r w:rsidRPr="00B922C3">
        <w:rPr>
          <w:rFonts w:ascii="Times New Roman" w:hAnsi="Times New Roman" w:cs="Times New Roman"/>
          <w:noProof/>
          <w:sz w:val="24"/>
          <w:szCs w:val="24"/>
          <w:lang w:val="en-US"/>
        </w:rPr>
        <mc:AlternateContent>
          <mc:Choice Requires="wps">
            <w:drawing>
              <wp:anchor distT="0" distB="0" distL="114300" distR="114300" simplePos="0" relativeHeight="251672576" behindDoc="1" locked="0" layoutInCell="1" allowOverlap="1" wp14:anchorId="2F28A6AA" wp14:editId="458E95FC">
                <wp:simplePos x="0" y="0"/>
                <wp:positionH relativeFrom="margin">
                  <wp:align>left</wp:align>
                </wp:positionH>
                <wp:positionV relativeFrom="paragraph">
                  <wp:posOffset>0</wp:posOffset>
                </wp:positionV>
                <wp:extent cx="3377565" cy="190500"/>
                <wp:effectExtent l="0" t="0" r="0" b="0"/>
                <wp:wrapTight wrapText="bothSides">
                  <wp:wrapPolygon edited="0">
                    <wp:start x="0" y="0"/>
                    <wp:lineTo x="0" y="19440"/>
                    <wp:lineTo x="21442" y="19440"/>
                    <wp:lineTo x="21442" y="0"/>
                    <wp:lineTo x="0" y="0"/>
                  </wp:wrapPolygon>
                </wp:wrapTight>
                <wp:docPr id="28" name="Text Box 28"/>
                <wp:cNvGraphicFramePr/>
                <a:graphic xmlns:a="http://schemas.openxmlformats.org/drawingml/2006/main">
                  <a:graphicData uri="http://schemas.microsoft.com/office/word/2010/wordprocessingShape">
                    <wps:wsp>
                      <wps:cNvSpPr txBox="1"/>
                      <wps:spPr>
                        <a:xfrm>
                          <a:off x="0" y="0"/>
                          <a:ext cx="3377565" cy="190500"/>
                        </a:xfrm>
                        <a:prstGeom prst="rect">
                          <a:avLst/>
                        </a:prstGeom>
                        <a:solidFill>
                          <a:prstClr val="white"/>
                        </a:solidFill>
                        <a:ln>
                          <a:noFill/>
                        </a:ln>
                        <a:effectLst/>
                      </wps:spPr>
                      <wps:txbx>
                        <w:txbxContent>
                          <w:p w14:paraId="571C7F2C" w14:textId="77777777" w:rsidR="00FC648F" w:rsidRPr="000B596A" w:rsidRDefault="00FC648F" w:rsidP="00085F16">
                            <w:pPr>
                              <w:pStyle w:val="Caption"/>
                              <w:rPr>
                                <w:rFonts w:ascii="Times New Roman" w:eastAsia="Times New Roman" w:hAnsi="Times New Roman"/>
                                <w:b/>
                                <w:i w:val="0"/>
                                <w:noProof/>
                                <w:color w:val="auto"/>
                                <w:sz w:val="16"/>
                                <w:szCs w:val="24"/>
                              </w:rPr>
                            </w:pPr>
                            <w:bookmarkStart w:id="74" w:name="_Toc25673463"/>
                            <w:r w:rsidRPr="000B596A">
                              <w:rPr>
                                <w:rFonts w:ascii="Times New Roman" w:hAnsi="Times New Roman"/>
                                <w:b/>
                                <w:i w:val="0"/>
                                <w:color w:val="auto"/>
                              </w:rPr>
                              <w:t xml:space="preserve">Grafiku </w:t>
                            </w:r>
                            <w:r w:rsidRPr="000B596A">
                              <w:rPr>
                                <w:rFonts w:ascii="Times New Roman" w:hAnsi="Times New Roman"/>
                                <w:b/>
                                <w:i w:val="0"/>
                                <w:color w:val="auto"/>
                              </w:rPr>
                              <w:fldChar w:fldCharType="begin"/>
                            </w:r>
                            <w:r w:rsidRPr="000B596A">
                              <w:rPr>
                                <w:rFonts w:ascii="Times New Roman" w:hAnsi="Times New Roman"/>
                                <w:b/>
                                <w:i w:val="0"/>
                                <w:color w:val="auto"/>
                              </w:rPr>
                              <w:instrText xml:space="preserve"> SEQ Grafiku \* ARABIC </w:instrText>
                            </w:r>
                            <w:r w:rsidRPr="000B596A">
                              <w:rPr>
                                <w:rFonts w:ascii="Times New Roman" w:hAnsi="Times New Roman"/>
                                <w:b/>
                                <w:i w:val="0"/>
                                <w:color w:val="auto"/>
                              </w:rPr>
                              <w:fldChar w:fldCharType="separate"/>
                            </w:r>
                            <w:r>
                              <w:rPr>
                                <w:rFonts w:ascii="Times New Roman" w:hAnsi="Times New Roman"/>
                                <w:b/>
                                <w:i w:val="0"/>
                                <w:noProof/>
                                <w:color w:val="auto"/>
                              </w:rPr>
                              <w:t>11</w:t>
                            </w:r>
                            <w:r w:rsidRPr="000B596A">
                              <w:rPr>
                                <w:rFonts w:ascii="Times New Roman" w:hAnsi="Times New Roman"/>
                                <w:b/>
                                <w:i w:val="0"/>
                                <w:color w:val="auto"/>
                              </w:rPr>
                              <w:fldChar w:fldCharType="end"/>
                            </w:r>
                            <w:r w:rsidRPr="000B596A">
                              <w:rPr>
                                <w:rFonts w:ascii="Times New Roman" w:hAnsi="Times New Roman"/>
                                <w:b/>
                                <w:i w:val="0"/>
                                <w:color w:val="auto"/>
                              </w:rPr>
                              <w:t xml:space="preserve"> Rritja e kreditimit të sektorit privat</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28A6AA" id="Text Box 28" o:spid="_x0000_s1036" type="#_x0000_t202" style="position:absolute;left:0;text-align:left;margin-left:0;margin-top:0;width:265.95pt;height:15pt;z-index:-2516439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" stroked="f">
                <v:textbox inset="0,0,0,0">
                  <w:txbxContent>
                    <w:p w14:paraId="571C7F2C" w14:textId="77777777" w:rsidR="00FC648F" w:rsidRPr="000B596A" w:rsidRDefault="00FC648F" w:rsidP="00085F16">
                      <w:pPr>
                        <w:pStyle w:val="Caption"/>
                        <w:rPr>
                          <w:rFonts w:ascii="Times New Roman" w:eastAsia="Times New Roman" w:hAnsi="Times New Roman"/>
                          <w:b/>
                          <w:i w:val="0"/>
                          <w:noProof/>
                          <w:color w:val="auto"/>
                          <w:sz w:val="16"/>
                          <w:szCs w:val="24"/>
                        </w:rPr>
                      </w:pPr>
                      <w:bookmarkStart w:id="75" w:name="_Toc25673463"/>
                      <w:r w:rsidRPr="000B596A">
                        <w:rPr>
                          <w:rFonts w:ascii="Times New Roman" w:hAnsi="Times New Roman"/>
                          <w:b/>
                          <w:i w:val="0"/>
                          <w:color w:val="auto"/>
                        </w:rPr>
                        <w:t xml:space="preserve">Grafiku </w:t>
                      </w:r>
                      <w:r w:rsidRPr="000B596A">
                        <w:rPr>
                          <w:rFonts w:ascii="Times New Roman" w:hAnsi="Times New Roman"/>
                          <w:b/>
                          <w:i w:val="0"/>
                          <w:color w:val="auto"/>
                        </w:rPr>
                        <w:fldChar w:fldCharType="begin"/>
                      </w:r>
                      <w:r w:rsidRPr="000B596A">
                        <w:rPr>
                          <w:rFonts w:ascii="Times New Roman" w:hAnsi="Times New Roman"/>
                          <w:b/>
                          <w:i w:val="0"/>
                          <w:color w:val="auto"/>
                        </w:rPr>
                        <w:instrText xml:space="preserve"> SEQ Grafiku \* ARABIC </w:instrText>
                      </w:r>
                      <w:r w:rsidRPr="000B596A">
                        <w:rPr>
                          <w:rFonts w:ascii="Times New Roman" w:hAnsi="Times New Roman"/>
                          <w:b/>
                          <w:i w:val="0"/>
                          <w:color w:val="auto"/>
                        </w:rPr>
                        <w:fldChar w:fldCharType="separate"/>
                      </w:r>
                      <w:r>
                        <w:rPr>
                          <w:rFonts w:ascii="Times New Roman" w:hAnsi="Times New Roman"/>
                          <w:b/>
                          <w:i w:val="0"/>
                          <w:noProof/>
                          <w:color w:val="auto"/>
                        </w:rPr>
                        <w:t>11</w:t>
                      </w:r>
                      <w:r w:rsidRPr="000B596A">
                        <w:rPr>
                          <w:rFonts w:ascii="Times New Roman" w:hAnsi="Times New Roman"/>
                          <w:b/>
                          <w:i w:val="0"/>
                          <w:color w:val="auto"/>
                        </w:rPr>
                        <w:fldChar w:fldCharType="end"/>
                      </w:r>
                      <w:r w:rsidRPr="000B596A">
                        <w:rPr>
                          <w:rFonts w:ascii="Times New Roman" w:hAnsi="Times New Roman"/>
                          <w:b/>
                          <w:i w:val="0"/>
                          <w:color w:val="auto"/>
                        </w:rPr>
                        <w:t xml:space="preserve"> Rritja e kreditimit të sektorit privat</w:t>
                      </w:r>
                      <w:bookmarkEnd w:id="75"/>
                    </w:p>
                  </w:txbxContent>
                </v:textbox>
                <w10:wrap type="tight" anchorx="margin"/>
              </v:shape>
            </w:pict>
          </mc:Fallback>
        </mc:AlternateContent>
      </w:r>
      <w:r w:rsidRPr="00B922C3">
        <w:rPr>
          <w:rFonts w:ascii="Times New Roman" w:hAnsi="Times New Roman" w:cs="Times New Roman"/>
          <w:noProof/>
          <w:color w:val="000000" w:themeColor="text1"/>
          <w:sz w:val="24"/>
          <w:szCs w:val="24"/>
          <w:lang w:val="en-US"/>
        </w:rPr>
        <w:drawing>
          <wp:anchor distT="0" distB="0" distL="114300" distR="114300" simplePos="0" relativeHeight="251659264" behindDoc="1" locked="0" layoutInCell="1" allowOverlap="1" wp14:anchorId="0A1CB04E" wp14:editId="09A445F4">
            <wp:simplePos x="0" y="0"/>
            <wp:positionH relativeFrom="margin">
              <wp:posOffset>0</wp:posOffset>
            </wp:positionH>
            <wp:positionV relativeFrom="paragraph">
              <wp:posOffset>89010</wp:posOffset>
            </wp:positionV>
            <wp:extent cx="3377565" cy="1981200"/>
            <wp:effectExtent l="0" t="0" r="0" b="0"/>
            <wp:wrapTight wrapText="bothSides">
              <wp:wrapPolygon edited="0">
                <wp:start x="0" y="0"/>
                <wp:lineTo x="0" y="21392"/>
                <wp:lineTo x="21442" y="21392"/>
                <wp:lineTo x="21442"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77565"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22C3">
        <w:rPr>
          <w:rFonts w:ascii="Times New Roman" w:hAnsi="Times New Roman" w:cs="Times New Roman"/>
          <w:b/>
          <w:bCs/>
          <w:sz w:val="24"/>
          <w:szCs w:val="24"/>
        </w:rPr>
        <w:t>Në përgjithësi, sektori bankar është i qëndrueshëm, por ndërmjetësimi financiar mbetet i ulët.</w:t>
      </w:r>
      <w:r w:rsidRPr="00B922C3">
        <w:rPr>
          <w:rFonts w:ascii="Times New Roman" w:hAnsi="Times New Roman" w:cs="Times New Roman"/>
          <w:bCs/>
          <w:sz w:val="24"/>
          <w:szCs w:val="24"/>
        </w:rPr>
        <w:t xml:space="preserve"> Sistemi paraqet rezerva të fuqishme të kapitalit dhe likuiditetit me raport të kapitalit rregullator ndaj aseteve të peshuara të rrezikut në 16.5% në shtator të vitit 2019 (mbi raportin e kërkuar minimal prej 12%) dhe raportin e mjeteve likuide ndaj detyrimeve afatshkurta në 39.3% (mbi minimumin e sugjeruar prej 25%). Rreziqet ndaj financimit janë mesatare pasi që bankat kryesisht mbështeten në depozitat vendore dhe sistemi në përgjithësi është likuid me një raport të kredive ndaj depozitave që arrin në 79.2% (sipas të dhënave të shtatorit 2019). Profitabiliteti i sektorit bankar ka mbetur i lartë, me një raport të kthimit mesatar në kapital prej 17.4% (të dhënat sipas shtatorit 2019) dhe me kthim mesatar në asete me 2.1%. Vëllimet e fuqishme të kreditimeve dhe të hyrat në rritje nga jo interesi kanë kompensuar trendin rënës të normave të interesit të kreditimit. Megjithatë, normat e interesit mund të kenë arritur në një pikë ku nuk mund të bien më poshtë pa larguar primet e rrezikut të vendosura në çmim nga bankat. Edhepse normat e interesit të kredive kanë rënë si rezultat i konkurrencës, nivelit të lartë të likuiditetit dhe portfolios stabile të kredive, profiti i sektorit bankar është rritur, për shkak të ngritjes së numrit të kredive, dhe rritjes së të hyrave nga aktivitetitet tjera (të përjashtuara nga normat e interesit). Pjesëmarrja e bankave të huaja në sistem është e lartë, duke përbërë 86.9% të të gjitha aseteve të sektorit bankar (sipas të dhënave në shtator 2019). Megjithatë, shkalla e përqendrimit të tregut ka vazhduar të bie ngadalë. Në shtator të vitit 2019, pjesëmarrja në treg e tri bankave më të mëdha arriti në vlerën prej 57.4% në krahasim me raportin mesatar të përqendrimit prej 59.8% në dy vitet e fundit. Rënia në shkallën e përqendrimit të tregut është shprehur edhe nga Indeksi Herfindahl-Hirschman (HHI) për asete, i cili ra në 1,498 pika në shtator të vitit 2019, në krahasim me 1,573 pika mesatarisht në dy vitet e fundit.</w:t>
      </w:r>
      <w:r w:rsidRPr="00B922C3">
        <w:rPr>
          <w:rFonts w:ascii="Times New Roman" w:hAnsi="Times New Roman" w:cs="Times New Roman"/>
          <w:sz w:val="24"/>
          <w:szCs w:val="24"/>
        </w:rPr>
        <w:t xml:space="preserve"> </w:t>
      </w:r>
    </w:p>
    <w:p w14:paraId="56584024" w14:textId="77777777" w:rsidR="00085F16" w:rsidRPr="00FC648F" w:rsidRDefault="00085F16" w:rsidP="00085F16">
      <w:pPr>
        <w:pStyle w:val="Default"/>
        <w:spacing w:before="120" w:after="240" w:line="276" w:lineRule="auto"/>
        <w:jc w:val="both"/>
        <w:rPr>
          <w:rFonts w:eastAsia="Times New Roman"/>
          <w:color w:val="auto"/>
          <w:lang w:val="sq-AL"/>
        </w:rPr>
      </w:pPr>
      <w:r w:rsidRPr="00FC648F">
        <w:rPr>
          <w:rFonts w:eastAsia="Times New Roman"/>
          <w:color w:val="auto"/>
          <w:lang w:val="sq-AL"/>
        </w:rPr>
        <w:t>Rreziku kreditor në sistem mbetet i ulët në krahasim me standardet e homologëve, me një raport të KJP-ve ndaj gjithsej kredive që bie më tej në 2.3% në shtator të vitit 2019 dhe raportin e provizioneve për humbje nga kreditë ndaj KPJ-ve që qëndron në 161.3%. Bankat shpesh i referohen mungesës së projekteve të pranueshme bankare si pengesë në kreditimin ndaj korporatave, duke ngritur kështu shqetësimet në lidhje me ngopjen e sektorëve të qëndrueshëm dhe huamarrësve. Që nga themelimi i tij, Fondi Kosovar për Garanci Kreditore ka dhënë garanci për kredi që arrijnë vlerën prej 130.7 milionë euro sipas të dhënave në shtator të 2019 (63.6 milionë euro në shtator të vitit 2018),  nga të cilat 62.7 milionë euro të garantuara nga FKGK në të njejtën periudhë (30.3 milionë euro në shtator të vitit 2018). KCGF është përqendruar në sigurimin e garancive ndaj sektorit të shërbimeve, të prodhimit, bujqësisë dhe sektorit të ndërtimit. KCGF vlerësoi se garancitë e dhëna krijuan më shumë se 5000 vende pune që nga themelimi i saj.</w:t>
      </w:r>
    </w:p>
    <w:p w14:paraId="12A176C1" w14:textId="77777777" w:rsidR="00085F16" w:rsidRPr="00FC648F" w:rsidRDefault="00085F16" w:rsidP="00085F16">
      <w:pPr>
        <w:pStyle w:val="Default"/>
        <w:spacing w:before="120" w:after="240" w:line="276" w:lineRule="auto"/>
        <w:jc w:val="both"/>
        <w:rPr>
          <w:color w:val="auto"/>
          <w:lang w:val="sq-AL"/>
        </w:rPr>
      </w:pPr>
      <w:r w:rsidRPr="00FC648F">
        <w:rPr>
          <w:rFonts w:eastAsia="Times New Roman"/>
          <w:color w:val="auto"/>
          <w:lang w:val="sq-AL"/>
        </w:rPr>
        <w:t>Thellësia financiare, e matur nga niveli i kredive të brendshme ndaj BPV, mbetet e ulët (41.3% në shtator të 2019). Kombinimi i raportit të ulët të kredive ndaj depozitave që mbizotëron në sistem si tërësi tregon mundësinë për thellim të mëtejshëm të ndërmjetësimit financiar.</w:t>
      </w:r>
      <w:r w:rsidRPr="00FC648F">
        <w:rPr>
          <w:color w:val="auto"/>
          <w:lang w:val="sq-AL"/>
        </w:rPr>
        <w:t xml:space="preserve"> </w:t>
      </w:r>
    </w:p>
    <w:p w14:paraId="57557D23" w14:textId="77777777" w:rsidR="00085F16" w:rsidRPr="00B922C3" w:rsidRDefault="00085F16" w:rsidP="00085F16">
      <w:pPr>
        <w:pStyle w:val="Default"/>
        <w:spacing w:after="120" w:line="276" w:lineRule="auto"/>
        <w:jc w:val="both"/>
        <w:rPr>
          <w:color w:val="auto"/>
          <w:lang w:val="sq-AL"/>
        </w:rPr>
      </w:pPr>
      <w:r w:rsidRPr="00B922C3">
        <w:rPr>
          <w:b/>
          <w:color w:val="auto"/>
          <w:lang w:val="sq-AL"/>
        </w:rPr>
        <w:t>Thellimi financiar është i mirëpritur duke pasur parasysh nivelet e ulëta të ndërmjetësimit, por duhet të balancohet në mënyrë të duhur me monitorim të kujdesshëm të rritjes së kreditimit në segmentet ku është veçanërisht i lartë.</w:t>
      </w:r>
      <w:r w:rsidRPr="00B922C3">
        <w:rPr>
          <w:color w:val="auto"/>
          <w:lang w:val="sq-AL"/>
        </w:rPr>
        <w:t xml:space="preserve"> Përderisa cilësia e përgjithshme kreditore e ekonomive familjare duket të jetë e mirë, rrjedha e fuqishme kreditore në kreditë konsumuese duhet të monitorohet në vazhdimësi, gjithashtu pasi që kreditë e ekonomive familjare kanë tejkaluar fuqishëm BPV reale dhe pagat, dhe papunësia duket të mbetet e lartë. Përderisa rritja e qëndrueshme kreditore është shumë e nevojshme për të nxitur prodhimin dhe zhvillimin ekonomik në vend, qasja në financa duhet të kanalizohet në prodhim dhe sektorët e tregtueshëm, në vend se të nxiten kreditë konsumuese dhe aktiviteti lidhur me patundshmëritë.</w:t>
      </w:r>
    </w:p>
    <w:p w14:paraId="05AE9C4F" w14:textId="77777777" w:rsidR="00085F16" w:rsidRPr="00B922C3" w:rsidRDefault="00085F16" w:rsidP="00085F16">
      <w:pPr>
        <w:pStyle w:val="Default"/>
        <w:spacing w:after="120" w:line="276" w:lineRule="auto"/>
        <w:jc w:val="both"/>
        <w:rPr>
          <w:color w:val="auto"/>
          <w:lang w:val="sq-AL"/>
        </w:rPr>
      </w:pPr>
      <w:r w:rsidRPr="00B922C3">
        <w:rPr>
          <w:color w:val="auto"/>
          <w:lang w:val="sq-AL"/>
        </w:rPr>
        <w:t>Depozitat në shtator 2019 arritën vlerën e 3.74 miliardë euro (mesatarja e dy viteve të fundit është 3.13 milairdë euro), një rritje vjetore prej 16.4% (mesatarja e dy viteve të fundit është 7.2%). Depozitat e ekonomive familjare, që përbëjnë kategorinë më të madhe të depozitave, shënuan një rritje prej 11.4%, krahasuar me mesataren e dy viteve të fundit që është 5.3%. Depozitat e ndërmarrjeve u rritën me 17.3% në krahasim me rritjen mesatare prej 10.2% në dy vitet e fundit.</w:t>
      </w:r>
    </w:p>
    <w:p w14:paraId="16AF2817" w14:textId="77777777" w:rsidR="00085F16" w:rsidRPr="00B922C3" w:rsidRDefault="00085F16" w:rsidP="00085F16">
      <w:pPr>
        <w:pStyle w:val="Default"/>
        <w:spacing w:after="120" w:line="276" w:lineRule="auto"/>
        <w:jc w:val="both"/>
        <w:rPr>
          <w:color w:val="auto"/>
          <w:lang w:val="sq-AL"/>
        </w:rPr>
      </w:pPr>
      <w:r w:rsidRPr="00B922C3">
        <w:rPr>
          <w:color w:val="auto"/>
          <w:lang w:val="sq-AL"/>
        </w:rPr>
        <w:t>Pozita e likuiditetit e sektorit bankar vazhdoi të jetë e kënaqshme gjatë këtyre tre tremujorëve të vitit 2019. Raporti i aseteve likuide ndaj gjithsej aseteve qëndroi në 39.3% në shtator të vitit 2019 (37.5% është mesatarja për dy vitet e fundit). Gjatë periudhës së njëjtë, raporti i kredive ndaj depozitave ra në 79.2% nga mesatarja prej 81.3% në dy vitet e fundit. Në shtator të vitit 2019, kreditë jo-performuese pësuan rënie në 2.3% (3.2% është mesatarja për dy vitet e fundit). Kreditë jo-performuese mbesin të mbuluara mirë nga provizionet për humbjet nga kreditë, me një raport prej 161.3% (148.2% është mesatarja për dy vitet e fundit). Sektori mbetet i mirëkapitalizuar, me një raport të mjaftueshmërisë së kapitalit prej 16.5%, i cili është mbi kërkesën minimale rregullative prej 12%. Nga shtatori i vitit 2019, norma mesatare e interesin në kredi ishte 6.5%, që është e ngjashme me mesataren e dy viteve të fundit – 6.7%. Në shtator të vitit 2019, norma mesatare e interesit për ndërmarrjet ishte 6.2% (6.3% është mesatarja për dy vitet e fundit); ndërsa për ekonomitë familjare ishte 7.0% (7.4% është mesatarja për dy vitet e fundit). Gjatë vitit 2019, normat e interesit në depozita treguan një tendencë rritjeje në krahasim me periudhën paraprake. Gjatë të njëjtës periudhë, norma mesatare e interesit në depozita ishte 1.5% në krahasim me mesataren prej 1.2% në dy vitet e fundit, përderisa norma mesatare e interesit për depozitat e ndërmarrjeve u rrit në 1.6% në shtator të vitit 2019 (1.5% është mesatarja për dy vitet e fundit). Për depozitat e ekonomive familjare, norma mesatare e interesit ishte 1.5% (1.1% është mesatarja për dy vitet e fundit). Shpërndarja e normave të interesit pësoi rënie në 5.0 pikë përqindje në krahasim me mesataren prej 5.6 pp në dy vitet e fundit.</w:t>
      </w:r>
    </w:p>
    <w:p w14:paraId="58A1C655" w14:textId="77777777" w:rsidR="00085F16" w:rsidRPr="00B922C3" w:rsidRDefault="00085F16" w:rsidP="00085F16">
      <w:pPr>
        <w:spacing w:after="120" w:line="276" w:lineRule="auto"/>
        <w:jc w:val="both"/>
        <w:rPr>
          <w:rFonts w:ascii="Times New Roman" w:eastAsia="Calibri" w:hAnsi="Times New Roman" w:cs="Times New Roman"/>
          <w:sz w:val="24"/>
          <w:szCs w:val="24"/>
        </w:rPr>
      </w:pPr>
      <w:r w:rsidRPr="00B922C3">
        <w:rPr>
          <w:rFonts w:ascii="Times New Roman" w:eastAsia="Calibri" w:hAnsi="Times New Roman" w:cs="Times New Roman"/>
          <w:sz w:val="24"/>
          <w:szCs w:val="24"/>
        </w:rPr>
        <w:t>Nga shtatori i vitit 2019, numri i përgjithshëm i kompanive të sigurimit që kanë ushtruar aktivitetin e tyre në tregun e sigurimeve në Kosovë ishte 13, ku prej tyre 11 janë sigurues jo-jetë ndërsa 2 janë sigurues jete. Nëse i referohemi origjinës së kapitalit të tyre, 1 nga ata është sigurues me kapital të huaj dhe kapital me pronësi të përzier (Austria dhe Shqipëria), 7 tjerë në pronësi lokale, 2 me kapital slloven dhe 3 me kapital shqiptar.</w:t>
      </w:r>
    </w:p>
    <w:p w14:paraId="51428BC3" w14:textId="77777777" w:rsidR="00085F16" w:rsidRPr="00B922C3" w:rsidRDefault="00085F16" w:rsidP="00085F16">
      <w:pPr>
        <w:spacing w:after="120" w:line="276" w:lineRule="auto"/>
        <w:jc w:val="both"/>
        <w:rPr>
          <w:rFonts w:ascii="Times New Roman" w:eastAsia="Calibri" w:hAnsi="Times New Roman" w:cs="Times New Roman"/>
          <w:sz w:val="24"/>
          <w:szCs w:val="24"/>
        </w:rPr>
      </w:pPr>
      <w:r w:rsidRPr="00B922C3">
        <w:rPr>
          <w:rFonts w:ascii="Times New Roman" w:eastAsia="Calibri" w:hAnsi="Times New Roman" w:cs="Times New Roman"/>
          <w:sz w:val="24"/>
          <w:szCs w:val="24"/>
        </w:rPr>
        <w:t>Gjithsej asetet e tregut të sigurimeve arritën në 196.1 milionë Euro, me një rritje prej 8.3%, krahasuar me vitin e kaluar. Sipas të dhënave të shtatorit 2019, nga gjithsej asetet e sigurimit jo-jetë, rreth 50.7% janë sigurues me kapital në pronësi të huaj. Vlen të ceket se 3 kompanitë kryesore të sigurimit mbulojnë rreth 36.5% të tregut. Në përgjithësi, siguruesit jo-jetë kanë dominuar tregun me 91.0% të të gjitha aseteve; pjesa e mbetur i takon jetë siguruesve. Shuma e përgjithshme e primeve të shkruara bruto në tregun e sigurimeve në Kosovë për këtë periudhë ka arritur në 74.0 milionë Euro apo 7.1% rritje në krahasim me vitin paraprak (69.1 milionë Euro). Ky trend i rritjes në primet e shkruara bruto është regjistruar në sektorin e sigurimeve jo-jetë, e cila në krahasim me periudhën paraprake të vitit 2018 është rritur me 6.7%, ndërsa sektori i sigurimeve me jetë ka shënuar një rritje prej 17.6%. Sipas të dhënave të shtatorit 2019, primet e shkruara bruto në sigurimin jetë kanë arritur në 2.6 milionë Euro, duke shënuar një rritje prej përafërsisht 382,760 Euro në krahasim me të njëjtën periudhë të vitit të kaluar. Nga gjithsej primet e shkruara bruto, rreth 96.5% (shtator 2018 – 96.9%) të primeve përbëhen nga produktet e sigurimit jo-jetë, ndërsa 3.5% (shtator 2018 – 3.1%) të primeve përbëhen nga jetë siguruesve. Dëmet e paguara deri më 30 shtator 2019 arrijnë shumën prej 37.9 milionë Euro, duke shënuar një rritje prej 7.3% në krahasim me periudhën paraprake (2018 – 35.3 milionë). Sipas të dhënave të shtatorit 2019, tregu i sigurimeve rezultoi me humbje në shumën prej 0.8 milionë Euro, e cila tregon që edhepse tregu i sigurimeve ka pasur rritje në primet e shkruara bruto, dëmet e paguara dhe kostot tjera operative u ngritën më shumë se sa primet e shkruara bruto.</w:t>
      </w:r>
    </w:p>
    <w:p w14:paraId="00F88C5D" w14:textId="77777777" w:rsidR="00085F16" w:rsidRPr="00B922C3" w:rsidRDefault="00085F16" w:rsidP="00802FB3">
      <w:pPr>
        <w:pStyle w:val="ERPL20"/>
        <w:numPr>
          <w:ilvl w:val="1"/>
          <w:numId w:val="97"/>
        </w:numPr>
        <w:spacing w:line="276" w:lineRule="auto"/>
        <w:ind w:left="426"/>
        <w:rPr>
          <w:rFonts w:ascii="Times New Roman" w:hAnsi="Times New Roman"/>
        </w:rPr>
      </w:pPr>
      <w:r w:rsidRPr="00FC648F">
        <w:rPr>
          <w:rFonts w:ascii="Times New Roman" w:hAnsi="Times New Roman"/>
          <w:lang w:val="sq-AL"/>
        </w:rPr>
        <w:t xml:space="preserve"> </w:t>
      </w:r>
      <w:bookmarkStart w:id="76" w:name="_Toc25873725"/>
      <w:r w:rsidRPr="00B922C3">
        <w:rPr>
          <w:rFonts w:ascii="Times New Roman" w:hAnsi="Times New Roman"/>
        </w:rPr>
        <w:t>Skenarët alternative dhe rreziqet</w:t>
      </w:r>
      <w:bookmarkEnd w:id="76"/>
    </w:p>
    <w:p w14:paraId="5A2D7B10" w14:textId="77777777" w:rsidR="00085F16" w:rsidRPr="00B922C3" w:rsidRDefault="00085F16" w:rsidP="00085F16">
      <w:pPr>
        <w:spacing w:before="240" w:after="120" w:line="276" w:lineRule="auto"/>
        <w:jc w:val="both"/>
        <w:rPr>
          <w:rFonts w:ascii="Times New Roman" w:hAnsi="Times New Roman" w:cs="Times New Roman"/>
          <w:color w:val="000000" w:themeColor="text1"/>
          <w:sz w:val="24"/>
          <w:szCs w:val="24"/>
        </w:rPr>
      </w:pPr>
      <w:bookmarkStart w:id="77" w:name="_Toc529882286"/>
      <w:bookmarkStart w:id="78" w:name="_Toc529882618"/>
      <w:bookmarkStart w:id="79" w:name="_Toc529887247"/>
      <w:bookmarkStart w:id="80" w:name="_Toc531341159"/>
      <w:bookmarkStart w:id="81" w:name="_Toc531341480"/>
      <w:bookmarkStart w:id="82" w:name="_Toc529882287"/>
      <w:bookmarkStart w:id="83" w:name="_Toc529882619"/>
      <w:bookmarkStart w:id="84" w:name="_Toc529887248"/>
      <w:bookmarkStart w:id="85" w:name="_Toc531341160"/>
      <w:bookmarkStart w:id="86" w:name="_Toc531341481"/>
      <w:bookmarkStart w:id="87" w:name="_Toc529882288"/>
      <w:bookmarkStart w:id="88" w:name="_Toc529882620"/>
      <w:bookmarkStart w:id="89" w:name="_Toc529887249"/>
      <w:bookmarkStart w:id="90" w:name="_Toc531341161"/>
      <w:bookmarkStart w:id="91" w:name="_Toc531341482"/>
      <w:bookmarkStart w:id="92" w:name="_Toc529882289"/>
      <w:bookmarkStart w:id="93" w:name="_Toc529882621"/>
      <w:bookmarkStart w:id="94" w:name="_Toc529887250"/>
      <w:bookmarkStart w:id="95" w:name="_Toc531341162"/>
      <w:bookmarkStart w:id="96" w:name="_Toc531341483"/>
      <w:bookmarkStart w:id="97" w:name="_1ksv4uv" w:colFirst="0" w:colLast="0"/>
      <w:bookmarkStart w:id="98" w:name="_44sinio" w:colFirst="0" w:colLast="0"/>
      <w:bookmarkStart w:id="99" w:name="_2jxsxqh" w:colFirst="0" w:colLast="0"/>
      <w:bookmarkStart w:id="100" w:name="_Toc529887256"/>
      <w:bookmarkStart w:id="101" w:name="_Toc531341169"/>
      <w:bookmarkStart w:id="102" w:name="_Toc531341490"/>
      <w:bookmarkStart w:id="103" w:name="_Toc529887257"/>
      <w:bookmarkStart w:id="104" w:name="_Toc531341170"/>
      <w:bookmarkStart w:id="105" w:name="_Toc531341491"/>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B922C3">
        <w:rPr>
          <w:rFonts w:ascii="Times New Roman" w:hAnsi="Times New Roman" w:cs="Times New Roman"/>
          <w:color w:val="000000" w:themeColor="text1"/>
          <w:sz w:val="24"/>
          <w:szCs w:val="24"/>
        </w:rPr>
        <w:t>Skenari bazë makroekonomik që mbështet parashikimet afatmesme të buxhetit - dhe parashikimet e paraqitura në këtë azhurnim të PRE-së - rezulton nga një shqyrtim i kujdesshëm i potencialeve zhvillimore dhe rreziqeve, i shoqëruar me pritjet për zhvillimet ekonomike në planin afatmesëm.</w:t>
      </w:r>
    </w:p>
    <w:p w14:paraId="1DD70642" w14:textId="77777777" w:rsidR="00085F16" w:rsidRPr="00B922C3" w:rsidRDefault="00085F16" w:rsidP="00085F16">
      <w:pPr>
        <w:spacing w:before="240" w:after="120" w:line="276" w:lineRule="auto"/>
        <w:jc w:val="both"/>
        <w:rPr>
          <w:rFonts w:ascii="Times New Roman" w:hAnsi="Times New Roman" w:cs="Times New Roman"/>
          <w:color w:val="000000" w:themeColor="text1"/>
          <w:sz w:val="24"/>
          <w:szCs w:val="24"/>
        </w:rPr>
      </w:pPr>
      <w:r w:rsidRPr="00B922C3">
        <w:rPr>
          <w:rFonts w:ascii="Times New Roman" w:hAnsi="Times New Roman" w:cs="Times New Roman"/>
          <w:color w:val="000000" w:themeColor="text1"/>
          <w:sz w:val="24"/>
          <w:szCs w:val="24"/>
        </w:rPr>
        <w:t>Analiza e rreziqeve fiskale për PRE 2020 tregon se gjatë periudhës afatmesme, rreziqet fiskale mbeten pothuajse të njëjta me vitin e kaluar, por me mundësi të ndryshme të materializimit për disa prej tyre. Ndërkohë, ne shohim një probabilitet të rritur të materializimit të potencialeve në krahasim me vitin 2019. Vlen të përmendet se skenari bazë i paraqitur në versionin aktual të PRE (2020) nuk merr parasysh ndikimin që mund të rezultojë nga zbatimi i suksesshëm i disa prej masave të reformave strukturore të listuara në PRE të këtij viti. Prandaj, seksioni i potencialeve mundohet të vlerësojë në mënyrë sasiore ndikimin shtesë mbi skenarin bazë të tri (nga njëzet) reformave strukturore.</w:t>
      </w:r>
      <w:r w:rsidRPr="00B922C3">
        <w:rPr>
          <w:rStyle w:val="FootnoteReference"/>
          <w:rFonts w:ascii="Times New Roman" w:hAnsi="Times New Roman" w:cs="Times New Roman"/>
          <w:color w:val="000000" w:themeColor="text1"/>
          <w:sz w:val="24"/>
          <w:szCs w:val="24"/>
        </w:rPr>
        <w:footnoteReference w:id="11"/>
      </w:r>
      <w:r w:rsidRPr="00B922C3">
        <w:rPr>
          <w:rFonts w:ascii="Times New Roman" w:hAnsi="Times New Roman" w:cs="Times New Roman"/>
          <w:color w:val="000000" w:themeColor="text1"/>
          <w:sz w:val="24"/>
          <w:szCs w:val="24"/>
        </w:rPr>
        <w:t xml:space="preserve"> </w:t>
      </w:r>
    </w:p>
    <w:p w14:paraId="5D17D111" w14:textId="77777777" w:rsidR="00085F16" w:rsidRPr="00B922C3" w:rsidRDefault="00085F16" w:rsidP="00085F16">
      <w:pPr>
        <w:spacing w:before="240" w:after="120" w:line="276" w:lineRule="auto"/>
        <w:jc w:val="both"/>
        <w:rPr>
          <w:rFonts w:ascii="Times New Roman" w:hAnsi="Times New Roman" w:cs="Times New Roman"/>
          <w:color w:val="FF0000"/>
          <w:sz w:val="24"/>
          <w:szCs w:val="24"/>
        </w:rPr>
      </w:pPr>
      <w:r w:rsidRPr="00B922C3">
        <w:rPr>
          <w:rFonts w:ascii="Times New Roman" w:hAnsi="Times New Roman" w:cs="Times New Roman"/>
          <w:color w:val="000000" w:themeColor="text1"/>
          <w:sz w:val="24"/>
          <w:szCs w:val="24"/>
        </w:rPr>
        <w:t>Analiza jonë e skenarëve alternativë tregon se materializimi i potencialeve (përfshirë implementimin e reformave strukturore) do të gjeneronte një rritje reale ekonomike mbi 6% në periudhën afatmesme (2020-2022), ndërsa materializimi i rreziqeve fiskale do të shkaktonte një ngadalësim të rritjes reale ekonomike, e cila gjatë horizontit afatmesëm do të luhatej rreth nivelit 2.4%. Ndërkohë, rritja reale ekonomike në skenarin tonë bazë, mbi të cilin bazohet përgatitja e buxhetit për vitin 2020, vlerësohet në rreth 4.5% për periudhën 2020-2022.</w:t>
      </w:r>
      <w:r w:rsidRPr="00B922C3">
        <w:rPr>
          <w:rFonts w:ascii="Times New Roman" w:hAnsi="Times New Roman" w:cs="Times New Roman"/>
          <w:sz w:val="24"/>
          <w:szCs w:val="24"/>
        </w:rPr>
        <w:t xml:space="preserve"> </w:t>
      </w:r>
    </w:p>
    <w:p w14:paraId="75BC50C4" w14:textId="77777777" w:rsidR="00085F16" w:rsidRPr="00B922C3" w:rsidRDefault="00085F16" w:rsidP="00802FB3">
      <w:pPr>
        <w:pStyle w:val="ERPL3"/>
        <w:numPr>
          <w:ilvl w:val="0"/>
          <w:numId w:val="93"/>
        </w:numPr>
        <w:ind w:left="142" w:hanging="142"/>
        <w:rPr>
          <w:rFonts w:ascii="Times New Roman" w:hAnsi="Times New Roman"/>
          <w:i w:val="0"/>
          <w:iCs/>
        </w:rPr>
      </w:pPr>
      <w:bookmarkStart w:id="106" w:name="_Toc25873726"/>
      <w:r w:rsidRPr="00B922C3">
        <w:rPr>
          <w:rFonts w:ascii="Times New Roman" w:hAnsi="Times New Roman"/>
          <w:i w:val="0"/>
          <w:iCs/>
        </w:rPr>
        <w:t>Rreziqet</w:t>
      </w:r>
      <w:bookmarkEnd w:id="106"/>
    </w:p>
    <w:p w14:paraId="54735601" w14:textId="77777777" w:rsidR="00085F16" w:rsidRPr="0067685A" w:rsidRDefault="00085F16" w:rsidP="00085F16">
      <w:pPr>
        <w:spacing w:before="240" w:after="120" w:line="276" w:lineRule="auto"/>
        <w:jc w:val="both"/>
      </w:pPr>
      <w:r w:rsidRPr="00B922C3">
        <w:rPr>
          <w:rFonts w:ascii="Times New Roman" w:hAnsi="Times New Roman" w:cs="Times New Roman"/>
          <w:b/>
          <w:sz w:val="24"/>
          <w:szCs w:val="24"/>
        </w:rPr>
        <w:t>Rreziku i parë</w:t>
      </w:r>
      <w:r w:rsidRPr="00B922C3">
        <w:rPr>
          <w:rFonts w:ascii="Times New Roman" w:hAnsi="Times New Roman" w:cs="Times New Roman"/>
          <w:sz w:val="24"/>
          <w:szCs w:val="24"/>
        </w:rPr>
        <w:t xml:space="preserve">: </w:t>
      </w:r>
      <w:r w:rsidRPr="00B922C3">
        <w:rPr>
          <w:rFonts w:ascii="Times New Roman" w:hAnsi="Times New Roman" w:cs="Times New Roman"/>
          <w:b/>
          <w:sz w:val="24"/>
          <w:szCs w:val="24"/>
        </w:rPr>
        <w:t xml:space="preserve">Ndikimi i mjedisit të jashtëm në burimet e jashtme të financimit </w:t>
      </w:r>
      <w:r w:rsidRPr="00B922C3">
        <w:rPr>
          <w:rFonts w:ascii="Times New Roman" w:hAnsi="Times New Roman" w:cs="Times New Roman"/>
          <w:sz w:val="24"/>
          <w:szCs w:val="24"/>
        </w:rPr>
        <w:t xml:space="preserve">(remitancat, investimet e huaja direkte, eksportet) për periudhën afatmesme paraqitet si një rrezik i rritur në krahasim me një vit më parë. Parashikimet afatmesme, të paraqitura në këtë version aktual të PRE, përfshijnë projeksione të WEO, të cilat u azhurnuan së fundmi në Tetor 2019. Kur krahasohen parashikimet e BPV-së reale të paraqitura në WEO dhe ato të Komisionit Evropian, mund të vërehet se parashikimet e WEO janë më optimiste </w:t>
      </w:r>
      <w:r w:rsidRPr="00B922C3">
        <w:rPr>
          <w:rFonts w:ascii="Times New Roman" w:hAnsi="Times New Roman" w:cs="Times New Roman"/>
          <w:b/>
          <w:sz w:val="24"/>
          <w:szCs w:val="24"/>
        </w:rPr>
        <w:t>(Tabela 6).</w:t>
      </w:r>
      <w:r w:rsidRPr="00B922C3">
        <w:rPr>
          <w:rFonts w:ascii="Times New Roman" w:hAnsi="Times New Roman" w:cs="Times New Roman"/>
          <w:sz w:val="24"/>
          <w:szCs w:val="24"/>
        </w:rPr>
        <w:t xml:space="preserve"> Në raportin e Komisionit Evropian, mund të vërehet se nuk është parashikuar një normë më të lartë të rritjes (si ajo e FMN-së) për shkak të tensioneve të tregtisë globale, kushteve më pak të favorshme të financimit dhe çmimeve të ulëta të mallrave në tregjet në zhvillim. Ndërsa, rritja ekonomike më e lartë e Fondit Monetar Ndërkombëtar mbështetet në një rimëkëmbje në kërkesën e jashtme për eksportet e zonës euro, dhe një efekt më të vogël, dhe të përkohshëm të standardeve të reja të emetimit (e cila ndikoi negativisht në industrinë automjeteve në Gjermani). Të dyja parashikimet (WEO dhe Komisioni Evropian) janë të ekspozuara ndaj rrezikut të pasigurisë që sjellë Brexit, i cili mund të pengojë rritjen ekonomike gjatë periudhës afatmesme edhe më tej. </w:t>
      </w:r>
    </w:p>
    <w:p w14:paraId="67B7464B" w14:textId="77777777" w:rsidR="00085F16" w:rsidRPr="009239BD" w:rsidRDefault="00085F16" w:rsidP="00085F16">
      <w:pPr>
        <w:pStyle w:val="Caption"/>
        <w:keepNext/>
        <w:spacing w:before="240" w:after="0"/>
        <w:rPr>
          <w:rFonts w:ascii="Times New Roman" w:hAnsi="Times New Roman"/>
          <w:b/>
          <w:i w:val="0"/>
          <w:color w:val="auto"/>
        </w:rPr>
      </w:pPr>
      <w:bookmarkStart w:id="107" w:name="_Toc25673444"/>
      <w:r w:rsidRPr="009239BD">
        <w:rPr>
          <w:rFonts w:ascii="Times New Roman" w:hAnsi="Times New Roman"/>
          <w:b/>
          <w:i w:val="0"/>
          <w:color w:val="auto"/>
        </w:rPr>
        <w:t xml:space="preserve">Tabela </w:t>
      </w:r>
      <w:r w:rsidRPr="009239BD">
        <w:rPr>
          <w:rFonts w:ascii="Times New Roman" w:hAnsi="Times New Roman"/>
          <w:b/>
          <w:i w:val="0"/>
          <w:color w:val="auto"/>
        </w:rPr>
        <w:fldChar w:fldCharType="begin"/>
      </w:r>
      <w:r w:rsidRPr="009239BD">
        <w:rPr>
          <w:rFonts w:ascii="Times New Roman" w:hAnsi="Times New Roman"/>
          <w:b/>
          <w:i w:val="0"/>
          <w:color w:val="auto"/>
        </w:rPr>
        <w:instrText xml:space="preserve"> SEQ Tabela \* ARABIC </w:instrText>
      </w:r>
      <w:r w:rsidRPr="009239BD">
        <w:rPr>
          <w:rFonts w:ascii="Times New Roman" w:hAnsi="Times New Roman"/>
          <w:b/>
          <w:i w:val="0"/>
          <w:color w:val="auto"/>
        </w:rPr>
        <w:fldChar w:fldCharType="separate"/>
      </w:r>
      <w:r>
        <w:rPr>
          <w:rFonts w:ascii="Times New Roman" w:hAnsi="Times New Roman"/>
          <w:b/>
          <w:i w:val="0"/>
          <w:noProof/>
          <w:color w:val="auto"/>
        </w:rPr>
        <w:t>6</w:t>
      </w:r>
      <w:r w:rsidRPr="009239BD">
        <w:rPr>
          <w:rFonts w:ascii="Times New Roman" w:hAnsi="Times New Roman"/>
          <w:b/>
          <w:i w:val="0"/>
          <w:color w:val="auto"/>
        </w:rPr>
        <w:fldChar w:fldCharType="end"/>
      </w:r>
      <w:r w:rsidRPr="009239BD">
        <w:rPr>
          <w:rFonts w:ascii="Times New Roman" w:hAnsi="Times New Roman"/>
          <w:b/>
          <w:i w:val="0"/>
          <w:color w:val="auto"/>
        </w:rPr>
        <w:t xml:space="preserve"> Dallimet në projeksionet e WEO (tetor 2019) and Komision Evropian (Vjeshtë 2019)</w:t>
      </w:r>
      <w:bookmarkEnd w:id="1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1" w:themeFillTint="33"/>
        <w:tblLook w:val="04A0" w:firstRow="1" w:lastRow="0" w:firstColumn="1" w:lastColumn="0" w:noHBand="0" w:noVBand="1"/>
      </w:tblPr>
      <w:tblGrid>
        <w:gridCol w:w="2307"/>
        <w:gridCol w:w="2250"/>
        <w:gridCol w:w="890"/>
        <w:gridCol w:w="890"/>
        <w:gridCol w:w="890"/>
        <w:gridCol w:w="1242"/>
        <w:gridCol w:w="881"/>
      </w:tblGrid>
      <w:tr w:rsidR="00085F16" w:rsidRPr="0067685A" w14:paraId="39AC1F22" w14:textId="77777777" w:rsidTr="00085F16">
        <w:trPr>
          <w:trHeight w:val="144"/>
        </w:trPr>
        <w:tc>
          <w:tcPr>
            <w:tcW w:w="1234" w:type="pct"/>
            <w:shd w:val="clear" w:color="auto" w:fill="DEEAF6" w:themeFill="accent1" w:themeFillTint="33"/>
            <w:noWrap/>
            <w:hideMark/>
          </w:tcPr>
          <w:p w14:paraId="7D109498" w14:textId="77777777" w:rsidR="00085F16" w:rsidRPr="002D710A" w:rsidRDefault="00085F16" w:rsidP="00085F16">
            <w:pPr>
              <w:spacing w:line="276" w:lineRule="auto"/>
              <w:rPr>
                <w:b/>
                <w:sz w:val="18"/>
                <w:lang w:val="en-US"/>
              </w:rPr>
            </w:pPr>
            <w:r w:rsidRPr="002D710A">
              <w:rPr>
                <w:b/>
                <w:sz w:val="18"/>
              </w:rPr>
              <w:t>Hapësira gjeografika</w:t>
            </w:r>
          </w:p>
        </w:tc>
        <w:tc>
          <w:tcPr>
            <w:tcW w:w="1203" w:type="pct"/>
            <w:shd w:val="clear" w:color="auto" w:fill="DEEAF6" w:themeFill="accent1" w:themeFillTint="33"/>
            <w:noWrap/>
            <w:hideMark/>
          </w:tcPr>
          <w:p w14:paraId="002173E6" w14:textId="77777777" w:rsidR="00085F16" w:rsidRPr="002D710A" w:rsidRDefault="00085F16" w:rsidP="00085F16">
            <w:pPr>
              <w:spacing w:line="276" w:lineRule="auto"/>
              <w:rPr>
                <w:b/>
                <w:sz w:val="18"/>
                <w:lang w:val="en-US"/>
              </w:rPr>
            </w:pPr>
            <w:r w:rsidRPr="002D710A">
              <w:rPr>
                <w:sz w:val="18"/>
              </w:rPr>
              <w:t xml:space="preserve"> </w:t>
            </w:r>
          </w:p>
        </w:tc>
        <w:tc>
          <w:tcPr>
            <w:tcW w:w="476" w:type="pct"/>
            <w:shd w:val="clear" w:color="auto" w:fill="DEEAF6" w:themeFill="accent1" w:themeFillTint="33"/>
            <w:noWrap/>
            <w:hideMark/>
          </w:tcPr>
          <w:p w14:paraId="1E67E898" w14:textId="77777777" w:rsidR="00085F16" w:rsidRPr="002D710A" w:rsidRDefault="00085F16" w:rsidP="00085F16">
            <w:pPr>
              <w:spacing w:line="276" w:lineRule="auto"/>
              <w:jc w:val="right"/>
              <w:rPr>
                <w:b/>
                <w:sz w:val="18"/>
                <w:lang w:val="en-US"/>
              </w:rPr>
            </w:pPr>
            <w:r w:rsidRPr="002D710A">
              <w:rPr>
                <w:b/>
                <w:sz w:val="18"/>
              </w:rPr>
              <w:t>2018</w:t>
            </w:r>
          </w:p>
        </w:tc>
        <w:tc>
          <w:tcPr>
            <w:tcW w:w="476" w:type="pct"/>
            <w:shd w:val="clear" w:color="auto" w:fill="DEEAF6" w:themeFill="accent1" w:themeFillTint="33"/>
            <w:noWrap/>
            <w:hideMark/>
          </w:tcPr>
          <w:p w14:paraId="1352BEE1" w14:textId="77777777" w:rsidR="00085F16" w:rsidRPr="002D710A" w:rsidRDefault="00085F16" w:rsidP="00085F16">
            <w:pPr>
              <w:spacing w:line="276" w:lineRule="auto"/>
              <w:jc w:val="right"/>
              <w:rPr>
                <w:b/>
                <w:sz w:val="18"/>
                <w:lang w:val="en-US"/>
              </w:rPr>
            </w:pPr>
            <w:r w:rsidRPr="002D710A">
              <w:rPr>
                <w:b/>
                <w:sz w:val="18"/>
              </w:rPr>
              <w:t>2019</w:t>
            </w:r>
          </w:p>
        </w:tc>
        <w:tc>
          <w:tcPr>
            <w:tcW w:w="476" w:type="pct"/>
            <w:shd w:val="clear" w:color="auto" w:fill="DEEAF6" w:themeFill="accent1" w:themeFillTint="33"/>
            <w:noWrap/>
            <w:hideMark/>
          </w:tcPr>
          <w:p w14:paraId="68716D51" w14:textId="77777777" w:rsidR="00085F16" w:rsidRPr="002D710A" w:rsidRDefault="00085F16" w:rsidP="00085F16">
            <w:pPr>
              <w:spacing w:line="276" w:lineRule="auto"/>
              <w:jc w:val="right"/>
              <w:rPr>
                <w:b/>
                <w:sz w:val="18"/>
                <w:lang w:val="en-US"/>
              </w:rPr>
            </w:pPr>
            <w:r w:rsidRPr="002D710A">
              <w:rPr>
                <w:b/>
                <w:sz w:val="18"/>
              </w:rPr>
              <w:t>2020</w:t>
            </w:r>
          </w:p>
        </w:tc>
        <w:tc>
          <w:tcPr>
            <w:tcW w:w="664" w:type="pct"/>
            <w:shd w:val="clear" w:color="auto" w:fill="DEEAF6" w:themeFill="accent1" w:themeFillTint="33"/>
            <w:noWrap/>
            <w:hideMark/>
          </w:tcPr>
          <w:p w14:paraId="627BA360" w14:textId="77777777" w:rsidR="00085F16" w:rsidRPr="002D710A" w:rsidRDefault="00085F16" w:rsidP="00085F16">
            <w:pPr>
              <w:spacing w:line="276" w:lineRule="auto"/>
              <w:jc w:val="right"/>
              <w:rPr>
                <w:b/>
                <w:sz w:val="18"/>
                <w:lang w:val="en-US"/>
              </w:rPr>
            </w:pPr>
            <w:r w:rsidRPr="002D710A">
              <w:rPr>
                <w:b/>
                <w:sz w:val="18"/>
              </w:rPr>
              <w:t>2021</w:t>
            </w:r>
          </w:p>
        </w:tc>
        <w:tc>
          <w:tcPr>
            <w:tcW w:w="472" w:type="pct"/>
            <w:shd w:val="clear" w:color="auto" w:fill="DEEAF6" w:themeFill="accent1" w:themeFillTint="33"/>
            <w:noWrap/>
            <w:hideMark/>
          </w:tcPr>
          <w:p w14:paraId="3C3789BE" w14:textId="77777777" w:rsidR="00085F16" w:rsidRPr="002D710A" w:rsidRDefault="00085F16" w:rsidP="00085F16">
            <w:pPr>
              <w:spacing w:line="276" w:lineRule="auto"/>
              <w:jc w:val="right"/>
              <w:rPr>
                <w:b/>
                <w:sz w:val="18"/>
                <w:lang w:val="en-US"/>
              </w:rPr>
            </w:pPr>
            <w:r w:rsidRPr="002D710A">
              <w:rPr>
                <w:b/>
                <w:sz w:val="18"/>
              </w:rPr>
              <w:t>2022</w:t>
            </w:r>
          </w:p>
        </w:tc>
      </w:tr>
      <w:tr w:rsidR="00085F16" w:rsidRPr="0067685A" w14:paraId="3CD8ADB4" w14:textId="77777777" w:rsidTr="00085F16">
        <w:trPr>
          <w:trHeight w:val="144"/>
        </w:trPr>
        <w:tc>
          <w:tcPr>
            <w:tcW w:w="1234" w:type="pct"/>
            <w:vMerge w:val="restart"/>
            <w:shd w:val="clear" w:color="auto" w:fill="DEEAF6" w:themeFill="accent1" w:themeFillTint="33"/>
            <w:noWrap/>
            <w:hideMark/>
          </w:tcPr>
          <w:p w14:paraId="1B331E6A" w14:textId="77777777" w:rsidR="00085F16" w:rsidRPr="002D710A" w:rsidRDefault="00085F16" w:rsidP="00085F16">
            <w:pPr>
              <w:spacing w:line="276" w:lineRule="auto"/>
              <w:rPr>
                <w:sz w:val="18"/>
                <w:lang w:val="en-US"/>
              </w:rPr>
            </w:pPr>
            <w:r w:rsidRPr="002D710A">
              <w:rPr>
                <w:sz w:val="18"/>
              </w:rPr>
              <w:t>Globale</w:t>
            </w:r>
          </w:p>
          <w:p w14:paraId="132291CA" w14:textId="77777777" w:rsidR="00085F16" w:rsidRPr="002D710A" w:rsidRDefault="00085F16" w:rsidP="00085F16">
            <w:pPr>
              <w:spacing w:line="276" w:lineRule="auto"/>
              <w:rPr>
                <w:sz w:val="18"/>
                <w:lang w:val="en-US"/>
              </w:rPr>
            </w:pPr>
          </w:p>
        </w:tc>
        <w:tc>
          <w:tcPr>
            <w:tcW w:w="1203" w:type="pct"/>
            <w:shd w:val="clear" w:color="auto" w:fill="DEEAF6" w:themeFill="accent1" w:themeFillTint="33"/>
            <w:noWrap/>
            <w:hideMark/>
          </w:tcPr>
          <w:p w14:paraId="303FBE96" w14:textId="77777777" w:rsidR="00085F16" w:rsidRPr="002D710A" w:rsidRDefault="00085F16" w:rsidP="00085F16">
            <w:pPr>
              <w:spacing w:line="276" w:lineRule="auto"/>
              <w:rPr>
                <w:i/>
                <w:sz w:val="18"/>
                <w:lang w:val="en-US"/>
              </w:rPr>
            </w:pPr>
            <w:r w:rsidRPr="002D710A">
              <w:rPr>
                <w:i/>
                <w:sz w:val="18"/>
              </w:rPr>
              <w:t>WEO</w:t>
            </w:r>
          </w:p>
        </w:tc>
        <w:tc>
          <w:tcPr>
            <w:tcW w:w="476" w:type="pct"/>
            <w:shd w:val="clear" w:color="auto" w:fill="DEEAF6" w:themeFill="accent1" w:themeFillTint="33"/>
            <w:noWrap/>
            <w:hideMark/>
          </w:tcPr>
          <w:p w14:paraId="187F4FEB" w14:textId="77777777" w:rsidR="00085F16" w:rsidRPr="002D710A" w:rsidRDefault="00085F16" w:rsidP="00085F16">
            <w:pPr>
              <w:spacing w:line="276" w:lineRule="auto"/>
              <w:jc w:val="right"/>
              <w:rPr>
                <w:sz w:val="18"/>
                <w:lang w:val="en-US"/>
              </w:rPr>
            </w:pPr>
            <w:r w:rsidRPr="002D710A">
              <w:rPr>
                <w:sz w:val="18"/>
              </w:rPr>
              <w:t>3.6</w:t>
            </w:r>
          </w:p>
        </w:tc>
        <w:tc>
          <w:tcPr>
            <w:tcW w:w="476" w:type="pct"/>
            <w:shd w:val="clear" w:color="auto" w:fill="DEEAF6" w:themeFill="accent1" w:themeFillTint="33"/>
            <w:noWrap/>
            <w:hideMark/>
          </w:tcPr>
          <w:p w14:paraId="6729B286" w14:textId="77777777" w:rsidR="00085F16" w:rsidRPr="002D710A" w:rsidRDefault="00085F16" w:rsidP="00085F16">
            <w:pPr>
              <w:spacing w:line="276" w:lineRule="auto"/>
              <w:jc w:val="right"/>
              <w:rPr>
                <w:sz w:val="18"/>
                <w:lang w:val="en-US"/>
              </w:rPr>
            </w:pPr>
            <w:r w:rsidRPr="002D710A">
              <w:rPr>
                <w:sz w:val="18"/>
              </w:rPr>
              <w:t>3.0</w:t>
            </w:r>
          </w:p>
        </w:tc>
        <w:tc>
          <w:tcPr>
            <w:tcW w:w="476" w:type="pct"/>
            <w:shd w:val="clear" w:color="auto" w:fill="DEEAF6" w:themeFill="accent1" w:themeFillTint="33"/>
            <w:noWrap/>
            <w:hideMark/>
          </w:tcPr>
          <w:p w14:paraId="45B2BBCF" w14:textId="77777777" w:rsidR="00085F16" w:rsidRPr="002D710A" w:rsidRDefault="00085F16" w:rsidP="00085F16">
            <w:pPr>
              <w:spacing w:line="276" w:lineRule="auto"/>
              <w:jc w:val="right"/>
              <w:rPr>
                <w:sz w:val="18"/>
                <w:lang w:val="en-US"/>
              </w:rPr>
            </w:pPr>
            <w:r w:rsidRPr="002D710A">
              <w:rPr>
                <w:sz w:val="18"/>
              </w:rPr>
              <w:t>3.4</w:t>
            </w:r>
          </w:p>
        </w:tc>
        <w:tc>
          <w:tcPr>
            <w:tcW w:w="664" w:type="pct"/>
            <w:shd w:val="clear" w:color="auto" w:fill="DEEAF6" w:themeFill="accent1" w:themeFillTint="33"/>
            <w:noWrap/>
            <w:hideMark/>
          </w:tcPr>
          <w:p w14:paraId="74DBDB13" w14:textId="77777777" w:rsidR="00085F16" w:rsidRPr="002D710A" w:rsidRDefault="00085F16" w:rsidP="00085F16">
            <w:pPr>
              <w:spacing w:line="276" w:lineRule="auto"/>
              <w:jc w:val="right"/>
              <w:rPr>
                <w:sz w:val="18"/>
                <w:lang w:val="en-US"/>
              </w:rPr>
            </w:pPr>
            <w:r w:rsidRPr="002D710A">
              <w:rPr>
                <w:sz w:val="18"/>
              </w:rPr>
              <w:t>3.6</w:t>
            </w:r>
          </w:p>
        </w:tc>
        <w:tc>
          <w:tcPr>
            <w:tcW w:w="472" w:type="pct"/>
            <w:shd w:val="clear" w:color="auto" w:fill="DEEAF6" w:themeFill="accent1" w:themeFillTint="33"/>
            <w:noWrap/>
            <w:hideMark/>
          </w:tcPr>
          <w:p w14:paraId="317050CE" w14:textId="77777777" w:rsidR="00085F16" w:rsidRPr="002D710A" w:rsidRDefault="00085F16" w:rsidP="00085F16">
            <w:pPr>
              <w:spacing w:line="276" w:lineRule="auto"/>
              <w:jc w:val="right"/>
              <w:rPr>
                <w:sz w:val="18"/>
                <w:lang w:val="en-US"/>
              </w:rPr>
            </w:pPr>
            <w:r w:rsidRPr="002D710A">
              <w:rPr>
                <w:sz w:val="18"/>
              </w:rPr>
              <w:t>3.6</w:t>
            </w:r>
          </w:p>
        </w:tc>
      </w:tr>
      <w:tr w:rsidR="00085F16" w:rsidRPr="0067685A" w14:paraId="1034CA03" w14:textId="77777777" w:rsidTr="00085F16">
        <w:trPr>
          <w:trHeight w:val="144"/>
        </w:trPr>
        <w:tc>
          <w:tcPr>
            <w:tcW w:w="1234" w:type="pct"/>
            <w:vMerge/>
            <w:shd w:val="clear" w:color="auto" w:fill="DEEAF6" w:themeFill="accent1" w:themeFillTint="33"/>
            <w:hideMark/>
          </w:tcPr>
          <w:p w14:paraId="5F8C9513" w14:textId="77777777" w:rsidR="00085F16" w:rsidRPr="002D710A" w:rsidRDefault="00085F16" w:rsidP="00085F16">
            <w:pPr>
              <w:spacing w:line="276" w:lineRule="auto"/>
              <w:rPr>
                <w:sz w:val="18"/>
                <w:lang w:val="en-US"/>
              </w:rPr>
            </w:pPr>
          </w:p>
        </w:tc>
        <w:tc>
          <w:tcPr>
            <w:tcW w:w="1203" w:type="pct"/>
            <w:shd w:val="clear" w:color="auto" w:fill="DEEAF6" w:themeFill="accent1" w:themeFillTint="33"/>
            <w:noWrap/>
            <w:hideMark/>
          </w:tcPr>
          <w:p w14:paraId="2F3FED12" w14:textId="77777777" w:rsidR="00085F16" w:rsidRPr="002D710A" w:rsidRDefault="00085F16" w:rsidP="00085F16">
            <w:pPr>
              <w:spacing w:line="276" w:lineRule="auto"/>
              <w:rPr>
                <w:i/>
                <w:sz w:val="18"/>
                <w:lang w:val="en-US"/>
              </w:rPr>
            </w:pPr>
            <w:r w:rsidRPr="002D710A">
              <w:rPr>
                <w:i/>
                <w:sz w:val="18"/>
              </w:rPr>
              <w:t>Komisioni Evropian</w:t>
            </w:r>
          </w:p>
        </w:tc>
        <w:tc>
          <w:tcPr>
            <w:tcW w:w="476" w:type="pct"/>
            <w:shd w:val="clear" w:color="auto" w:fill="DEEAF6" w:themeFill="accent1" w:themeFillTint="33"/>
            <w:noWrap/>
            <w:hideMark/>
          </w:tcPr>
          <w:p w14:paraId="427685FC" w14:textId="77777777" w:rsidR="00085F16" w:rsidRPr="002D710A" w:rsidRDefault="00085F16" w:rsidP="00085F16">
            <w:pPr>
              <w:spacing w:line="276" w:lineRule="auto"/>
              <w:jc w:val="right"/>
              <w:rPr>
                <w:sz w:val="18"/>
                <w:lang w:val="en-US"/>
              </w:rPr>
            </w:pPr>
            <w:r w:rsidRPr="002D710A">
              <w:rPr>
                <w:sz w:val="18"/>
              </w:rPr>
              <w:t>3.6</w:t>
            </w:r>
          </w:p>
        </w:tc>
        <w:tc>
          <w:tcPr>
            <w:tcW w:w="476" w:type="pct"/>
            <w:shd w:val="clear" w:color="auto" w:fill="DEEAF6" w:themeFill="accent1" w:themeFillTint="33"/>
            <w:noWrap/>
            <w:hideMark/>
          </w:tcPr>
          <w:p w14:paraId="57FEE219" w14:textId="77777777" w:rsidR="00085F16" w:rsidRPr="002D710A" w:rsidRDefault="00085F16" w:rsidP="00085F16">
            <w:pPr>
              <w:spacing w:line="276" w:lineRule="auto"/>
              <w:jc w:val="right"/>
              <w:rPr>
                <w:sz w:val="18"/>
                <w:lang w:val="en-US"/>
              </w:rPr>
            </w:pPr>
            <w:r w:rsidRPr="002D710A">
              <w:rPr>
                <w:sz w:val="18"/>
              </w:rPr>
              <w:t>2.9</w:t>
            </w:r>
          </w:p>
        </w:tc>
        <w:tc>
          <w:tcPr>
            <w:tcW w:w="476" w:type="pct"/>
            <w:shd w:val="clear" w:color="auto" w:fill="DEEAF6" w:themeFill="accent1" w:themeFillTint="33"/>
            <w:noWrap/>
            <w:hideMark/>
          </w:tcPr>
          <w:p w14:paraId="6834B2D8" w14:textId="77777777" w:rsidR="00085F16" w:rsidRPr="002D710A" w:rsidRDefault="00085F16" w:rsidP="00085F16">
            <w:pPr>
              <w:spacing w:line="276" w:lineRule="auto"/>
              <w:jc w:val="right"/>
              <w:rPr>
                <w:sz w:val="18"/>
                <w:lang w:val="en-US"/>
              </w:rPr>
            </w:pPr>
            <w:r w:rsidRPr="002D710A">
              <w:rPr>
                <w:sz w:val="18"/>
              </w:rPr>
              <w:t>3.0</w:t>
            </w:r>
          </w:p>
        </w:tc>
        <w:tc>
          <w:tcPr>
            <w:tcW w:w="664" w:type="pct"/>
            <w:shd w:val="clear" w:color="auto" w:fill="DEEAF6" w:themeFill="accent1" w:themeFillTint="33"/>
            <w:noWrap/>
            <w:hideMark/>
          </w:tcPr>
          <w:p w14:paraId="48BDF989" w14:textId="77777777" w:rsidR="00085F16" w:rsidRPr="002D710A" w:rsidRDefault="00085F16" w:rsidP="00085F16">
            <w:pPr>
              <w:spacing w:line="276" w:lineRule="auto"/>
              <w:jc w:val="right"/>
              <w:rPr>
                <w:sz w:val="18"/>
                <w:lang w:val="en-US"/>
              </w:rPr>
            </w:pPr>
            <w:r w:rsidRPr="002D710A">
              <w:rPr>
                <w:sz w:val="18"/>
              </w:rPr>
              <w:t>3.1</w:t>
            </w:r>
          </w:p>
        </w:tc>
        <w:tc>
          <w:tcPr>
            <w:tcW w:w="472" w:type="pct"/>
            <w:shd w:val="clear" w:color="auto" w:fill="DEEAF6" w:themeFill="accent1" w:themeFillTint="33"/>
            <w:noWrap/>
            <w:hideMark/>
          </w:tcPr>
          <w:p w14:paraId="3B1ADA48" w14:textId="77777777" w:rsidR="00085F16" w:rsidRPr="002D710A" w:rsidRDefault="00085F16" w:rsidP="00085F16">
            <w:pPr>
              <w:spacing w:line="276" w:lineRule="auto"/>
              <w:jc w:val="right"/>
              <w:rPr>
                <w:sz w:val="18"/>
                <w:lang w:val="en-US"/>
              </w:rPr>
            </w:pPr>
            <w:r w:rsidRPr="002D710A">
              <w:rPr>
                <w:sz w:val="18"/>
              </w:rPr>
              <w:t>n/a</w:t>
            </w:r>
          </w:p>
        </w:tc>
      </w:tr>
      <w:tr w:rsidR="00085F16" w:rsidRPr="0067685A" w14:paraId="05CF6E20" w14:textId="77777777" w:rsidTr="00085F16">
        <w:trPr>
          <w:trHeight w:val="144"/>
        </w:trPr>
        <w:tc>
          <w:tcPr>
            <w:tcW w:w="1234" w:type="pct"/>
            <w:vMerge w:val="restart"/>
            <w:shd w:val="clear" w:color="auto" w:fill="DEEAF6" w:themeFill="accent1" w:themeFillTint="33"/>
            <w:noWrap/>
            <w:hideMark/>
          </w:tcPr>
          <w:p w14:paraId="54367E00" w14:textId="77777777" w:rsidR="00085F16" w:rsidRPr="002D710A" w:rsidRDefault="00085F16" w:rsidP="00085F16">
            <w:pPr>
              <w:spacing w:line="276" w:lineRule="auto"/>
              <w:rPr>
                <w:sz w:val="18"/>
                <w:lang w:val="en-US"/>
              </w:rPr>
            </w:pPr>
            <w:r w:rsidRPr="002D710A">
              <w:rPr>
                <w:sz w:val="18"/>
              </w:rPr>
              <w:t>Euro Zona</w:t>
            </w:r>
          </w:p>
          <w:p w14:paraId="498CA695" w14:textId="77777777" w:rsidR="00085F16" w:rsidRPr="002D710A" w:rsidRDefault="00085F16" w:rsidP="00085F16">
            <w:pPr>
              <w:spacing w:line="276" w:lineRule="auto"/>
              <w:rPr>
                <w:sz w:val="18"/>
                <w:lang w:val="en-US"/>
              </w:rPr>
            </w:pPr>
          </w:p>
        </w:tc>
        <w:tc>
          <w:tcPr>
            <w:tcW w:w="1203" w:type="pct"/>
            <w:shd w:val="clear" w:color="auto" w:fill="DEEAF6" w:themeFill="accent1" w:themeFillTint="33"/>
            <w:noWrap/>
            <w:hideMark/>
          </w:tcPr>
          <w:p w14:paraId="33DF8124" w14:textId="77777777" w:rsidR="00085F16" w:rsidRPr="002D710A" w:rsidRDefault="00085F16" w:rsidP="00085F16">
            <w:pPr>
              <w:spacing w:line="276" w:lineRule="auto"/>
              <w:rPr>
                <w:i/>
                <w:sz w:val="18"/>
                <w:lang w:val="en-US"/>
              </w:rPr>
            </w:pPr>
            <w:r>
              <w:rPr>
                <w:i/>
                <w:sz w:val="18"/>
              </w:rPr>
              <w:t>W</w:t>
            </w:r>
            <w:r w:rsidRPr="002D710A">
              <w:rPr>
                <w:i/>
                <w:sz w:val="18"/>
              </w:rPr>
              <w:t>EO</w:t>
            </w:r>
          </w:p>
        </w:tc>
        <w:tc>
          <w:tcPr>
            <w:tcW w:w="476" w:type="pct"/>
            <w:shd w:val="clear" w:color="auto" w:fill="DEEAF6" w:themeFill="accent1" w:themeFillTint="33"/>
            <w:noWrap/>
            <w:hideMark/>
          </w:tcPr>
          <w:p w14:paraId="206A01D8" w14:textId="77777777" w:rsidR="00085F16" w:rsidRPr="002D710A" w:rsidRDefault="00085F16" w:rsidP="00085F16">
            <w:pPr>
              <w:spacing w:line="276" w:lineRule="auto"/>
              <w:jc w:val="right"/>
              <w:rPr>
                <w:sz w:val="18"/>
                <w:lang w:val="en-US"/>
              </w:rPr>
            </w:pPr>
            <w:r w:rsidRPr="002D710A">
              <w:rPr>
                <w:sz w:val="18"/>
              </w:rPr>
              <w:t>1.9</w:t>
            </w:r>
          </w:p>
        </w:tc>
        <w:tc>
          <w:tcPr>
            <w:tcW w:w="476" w:type="pct"/>
            <w:shd w:val="clear" w:color="auto" w:fill="DEEAF6" w:themeFill="accent1" w:themeFillTint="33"/>
            <w:noWrap/>
            <w:hideMark/>
          </w:tcPr>
          <w:p w14:paraId="1DD5850D" w14:textId="77777777" w:rsidR="00085F16" w:rsidRPr="002D710A" w:rsidRDefault="00085F16" w:rsidP="00085F16">
            <w:pPr>
              <w:spacing w:line="276" w:lineRule="auto"/>
              <w:jc w:val="right"/>
              <w:rPr>
                <w:sz w:val="18"/>
                <w:lang w:val="en-US"/>
              </w:rPr>
            </w:pPr>
            <w:r w:rsidRPr="002D710A">
              <w:rPr>
                <w:sz w:val="18"/>
              </w:rPr>
              <w:t>1.2</w:t>
            </w:r>
          </w:p>
        </w:tc>
        <w:tc>
          <w:tcPr>
            <w:tcW w:w="476" w:type="pct"/>
            <w:shd w:val="clear" w:color="auto" w:fill="DEEAF6" w:themeFill="accent1" w:themeFillTint="33"/>
            <w:noWrap/>
            <w:hideMark/>
          </w:tcPr>
          <w:p w14:paraId="235E0570" w14:textId="77777777" w:rsidR="00085F16" w:rsidRPr="002D710A" w:rsidRDefault="00085F16" w:rsidP="00085F16">
            <w:pPr>
              <w:spacing w:line="276" w:lineRule="auto"/>
              <w:jc w:val="right"/>
              <w:rPr>
                <w:sz w:val="18"/>
                <w:lang w:val="en-US"/>
              </w:rPr>
            </w:pPr>
            <w:r w:rsidRPr="002D710A">
              <w:rPr>
                <w:sz w:val="18"/>
              </w:rPr>
              <w:t>1.4</w:t>
            </w:r>
          </w:p>
        </w:tc>
        <w:tc>
          <w:tcPr>
            <w:tcW w:w="664" w:type="pct"/>
            <w:shd w:val="clear" w:color="auto" w:fill="DEEAF6" w:themeFill="accent1" w:themeFillTint="33"/>
            <w:noWrap/>
            <w:hideMark/>
          </w:tcPr>
          <w:p w14:paraId="690358A0" w14:textId="77777777" w:rsidR="00085F16" w:rsidRPr="002D710A" w:rsidRDefault="00085F16" w:rsidP="00085F16">
            <w:pPr>
              <w:spacing w:line="276" w:lineRule="auto"/>
              <w:jc w:val="right"/>
              <w:rPr>
                <w:sz w:val="18"/>
                <w:lang w:val="en-US"/>
              </w:rPr>
            </w:pPr>
            <w:r w:rsidRPr="002D710A">
              <w:rPr>
                <w:sz w:val="18"/>
              </w:rPr>
              <w:t>1.4</w:t>
            </w:r>
          </w:p>
        </w:tc>
        <w:tc>
          <w:tcPr>
            <w:tcW w:w="472" w:type="pct"/>
            <w:shd w:val="clear" w:color="auto" w:fill="DEEAF6" w:themeFill="accent1" w:themeFillTint="33"/>
            <w:noWrap/>
            <w:hideMark/>
          </w:tcPr>
          <w:p w14:paraId="406BE225" w14:textId="77777777" w:rsidR="00085F16" w:rsidRPr="002D710A" w:rsidRDefault="00085F16" w:rsidP="00085F16">
            <w:pPr>
              <w:spacing w:line="276" w:lineRule="auto"/>
              <w:jc w:val="right"/>
              <w:rPr>
                <w:sz w:val="18"/>
                <w:lang w:val="en-US"/>
              </w:rPr>
            </w:pPr>
            <w:r w:rsidRPr="002D710A">
              <w:rPr>
                <w:sz w:val="18"/>
              </w:rPr>
              <w:t>1.4</w:t>
            </w:r>
          </w:p>
        </w:tc>
      </w:tr>
      <w:tr w:rsidR="00085F16" w:rsidRPr="0067685A" w14:paraId="48BF476F" w14:textId="77777777" w:rsidTr="00085F16">
        <w:trPr>
          <w:trHeight w:val="144"/>
        </w:trPr>
        <w:tc>
          <w:tcPr>
            <w:tcW w:w="1234" w:type="pct"/>
            <w:vMerge/>
            <w:shd w:val="clear" w:color="auto" w:fill="DEEAF6" w:themeFill="accent1" w:themeFillTint="33"/>
            <w:hideMark/>
          </w:tcPr>
          <w:p w14:paraId="01C07C73" w14:textId="77777777" w:rsidR="00085F16" w:rsidRPr="002D710A" w:rsidRDefault="00085F16" w:rsidP="00085F16">
            <w:pPr>
              <w:spacing w:line="276" w:lineRule="auto"/>
              <w:rPr>
                <w:sz w:val="18"/>
                <w:lang w:val="en-US"/>
              </w:rPr>
            </w:pPr>
          </w:p>
        </w:tc>
        <w:tc>
          <w:tcPr>
            <w:tcW w:w="1203" w:type="pct"/>
            <w:shd w:val="clear" w:color="auto" w:fill="DEEAF6" w:themeFill="accent1" w:themeFillTint="33"/>
            <w:noWrap/>
            <w:hideMark/>
          </w:tcPr>
          <w:p w14:paraId="5072EB71" w14:textId="77777777" w:rsidR="00085F16" w:rsidRPr="002D710A" w:rsidRDefault="00085F16" w:rsidP="00085F16">
            <w:pPr>
              <w:spacing w:line="276" w:lineRule="auto"/>
              <w:rPr>
                <w:i/>
                <w:sz w:val="18"/>
                <w:lang w:val="en-US"/>
              </w:rPr>
            </w:pPr>
            <w:r w:rsidRPr="002D710A">
              <w:rPr>
                <w:i/>
                <w:sz w:val="18"/>
              </w:rPr>
              <w:t>Komisioni Evropian</w:t>
            </w:r>
          </w:p>
        </w:tc>
        <w:tc>
          <w:tcPr>
            <w:tcW w:w="476" w:type="pct"/>
            <w:shd w:val="clear" w:color="auto" w:fill="DEEAF6" w:themeFill="accent1" w:themeFillTint="33"/>
            <w:noWrap/>
            <w:hideMark/>
          </w:tcPr>
          <w:p w14:paraId="63BF3993" w14:textId="77777777" w:rsidR="00085F16" w:rsidRPr="002D710A" w:rsidRDefault="00085F16" w:rsidP="00085F16">
            <w:pPr>
              <w:spacing w:line="276" w:lineRule="auto"/>
              <w:jc w:val="right"/>
              <w:rPr>
                <w:sz w:val="18"/>
                <w:lang w:val="en-US"/>
              </w:rPr>
            </w:pPr>
            <w:r w:rsidRPr="002D710A">
              <w:rPr>
                <w:sz w:val="18"/>
              </w:rPr>
              <w:t>1.9</w:t>
            </w:r>
          </w:p>
        </w:tc>
        <w:tc>
          <w:tcPr>
            <w:tcW w:w="476" w:type="pct"/>
            <w:shd w:val="clear" w:color="auto" w:fill="DEEAF6" w:themeFill="accent1" w:themeFillTint="33"/>
            <w:noWrap/>
            <w:hideMark/>
          </w:tcPr>
          <w:p w14:paraId="3A109FFC" w14:textId="77777777" w:rsidR="00085F16" w:rsidRPr="002D710A" w:rsidRDefault="00085F16" w:rsidP="00085F16">
            <w:pPr>
              <w:spacing w:line="276" w:lineRule="auto"/>
              <w:jc w:val="right"/>
              <w:rPr>
                <w:sz w:val="18"/>
                <w:lang w:val="en-US"/>
              </w:rPr>
            </w:pPr>
            <w:r w:rsidRPr="002D710A">
              <w:rPr>
                <w:sz w:val="18"/>
              </w:rPr>
              <w:t>1.1</w:t>
            </w:r>
          </w:p>
        </w:tc>
        <w:tc>
          <w:tcPr>
            <w:tcW w:w="476" w:type="pct"/>
            <w:shd w:val="clear" w:color="auto" w:fill="DEEAF6" w:themeFill="accent1" w:themeFillTint="33"/>
            <w:noWrap/>
            <w:hideMark/>
          </w:tcPr>
          <w:p w14:paraId="2AD64962" w14:textId="77777777" w:rsidR="00085F16" w:rsidRPr="002D710A" w:rsidRDefault="00085F16" w:rsidP="00085F16">
            <w:pPr>
              <w:spacing w:line="276" w:lineRule="auto"/>
              <w:jc w:val="right"/>
              <w:rPr>
                <w:sz w:val="18"/>
                <w:lang w:val="en-US"/>
              </w:rPr>
            </w:pPr>
            <w:r w:rsidRPr="002D710A">
              <w:rPr>
                <w:sz w:val="18"/>
              </w:rPr>
              <w:t>1.2</w:t>
            </w:r>
          </w:p>
        </w:tc>
        <w:tc>
          <w:tcPr>
            <w:tcW w:w="664" w:type="pct"/>
            <w:shd w:val="clear" w:color="auto" w:fill="DEEAF6" w:themeFill="accent1" w:themeFillTint="33"/>
            <w:noWrap/>
            <w:hideMark/>
          </w:tcPr>
          <w:p w14:paraId="79CA0F56" w14:textId="77777777" w:rsidR="00085F16" w:rsidRPr="002D710A" w:rsidRDefault="00085F16" w:rsidP="00085F16">
            <w:pPr>
              <w:spacing w:line="276" w:lineRule="auto"/>
              <w:jc w:val="right"/>
              <w:rPr>
                <w:sz w:val="18"/>
                <w:lang w:val="en-US"/>
              </w:rPr>
            </w:pPr>
            <w:r w:rsidRPr="002D710A">
              <w:rPr>
                <w:sz w:val="18"/>
              </w:rPr>
              <w:t>1.2</w:t>
            </w:r>
          </w:p>
        </w:tc>
        <w:tc>
          <w:tcPr>
            <w:tcW w:w="472" w:type="pct"/>
            <w:shd w:val="clear" w:color="auto" w:fill="DEEAF6" w:themeFill="accent1" w:themeFillTint="33"/>
            <w:noWrap/>
            <w:hideMark/>
          </w:tcPr>
          <w:p w14:paraId="57BB552B" w14:textId="77777777" w:rsidR="00085F16" w:rsidRPr="002D710A" w:rsidRDefault="00085F16" w:rsidP="00085F16">
            <w:pPr>
              <w:spacing w:line="276" w:lineRule="auto"/>
              <w:jc w:val="right"/>
              <w:rPr>
                <w:sz w:val="18"/>
                <w:lang w:val="en-US"/>
              </w:rPr>
            </w:pPr>
            <w:r w:rsidRPr="002D710A">
              <w:rPr>
                <w:sz w:val="18"/>
              </w:rPr>
              <w:t xml:space="preserve">n/a </w:t>
            </w:r>
          </w:p>
        </w:tc>
      </w:tr>
    </w:tbl>
    <w:p w14:paraId="6D244DFB" w14:textId="77777777" w:rsidR="00085F16" w:rsidRPr="00B922C3" w:rsidRDefault="00085F16" w:rsidP="00085F16">
      <w:pPr>
        <w:spacing w:before="120" w:after="240" w:line="276" w:lineRule="auto"/>
        <w:jc w:val="both"/>
        <w:rPr>
          <w:rFonts w:ascii="Times New Roman" w:hAnsi="Times New Roman" w:cs="Times New Roman"/>
          <w:color w:val="FF0000"/>
          <w:sz w:val="24"/>
          <w:szCs w:val="24"/>
        </w:rPr>
      </w:pPr>
      <w:r w:rsidRPr="00B922C3">
        <w:rPr>
          <w:rFonts w:ascii="Times New Roman" w:hAnsi="Times New Roman" w:cs="Times New Roman"/>
          <w:sz w:val="24"/>
          <w:szCs w:val="24"/>
        </w:rPr>
        <w:t>Materializimi i këtyre rreziqeve dhe paqartësive midis projeksioneve të ndryshme do të ndikonin negativisht në remitenca (ngadalësimi i rritjes së remitencave nga 5% në nivelin fillestar në 3%); investimet e huaja direkte (ngadalësimi i hyrjeve të IHD-ve në nivelin 0% të rritjes nga një normë mesatare prej 3% në nivelin fillestar) dhe ecuria e eksportit (ulje nga niveli i rritjes prej 4% në skenarin bazë në një normë rritjeje 2%), duke pasur parasysh që Eurozona është vendi kryesor ku janë vendosur shumica e emigrantëve kosovarë; nga ku buron shumica e investimeve të huaja direkte; dhe ku një pjesë e konsiderueshme e eksporteve të Kosovës janë të destinuara. Një ulje e këtyre hyrjeve transferohet në të ardhura më të ulëta të disponueshme private (dhe më vonë në konsum më të ulët) dhe në investime private më të ulëta, të cilat më pas pasqyrohen në BPV më të ulët dhe rrjedhimisht në të ardhura buxhetore më të ulëta se ato të parashikuara në Buxhetin 2020 dhe në dy vitet në vijim.</w:t>
      </w:r>
    </w:p>
    <w:p w14:paraId="24D07C2A" w14:textId="77777777" w:rsidR="00085F16" w:rsidRPr="00B922C3" w:rsidRDefault="00085F16" w:rsidP="00085F16">
      <w:pPr>
        <w:shd w:val="clear" w:color="auto" w:fill="FFFFFF"/>
        <w:spacing w:before="120" w:after="240" w:line="276" w:lineRule="auto"/>
        <w:jc w:val="both"/>
        <w:rPr>
          <w:rFonts w:ascii="Times New Roman" w:hAnsi="Times New Roman" w:cs="Times New Roman"/>
          <w:sz w:val="24"/>
          <w:szCs w:val="24"/>
        </w:rPr>
      </w:pPr>
      <w:r w:rsidRPr="00B922C3">
        <w:rPr>
          <w:rFonts w:ascii="Times New Roman" w:hAnsi="Times New Roman" w:cs="Times New Roman"/>
          <w:b/>
          <w:sz w:val="24"/>
          <w:szCs w:val="24"/>
        </w:rPr>
        <w:t>Rreziku i dytë: Rreziku i mos realizimit të projekteve kapitale, veçanërisht Klauzolës së Investimeve</w:t>
      </w:r>
      <w:r w:rsidRPr="00B922C3">
        <w:rPr>
          <w:rFonts w:ascii="Times New Roman" w:hAnsi="Times New Roman" w:cs="Times New Roman"/>
          <w:sz w:val="24"/>
          <w:szCs w:val="24"/>
        </w:rPr>
        <w:t>, pritet të mbizotërojë edhe për periudhën afatmesme. Një rritje e shpenzimeve publike kapitaale për të adresuar pengesat strukturore është shtylla kurrizore e strategjisë së qeverisë për të mbështetur një mjedis ekonomik për të mbështetur rritjen ekonomike. Vitet e fundit, megjithë përmirësimet, nën-ekzekutimi i shpenzimeve kapitale tejkaloi 5% të shumës totale të buxhetuar.</w:t>
      </w:r>
    </w:p>
    <w:p w14:paraId="6D3812F9" w14:textId="77777777" w:rsidR="00085F16" w:rsidRPr="00B922C3" w:rsidRDefault="00085F16" w:rsidP="00085F16">
      <w:pPr>
        <w:shd w:val="clear" w:color="auto" w:fill="FFFFFF"/>
        <w:spacing w:before="120" w:after="240" w:line="276" w:lineRule="auto"/>
        <w:jc w:val="both"/>
        <w:rPr>
          <w:rFonts w:ascii="Times New Roman" w:hAnsi="Times New Roman" w:cs="Times New Roman"/>
          <w:sz w:val="24"/>
          <w:szCs w:val="24"/>
        </w:rPr>
      </w:pPr>
      <w:r w:rsidRPr="00B922C3">
        <w:rPr>
          <w:rFonts w:ascii="Times New Roman" w:hAnsi="Times New Roman" w:cs="Times New Roman"/>
          <w:sz w:val="24"/>
          <w:szCs w:val="24"/>
        </w:rPr>
        <w:t>Për të mbështetur planifikimin e kujdesshëm, parashikimet afatmesme makroekonomike, të cilat shërbejnë si baza kryesore në projektimin e të ardhurave tatimore, marrin parasysh nën performancën historike të shpenzimeve kapitale të financuara nga buxheti i rregullt dhe supozimet edhe më konservatore për projektet e financuara nga kreditë. Në skenarin bazë klauzola e investimeve parashikohet të ekzekutohet në një nivel prej 50% në vitin 2020 dhe në një nivel prej 60% në të dy vitet, 2021 dhe 2022; ndërsa për shpenzimet kapitale të financuara nga buxheti i rregullt, supozohet një nivel ekzekutimi prej 85% për tre vjet.</w:t>
      </w:r>
    </w:p>
    <w:p w14:paraId="1B3CD1BF" w14:textId="77777777" w:rsidR="00085F16" w:rsidRPr="00B922C3" w:rsidRDefault="00085F16" w:rsidP="00085F16">
      <w:pPr>
        <w:shd w:val="clear" w:color="auto" w:fill="FFFFFF"/>
        <w:spacing w:before="120" w:after="240" w:line="276" w:lineRule="auto"/>
        <w:jc w:val="both"/>
        <w:rPr>
          <w:rFonts w:ascii="Times New Roman" w:hAnsi="Times New Roman" w:cs="Times New Roman"/>
          <w:sz w:val="24"/>
          <w:szCs w:val="24"/>
        </w:rPr>
      </w:pPr>
      <w:r w:rsidRPr="00B922C3">
        <w:rPr>
          <w:rFonts w:ascii="Times New Roman" w:hAnsi="Times New Roman" w:cs="Times New Roman"/>
          <w:sz w:val="24"/>
          <w:szCs w:val="24"/>
        </w:rPr>
        <w:t>Megjithatë, nën ekzekutimi i projekteve kapitale nga supozimet e skenarit bazë, veçanërisht për projektet e financuara nga kreditë, shihet si një rrezik potencial për rritje më të ulët. Ekzekutimi i projekteve kapitale të financuara nga borxhi koncesionar, pas nënshkrimit të marrëveshjeve financiare, mbetet sfidues për organizatat buxhetore. Kjo është kryesisht për shkak të një vendimmarrjeje të nxituar për kredi, pa u siguruar që të gjitha parakushtet janë përmbushur dhe janë bërë përgatitjet, studimet dhe analizat e duhura, për të siguruar fillimin e menjëhershëm të projekteve pas ratifikimit të kredisë dhe përdorimit efikas e fondeve. Faktorë të tjerë përfshijnë mungesën e harmonizimit të duhur të procedurave të prokurimit me ato të kreditorit në fillimin e procesit, pjesëmarrjen joadekuate të zyrtarëve të ministrisë së linjës gjatë procesit të negociatave për kredi, mungesën e konsolidimit dhe paqëndrueshmërisë së njësive të zbatimit të projektit, mungesa e kapaciteteve, etj. Prandaj, për qëllime të vlerësimit të rreziqeve, pritet një nivel ekzekutimi edhe më i ulët i shpenzimeve kapitale: një nivel prej 40% për shpenzimet kapitale nën klauzolën e investimeve dhe një nivel prej 75% për ato të financuara nga buxheti i rregullt në periudhën 2020 - 2022.</w:t>
      </w:r>
      <w:r w:rsidRPr="00B922C3">
        <w:rPr>
          <w:rFonts w:ascii="Times New Roman" w:hAnsi="Times New Roman" w:cs="Times New Roman"/>
          <w:color w:val="000000" w:themeColor="text1"/>
          <w:sz w:val="24"/>
          <w:szCs w:val="24"/>
        </w:rPr>
        <w:t xml:space="preserve"> </w:t>
      </w:r>
    </w:p>
    <w:p w14:paraId="07474676" w14:textId="77777777" w:rsidR="00085F16" w:rsidRPr="00B922C3" w:rsidRDefault="00085F16" w:rsidP="00085F16">
      <w:pPr>
        <w:shd w:val="clear" w:color="auto" w:fill="FFFFFF"/>
        <w:spacing w:before="120" w:after="240" w:line="276" w:lineRule="auto"/>
        <w:jc w:val="both"/>
        <w:rPr>
          <w:rFonts w:ascii="Times New Roman" w:hAnsi="Times New Roman" w:cs="Times New Roman"/>
          <w:sz w:val="24"/>
          <w:szCs w:val="24"/>
        </w:rPr>
      </w:pPr>
      <w:r w:rsidRPr="00B922C3">
        <w:rPr>
          <w:rFonts w:ascii="Times New Roman" w:hAnsi="Times New Roman" w:cs="Times New Roman"/>
          <w:b/>
          <w:sz w:val="24"/>
          <w:szCs w:val="24"/>
        </w:rPr>
        <w:t>Rreziku i tretë:</w:t>
      </w:r>
      <w:r w:rsidRPr="00B922C3">
        <w:rPr>
          <w:rFonts w:ascii="Times New Roman" w:hAnsi="Times New Roman" w:cs="Times New Roman"/>
          <w:sz w:val="24"/>
          <w:szCs w:val="24"/>
        </w:rPr>
        <w:t xml:space="preserve"> Probabiliteti i materializimit të rrezikut që vjen nga </w:t>
      </w:r>
      <w:r w:rsidRPr="00B922C3">
        <w:rPr>
          <w:rFonts w:ascii="Times New Roman" w:hAnsi="Times New Roman" w:cs="Times New Roman"/>
          <w:b/>
          <w:sz w:val="24"/>
          <w:szCs w:val="24"/>
        </w:rPr>
        <w:t>kapacitetet e brishta për prodhimin vendor të energjisë</w:t>
      </w:r>
      <w:r w:rsidRPr="00B922C3">
        <w:rPr>
          <w:rFonts w:ascii="Times New Roman" w:hAnsi="Times New Roman" w:cs="Times New Roman"/>
          <w:sz w:val="24"/>
          <w:szCs w:val="24"/>
        </w:rPr>
        <w:t xml:space="preserve"> vlerësohet të mbetet i njëjtë për periudhën afatmesme si në vitin e kaluar. Pavarësisht nga mundësia për zbatimin e projekteve / investimeve të energjisë së ripërtrishme (erës dhe diellit), mungesa e investimeve në prodhimin e energjisë elektrike me bazë qymyri mbetet shqetësuese. Ende ekziston nevoja për mbylljen e termocentralit “Kosova A” dhe rehabilitimin e termocentralit “Kosova B”, për shkak të vjetërësisë së aseteve të prodhimit, të cilat së bashku përbëjnë më shumë se 90% të konsumit të brendshëm të energjisë elektrike. Prodhimi i ulët i energjisë vendore rrit mundësinë e importeve më të larta të energjisë. Bazuar në përvojën në vitin 2014, shpërthimi në termocentralin "Kosova A" shkaktoi një rritje të importeve të energjisë prej rreth 45.5 milion Euro, ne po supozojmë një rritje të ngjashme edhe në këtë periudhë të parashikimit në rrethana të kapaciteteve të brishta të prodhimit vendor të energjisë.</w:t>
      </w:r>
    </w:p>
    <w:p w14:paraId="5466C793" w14:textId="77777777" w:rsidR="00085F16" w:rsidRPr="00B922C3" w:rsidRDefault="00085F16" w:rsidP="00085F16">
      <w:pPr>
        <w:shd w:val="clear" w:color="auto" w:fill="FFFFFF"/>
        <w:spacing w:before="120" w:after="240" w:line="276" w:lineRule="auto"/>
        <w:jc w:val="both"/>
        <w:rPr>
          <w:rFonts w:ascii="Times New Roman" w:hAnsi="Times New Roman" w:cs="Times New Roman"/>
          <w:sz w:val="24"/>
          <w:szCs w:val="24"/>
        </w:rPr>
      </w:pPr>
      <w:r w:rsidRPr="00B922C3">
        <w:rPr>
          <w:rFonts w:ascii="Times New Roman" w:hAnsi="Times New Roman" w:cs="Times New Roman"/>
          <w:b/>
          <w:sz w:val="24"/>
          <w:szCs w:val="24"/>
        </w:rPr>
        <w:t>Rreziku i katërt</w:t>
      </w:r>
      <w:r w:rsidRPr="00B922C3">
        <w:rPr>
          <w:rFonts w:ascii="Times New Roman" w:hAnsi="Times New Roman" w:cs="Times New Roman"/>
          <w:sz w:val="24"/>
          <w:szCs w:val="24"/>
        </w:rPr>
        <w:t xml:space="preserve">: Rreziku kontigjent ose jashtë buxhetor që mund të vijë si rezultat i </w:t>
      </w:r>
      <w:r w:rsidRPr="00B922C3">
        <w:rPr>
          <w:rFonts w:ascii="Times New Roman" w:hAnsi="Times New Roman" w:cs="Times New Roman"/>
          <w:b/>
          <w:sz w:val="24"/>
          <w:szCs w:val="24"/>
        </w:rPr>
        <w:t>performancës së dobët të Ndërmarrjeve Publike</w:t>
      </w:r>
      <w:r w:rsidRPr="00B922C3">
        <w:rPr>
          <w:rFonts w:ascii="Times New Roman" w:hAnsi="Times New Roman" w:cs="Times New Roman"/>
          <w:sz w:val="24"/>
          <w:szCs w:val="24"/>
        </w:rPr>
        <w:t xml:space="preserve"> mbetet i pandryshuar që nga viti 2018, pas performancës së pakënaqshme të ndërmarrjeve publike. Një rritje e shpenzimeve për subvencioneve për NP-të mund të jetë e nevojshme duke pasur parasysh performancën e tyre të dobët. Për qëllimet e këtij ushtrimi, supozohet se në një ngjarje të tillë, subvencionet do të rriteshin për një shumë të barabartë me 0.5% të BPV-së bazë të parashikuar në periudhën 2019-2021, duke ulur zëvendësuar shpenzimet kapitale publike.</w:t>
      </w:r>
    </w:p>
    <w:p w14:paraId="060340C7" w14:textId="77777777" w:rsidR="00085F16" w:rsidRPr="00B922C3" w:rsidRDefault="00085F16" w:rsidP="00085F16">
      <w:pPr>
        <w:shd w:val="clear" w:color="auto" w:fill="FFFFFF"/>
        <w:spacing w:before="120" w:after="240" w:line="276" w:lineRule="auto"/>
        <w:jc w:val="both"/>
        <w:rPr>
          <w:rFonts w:ascii="Times New Roman" w:hAnsi="Times New Roman" w:cs="Times New Roman"/>
          <w:sz w:val="24"/>
          <w:szCs w:val="24"/>
        </w:rPr>
      </w:pPr>
      <w:r w:rsidRPr="00B922C3">
        <w:rPr>
          <w:rFonts w:ascii="Times New Roman" w:hAnsi="Times New Roman" w:cs="Times New Roman"/>
          <w:b/>
          <w:sz w:val="24"/>
          <w:szCs w:val="24"/>
        </w:rPr>
        <w:t>Rreziku i pestë: Ngushtimi i hendekut tatimor dhe mbledhja e borxhit tatimor</w:t>
      </w:r>
      <w:r w:rsidRPr="00B922C3">
        <w:rPr>
          <w:rFonts w:ascii="Times New Roman" w:hAnsi="Times New Roman" w:cs="Times New Roman"/>
          <w:sz w:val="24"/>
          <w:szCs w:val="24"/>
        </w:rPr>
        <w:t>: Projeksionet e të hyrave buxhetore bazohen jo vetëm në rritjen e të hyrave si rezultat i zhvillimeve makroekonomike, por edhe në ngushtimin e hendekut tatimor dhe mbledhjen e borxhit tatimor në mënyrë që të zyrtarizojnë tregun dhe të mbështesin tregun konkurs. Prandaj, hapësira e vlerësuar fiskale në të cilën bazohet Buxheti i vitit 2020, gjithashtu varet nga suksesi i politikave administrative dhe nxitëse për ngushtimin e hendekut tatimor dhe mbledhjen e borxhit tatimor. Si rezultat, rreziku i mos realizimit të këtyre objektivave vlerësohet të jetë më i ulët se vitet e kaluara. Po ashtu, suksesi i arritur gjatë vitit 2019 në uljen e stokut të borxhit tatimor (rreth 16 milion euro deri në shtator të këtij viti, ndërkohë deri në fund të vitit pritet të mblidhen rreth 27 milion Euro) mbështet pritjet për vazhdimin e përmbushjes së këtyre objektivave edhe gjatë vitit 2020. Për qëllime të vlerësimit të rreziqeve, supozohet se këto objektiva të mbledhjes së borxhit tatimor nuk janë përmbushur për periudhën afatmesme (rreth 27 milion Euro çdo vit).</w:t>
      </w:r>
    </w:p>
    <w:p w14:paraId="45D8B4C3" w14:textId="77777777" w:rsidR="00085F16" w:rsidRPr="00B922C3" w:rsidRDefault="00085F16" w:rsidP="00085F16">
      <w:pPr>
        <w:shd w:val="clear" w:color="auto" w:fill="FFFFFF"/>
        <w:spacing w:before="120" w:after="240" w:line="276" w:lineRule="auto"/>
        <w:jc w:val="both"/>
        <w:rPr>
          <w:rFonts w:ascii="Times New Roman" w:hAnsi="Times New Roman" w:cs="Times New Roman"/>
          <w:sz w:val="24"/>
          <w:szCs w:val="24"/>
        </w:rPr>
      </w:pPr>
      <w:r w:rsidRPr="00B922C3">
        <w:rPr>
          <w:rFonts w:ascii="Times New Roman" w:hAnsi="Times New Roman" w:cs="Times New Roman"/>
          <w:b/>
          <w:sz w:val="24"/>
          <w:szCs w:val="24"/>
        </w:rPr>
        <w:t>Rreziqe të tjera</w:t>
      </w:r>
      <w:r w:rsidRPr="00B922C3">
        <w:rPr>
          <w:rFonts w:ascii="Times New Roman" w:hAnsi="Times New Roman" w:cs="Times New Roman"/>
          <w:sz w:val="24"/>
          <w:szCs w:val="24"/>
        </w:rPr>
        <w:t xml:space="preserve">: Përveç rreziqeve të përmendura më lart, ekzistojnë edhe disa rreziqe të tjera, efektet e të cilëve në skenarin bazë nuk janë të përcaktuara, por që mund të ndikojnë negativisht në perspektivën ekonomike në planin afatmesëm. Njëra është e lidhur </w:t>
      </w:r>
      <w:r w:rsidRPr="00B922C3">
        <w:rPr>
          <w:rFonts w:ascii="Times New Roman" w:hAnsi="Times New Roman" w:cs="Times New Roman"/>
          <w:b/>
          <w:sz w:val="24"/>
          <w:szCs w:val="24"/>
        </w:rPr>
        <w:t>me rritjen e presionit për iniciativa të reja për transfere sociale</w:t>
      </w:r>
      <w:r w:rsidRPr="00B922C3">
        <w:rPr>
          <w:rFonts w:ascii="Times New Roman" w:hAnsi="Times New Roman" w:cs="Times New Roman"/>
          <w:sz w:val="24"/>
          <w:szCs w:val="24"/>
        </w:rPr>
        <w:t xml:space="preserve"> në periudhën afatmesme. Presioni i shtuar në përdorimin e parasë publike si rishpërndarje, veçanërisht kur një rishpërndarje e tillë nuk synon varfërinë, por bazohet në kritere të tjera, paraqet një rrezik potencial për një strategji fiskale që synon zhvillimin socio-ekonomik. Hapësira fiskale për tre vjet (2020, 2021 dhe 2022) brenda tavanit ligjor të deficitit prej 2 përqind arrin në rreth 0.0 përqind të BPV-së. Sipas këtyre parashikimeve, është e qartë se nuk ka hapësirë fiskale për të akomoduar nisma të reja për transferime sociale. Një rrezik tjetër lidhet </w:t>
      </w:r>
      <w:r w:rsidRPr="00B922C3">
        <w:rPr>
          <w:rFonts w:ascii="Times New Roman" w:hAnsi="Times New Roman" w:cs="Times New Roman"/>
          <w:b/>
          <w:sz w:val="24"/>
          <w:szCs w:val="24"/>
        </w:rPr>
        <w:t>me akumulimin e pagesave të vonuara</w:t>
      </w:r>
      <w:r w:rsidRPr="00B922C3">
        <w:rPr>
          <w:rFonts w:ascii="Times New Roman" w:hAnsi="Times New Roman" w:cs="Times New Roman"/>
          <w:sz w:val="24"/>
          <w:szCs w:val="24"/>
        </w:rPr>
        <w:t>, të cilat mund të lindin si rezultat i kontratave ekzistuese publike dhe mund të prodhojnë detyrime financiare për buxhetin e shtetit. Gjatë viteve të kaluara ky rrezik ishte sidomos i theksuar për nivelin lokal të qeverisjes.</w:t>
      </w:r>
    </w:p>
    <w:p w14:paraId="259B6599" w14:textId="77777777" w:rsidR="00085F16" w:rsidRPr="00B922C3" w:rsidRDefault="00085F16" w:rsidP="00802FB3">
      <w:pPr>
        <w:pStyle w:val="ERPL3"/>
        <w:numPr>
          <w:ilvl w:val="0"/>
          <w:numId w:val="94"/>
        </w:numPr>
        <w:ind w:hanging="720"/>
        <w:rPr>
          <w:rFonts w:ascii="Times New Roman" w:hAnsi="Times New Roman"/>
          <w:i w:val="0"/>
          <w:iCs/>
        </w:rPr>
      </w:pPr>
      <w:bookmarkStart w:id="108" w:name="_Toc25873727"/>
      <w:r w:rsidRPr="00B922C3">
        <w:rPr>
          <w:rFonts w:ascii="Times New Roman" w:hAnsi="Times New Roman"/>
          <w:i w:val="0"/>
          <w:iCs/>
        </w:rPr>
        <w:t>Potencialet</w:t>
      </w:r>
      <w:bookmarkEnd w:id="108"/>
    </w:p>
    <w:p w14:paraId="5595605E" w14:textId="77777777" w:rsidR="00085F16" w:rsidRPr="00B922C3" w:rsidRDefault="00085F16" w:rsidP="00085F16">
      <w:pPr>
        <w:spacing w:before="120" w:after="240" w:line="276" w:lineRule="auto"/>
        <w:jc w:val="both"/>
        <w:rPr>
          <w:rFonts w:ascii="Times New Roman" w:hAnsi="Times New Roman" w:cs="Times New Roman"/>
          <w:sz w:val="24"/>
          <w:szCs w:val="24"/>
        </w:rPr>
      </w:pPr>
      <w:r w:rsidRPr="00B922C3">
        <w:rPr>
          <w:rFonts w:ascii="Times New Roman" w:hAnsi="Times New Roman" w:cs="Times New Roman"/>
          <w:b/>
          <w:i/>
          <w:sz w:val="24"/>
          <w:szCs w:val="24"/>
        </w:rPr>
        <w:t>i</w:t>
      </w:r>
      <w:r w:rsidRPr="00B922C3">
        <w:rPr>
          <w:rFonts w:ascii="Times New Roman" w:hAnsi="Times New Roman" w:cs="Times New Roman"/>
          <w:b/>
          <w:sz w:val="24"/>
          <w:szCs w:val="24"/>
        </w:rPr>
        <w:t>)</w:t>
      </w:r>
      <w:r w:rsidRPr="00B922C3">
        <w:rPr>
          <w:rFonts w:ascii="Times New Roman" w:hAnsi="Times New Roman" w:cs="Times New Roman"/>
          <w:sz w:val="24"/>
          <w:szCs w:val="24"/>
        </w:rPr>
        <w:t xml:space="preserve"> Realizimi i potencialit të investimeve strategjike përmes Klauzolës së Investimeve vazhdon të jetë sfidues edhe në periudhën afatmesme. Bazuar në rekomandimet e Zyrës Kombëtare të Auditimit dhe bazuar në planin e zbatimit të rekomandimeve të aprovuara nga Qeveria, ka filluar raportimi para Qeverisë për nivelin e ekzekutimit të projekteve të huamarrjes. Para këtij ndryshimi, raportimi i drejtohej vetëm Ministrit të Financave dhe raportet tremujore individuale pranoheshin nga Organizatat Buxhetore zbatuese dhe njësitë zbatuese të projektit siç kërkohet nga legjislacioni. Në këtë këndvështrim, pritet një nivel më i lartë i angazhimit në ekzekutimin e këtyre projekteve, dhe për këtë arsye për qëllime të vlerësimit të potencialeve, supozohet një ekzekutim më i lartë i klauzolës së investimeve, në rreth 80% për tre vjet. </w:t>
      </w:r>
    </w:p>
    <w:p w14:paraId="5E9EE26B" w14:textId="77777777" w:rsidR="00085F16" w:rsidRPr="00B922C3" w:rsidRDefault="00085F16" w:rsidP="00085F16">
      <w:pPr>
        <w:spacing w:before="120" w:after="240" w:line="276" w:lineRule="auto"/>
        <w:jc w:val="both"/>
        <w:rPr>
          <w:rFonts w:ascii="Times New Roman" w:hAnsi="Times New Roman" w:cs="Times New Roman"/>
          <w:sz w:val="24"/>
          <w:szCs w:val="24"/>
        </w:rPr>
      </w:pPr>
      <w:r w:rsidRPr="00B922C3">
        <w:rPr>
          <w:rFonts w:ascii="Times New Roman" w:hAnsi="Times New Roman" w:cs="Times New Roman"/>
          <w:b/>
          <w:i/>
          <w:sz w:val="24"/>
          <w:szCs w:val="24"/>
        </w:rPr>
        <w:t>ii) Implementimi i suksesshëm i tri (nga 20) reformave strukturore</w:t>
      </w:r>
      <w:r w:rsidRPr="00B922C3">
        <w:rPr>
          <w:rStyle w:val="FootnoteReference"/>
          <w:rFonts w:ascii="Times New Roman" w:hAnsi="Times New Roman" w:cs="Times New Roman"/>
          <w:b/>
          <w:i/>
          <w:sz w:val="24"/>
          <w:szCs w:val="24"/>
        </w:rPr>
        <w:footnoteReference w:id="12"/>
      </w:r>
      <w:r w:rsidRPr="00B922C3">
        <w:rPr>
          <w:rFonts w:ascii="Times New Roman" w:hAnsi="Times New Roman" w:cs="Times New Roman"/>
          <w:b/>
          <w:i/>
          <w:sz w:val="24"/>
          <w:szCs w:val="24"/>
        </w:rPr>
        <w:t xml:space="preserve"> </w:t>
      </w:r>
      <w:r w:rsidRPr="00B922C3">
        <w:rPr>
          <w:rFonts w:ascii="Times New Roman" w:hAnsi="Times New Roman" w:cs="Times New Roman"/>
          <w:sz w:val="24"/>
          <w:szCs w:val="24"/>
        </w:rPr>
        <w:t xml:space="preserve"> konsiderohet të ketë një ndikim të konsiderueshëm në skenarin bazë për periudhën afatmesme. Në mungesë të të dhënave të disagreguara në rastin e Kosovës, nuk është e mundur të realizohet vlerësimi i ndikimit ekonomik të të gjitha reformave të identifikuara në PRE-në e këtij viti, dhe për këtë arsye, në draftin aktual të PRE (2020), u zgjodhën tre masa të reformave strukturore për një vlerësim të ndikimit ekonomik: </w:t>
      </w:r>
    </w:p>
    <w:p w14:paraId="10610EC5" w14:textId="77777777" w:rsidR="00085F16" w:rsidRPr="00B922C3" w:rsidRDefault="00085F16" w:rsidP="00802FB3">
      <w:pPr>
        <w:pStyle w:val="ListParagraph"/>
        <w:numPr>
          <w:ilvl w:val="0"/>
          <w:numId w:val="84"/>
        </w:numPr>
        <w:rPr>
          <w:rFonts w:ascii="Times New Roman" w:hAnsi="Times New Roman" w:cs="Times New Roman"/>
          <w:sz w:val="24"/>
          <w:szCs w:val="24"/>
        </w:rPr>
      </w:pPr>
      <w:r w:rsidRPr="00B922C3">
        <w:rPr>
          <w:rFonts w:ascii="Times New Roman" w:hAnsi="Times New Roman" w:cs="Times New Roman"/>
          <w:sz w:val="24"/>
          <w:szCs w:val="24"/>
        </w:rPr>
        <w:t>Masa # 11: Ulja e ekonomisë joformale - Rritja e të hyrave nga tatimet direkte;</w:t>
      </w:r>
    </w:p>
    <w:p w14:paraId="7680649E" w14:textId="77777777" w:rsidR="00085F16" w:rsidRPr="00B922C3" w:rsidRDefault="00085F16" w:rsidP="00802FB3">
      <w:pPr>
        <w:pStyle w:val="ListParagraph"/>
        <w:numPr>
          <w:ilvl w:val="0"/>
          <w:numId w:val="84"/>
        </w:numPr>
        <w:rPr>
          <w:rFonts w:ascii="Times New Roman" w:hAnsi="Times New Roman" w:cs="Times New Roman"/>
          <w:sz w:val="24"/>
          <w:szCs w:val="24"/>
        </w:rPr>
      </w:pPr>
      <w:r w:rsidRPr="00B922C3">
        <w:rPr>
          <w:rFonts w:ascii="Times New Roman" w:hAnsi="Times New Roman" w:cs="Times New Roman"/>
          <w:sz w:val="24"/>
          <w:szCs w:val="24"/>
        </w:rPr>
        <w:t>Masa # 1: Ulja e konsumit të energjisë përmes masave të efikasitetit të energjisë - Ulja e humbjeve të energjisë dhe kërkesave të subvencioneve</w:t>
      </w:r>
    </w:p>
    <w:p w14:paraId="36A1056C" w14:textId="77777777" w:rsidR="00085F16" w:rsidRPr="00B922C3" w:rsidRDefault="00085F16" w:rsidP="00802FB3">
      <w:pPr>
        <w:pStyle w:val="ListParagraph"/>
        <w:numPr>
          <w:ilvl w:val="0"/>
          <w:numId w:val="84"/>
        </w:numPr>
        <w:rPr>
          <w:rFonts w:ascii="Times New Roman" w:hAnsi="Times New Roman" w:cs="Times New Roman"/>
          <w:sz w:val="24"/>
          <w:szCs w:val="24"/>
        </w:rPr>
      </w:pPr>
      <w:r w:rsidRPr="00B922C3">
        <w:rPr>
          <w:rFonts w:ascii="Times New Roman" w:hAnsi="Times New Roman" w:cs="Times New Roman"/>
          <w:sz w:val="24"/>
          <w:szCs w:val="24"/>
        </w:rPr>
        <w:t>Masa # 9: Themelimi dhe funksionimi i Gjykatës Komerciale- Ulja e primeve të rrezikut të kapitalit</w:t>
      </w:r>
    </w:p>
    <w:tbl>
      <w:tblPr>
        <w:tblStyle w:val="TableGrid"/>
        <w:tblW w:w="5000" w:type="pct"/>
        <w:tblLook w:val="04A0" w:firstRow="1" w:lastRow="0" w:firstColumn="1" w:lastColumn="0" w:noHBand="0" w:noVBand="1"/>
      </w:tblPr>
      <w:tblGrid>
        <w:gridCol w:w="9350"/>
      </w:tblGrid>
      <w:tr w:rsidR="00085F16" w:rsidRPr="0067685A" w14:paraId="130D69B4" w14:textId="77777777" w:rsidTr="00085F16">
        <w:trPr>
          <w:trHeight w:val="333"/>
        </w:trPr>
        <w:tc>
          <w:tcPr>
            <w:tcW w:w="5000" w:type="pct"/>
            <w:shd w:val="clear" w:color="auto" w:fill="BDD6EE" w:themeFill="accent1" w:themeFillTint="66"/>
          </w:tcPr>
          <w:p w14:paraId="5A59DC2C" w14:textId="77777777" w:rsidR="00085F16" w:rsidRPr="0067685A" w:rsidRDefault="00085F16" w:rsidP="00085F16">
            <w:pPr>
              <w:pBdr>
                <w:bottom w:val="single" w:sz="4" w:space="1" w:color="auto"/>
              </w:pBdr>
              <w:spacing w:after="120"/>
              <w:rPr>
                <w:b/>
              </w:rPr>
            </w:pPr>
            <w:r>
              <w:rPr>
                <w:b/>
              </w:rPr>
              <w:t>Hapësira informuese</w:t>
            </w:r>
            <w:r w:rsidRPr="00A4295A">
              <w:rPr>
                <w:b/>
              </w:rPr>
              <w:t xml:space="preserve"> 3. Vlerësimi i Ndikimit Ekonomik i 3 masave të reformës strukturore</w:t>
            </w:r>
            <w:r>
              <w:rPr>
                <w:b/>
              </w:rPr>
              <w:t xml:space="preserve"> </w:t>
            </w:r>
          </w:p>
          <w:p w14:paraId="446058F4" w14:textId="77777777" w:rsidR="00085F16" w:rsidRPr="009F66F4" w:rsidRDefault="00085F16" w:rsidP="00085F16">
            <w:pPr>
              <w:spacing w:after="240"/>
              <w:rPr>
                <w:bCs/>
                <w:i/>
                <w:iCs/>
                <w:color w:val="5B9BD5" w:themeColor="accent1"/>
              </w:rPr>
            </w:pPr>
            <w:bookmarkStart w:id="109" w:name="_Toc25151513"/>
            <w:bookmarkStart w:id="110" w:name="_Toc25155948"/>
            <w:bookmarkStart w:id="111" w:name="_Toc25156107"/>
            <w:r w:rsidRPr="009F66F4">
              <w:rPr>
                <w:bCs/>
                <w:i/>
                <w:iCs/>
                <w:color w:val="5B9BD5" w:themeColor="accent1"/>
              </w:rPr>
              <w:t xml:space="preserve">PRE MASA # 11: REDUKTIMI I EKONOMISË JOFORMALE – RRITJE NE TË HYRAT DIREKTE TATIMORE </w:t>
            </w:r>
            <w:bookmarkEnd w:id="109"/>
            <w:bookmarkEnd w:id="110"/>
            <w:bookmarkEnd w:id="111"/>
          </w:p>
          <w:p w14:paraId="3F4161BB" w14:textId="77777777" w:rsidR="00085F16" w:rsidRDefault="00085F16" w:rsidP="00085F16">
            <w:pPr>
              <w:pStyle w:val="ListParagraph"/>
              <w:autoSpaceDE w:val="0"/>
              <w:autoSpaceDN w:val="0"/>
              <w:adjustRightInd w:val="0"/>
              <w:spacing w:after="120"/>
              <w:ind w:left="0"/>
              <w:jc w:val="both"/>
              <w:rPr>
                <w:rFonts w:ascii="Times New Roman" w:hAnsi="Times New Roman"/>
                <w:color w:val="000000"/>
                <w:sz w:val="24"/>
                <w:szCs w:val="24"/>
              </w:rPr>
            </w:pPr>
            <w:r w:rsidRPr="0067685A">
              <w:rPr>
                <w:rFonts w:ascii="Times New Roman" w:eastAsia="Times New Roman" w:hAnsi="Times New Roman"/>
                <w:b/>
                <w:sz w:val="24"/>
                <w:szCs w:val="24"/>
              </w:rPr>
              <w:t xml:space="preserve">1) </w:t>
            </w:r>
            <w:r w:rsidRPr="00810FF0">
              <w:rPr>
                <w:rFonts w:ascii="Times New Roman" w:hAnsi="Times New Roman"/>
                <w:i/>
                <w:sz w:val="24"/>
                <w:szCs w:val="24"/>
              </w:rPr>
              <w:t xml:space="preserve">Një rritje në të </w:t>
            </w:r>
            <w:r>
              <w:rPr>
                <w:rFonts w:ascii="Times New Roman" w:hAnsi="Times New Roman"/>
                <w:i/>
                <w:sz w:val="24"/>
                <w:szCs w:val="24"/>
              </w:rPr>
              <w:t>hyrat direkte tatimore</w:t>
            </w:r>
            <w:r w:rsidRPr="00810FF0">
              <w:rPr>
                <w:rFonts w:ascii="Times New Roman" w:hAnsi="Times New Roman"/>
                <w:i/>
                <w:sz w:val="24"/>
                <w:szCs w:val="24"/>
              </w:rPr>
              <w:t xml:space="preserve"> supozohet si rezultat i rritjes së përpjekjeve të inspektimit.</w:t>
            </w:r>
            <w:r>
              <w:rPr>
                <w:rFonts w:ascii="Times New Roman" w:hAnsi="Times New Roman"/>
                <w:iCs/>
                <w:sz w:val="24"/>
                <w:szCs w:val="24"/>
              </w:rPr>
              <w:t xml:space="preserve"> </w:t>
            </w:r>
            <w:r w:rsidRPr="002A5743">
              <w:rPr>
                <w:rFonts w:ascii="Times New Roman" w:hAnsi="Times New Roman"/>
                <w:iCs/>
                <w:sz w:val="24"/>
                <w:szCs w:val="24"/>
              </w:rPr>
              <w:t xml:space="preserve">Më konkretisht, skenari supozon një rritje graduale të normave efektive të taksave direkte gjatë viteve 2020-2022 nga 7.9% në 10% në të gjitha të ardhurat </w:t>
            </w:r>
            <w:r>
              <w:rPr>
                <w:rFonts w:ascii="Times New Roman" w:hAnsi="Times New Roman"/>
                <w:iCs/>
                <w:sz w:val="24"/>
                <w:szCs w:val="24"/>
              </w:rPr>
              <w:t>personale</w:t>
            </w:r>
            <w:r w:rsidRPr="002A5743">
              <w:rPr>
                <w:rFonts w:ascii="Times New Roman" w:hAnsi="Times New Roman"/>
                <w:iCs/>
                <w:sz w:val="24"/>
                <w:szCs w:val="24"/>
              </w:rPr>
              <w:t xml:space="preserve"> (</w:t>
            </w:r>
            <w:r>
              <w:rPr>
                <w:rFonts w:ascii="Times New Roman" w:hAnsi="Times New Roman"/>
                <w:iCs/>
                <w:sz w:val="24"/>
                <w:szCs w:val="24"/>
              </w:rPr>
              <w:t>TAP</w:t>
            </w:r>
            <w:r w:rsidRPr="002A5743">
              <w:rPr>
                <w:rFonts w:ascii="Times New Roman" w:hAnsi="Times New Roman"/>
                <w:iCs/>
                <w:sz w:val="24"/>
                <w:szCs w:val="24"/>
              </w:rPr>
              <w:t>) dhe nga 3.2% në 5% të të ardhurave nga kapitali (</w:t>
            </w:r>
            <w:r>
              <w:rPr>
                <w:rFonts w:ascii="Times New Roman" w:hAnsi="Times New Roman"/>
                <w:iCs/>
                <w:sz w:val="24"/>
                <w:szCs w:val="24"/>
              </w:rPr>
              <w:t xml:space="preserve">TAK </w:t>
            </w:r>
            <w:r w:rsidRPr="002A5743">
              <w:rPr>
                <w:rFonts w:ascii="Times New Roman" w:hAnsi="Times New Roman"/>
                <w:iCs/>
                <w:sz w:val="24"/>
                <w:szCs w:val="24"/>
              </w:rPr>
              <w:t xml:space="preserve">dhe </w:t>
            </w:r>
            <w:r>
              <w:rPr>
                <w:rFonts w:ascii="Times New Roman" w:hAnsi="Times New Roman"/>
                <w:iCs/>
                <w:sz w:val="24"/>
                <w:szCs w:val="24"/>
              </w:rPr>
              <w:t>tatami në patundshmëri).</w:t>
            </w:r>
            <w:r w:rsidRPr="002A5743">
              <w:rPr>
                <w:rFonts w:ascii="Times New Roman" w:hAnsi="Times New Roman"/>
                <w:iCs/>
                <w:sz w:val="24"/>
                <w:szCs w:val="24"/>
              </w:rPr>
              <w:t xml:space="preserve"> Transferet nominale, niveli i konsumit real të qeverisë, supozohet se janë të barabarta me </w:t>
            </w:r>
            <w:r>
              <w:rPr>
                <w:rFonts w:ascii="Times New Roman" w:hAnsi="Times New Roman"/>
                <w:iCs/>
                <w:sz w:val="24"/>
                <w:szCs w:val="24"/>
              </w:rPr>
              <w:t>modelin bazë (baseline)</w:t>
            </w:r>
            <w:r w:rsidRPr="002A5743">
              <w:rPr>
                <w:rFonts w:ascii="Times New Roman" w:hAnsi="Times New Roman"/>
                <w:iCs/>
                <w:sz w:val="24"/>
                <w:szCs w:val="24"/>
              </w:rPr>
              <w:t xml:space="preserve">. Në këtë skenar, nuk ka asnjë dallim midis rritjes së </w:t>
            </w:r>
            <w:r>
              <w:rPr>
                <w:rFonts w:ascii="Times New Roman" w:hAnsi="Times New Roman"/>
                <w:iCs/>
                <w:sz w:val="24"/>
                <w:szCs w:val="24"/>
              </w:rPr>
              <w:t>normave</w:t>
            </w:r>
            <w:r w:rsidRPr="002A5743">
              <w:rPr>
                <w:rFonts w:ascii="Times New Roman" w:hAnsi="Times New Roman"/>
                <w:iCs/>
                <w:sz w:val="24"/>
                <w:szCs w:val="24"/>
              </w:rPr>
              <w:t xml:space="preserve"> dhe rritjes së bazës tatimore </w:t>
            </w:r>
            <w:r>
              <w:rPr>
                <w:rFonts w:ascii="Times New Roman" w:hAnsi="Times New Roman"/>
                <w:iCs/>
                <w:sz w:val="24"/>
                <w:szCs w:val="24"/>
              </w:rPr>
              <w:t>–</w:t>
            </w:r>
            <w:r w:rsidRPr="002A5743">
              <w:rPr>
                <w:rFonts w:ascii="Times New Roman" w:hAnsi="Times New Roman"/>
                <w:iCs/>
                <w:sz w:val="24"/>
                <w:szCs w:val="24"/>
              </w:rPr>
              <w:t xml:space="preserve"> </w:t>
            </w:r>
            <w:r>
              <w:rPr>
                <w:rFonts w:ascii="Times New Roman" w:hAnsi="Times New Roman"/>
                <w:iCs/>
                <w:sz w:val="24"/>
                <w:szCs w:val="24"/>
              </w:rPr>
              <w:t>vërehet vetëm</w:t>
            </w:r>
            <w:r w:rsidRPr="002A5743">
              <w:rPr>
                <w:rFonts w:ascii="Times New Roman" w:hAnsi="Times New Roman"/>
                <w:iCs/>
                <w:sz w:val="24"/>
                <w:szCs w:val="24"/>
              </w:rPr>
              <w:t xml:space="preserve"> rritje</w:t>
            </w:r>
            <w:r>
              <w:rPr>
                <w:rFonts w:ascii="Times New Roman" w:hAnsi="Times New Roman"/>
                <w:iCs/>
                <w:sz w:val="24"/>
                <w:szCs w:val="24"/>
              </w:rPr>
              <w:t xml:space="preserve"> </w:t>
            </w:r>
            <w:r w:rsidRPr="002A5743">
              <w:rPr>
                <w:rFonts w:ascii="Times New Roman" w:hAnsi="Times New Roman"/>
                <w:iCs/>
                <w:sz w:val="24"/>
                <w:szCs w:val="24"/>
              </w:rPr>
              <w:t xml:space="preserve">e normave efektive të taksave (d.m.th. duke përfshirë </w:t>
            </w:r>
            <w:r>
              <w:rPr>
                <w:rFonts w:ascii="Times New Roman" w:hAnsi="Times New Roman"/>
                <w:iCs/>
                <w:sz w:val="24"/>
                <w:szCs w:val="24"/>
              </w:rPr>
              <w:t>cilindo</w:t>
            </w:r>
            <w:r w:rsidRPr="002A5743">
              <w:rPr>
                <w:rFonts w:ascii="Times New Roman" w:hAnsi="Times New Roman"/>
                <w:iCs/>
                <w:sz w:val="24"/>
                <w:szCs w:val="24"/>
              </w:rPr>
              <w:t xml:space="preserve"> ndryshim).</w:t>
            </w:r>
            <w:r>
              <w:rPr>
                <w:rFonts w:ascii="Times New Roman" w:hAnsi="Times New Roman"/>
                <w:iCs/>
                <w:sz w:val="24"/>
                <w:szCs w:val="24"/>
              </w:rPr>
              <w:t xml:space="preserve"> </w:t>
            </w:r>
            <w:r w:rsidRPr="0067685A">
              <w:rPr>
                <w:rFonts w:ascii="Times New Roman" w:eastAsia="Times New Roman" w:hAnsi="Times New Roman"/>
                <w:b/>
                <w:sz w:val="24"/>
                <w:szCs w:val="24"/>
              </w:rPr>
              <w:t xml:space="preserve">2) </w:t>
            </w:r>
            <w:r w:rsidRPr="0075742C">
              <w:rPr>
                <w:rFonts w:ascii="Times New Roman" w:eastAsia="Times New Roman" w:hAnsi="Times New Roman"/>
                <w:bCs/>
                <w:i/>
                <w:iCs/>
                <w:sz w:val="24"/>
                <w:szCs w:val="24"/>
              </w:rPr>
              <w:t>Simulimet për këtë skenar tregojnë se një rregullim i bazuar në të ardhura</w:t>
            </w:r>
            <w:r>
              <w:rPr>
                <w:rFonts w:ascii="Times New Roman" w:eastAsia="Times New Roman" w:hAnsi="Times New Roman"/>
                <w:bCs/>
                <w:i/>
                <w:iCs/>
                <w:sz w:val="24"/>
                <w:szCs w:val="24"/>
              </w:rPr>
              <w:t xml:space="preserve"> (revenue-based adjustment)</w:t>
            </w:r>
            <w:r w:rsidRPr="0075742C">
              <w:rPr>
                <w:rFonts w:ascii="Times New Roman" w:eastAsia="Times New Roman" w:hAnsi="Times New Roman"/>
                <w:bCs/>
                <w:i/>
                <w:iCs/>
                <w:sz w:val="24"/>
                <w:szCs w:val="24"/>
              </w:rPr>
              <w:t xml:space="preserve"> në Kosovë</w:t>
            </w:r>
            <w:r>
              <w:rPr>
                <w:rFonts w:ascii="Times New Roman" w:eastAsia="Times New Roman" w:hAnsi="Times New Roman"/>
                <w:bCs/>
                <w:i/>
                <w:iCs/>
                <w:sz w:val="24"/>
                <w:szCs w:val="24"/>
              </w:rPr>
              <w:t xml:space="preserve"> </w:t>
            </w:r>
            <w:r w:rsidRPr="0075742C">
              <w:rPr>
                <w:rFonts w:ascii="Times New Roman" w:eastAsia="Times New Roman" w:hAnsi="Times New Roman"/>
                <w:bCs/>
                <w:i/>
                <w:iCs/>
                <w:sz w:val="24"/>
                <w:szCs w:val="24"/>
              </w:rPr>
              <w:t xml:space="preserve">mund të çojë në një rritje të </w:t>
            </w:r>
            <w:r>
              <w:rPr>
                <w:rFonts w:ascii="Times New Roman" w:eastAsia="Times New Roman" w:hAnsi="Times New Roman"/>
                <w:bCs/>
                <w:i/>
                <w:iCs/>
                <w:sz w:val="24"/>
                <w:szCs w:val="24"/>
              </w:rPr>
              <w:t>BPV</w:t>
            </w:r>
            <w:r w:rsidRPr="0075742C">
              <w:rPr>
                <w:rFonts w:ascii="Times New Roman" w:eastAsia="Times New Roman" w:hAnsi="Times New Roman"/>
                <w:bCs/>
                <w:i/>
                <w:iCs/>
                <w:sz w:val="24"/>
                <w:szCs w:val="24"/>
              </w:rPr>
              <w:t>-së</w:t>
            </w:r>
            <w:r w:rsidRPr="0075742C">
              <w:rPr>
                <w:rFonts w:ascii="Times New Roman" w:eastAsia="Times New Roman" w:hAnsi="Times New Roman"/>
                <w:bCs/>
                <w:sz w:val="24"/>
                <w:szCs w:val="24"/>
              </w:rPr>
              <w:t xml:space="preserve">. Sipas këtij skenari, rritja reale e </w:t>
            </w:r>
            <w:r>
              <w:rPr>
                <w:rFonts w:ascii="Times New Roman" w:eastAsia="Times New Roman" w:hAnsi="Times New Roman"/>
                <w:bCs/>
                <w:sz w:val="24"/>
                <w:szCs w:val="24"/>
              </w:rPr>
              <w:t>BPV</w:t>
            </w:r>
            <w:r w:rsidRPr="0075742C">
              <w:rPr>
                <w:rFonts w:ascii="Times New Roman" w:eastAsia="Times New Roman" w:hAnsi="Times New Roman"/>
                <w:bCs/>
                <w:sz w:val="24"/>
                <w:szCs w:val="24"/>
              </w:rPr>
              <w:t xml:space="preserve">-së rritet me një shumë kumulative prej 0.2% ndërmjet 2019 dhe 2022, e </w:t>
            </w:r>
            <w:r>
              <w:rPr>
                <w:rFonts w:ascii="Times New Roman" w:eastAsia="Times New Roman" w:hAnsi="Times New Roman"/>
                <w:bCs/>
                <w:sz w:val="24"/>
                <w:szCs w:val="24"/>
              </w:rPr>
              <w:t>shtyrë</w:t>
            </w:r>
            <w:r w:rsidRPr="0075742C">
              <w:rPr>
                <w:rFonts w:ascii="Times New Roman" w:eastAsia="Times New Roman" w:hAnsi="Times New Roman"/>
                <w:bCs/>
                <w:sz w:val="24"/>
                <w:szCs w:val="24"/>
              </w:rPr>
              <w:t xml:space="preserve"> nga kursimet më të larta të qeverisë (+47%) dhe investimet (+5.5%). Ky rezultat është intuitiv, pasi rritja e taksave zhvendos të ardhurat dhe konsumin privat në kursimet e qeverisë. Kursimet e rritura, qoftë të përdorura nga vetë qeveria për shpenzime </w:t>
            </w:r>
            <w:r>
              <w:rPr>
                <w:rFonts w:ascii="Times New Roman" w:eastAsia="Times New Roman" w:hAnsi="Times New Roman"/>
                <w:bCs/>
                <w:sz w:val="24"/>
                <w:szCs w:val="24"/>
              </w:rPr>
              <w:t xml:space="preserve">kapitale </w:t>
            </w:r>
            <w:r w:rsidRPr="0075742C">
              <w:rPr>
                <w:rFonts w:ascii="Times New Roman" w:eastAsia="Times New Roman" w:hAnsi="Times New Roman"/>
                <w:bCs/>
                <w:sz w:val="24"/>
                <w:szCs w:val="24"/>
              </w:rPr>
              <w:t>shtesë ose të vendosura në sistemin bankar për investime private, çojnë në investime më të larta, duke rezultuar në akumulim</w:t>
            </w:r>
            <w:r>
              <w:rPr>
                <w:rFonts w:ascii="Times New Roman" w:eastAsia="Times New Roman" w:hAnsi="Times New Roman"/>
                <w:bCs/>
                <w:sz w:val="24"/>
                <w:szCs w:val="24"/>
              </w:rPr>
              <w:t xml:space="preserve"> më</w:t>
            </w:r>
            <w:r w:rsidRPr="0075742C">
              <w:rPr>
                <w:rFonts w:ascii="Times New Roman" w:eastAsia="Times New Roman" w:hAnsi="Times New Roman"/>
                <w:bCs/>
                <w:sz w:val="24"/>
                <w:szCs w:val="24"/>
              </w:rPr>
              <w:t xml:space="preserve"> të përshpejtuar të kapitalit dhe rritje më të lartë të </w:t>
            </w:r>
            <w:r>
              <w:rPr>
                <w:rFonts w:ascii="Times New Roman" w:eastAsia="Times New Roman" w:hAnsi="Times New Roman"/>
                <w:bCs/>
                <w:sz w:val="24"/>
                <w:szCs w:val="24"/>
              </w:rPr>
              <w:t>BPV</w:t>
            </w:r>
            <w:r w:rsidRPr="0075742C">
              <w:rPr>
                <w:rFonts w:ascii="Times New Roman" w:eastAsia="Times New Roman" w:hAnsi="Times New Roman"/>
                <w:bCs/>
                <w:sz w:val="24"/>
                <w:szCs w:val="24"/>
              </w:rPr>
              <w:t>-së.</w:t>
            </w:r>
            <w:r>
              <w:rPr>
                <w:rFonts w:ascii="Times New Roman" w:eastAsia="Times New Roman" w:hAnsi="Times New Roman"/>
                <w:bCs/>
                <w:sz w:val="24"/>
                <w:szCs w:val="24"/>
              </w:rPr>
              <w:t xml:space="preserve"> </w:t>
            </w:r>
            <w:r w:rsidRPr="0067685A">
              <w:rPr>
                <w:rFonts w:ascii="Times New Roman" w:hAnsi="Times New Roman"/>
                <w:b/>
                <w:color w:val="000000"/>
                <w:sz w:val="24"/>
                <w:szCs w:val="24"/>
              </w:rPr>
              <w:t>3)</w:t>
            </w:r>
            <w:r w:rsidRPr="0067685A">
              <w:rPr>
                <w:rFonts w:ascii="Times New Roman" w:hAnsi="Times New Roman"/>
                <w:color w:val="000000"/>
                <w:sz w:val="24"/>
                <w:szCs w:val="24"/>
              </w:rPr>
              <w:t xml:space="preserve"> </w:t>
            </w:r>
            <w:r>
              <w:rPr>
                <w:rFonts w:ascii="Times New Roman" w:hAnsi="Times New Roman"/>
                <w:i/>
                <w:iCs/>
                <w:color w:val="000000"/>
                <w:sz w:val="24"/>
                <w:szCs w:val="24"/>
              </w:rPr>
              <w:t>Suficiti</w:t>
            </w:r>
            <w:r w:rsidRPr="00822000">
              <w:rPr>
                <w:rFonts w:ascii="Times New Roman" w:hAnsi="Times New Roman"/>
                <w:i/>
                <w:iCs/>
                <w:color w:val="000000"/>
                <w:sz w:val="24"/>
                <w:szCs w:val="24"/>
              </w:rPr>
              <w:t xml:space="preserve"> </w:t>
            </w:r>
            <w:r>
              <w:rPr>
                <w:rFonts w:ascii="Times New Roman" w:hAnsi="Times New Roman"/>
                <w:i/>
                <w:iCs/>
                <w:color w:val="000000"/>
                <w:sz w:val="24"/>
                <w:szCs w:val="24"/>
              </w:rPr>
              <w:t>operacional buxhetor i</w:t>
            </w:r>
            <w:r w:rsidRPr="00822000">
              <w:rPr>
                <w:rFonts w:ascii="Times New Roman" w:hAnsi="Times New Roman"/>
                <w:i/>
                <w:iCs/>
                <w:color w:val="000000"/>
                <w:sz w:val="24"/>
                <w:szCs w:val="24"/>
              </w:rPr>
              <w:t xml:space="preserve"> qeverisë përmirësohet me më shumë se 47 pikë përqindje të </w:t>
            </w:r>
            <w:r>
              <w:rPr>
                <w:rFonts w:ascii="Times New Roman" w:hAnsi="Times New Roman"/>
                <w:i/>
                <w:iCs/>
                <w:color w:val="000000"/>
                <w:sz w:val="24"/>
                <w:szCs w:val="24"/>
              </w:rPr>
              <w:t>BPV</w:t>
            </w:r>
            <w:r w:rsidRPr="00822000">
              <w:rPr>
                <w:rFonts w:ascii="Times New Roman" w:hAnsi="Times New Roman"/>
                <w:i/>
                <w:iCs/>
                <w:color w:val="000000"/>
                <w:sz w:val="24"/>
                <w:szCs w:val="24"/>
              </w:rPr>
              <w:t xml:space="preserve">-së për periudhën afatmesme, </w:t>
            </w:r>
            <w:r>
              <w:rPr>
                <w:rFonts w:ascii="Times New Roman" w:hAnsi="Times New Roman"/>
                <w:i/>
                <w:iCs/>
                <w:color w:val="000000"/>
                <w:sz w:val="24"/>
                <w:szCs w:val="24"/>
              </w:rPr>
              <w:t>që reflekton</w:t>
            </w:r>
            <w:r w:rsidRPr="00822000">
              <w:rPr>
                <w:rFonts w:ascii="Times New Roman" w:hAnsi="Times New Roman"/>
                <w:i/>
                <w:iCs/>
                <w:color w:val="000000"/>
                <w:sz w:val="24"/>
                <w:szCs w:val="24"/>
              </w:rPr>
              <w:t xml:space="preserve"> të ardhura më të larta tatimore dhe një ulje të konsumit të qeverisë</w:t>
            </w:r>
            <w:r w:rsidRPr="0067685A">
              <w:rPr>
                <w:rStyle w:val="FootnoteReference"/>
                <w:rFonts w:ascii="Times New Roman" w:hAnsi="Times New Roman"/>
                <w:i/>
                <w:color w:val="000000"/>
                <w:szCs w:val="24"/>
              </w:rPr>
              <w:footnoteReference w:id="13"/>
            </w:r>
            <w:r w:rsidRPr="00822000">
              <w:rPr>
                <w:rFonts w:ascii="Times New Roman" w:hAnsi="Times New Roman"/>
                <w:i/>
                <w:iCs/>
                <w:color w:val="000000"/>
                <w:sz w:val="24"/>
                <w:szCs w:val="24"/>
              </w:rPr>
              <w:t>.</w:t>
            </w:r>
            <w:r w:rsidRPr="00822000">
              <w:rPr>
                <w:rFonts w:ascii="Times New Roman" w:hAnsi="Times New Roman"/>
                <w:color w:val="000000"/>
                <w:sz w:val="24"/>
                <w:szCs w:val="24"/>
              </w:rPr>
              <w:t xml:space="preserve"> Rritja e </w:t>
            </w:r>
            <w:r>
              <w:rPr>
                <w:rFonts w:ascii="Times New Roman" w:hAnsi="Times New Roman"/>
                <w:color w:val="000000"/>
                <w:sz w:val="24"/>
                <w:szCs w:val="24"/>
              </w:rPr>
              <w:t>normave</w:t>
            </w:r>
            <w:r w:rsidRPr="00822000">
              <w:rPr>
                <w:rFonts w:ascii="Times New Roman" w:hAnsi="Times New Roman"/>
                <w:color w:val="000000"/>
                <w:sz w:val="24"/>
                <w:szCs w:val="24"/>
              </w:rPr>
              <w:t xml:space="preserve"> efektive të taksave direkte çon në një rritje të të </w:t>
            </w:r>
            <w:r>
              <w:rPr>
                <w:rFonts w:ascii="Times New Roman" w:hAnsi="Times New Roman"/>
                <w:color w:val="000000"/>
                <w:sz w:val="24"/>
                <w:szCs w:val="24"/>
              </w:rPr>
              <w:t>hyrave</w:t>
            </w:r>
            <w:r w:rsidRPr="00822000">
              <w:rPr>
                <w:rFonts w:ascii="Times New Roman" w:hAnsi="Times New Roman"/>
                <w:color w:val="000000"/>
                <w:sz w:val="24"/>
                <w:szCs w:val="24"/>
              </w:rPr>
              <w:t xml:space="preserve"> tatimore (+48.8 </w:t>
            </w:r>
            <w:r>
              <w:rPr>
                <w:rFonts w:ascii="Times New Roman" w:hAnsi="Times New Roman"/>
                <w:color w:val="000000"/>
                <w:sz w:val="24"/>
                <w:szCs w:val="24"/>
              </w:rPr>
              <w:t>p.p.</w:t>
            </w:r>
            <w:r w:rsidRPr="00822000">
              <w:rPr>
                <w:rFonts w:ascii="Times New Roman" w:hAnsi="Times New Roman"/>
                <w:color w:val="000000"/>
                <w:sz w:val="24"/>
                <w:szCs w:val="24"/>
              </w:rPr>
              <w:t xml:space="preserve"> të </w:t>
            </w:r>
            <w:r>
              <w:rPr>
                <w:rFonts w:ascii="Times New Roman" w:hAnsi="Times New Roman"/>
                <w:color w:val="000000"/>
                <w:sz w:val="24"/>
                <w:szCs w:val="24"/>
              </w:rPr>
              <w:t>BPV-së</w:t>
            </w:r>
            <w:r w:rsidRPr="00822000">
              <w:rPr>
                <w:rFonts w:ascii="Times New Roman" w:hAnsi="Times New Roman"/>
                <w:color w:val="000000"/>
                <w:sz w:val="24"/>
                <w:szCs w:val="24"/>
              </w:rPr>
              <w:t xml:space="preserve">). Të </w:t>
            </w:r>
            <w:r>
              <w:rPr>
                <w:rFonts w:ascii="Times New Roman" w:hAnsi="Times New Roman"/>
                <w:color w:val="000000"/>
                <w:sz w:val="24"/>
                <w:szCs w:val="24"/>
              </w:rPr>
              <w:t>hyrat</w:t>
            </w:r>
            <w:r w:rsidRPr="00822000">
              <w:rPr>
                <w:rFonts w:ascii="Times New Roman" w:hAnsi="Times New Roman"/>
                <w:color w:val="000000"/>
                <w:sz w:val="24"/>
                <w:szCs w:val="24"/>
              </w:rPr>
              <w:t xml:space="preserve"> indirekte </w:t>
            </w:r>
            <w:r>
              <w:rPr>
                <w:rFonts w:ascii="Times New Roman" w:hAnsi="Times New Roman"/>
                <w:color w:val="000000"/>
                <w:sz w:val="24"/>
                <w:szCs w:val="24"/>
              </w:rPr>
              <w:t xml:space="preserve">tatimore </w:t>
            </w:r>
            <w:r w:rsidRPr="00822000">
              <w:rPr>
                <w:rFonts w:ascii="Times New Roman" w:hAnsi="Times New Roman"/>
                <w:color w:val="000000"/>
                <w:sz w:val="24"/>
                <w:szCs w:val="24"/>
              </w:rPr>
              <w:t xml:space="preserve">(+0.1 </w:t>
            </w:r>
            <w:r>
              <w:rPr>
                <w:rFonts w:ascii="Times New Roman" w:hAnsi="Times New Roman"/>
                <w:color w:val="000000"/>
                <w:sz w:val="24"/>
                <w:szCs w:val="24"/>
              </w:rPr>
              <w:t>p.p.</w:t>
            </w:r>
            <w:r w:rsidRPr="00822000">
              <w:rPr>
                <w:rFonts w:ascii="Times New Roman" w:hAnsi="Times New Roman"/>
                <w:color w:val="000000"/>
                <w:sz w:val="24"/>
                <w:szCs w:val="24"/>
              </w:rPr>
              <w:t xml:space="preserve"> të </w:t>
            </w:r>
            <w:r>
              <w:rPr>
                <w:rFonts w:ascii="Times New Roman" w:hAnsi="Times New Roman"/>
                <w:color w:val="000000"/>
                <w:sz w:val="24"/>
                <w:szCs w:val="24"/>
              </w:rPr>
              <w:t>BPV-së</w:t>
            </w:r>
            <w:r w:rsidRPr="00822000">
              <w:rPr>
                <w:rFonts w:ascii="Times New Roman" w:hAnsi="Times New Roman"/>
                <w:color w:val="000000"/>
                <w:sz w:val="24"/>
                <w:szCs w:val="24"/>
              </w:rPr>
              <w:t xml:space="preserve">) përmirësohen më tej duke nxitur shpenzimet e konsumit </w:t>
            </w:r>
            <w:r>
              <w:rPr>
                <w:rFonts w:ascii="Times New Roman" w:hAnsi="Times New Roman"/>
                <w:color w:val="000000"/>
                <w:sz w:val="24"/>
                <w:szCs w:val="24"/>
              </w:rPr>
              <w:t>derisa</w:t>
            </w:r>
            <w:r w:rsidRPr="00822000">
              <w:rPr>
                <w:rFonts w:ascii="Times New Roman" w:hAnsi="Times New Roman"/>
                <w:color w:val="000000"/>
                <w:sz w:val="24"/>
                <w:szCs w:val="24"/>
              </w:rPr>
              <w:t xml:space="preserve"> ekonomia rritet.</w:t>
            </w:r>
            <w:r w:rsidRPr="0067685A">
              <w:rPr>
                <w:rFonts w:ascii="Times New Roman" w:hAnsi="Times New Roman"/>
                <w:color w:val="000000"/>
                <w:sz w:val="24"/>
                <w:szCs w:val="24"/>
              </w:rPr>
              <w:t xml:space="preserve"> </w:t>
            </w:r>
            <w:r w:rsidRPr="0067685A">
              <w:rPr>
                <w:rFonts w:ascii="Times New Roman" w:hAnsi="Times New Roman"/>
                <w:b/>
                <w:color w:val="000000"/>
                <w:sz w:val="24"/>
                <w:szCs w:val="24"/>
              </w:rPr>
              <w:t xml:space="preserve">4) </w:t>
            </w:r>
            <w:r w:rsidRPr="002F1A95">
              <w:rPr>
                <w:rFonts w:ascii="Times New Roman" w:hAnsi="Times New Roman"/>
                <w:bCs/>
                <w:i/>
                <w:iCs/>
                <w:color w:val="000000"/>
                <w:sz w:val="24"/>
                <w:szCs w:val="24"/>
              </w:rPr>
              <w:t>Ndikimi në llogarinë e jashtme është minimal.</w:t>
            </w:r>
            <w:r w:rsidRPr="002F1A95">
              <w:rPr>
                <w:rFonts w:ascii="Times New Roman" w:hAnsi="Times New Roman"/>
                <w:bCs/>
                <w:color w:val="000000"/>
                <w:sz w:val="24"/>
                <w:szCs w:val="24"/>
              </w:rPr>
              <w:t xml:space="preserve"> Importet zhvendosen nga </w:t>
            </w:r>
            <w:r>
              <w:rPr>
                <w:rFonts w:ascii="Times New Roman" w:hAnsi="Times New Roman"/>
                <w:bCs/>
                <w:color w:val="000000"/>
                <w:sz w:val="24"/>
                <w:szCs w:val="24"/>
              </w:rPr>
              <w:t>konsumi</w:t>
            </w:r>
            <w:r w:rsidRPr="002F1A95">
              <w:rPr>
                <w:rFonts w:ascii="Times New Roman" w:hAnsi="Times New Roman"/>
                <w:bCs/>
                <w:color w:val="000000"/>
                <w:sz w:val="24"/>
                <w:szCs w:val="24"/>
              </w:rPr>
              <w:t xml:space="preserve"> tek kërkesa </w:t>
            </w:r>
            <w:r>
              <w:rPr>
                <w:rFonts w:ascii="Times New Roman" w:hAnsi="Times New Roman"/>
                <w:bCs/>
                <w:color w:val="000000"/>
                <w:sz w:val="24"/>
                <w:szCs w:val="24"/>
              </w:rPr>
              <w:t>më e madhe për</w:t>
            </w:r>
            <w:r w:rsidRPr="002F1A95">
              <w:rPr>
                <w:rFonts w:ascii="Times New Roman" w:hAnsi="Times New Roman"/>
                <w:bCs/>
                <w:color w:val="000000"/>
                <w:sz w:val="24"/>
                <w:szCs w:val="24"/>
              </w:rPr>
              <w:t xml:space="preserve"> investime, përfshirë mallrat </w:t>
            </w:r>
            <w:r>
              <w:rPr>
                <w:rFonts w:ascii="Times New Roman" w:hAnsi="Times New Roman"/>
                <w:bCs/>
                <w:color w:val="000000"/>
                <w:sz w:val="24"/>
                <w:szCs w:val="24"/>
              </w:rPr>
              <w:t>kapitale</w:t>
            </w:r>
            <w:r w:rsidRPr="002F1A95">
              <w:rPr>
                <w:rFonts w:ascii="Times New Roman" w:hAnsi="Times New Roman"/>
                <w:bCs/>
                <w:color w:val="000000"/>
                <w:sz w:val="24"/>
                <w:szCs w:val="24"/>
              </w:rPr>
              <w:t xml:space="preserve"> dhe pajisje</w:t>
            </w:r>
            <w:r>
              <w:rPr>
                <w:rFonts w:ascii="Times New Roman" w:hAnsi="Times New Roman"/>
                <w:bCs/>
                <w:color w:val="000000"/>
                <w:sz w:val="24"/>
                <w:szCs w:val="24"/>
              </w:rPr>
              <w:t>t</w:t>
            </w:r>
            <w:r w:rsidRPr="002F1A95">
              <w:rPr>
                <w:rFonts w:ascii="Times New Roman" w:hAnsi="Times New Roman"/>
                <w:bCs/>
                <w:color w:val="000000"/>
                <w:sz w:val="24"/>
                <w:szCs w:val="24"/>
              </w:rPr>
              <w:t xml:space="preserve">. Megjithatë, rezultati i përgjithshëm tregon një rënie të </w:t>
            </w:r>
            <w:r>
              <w:rPr>
                <w:rFonts w:ascii="Times New Roman" w:hAnsi="Times New Roman"/>
                <w:bCs/>
                <w:color w:val="000000"/>
                <w:sz w:val="24"/>
                <w:szCs w:val="24"/>
              </w:rPr>
              <w:t>lehtë</w:t>
            </w:r>
            <w:r w:rsidRPr="002F1A95">
              <w:rPr>
                <w:rFonts w:ascii="Times New Roman" w:hAnsi="Times New Roman"/>
                <w:bCs/>
                <w:color w:val="000000"/>
                <w:sz w:val="24"/>
                <w:szCs w:val="24"/>
              </w:rPr>
              <w:t xml:space="preserve"> të importeve. Gjithashtu, vëllimet e eksporteve ulen pak si rezultat i rritjes së pagave në sektorët e eksportit.</w:t>
            </w:r>
            <w:r>
              <w:rPr>
                <w:rFonts w:ascii="Times New Roman" w:hAnsi="Times New Roman"/>
                <w:bCs/>
                <w:color w:val="000000"/>
                <w:sz w:val="24"/>
                <w:szCs w:val="24"/>
              </w:rPr>
              <w:t xml:space="preserve"> </w:t>
            </w:r>
            <w:r w:rsidRPr="0067685A">
              <w:rPr>
                <w:rFonts w:ascii="Times New Roman" w:hAnsi="Times New Roman"/>
                <w:b/>
                <w:color w:val="000000"/>
                <w:sz w:val="24"/>
                <w:szCs w:val="24"/>
              </w:rPr>
              <w:t>5)</w:t>
            </w:r>
            <w:r w:rsidRPr="0067685A">
              <w:rPr>
                <w:rFonts w:ascii="Times New Roman" w:hAnsi="Times New Roman"/>
                <w:color w:val="000000"/>
                <w:sz w:val="24"/>
                <w:szCs w:val="24"/>
              </w:rPr>
              <w:t xml:space="preserve"> </w:t>
            </w:r>
            <w:r w:rsidRPr="001B2C0D">
              <w:rPr>
                <w:rFonts w:ascii="Times New Roman" w:hAnsi="Times New Roman"/>
                <w:i/>
                <w:iCs/>
                <w:color w:val="000000"/>
                <w:sz w:val="24"/>
                <w:szCs w:val="24"/>
              </w:rPr>
              <w:t xml:space="preserve">Akumulimi më i lartë i kapitalit </w:t>
            </w:r>
            <w:r>
              <w:rPr>
                <w:rFonts w:ascii="Times New Roman" w:hAnsi="Times New Roman"/>
                <w:i/>
                <w:iCs/>
                <w:color w:val="000000"/>
                <w:sz w:val="24"/>
                <w:szCs w:val="24"/>
              </w:rPr>
              <w:t>i ndihmon</w:t>
            </w:r>
            <w:r w:rsidRPr="001B2C0D">
              <w:rPr>
                <w:rFonts w:ascii="Times New Roman" w:hAnsi="Times New Roman"/>
                <w:i/>
                <w:iCs/>
                <w:color w:val="000000"/>
                <w:sz w:val="24"/>
                <w:szCs w:val="24"/>
              </w:rPr>
              <w:t xml:space="preserve"> më shumë sektorë me intensi</w:t>
            </w:r>
            <w:r>
              <w:rPr>
                <w:rFonts w:ascii="Times New Roman" w:hAnsi="Times New Roman"/>
                <w:i/>
                <w:iCs/>
                <w:color w:val="000000"/>
                <w:sz w:val="24"/>
                <w:szCs w:val="24"/>
              </w:rPr>
              <w:t>ve</w:t>
            </w:r>
            <w:r w:rsidRPr="001B2C0D">
              <w:rPr>
                <w:rFonts w:ascii="Times New Roman" w:hAnsi="Times New Roman"/>
                <w:i/>
                <w:iCs/>
                <w:color w:val="000000"/>
                <w:sz w:val="24"/>
                <w:szCs w:val="24"/>
              </w:rPr>
              <w:t xml:space="preserve"> </w:t>
            </w:r>
            <w:r>
              <w:rPr>
                <w:rFonts w:ascii="Times New Roman" w:hAnsi="Times New Roman"/>
                <w:i/>
                <w:iCs/>
                <w:color w:val="000000"/>
                <w:sz w:val="24"/>
                <w:szCs w:val="24"/>
              </w:rPr>
              <w:t>në kapital</w:t>
            </w:r>
            <w:r w:rsidRPr="001B2C0D">
              <w:rPr>
                <w:rFonts w:ascii="Times New Roman" w:hAnsi="Times New Roman"/>
                <w:i/>
                <w:iCs/>
                <w:color w:val="000000"/>
                <w:sz w:val="24"/>
                <w:szCs w:val="24"/>
              </w:rPr>
              <w:t xml:space="preserve">, duke çuar në çmime relative më të ulëta për kapital dhe paga më të larta. Si rezultat, rritet vlera e </w:t>
            </w:r>
            <w:r>
              <w:rPr>
                <w:rFonts w:ascii="Times New Roman" w:hAnsi="Times New Roman"/>
                <w:i/>
                <w:iCs/>
                <w:color w:val="000000"/>
                <w:sz w:val="24"/>
                <w:szCs w:val="24"/>
              </w:rPr>
              <w:t xml:space="preserve">sektorit të minierave </w:t>
            </w:r>
            <w:r w:rsidRPr="001B2C0D">
              <w:rPr>
                <w:rFonts w:ascii="Times New Roman" w:hAnsi="Times New Roman"/>
                <w:i/>
                <w:iCs/>
                <w:color w:val="000000"/>
                <w:sz w:val="24"/>
                <w:szCs w:val="24"/>
              </w:rPr>
              <w:t>minierave, ndërtimeve dhe sektorëve të tjerë prodhues.</w:t>
            </w:r>
            <w:r w:rsidRPr="0067685A">
              <w:rPr>
                <w:rFonts w:ascii="Times New Roman" w:hAnsi="Times New Roman"/>
                <w:color w:val="000000"/>
                <w:sz w:val="24"/>
                <w:szCs w:val="24"/>
              </w:rPr>
              <w:t xml:space="preserve"> </w:t>
            </w:r>
            <w:r w:rsidRPr="0067685A">
              <w:rPr>
                <w:rFonts w:ascii="Times New Roman" w:hAnsi="Times New Roman"/>
                <w:b/>
                <w:color w:val="000000"/>
                <w:sz w:val="24"/>
                <w:szCs w:val="24"/>
              </w:rPr>
              <w:t>6)</w:t>
            </w:r>
            <w:r w:rsidRPr="0067685A">
              <w:rPr>
                <w:rFonts w:ascii="Times New Roman" w:hAnsi="Times New Roman"/>
                <w:color w:val="000000"/>
                <w:sz w:val="24"/>
                <w:szCs w:val="24"/>
              </w:rPr>
              <w:t xml:space="preserve"> </w:t>
            </w:r>
            <w:r w:rsidRPr="00D72E14">
              <w:rPr>
                <w:rFonts w:ascii="Times New Roman" w:hAnsi="Times New Roman"/>
                <w:i/>
                <w:iCs/>
                <w:color w:val="000000"/>
                <w:sz w:val="24"/>
                <w:szCs w:val="24"/>
              </w:rPr>
              <w:t>Mekanizmi themelor i rritjes së modelit është modeli standard i rritjes Harrod-Domar.</w:t>
            </w:r>
            <w:r w:rsidRPr="00D72E14">
              <w:rPr>
                <w:rFonts w:ascii="Times New Roman" w:hAnsi="Times New Roman"/>
                <w:color w:val="000000"/>
                <w:sz w:val="24"/>
                <w:szCs w:val="24"/>
              </w:rPr>
              <w:t xml:space="preserve"> Mekanizmi i thjeshtë është që konsolidi</w:t>
            </w:r>
            <w:r>
              <w:rPr>
                <w:rFonts w:ascii="Times New Roman" w:hAnsi="Times New Roman"/>
                <w:color w:val="000000"/>
                <w:sz w:val="24"/>
                <w:szCs w:val="24"/>
              </w:rPr>
              <w:t>mi fiskal shtesë rrit kursimet vendore</w:t>
            </w:r>
            <w:r w:rsidRPr="00D72E14">
              <w:rPr>
                <w:rFonts w:ascii="Times New Roman" w:hAnsi="Times New Roman"/>
                <w:color w:val="000000"/>
                <w:sz w:val="24"/>
                <w:szCs w:val="24"/>
              </w:rPr>
              <w:t xml:space="preserve">; megjithatë, rezultatet janë të vlefshme vetëm për mbylljen specifike të modelit. Nëse rritja e të ardhurave çon në zvogëlimin e borxhit të jashtëm, kjo duhet të reflektohet në një ulje të bilancit të llogarisë rrjedhëse që kompenson rritjen e kursimeve nga qeveria. Në rast të zvogëlimit të borxhit të brendshëm, kjo duhet të çojë në rritje të investimeve </w:t>
            </w:r>
            <w:r>
              <w:rPr>
                <w:rFonts w:ascii="Times New Roman" w:hAnsi="Times New Roman"/>
                <w:color w:val="000000"/>
                <w:sz w:val="24"/>
                <w:szCs w:val="24"/>
              </w:rPr>
              <w:t>sipas logjikës së lartëpermendur.</w:t>
            </w:r>
          </w:p>
          <w:p w14:paraId="4A4F1BA6" w14:textId="77777777" w:rsidR="00085F16" w:rsidRPr="009F66F4" w:rsidRDefault="00085F16" w:rsidP="00085F16">
            <w:pPr>
              <w:spacing w:after="240"/>
              <w:rPr>
                <w:bCs/>
                <w:i/>
                <w:iCs/>
                <w:color w:val="5B9BD5" w:themeColor="accent1"/>
              </w:rPr>
            </w:pPr>
            <w:bookmarkStart w:id="112" w:name="_Toc25151514"/>
            <w:bookmarkStart w:id="113" w:name="_Toc25155949"/>
            <w:bookmarkStart w:id="114" w:name="_Toc25156108"/>
            <w:r w:rsidRPr="009F66F4">
              <w:rPr>
                <w:bCs/>
                <w:i/>
                <w:iCs/>
                <w:color w:val="5B9BD5" w:themeColor="accent1"/>
              </w:rPr>
              <w:t>PRE MASA #1: REDUKTIMI I KONSUMIT TË ENERGJISË PËRMES MASAVE TË EFIÇENCËS SË ENERGJISË – REDUKTIMI I HUMBJEVE TË ENERGJISË DHE KRITERET PËR SUBVENCIONE</w:t>
            </w:r>
            <w:bookmarkEnd w:id="112"/>
            <w:bookmarkEnd w:id="113"/>
            <w:bookmarkEnd w:id="114"/>
          </w:p>
          <w:p w14:paraId="57E48B8A" w14:textId="77777777" w:rsidR="00085F16" w:rsidRPr="0067685A" w:rsidRDefault="00085F16" w:rsidP="00085F16">
            <w:pPr>
              <w:spacing w:before="120"/>
              <w:jc w:val="both"/>
              <w:rPr>
                <w:rStyle w:val="CommentReference"/>
                <w:szCs w:val="24"/>
              </w:rPr>
            </w:pPr>
            <w:r w:rsidRPr="0067685A">
              <w:rPr>
                <w:b/>
              </w:rPr>
              <w:t xml:space="preserve">1) </w:t>
            </w:r>
            <w:r w:rsidRPr="0087179D">
              <w:rPr>
                <w:bCs/>
                <w:i/>
                <w:iCs/>
              </w:rPr>
              <w:t>Skenari përqendrohet në sektorin e energjisë në Kosovë.</w:t>
            </w:r>
            <w:r w:rsidRPr="0087179D">
              <w:rPr>
                <w:bCs/>
              </w:rPr>
              <w:t xml:space="preserve"> Analiza simulon një eleminim të subvencioneve energjetike nga niveli aktual i 0.5% të </w:t>
            </w:r>
            <w:r>
              <w:rPr>
                <w:bCs/>
              </w:rPr>
              <w:t>BPV</w:t>
            </w:r>
            <w:r w:rsidRPr="0087179D">
              <w:rPr>
                <w:bCs/>
              </w:rPr>
              <w:t>-së përmes rregullimit efektiv të tarifave. Ne presim që kjo masë të ndikojë sektorët real, fiskal dhe energjetikë në mënyra të ndryshme. Përveç forcimit të kursimeve të qeverisë, çmimet më të larta të energjisë dhe produkteve që përdorin energji</w:t>
            </w:r>
            <w:r>
              <w:rPr>
                <w:bCs/>
              </w:rPr>
              <w:t>në</w:t>
            </w:r>
            <w:r w:rsidRPr="0087179D">
              <w:rPr>
                <w:bCs/>
              </w:rPr>
              <w:t xml:space="preserve"> si input ndërmjetës mund të çojnë në fitime të efikasitetit pasi konsumi është ulur. Ulja e subvencioneve jo vetëm që do të mbështeste konsolidimin fiskal, por edhe investimin përmes kursimeve më të larta të qeverisë.</w:t>
            </w:r>
            <w:r>
              <w:rPr>
                <w:bCs/>
              </w:rPr>
              <w:t xml:space="preserve"> </w:t>
            </w:r>
            <w:r w:rsidRPr="0067685A">
              <w:rPr>
                <w:rFonts w:eastAsia="Calibri"/>
                <w:b/>
              </w:rPr>
              <w:t>2)</w:t>
            </w:r>
            <w:r w:rsidRPr="0067685A">
              <w:t xml:space="preserve"> </w:t>
            </w:r>
            <w:r w:rsidRPr="0087179D">
              <w:rPr>
                <w:i/>
                <w:iCs/>
              </w:rPr>
              <w:t xml:space="preserve">Eleminimi i subvencioneve energjetike në Kosovë nuk do të rrisë rritjen e </w:t>
            </w:r>
            <w:r>
              <w:rPr>
                <w:i/>
                <w:iCs/>
              </w:rPr>
              <w:t>BPV</w:t>
            </w:r>
            <w:r w:rsidRPr="0087179D">
              <w:rPr>
                <w:i/>
                <w:iCs/>
              </w:rPr>
              <w:t>-së në çmimet e tregut.</w:t>
            </w:r>
            <w:r w:rsidRPr="0087179D">
              <w:t xml:space="preserve"> Eleminimi i subv</w:t>
            </w:r>
            <w:r>
              <w:t>encioneve qeveritare në vend çoj</w:t>
            </w:r>
            <w:r w:rsidRPr="005A7AC2">
              <w:rPr>
                <w:rFonts w:hint="eastAsia"/>
              </w:rPr>
              <w:t>ë</w:t>
            </w:r>
            <w:r w:rsidRPr="0087179D">
              <w:t xml:space="preserve"> në një rritje kumulative të rritjes së </w:t>
            </w:r>
            <w:r>
              <w:t>BPV</w:t>
            </w:r>
            <w:r w:rsidRPr="0087179D">
              <w:t>-së në çmimet e faktorëve prej 0,1%% të nxitura nga investime më të larta (+1.2%). Kjo merr parasysh ndikimin e prodhimit më të ulët në sektorin e energjisë kur rriten çmimet si dhe ndikimi</w:t>
            </w:r>
            <w:r>
              <w:t>n</w:t>
            </w:r>
            <w:r w:rsidRPr="0087179D">
              <w:t xml:space="preserve"> </w:t>
            </w:r>
            <w:r>
              <w:t>e</w:t>
            </w:r>
            <w:r w:rsidRPr="0087179D">
              <w:t xml:space="preserve"> menjëhershëm negativ në sektorët me intensitet energjetik. Si rezultat i çmimeve më të larta të energjisë dhe produkteve që përdorin energjinë si input ndërmjetës, konsumi zvogëlohet me -0.4% në Kosovë duke u larguar nga produktet me </w:t>
            </w:r>
            <w:r>
              <w:t xml:space="preserve">konsum më të lartë të </w:t>
            </w:r>
            <w:r w:rsidRPr="0087179D">
              <w:t>energji</w:t>
            </w:r>
            <w:r>
              <w:t>së</w:t>
            </w:r>
            <w:r w:rsidRPr="0087179D">
              <w:t>.</w:t>
            </w:r>
            <w:r>
              <w:t xml:space="preserve"> </w:t>
            </w:r>
            <w:r w:rsidRPr="0067685A">
              <w:rPr>
                <w:b/>
              </w:rPr>
              <w:t>3)</w:t>
            </w:r>
            <w:r w:rsidRPr="0067685A">
              <w:t xml:space="preserve"> </w:t>
            </w:r>
            <w:r w:rsidRPr="00C23CDC">
              <w:rPr>
                <w:i/>
                <w:iCs/>
              </w:rPr>
              <w:t xml:space="preserve">Kursimet më të larta të qeverisë nga ulja e subvencioneve kompensohen paksa nga një rritje në konsumin nominal të qeverisë. </w:t>
            </w:r>
            <w:r w:rsidRPr="00C23CDC">
              <w:t xml:space="preserve">Akumulimi më i lartë i kapitalit </w:t>
            </w:r>
            <w:r>
              <w:t>ndihmon</w:t>
            </w:r>
            <w:r w:rsidRPr="00C23CDC">
              <w:t xml:space="preserve"> sektorët me intensitet</w:t>
            </w:r>
            <w:r>
              <w:t xml:space="preserve"> më të lartë</w:t>
            </w:r>
            <w:r w:rsidRPr="00C23CDC">
              <w:t xml:space="preserve"> kapitali, duke rezultuar në kërkesë të </w:t>
            </w:r>
            <w:r>
              <w:t>shtuar</w:t>
            </w:r>
            <w:r w:rsidRPr="00C23CDC">
              <w:t xml:space="preserve"> të punës dhe përshpejtim të niveleve të pagave për të pastruar tregun e punës.</w:t>
            </w:r>
            <w:r>
              <w:t xml:space="preserve"> </w:t>
            </w:r>
            <w:r w:rsidRPr="0067685A">
              <w:rPr>
                <w:b/>
              </w:rPr>
              <w:t>4)</w:t>
            </w:r>
            <w:r w:rsidRPr="0067685A">
              <w:t xml:space="preserve"> </w:t>
            </w:r>
            <w:r w:rsidRPr="00D316E9">
              <w:rPr>
                <w:i/>
                <w:iCs/>
              </w:rPr>
              <w:t xml:space="preserve">Analiza e ndikimit të vlerës reale të shtuar </w:t>
            </w:r>
            <w:r>
              <w:rPr>
                <w:i/>
                <w:iCs/>
              </w:rPr>
              <w:t>sipas</w:t>
            </w:r>
            <w:r w:rsidRPr="00D316E9">
              <w:rPr>
                <w:i/>
                <w:iCs/>
              </w:rPr>
              <w:t xml:space="preserve"> sektor</w:t>
            </w:r>
            <w:r>
              <w:rPr>
                <w:i/>
                <w:iCs/>
              </w:rPr>
              <w:t xml:space="preserve">ëve </w:t>
            </w:r>
            <w:r w:rsidRPr="00D316E9">
              <w:rPr>
                <w:i/>
                <w:iCs/>
              </w:rPr>
              <w:t xml:space="preserve">tregon se minierat, </w:t>
            </w:r>
            <w:r>
              <w:rPr>
                <w:i/>
                <w:iCs/>
              </w:rPr>
              <w:t>sektorët prodhues</w:t>
            </w:r>
            <w:r w:rsidRPr="00D316E9">
              <w:rPr>
                <w:i/>
                <w:iCs/>
              </w:rPr>
              <w:t xml:space="preserve"> dhe ndërtimi përfitojnë nga aktiviteti më i lartë i investimeve</w:t>
            </w:r>
            <w:r>
              <w:rPr>
                <w:i/>
                <w:iCs/>
              </w:rPr>
              <w:t>.</w:t>
            </w:r>
            <w:r w:rsidRPr="0067685A">
              <w:t xml:space="preserve"> </w:t>
            </w:r>
            <w:r w:rsidRPr="0051159A">
              <w:t>Në këta sektorë, ndryshimet kumulative në vlerën e shtuar arrijnë në 0</w:t>
            </w:r>
            <w:r>
              <w:t>.</w:t>
            </w:r>
            <w:r w:rsidRPr="0051159A">
              <w:t>1-4</w:t>
            </w:r>
            <w:r>
              <w:t>.</w:t>
            </w:r>
            <w:r w:rsidRPr="0051159A">
              <w:t xml:space="preserve">0% të </w:t>
            </w:r>
            <w:r>
              <w:t>BPV</w:t>
            </w:r>
            <w:r w:rsidRPr="0051159A">
              <w:t xml:space="preserve">-së. Në </w:t>
            </w:r>
            <w:r>
              <w:t>anën tjetër</w:t>
            </w:r>
            <w:r w:rsidRPr="0051159A">
              <w:t xml:space="preserve">, aktiviteti bie jo vetëm në sektorin e energjisë, por edhe në sektorët </w:t>
            </w:r>
            <w:r>
              <w:t xml:space="preserve">me </w:t>
            </w:r>
            <w:r w:rsidRPr="0051159A">
              <w:t>intensi</w:t>
            </w:r>
            <w:r>
              <w:t>tet më</w:t>
            </w:r>
            <w:r w:rsidRPr="0051159A">
              <w:t xml:space="preserve"> të</w:t>
            </w:r>
            <w:r>
              <w:t xml:space="preserve"> lartë të</w:t>
            </w:r>
            <w:r w:rsidRPr="0051159A">
              <w:t xml:space="preserve"> punës dhe energjisë.</w:t>
            </w:r>
            <w:r w:rsidRPr="0067685A">
              <w:rPr>
                <w:rStyle w:val="CommentReference"/>
                <w:szCs w:val="24"/>
              </w:rPr>
              <w:t xml:space="preserve"> </w:t>
            </w:r>
          </w:p>
          <w:p w14:paraId="75CA1DF9" w14:textId="77777777" w:rsidR="00085F16" w:rsidRPr="009F66F4" w:rsidRDefault="00085F16" w:rsidP="00085F16">
            <w:pPr>
              <w:spacing w:before="240" w:after="240"/>
              <w:rPr>
                <w:bCs/>
                <w:i/>
                <w:iCs/>
                <w:color w:val="5B9BD5" w:themeColor="accent1"/>
              </w:rPr>
            </w:pPr>
            <w:bookmarkStart w:id="115" w:name="_Toc25151515"/>
            <w:bookmarkStart w:id="116" w:name="_Toc25155950"/>
            <w:bookmarkStart w:id="117" w:name="_Toc25156109"/>
            <w:r w:rsidRPr="009F66F4">
              <w:rPr>
                <w:bCs/>
                <w:i/>
                <w:iCs/>
                <w:color w:val="5B9BD5" w:themeColor="accent1"/>
              </w:rPr>
              <w:t>PRE MASA#9: THEMELIMI DHE FUNKSIONIMI I GJYKATËS KOMERCIALE – REDUKTIM NË PRIMIN E RREZIKUT TË KAPITALIT</w:t>
            </w:r>
            <w:bookmarkEnd w:id="115"/>
            <w:bookmarkEnd w:id="116"/>
            <w:bookmarkEnd w:id="117"/>
          </w:p>
          <w:p w14:paraId="65ECC86D" w14:textId="77777777" w:rsidR="00085F16" w:rsidRPr="0067685A" w:rsidRDefault="00085F16" w:rsidP="00085F16">
            <w:pPr>
              <w:spacing w:before="120"/>
              <w:jc w:val="both"/>
            </w:pPr>
            <w:r w:rsidRPr="0067685A">
              <w:rPr>
                <w:b/>
              </w:rPr>
              <w:t xml:space="preserve">1) </w:t>
            </w:r>
            <w:r w:rsidRPr="00AC6C3F">
              <w:rPr>
                <w:bCs/>
                <w:i/>
                <w:iCs/>
              </w:rPr>
              <w:t>Skenari i tretë supozon se primi i rrezikut në ekonominë e Kosovës është ulur me 5% për skenarin</w:t>
            </w:r>
            <w:r>
              <w:rPr>
                <w:bCs/>
                <w:i/>
                <w:iCs/>
              </w:rPr>
              <w:t xml:space="preserve"> bazë</w:t>
            </w:r>
            <w:r w:rsidRPr="00AC6C3F">
              <w:rPr>
                <w:bCs/>
                <w:i/>
                <w:iCs/>
              </w:rPr>
              <w:t>.</w:t>
            </w:r>
            <w:r w:rsidRPr="00AC6C3F">
              <w:rPr>
                <w:bCs/>
              </w:rPr>
              <w:t xml:space="preserve"> Ndikimi është i simuluar duke supozuar një rritje të financimit të huaj (</w:t>
            </w:r>
            <w:r>
              <w:rPr>
                <w:bCs/>
              </w:rPr>
              <w:t>Bilanci i Llogarisë Rrjedhëse</w:t>
            </w:r>
            <w:r w:rsidRPr="00AC6C3F">
              <w:rPr>
                <w:bCs/>
              </w:rPr>
              <w:t xml:space="preserve">) me 20% në 2021 dhe 2022 dhe rritje të </w:t>
            </w:r>
            <w:r w:rsidRPr="00B93079">
              <w:rPr>
                <w:bCs/>
              </w:rPr>
              <w:t>faktorë</w:t>
            </w:r>
            <w:r>
              <w:rPr>
                <w:bCs/>
              </w:rPr>
              <w:t>ve</w:t>
            </w:r>
            <w:r w:rsidRPr="00B93079">
              <w:rPr>
                <w:bCs/>
              </w:rPr>
              <w:t xml:space="preserve"> e përgjithshëm të kapitalit të prodhimit</w:t>
            </w:r>
            <w:r>
              <w:rPr>
                <w:bCs/>
              </w:rPr>
              <w:t xml:space="preserve"> </w:t>
            </w:r>
            <w:r w:rsidRPr="00AC6C3F">
              <w:rPr>
                <w:bCs/>
              </w:rPr>
              <w:t>me 2.75</w:t>
            </w:r>
            <w:r>
              <w:rPr>
                <w:bCs/>
              </w:rPr>
              <w:t xml:space="preserve"> p.p.</w:t>
            </w:r>
            <w:r w:rsidRPr="00AC6C3F">
              <w:rPr>
                <w:bCs/>
              </w:rPr>
              <w:t xml:space="preserve"> dhe 2</w:t>
            </w:r>
            <w:r>
              <w:rPr>
                <w:bCs/>
              </w:rPr>
              <w:t xml:space="preserve"> p.p.</w:t>
            </w:r>
            <w:r w:rsidRPr="00AC6C3F">
              <w:rPr>
                <w:bCs/>
              </w:rPr>
              <w:t xml:space="preserve"> në 2021 dhe 2022, përkatësisht.</w:t>
            </w:r>
            <w:r>
              <w:rPr>
                <w:bCs/>
              </w:rPr>
              <w:t xml:space="preserve"> </w:t>
            </w:r>
            <w:r w:rsidRPr="0067685A">
              <w:rPr>
                <w:b/>
              </w:rPr>
              <w:t>2</w:t>
            </w:r>
            <w:r w:rsidRPr="0067685A">
              <w:t xml:space="preserve">) </w:t>
            </w:r>
            <w:r w:rsidRPr="00723D09">
              <w:rPr>
                <w:i/>
                <w:iCs/>
              </w:rPr>
              <w:t xml:space="preserve">Simulimet për këtë skenar </w:t>
            </w:r>
            <w:r>
              <w:rPr>
                <w:i/>
                <w:iCs/>
              </w:rPr>
              <w:t>tregojnë</w:t>
            </w:r>
            <w:r w:rsidRPr="00723D09">
              <w:rPr>
                <w:i/>
                <w:iCs/>
              </w:rPr>
              <w:t xml:space="preserve"> se ndikimi pozitiv në rritjen e </w:t>
            </w:r>
            <w:r>
              <w:rPr>
                <w:i/>
                <w:iCs/>
              </w:rPr>
              <w:t>BPV</w:t>
            </w:r>
            <w:r w:rsidRPr="00723D09">
              <w:rPr>
                <w:i/>
                <w:iCs/>
              </w:rPr>
              <w:t xml:space="preserve">-së reale mund të jetë shumë </w:t>
            </w:r>
            <w:r>
              <w:rPr>
                <w:i/>
                <w:iCs/>
              </w:rPr>
              <w:t>i lartë</w:t>
            </w:r>
            <w:r w:rsidRPr="00723D09">
              <w:t xml:space="preserve"> </w:t>
            </w:r>
            <w:r w:rsidRPr="00723D09">
              <w:rPr>
                <w:b/>
                <w:bCs/>
              </w:rPr>
              <w:t>(Tabela 2)</w:t>
            </w:r>
            <w:r w:rsidRPr="00723D09">
              <w:t xml:space="preserve">. Ashtu si në skenarin e mëparshëm, rritja është nxitur kryesisht nga rritja më e lartë e investimeve (+11.3%), e ndjekur nga konsumi privat (+4.5%) dhe eksportet (+1.6%). Investimi më i lartë mbështetet nga rritja e kursimeve të jashtme dhe private. </w:t>
            </w:r>
            <w:r>
              <w:t>Njëkohësisht</w:t>
            </w:r>
            <w:r w:rsidRPr="00723D09">
              <w:t xml:space="preserve">, rritja e konsumit nominal të qeverisë </w:t>
            </w:r>
            <w:r>
              <w:t>derisa</w:t>
            </w:r>
            <w:r w:rsidRPr="00723D09">
              <w:t xml:space="preserve"> presione</w:t>
            </w:r>
            <w:r>
              <w:t>t</w:t>
            </w:r>
            <w:r w:rsidRPr="00723D09">
              <w:t xml:space="preserve"> mbi paga dhe </w:t>
            </w:r>
            <w:r>
              <w:t>kriteret</w:t>
            </w:r>
            <w:r w:rsidRPr="00723D09">
              <w:t xml:space="preserve"> më të </w:t>
            </w:r>
            <w:r>
              <w:t xml:space="preserve">larta </w:t>
            </w:r>
            <w:r w:rsidRPr="00723D09">
              <w:t>për subvencione ço</w:t>
            </w:r>
            <w:r>
              <w:t>j</w:t>
            </w:r>
            <w:r w:rsidRPr="00723D09">
              <w:t>n</w:t>
            </w:r>
            <w:r>
              <w:t>ë</w:t>
            </w:r>
            <w:r w:rsidRPr="00723D09">
              <w:t xml:space="preserve"> në ulje të kursimeve publike pasi të ardhurat rriten më ngadalë se shpenzimet.</w:t>
            </w:r>
            <w:r w:rsidRPr="0067685A">
              <w:t xml:space="preserve"> </w:t>
            </w:r>
            <w:r w:rsidRPr="0067685A">
              <w:rPr>
                <w:b/>
              </w:rPr>
              <w:t xml:space="preserve">3) </w:t>
            </w:r>
            <w:r w:rsidRPr="00B648CA">
              <w:rPr>
                <w:bCs/>
                <w:i/>
                <w:iCs/>
              </w:rPr>
              <w:t xml:space="preserve">Efektet kumulative afatmesme të një ulje në primet e rrezikut në rritjen e </w:t>
            </w:r>
            <w:r>
              <w:rPr>
                <w:bCs/>
                <w:i/>
                <w:iCs/>
              </w:rPr>
              <w:t>BPV</w:t>
            </w:r>
            <w:r w:rsidRPr="00B648CA">
              <w:rPr>
                <w:bCs/>
                <w:i/>
                <w:iCs/>
              </w:rPr>
              <w:t>-së janë 3.9% nga 2019 në 2022</w:t>
            </w:r>
            <w:r>
              <w:rPr>
                <w:bCs/>
              </w:rPr>
              <w:t>. A</w:t>
            </w:r>
            <w:r w:rsidRPr="00B648CA">
              <w:rPr>
                <w:bCs/>
              </w:rPr>
              <w:t xml:space="preserve">kumulimi i përshpejtuar i kapitalit dhe nivelet më të ulëta të qirave të kapitalit </w:t>
            </w:r>
            <w:r>
              <w:rPr>
                <w:bCs/>
              </w:rPr>
              <w:t>ndihmojnë</w:t>
            </w:r>
            <w:r w:rsidRPr="00B648CA">
              <w:rPr>
                <w:bCs/>
              </w:rPr>
              <w:t xml:space="preserve"> sektorët me intensitet </w:t>
            </w:r>
            <w:r>
              <w:rPr>
                <w:bCs/>
              </w:rPr>
              <w:t>në</w:t>
            </w:r>
            <w:r w:rsidRPr="00B648CA">
              <w:rPr>
                <w:bCs/>
              </w:rPr>
              <w:t xml:space="preserve"> kapital</w:t>
            </w:r>
            <w:r>
              <w:rPr>
                <w:bCs/>
              </w:rPr>
              <w:t xml:space="preserve"> </w:t>
            </w:r>
            <w:r w:rsidRPr="00B648CA">
              <w:rPr>
                <w:bCs/>
              </w:rPr>
              <w:t xml:space="preserve">dhe </w:t>
            </w:r>
            <w:r>
              <w:rPr>
                <w:bCs/>
              </w:rPr>
              <w:t>rezultojnë</w:t>
            </w:r>
            <w:r w:rsidRPr="00B648CA">
              <w:rPr>
                <w:bCs/>
              </w:rPr>
              <w:t xml:space="preserve"> në ulje të çmimeve relative për mallrat me intensitet kapital. </w:t>
            </w:r>
            <w:r>
              <w:rPr>
                <w:bCs/>
              </w:rPr>
              <w:t>Me mungesë të</w:t>
            </w:r>
            <w:r w:rsidRPr="00B648CA">
              <w:rPr>
                <w:bCs/>
              </w:rPr>
              <w:t xml:space="preserve"> </w:t>
            </w:r>
            <w:r>
              <w:rPr>
                <w:bCs/>
              </w:rPr>
              <w:t>reagimeve nga</w:t>
            </w:r>
            <w:r w:rsidRPr="00B648CA">
              <w:rPr>
                <w:bCs/>
              </w:rPr>
              <w:t xml:space="preserve"> </w:t>
            </w:r>
            <w:r>
              <w:rPr>
                <w:bCs/>
              </w:rPr>
              <w:t>oferta e tregut të punës</w:t>
            </w:r>
            <w:r w:rsidRPr="00B648CA">
              <w:rPr>
                <w:bCs/>
              </w:rPr>
              <w:t>, pagat e punës do të vazhdojnë të rriten me shpejtësi.</w:t>
            </w:r>
            <w:r>
              <w:rPr>
                <w:bCs/>
              </w:rPr>
              <w:t xml:space="preserve"> </w:t>
            </w:r>
            <w:r w:rsidRPr="0067685A">
              <w:rPr>
                <w:b/>
              </w:rPr>
              <w:t xml:space="preserve">4) </w:t>
            </w:r>
            <w:r w:rsidRPr="00F23C03">
              <w:rPr>
                <w:bCs/>
                <w:i/>
                <w:iCs/>
              </w:rPr>
              <w:t xml:space="preserve">Akumulimi më i lartë i kapitalit </w:t>
            </w:r>
            <w:r>
              <w:rPr>
                <w:bCs/>
                <w:i/>
                <w:iCs/>
              </w:rPr>
              <w:t>ndihmon</w:t>
            </w:r>
            <w:r w:rsidRPr="00F23C03">
              <w:rPr>
                <w:bCs/>
                <w:i/>
                <w:iCs/>
              </w:rPr>
              <w:t xml:space="preserve"> sektor</w:t>
            </w:r>
            <w:r>
              <w:rPr>
                <w:bCs/>
                <w:i/>
                <w:iCs/>
              </w:rPr>
              <w:t xml:space="preserve">ët </w:t>
            </w:r>
            <w:r w:rsidRPr="00F23C03">
              <w:rPr>
                <w:bCs/>
                <w:i/>
                <w:iCs/>
              </w:rPr>
              <w:t xml:space="preserve">me intensitet </w:t>
            </w:r>
            <w:r>
              <w:rPr>
                <w:bCs/>
                <w:i/>
                <w:iCs/>
              </w:rPr>
              <w:t>kapital</w:t>
            </w:r>
            <w:r w:rsidRPr="00F23C03">
              <w:rPr>
                <w:bCs/>
              </w:rPr>
              <w:t xml:space="preserve">. Vlera e shtuar në këta sektorë rritet relativisht më shumë se sektorët e tjerë që janë më intensivë </w:t>
            </w:r>
            <w:r>
              <w:rPr>
                <w:bCs/>
              </w:rPr>
              <w:t>në punë</w:t>
            </w:r>
            <w:r w:rsidRPr="00F23C03">
              <w:rPr>
                <w:bCs/>
              </w:rPr>
              <w:t xml:space="preserve"> - në veçanti, ne presim të shohim një rënie të mprehtë në sektorin e Hoteleve dhe Restoranteve. Ky sektor është shumë </w:t>
            </w:r>
            <w:r>
              <w:rPr>
                <w:bCs/>
              </w:rPr>
              <w:t>me rendësi</w:t>
            </w:r>
            <w:r w:rsidRPr="00F23C03">
              <w:rPr>
                <w:bCs/>
              </w:rPr>
              <w:t xml:space="preserve"> për eksportet e shërbimeve dhe ka hapësirë më të kufizuar për rritjen e çmimeve, sesa sektorët e orientuar drejt tregut </w:t>
            </w:r>
            <w:r>
              <w:rPr>
                <w:bCs/>
              </w:rPr>
              <w:t>vendor</w:t>
            </w:r>
            <w:r w:rsidRPr="00F23C03">
              <w:rPr>
                <w:bCs/>
              </w:rPr>
              <w:t>.</w:t>
            </w:r>
          </w:p>
          <w:p w14:paraId="47D1D7E3" w14:textId="77777777" w:rsidR="00085F16" w:rsidRDefault="00085F16" w:rsidP="00085F1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951"/>
              <w:gridCol w:w="1905"/>
              <w:gridCol w:w="1861"/>
            </w:tblGrid>
            <w:tr w:rsidR="00085F16" w:rsidRPr="00E31BF8" w14:paraId="27DADF28" w14:textId="77777777" w:rsidTr="00085F16">
              <w:trPr>
                <w:trHeight w:val="310"/>
              </w:trPr>
              <w:tc>
                <w:tcPr>
                  <w:tcW w:w="5000" w:type="pct"/>
                  <w:gridSpan w:val="4"/>
                  <w:shd w:val="clear" w:color="auto" w:fill="auto"/>
                  <w:vAlign w:val="center"/>
                  <w:hideMark/>
                </w:tcPr>
                <w:p w14:paraId="5853F495" w14:textId="77777777" w:rsidR="00085F16" w:rsidRPr="00E31BF8" w:rsidRDefault="00085F16" w:rsidP="00620506">
                  <w:pPr>
                    <w:spacing w:after="0"/>
                    <w:rPr>
                      <w:b/>
                      <w:bCs/>
                      <w:sz w:val="16"/>
                    </w:rPr>
                  </w:pPr>
                  <w:r w:rsidRPr="00E31BF8">
                    <w:rPr>
                      <w:b/>
                      <w:bCs/>
                      <w:sz w:val="16"/>
                    </w:rPr>
                    <w:t>Tabela 1: ndikimi i PRE masave #11, #1, and #9: Llogaritë qeveritare, (kumulativ 2019-2022)</w:t>
                  </w:r>
                </w:p>
              </w:tc>
            </w:tr>
            <w:tr w:rsidR="00085F16" w:rsidRPr="00E31BF8" w14:paraId="055C3922" w14:textId="77777777" w:rsidTr="00085F16">
              <w:trPr>
                <w:trHeight w:val="310"/>
              </w:trPr>
              <w:tc>
                <w:tcPr>
                  <w:tcW w:w="1867" w:type="pct"/>
                  <w:shd w:val="clear" w:color="auto" w:fill="auto"/>
                  <w:vAlign w:val="center"/>
                  <w:hideMark/>
                </w:tcPr>
                <w:p w14:paraId="12AFD202" w14:textId="77777777" w:rsidR="00085F16" w:rsidRPr="00E31BF8" w:rsidRDefault="00085F16" w:rsidP="00620506">
                  <w:pPr>
                    <w:spacing w:after="0"/>
                    <w:jc w:val="right"/>
                    <w:rPr>
                      <w:sz w:val="20"/>
                    </w:rPr>
                  </w:pPr>
                </w:p>
              </w:tc>
              <w:tc>
                <w:tcPr>
                  <w:tcW w:w="3133" w:type="pct"/>
                  <w:gridSpan w:val="3"/>
                  <w:shd w:val="clear" w:color="auto" w:fill="auto"/>
                  <w:vAlign w:val="center"/>
                  <w:hideMark/>
                </w:tcPr>
                <w:p w14:paraId="7E184D59" w14:textId="77777777" w:rsidR="00085F16" w:rsidRPr="00E31BF8" w:rsidRDefault="00085F16" w:rsidP="00620506">
                  <w:pPr>
                    <w:spacing w:after="0"/>
                    <w:jc w:val="center"/>
                    <w:rPr>
                      <w:i/>
                      <w:iCs/>
                      <w:sz w:val="20"/>
                    </w:rPr>
                  </w:pPr>
                  <w:r w:rsidRPr="00E31BF8">
                    <w:rPr>
                      <w:i/>
                      <w:iCs/>
                      <w:sz w:val="20"/>
                    </w:rPr>
                    <w:t>(% e BPV-së, ndryshimi nga modeli bazë)</w:t>
                  </w:r>
                </w:p>
              </w:tc>
            </w:tr>
            <w:tr w:rsidR="00085F16" w:rsidRPr="00E31BF8" w14:paraId="679B6612" w14:textId="77777777" w:rsidTr="00085F16">
              <w:trPr>
                <w:trHeight w:val="152"/>
              </w:trPr>
              <w:tc>
                <w:tcPr>
                  <w:tcW w:w="1867" w:type="pct"/>
                  <w:shd w:val="clear" w:color="auto" w:fill="auto"/>
                  <w:vAlign w:val="center"/>
                  <w:hideMark/>
                </w:tcPr>
                <w:p w14:paraId="3E08931C" w14:textId="77777777" w:rsidR="00085F16" w:rsidRPr="00E31BF8" w:rsidRDefault="00085F16" w:rsidP="00620506">
                  <w:pPr>
                    <w:spacing w:after="0"/>
                    <w:jc w:val="center"/>
                    <w:rPr>
                      <w:i/>
                      <w:iCs/>
                      <w:sz w:val="20"/>
                    </w:rPr>
                  </w:pPr>
                </w:p>
              </w:tc>
              <w:tc>
                <w:tcPr>
                  <w:tcW w:w="1069" w:type="pct"/>
                  <w:shd w:val="clear" w:color="auto" w:fill="auto"/>
                  <w:vAlign w:val="center"/>
                  <w:hideMark/>
                </w:tcPr>
                <w:p w14:paraId="6A007721" w14:textId="77777777" w:rsidR="00085F16" w:rsidRPr="00E31BF8" w:rsidRDefault="00085F16" w:rsidP="00620506">
                  <w:pPr>
                    <w:spacing w:after="0"/>
                    <w:jc w:val="center"/>
                    <w:rPr>
                      <w:i/>
                      <w:iCs/>
                      <w:sz w:val="20"/>
                    </w:rPr>
                  </w:pPr>
                  <w:r w:rsidRPr="00E31BF8">
                    <w:rPr>
                      <w:i/>
                      <w:iCs/>
                      <w:sz w:val="20"/>
                    </w:rPr>
                    <w:t>Ndikimi</w:t>
                  </w:r>
                </w:p>
                <w:p w14:paraId="2EE724A6" w14:textId="77777777" w:rsidR="00085F16" w:rsidRPr="00E31BF8" w:rsidRDefault="00085F16" w:rsidP="00620506">
                  <w:pPr>
                    <w:spacing w:after="0"/>
                    <w:jc w:val="center"/>
                    <w:rPr>
                      <w:i/>
                      <w:iCs/>
                      <w:sz w:val="20"/>
                    </w:rPr>
                  </w:pPr>
                  <w:r w:rsidRPr="00E31BF8">
                    <w:rPr>
                      <w:i/>
                      <w:iCs/>
                      <w:sz w:val="20"/>
                    </w:rPr>
                    <w:t>(Masa 11)</w:t>
                  </w:r>
                </w:p>
              </w:tc>
              <w:tc>
                <w:tcPr>
                  <w:tcW w:w="1044" w:type="pct"/>
                  <w:shd w:val="clear" w:color="auto" w:fill="auto"/>
                  <w:vAlign w:val="center"/>
                  <w:hideMark/>
                </w:tcPr>
                <w:p w14:paraId="7475D137" w14:textId="77777777" w:rsidR="00085F16" w:rsidRPr="00E31BF8" w:rsidRDefault="00085F16" w:rsidP="00620506">
                  <w:pPr>
                    <w:spacing w:after="0"/>
                    <w:jc w:val="center"/>
                    <w:rPr>
                      <w:i/>
                      <w:iCs/>
                      <w:sz w:val="20"/>
                    </w:rPr>
                  </w:pPr>
                  <w:r w:rsidRPr="00E31BF8">
                    <w:rPr>
                      <w:i/>
                      <w:iCs/>
                      <w:sz w:val="20"/>
                    </w:rPr>
                    <w:t>Ndikimi</w:t>
                  </w:r>
                </w:p>
                <w:p w14:paraId="66E80DCF" w14:textId="77777777" w:rsidR="00085F16" w:rsidRPr="00E31BF8" w:rsidRDefault="00085F16" w:rsidP="00620506">
                  <w:pPr>
                    <w:spacing w:after="0"/>
                    <w:jc w:val="center"/>
                    <w:rPr>
                      <w:i/>
                      <w:iCs/>
                      <w:sz w:val="20"/>
                    </w:rPr>
                  </w:pPr>
                  <w:r w:rsidRPr="00E31BF8">
                    <w:rPr>
                      <w:i/>
                      <w:iCs/>
                      <w:sz w:val="20"/>
                    </w:rPr>
                    <w:t>(Masa 1)</w:t>
                  </w:r>
                </w:p>
              </w:tc>
              <w:tc>
                <w:tcPr>
                  <w:tcW w:w="1020" w:type="pct"/>
                  <w:shd w:val="clear" w:color="auto" w:fill="auto"/>
                  <w:vAlign w:val="center"/>
                  <w:hideMark/>
                </w:tcPr>
                <w:p w14:paraId="6F66AE84" w14:textId="77777777" w:rsidR="00085F16" w:rsidRPr="00E31BF8" w:rsidRDefault="00085F16" w:rsidP="00620506">
                  <w:pPr>
                    <w:spacing w:after="0"/>
                    <w:jc w:val="center"/>
                    <w:rPr>
                      <w:i/>
                      <w:iCs/>
                      <w:sz w:val="20"/>
                    </w:rPr>
                  </w:pPr>
                  <w:r w:rsidRPr="00E31BF8">
                    <w:rPr>
                      <w:i/>
                      <w:iCs/>
                      <w:sz w:val="20"/>
                    </w:rPr>
                    <w:t>Ndikimi</w:t>
                  </w:r>
                </w:p>
                <w:p w14:paraId="5141E282" w14:textId="77777777" w:rsidR="00085F16" w:rsidRPr="00E31BF8" w:rsidRDefault="00085F16" w:rsidP="00620506">
                  <w:pPr>
                    <w:spacing w:after="0"/>
                    <w:jc w:val="center"/>
                    <w:rPr>
                      <w:i/>
                      <w:iCs/>
                      <w:sz w:val="20"/>
                    </w:rPr>
                  </w:pPr>
                  <w:r w:rsidRPr="00E31BF8">
                    <w:rPr>
                      <w:i/>
                      <w:iCs/>
                      <w:sz w:val="20"/>
                    </w:rPr>
                    <w:t>(Masa 9)</w:t>
                  </w:r>
                </w:p>
              </w:tc>
            </w:tr>
            <w:tr w:rsidR="00085F16" w:rsidRPr="00E31BF8" w14:paraId="4C70E6F8" w14:textId="77777777" w:rsidTr="00085F16">
              <w:trPr>
                <w:trHeight w:val="310"/>
              </w:trPr>
              <w:tc>
                <w:tcPr>
                  <w:tcW w:w="1867" w:type="pct"/>
                  <w:shd w:val="clear" w:color="auto" w:fill="auto"/>
                  <w:vAlign w:val="center"/>
                  <w:hideMark/>
                </w:tcPr>
                <w:p w14:paraId="4FA7C05E" w14:textId="77777777" w:rsidR="00085F16" w:rsidRPr="00E31BF8" w:rsidRDefault="00085F16" w:rsidP="00620506">
                  <w:pPr>
                    <w:spacing w:after="0"/>
                    <w:rPr>
                      <w:b/>
                      <w:bCs/>
                      <w:sz w:val="20"/>
                    </w:rPr>
                  </w:pPr>
                  <w:r w:rsidRPr="00E31BF8">
                    <w:rPr>
                      <w:b/>
                      <w:bCs/>
                      <w:sz w:val="20"/>
                    </w:rPr>
                    <w:t>Të hyrat</w:t>
                  </w:r>
                </w:p>
              </w:tc>
              <w:tc>
                <w:tcPr>
                  <w:tcW w:w="1069" w:type="pct"/>
                  <w:shd w:val="clear" w:color="auto" w:fill="auto"/>
                  <w:vAlign w:val="center"/>
                  <w:hideMark/>
                </w:tcPr>
                <w:p w14:paraId="718BAB57" w14:textId="77777777" w:rsidR="00085F16" w:rsidRPr="00E31BF8" w:rsidRDefault="00085F16" w:rsidP="00620506">
                  <w:pPr>
                    <w:spacing w:after="0"/>
                    <w:jc w:val="center"/>
                    <w:rPr>
                      <w:sz w:val="20"/>
                    </w:rPr>
                  </w:pPr>
                  <w:r w:rsidRPr="00E31BF8">
                    <w:rPr>
                      <w:sz w:val="20"/>
                    </w:rPr>
                    <w:t>8.10%</w:t>
                  </w:r>
                </w:p>
              </w:tc>
              <w:tc>
                <w:tcPr>
                  <w:tcW w:w="1044" w:type="pct"/>
                  <w:shd w:val="clear" w:color="auto" w:fill="auto"/>
                  <w:vAlign w:val="center"/>
                  <w:hideMark/>
                </w:tcPr>
                <w:p w14:paraId="1639169A" w14:textId="77777777" w:rsidR="00085F16" w:rsidRPr="00E31BF8" w:rsidRDefault="00085F16" w:rsidP="00620506">
                  <w:pPr>
                    <w:spacing w:after="0"/>
                    <w:jc w:val="center"/>
                    <w:rPr>
                      <w:sz w:val="20"/>
                    </w:rPr>
                  </w:pPr>
                  <w:r w:rsidRPr="00E31BF8">
                    <w:rPr>
                      <w:sz w:val="20"/>
                    </w:rPr>
                    <w:t>-0.10%</w:t>
                  </w:r>
                </w:p>
              </w:tc>
              <w:tc>
                <w:tcPr>
                  <w:tcW w:w="1020" w:type="pct"/>
                  <w:shd w:val="clear" w:color="auto" w:fill="auto"/>
                  <w:vAlign w:val="center"/>
                  <w:hideMark/>
                </w:tcPr>
                <w:p w14:paraId="2724DE4D" w14:textId="77777777" w:rsidR="00085F16" w:rsidRPr="00E31BF8" w:rsidRDefault="00085F16" w:rsidP="00620506">
                  <w:pPr>
                    <w:spacing w:after="0"/>
                    <w:jc w:val="center"/>
                    <w:rPr>
                      <w:sz w:val="20"/>
                    </w:rPr>
                  </w:pPr>
                  <w:r w:rsidRPr="00E31BF8">
                    <w:rPr>
                      <w:sz w:val="20"/>
                    </w:rPr>
                    <w:t>5.70%</w:t>
                  </w:r>
                </w:p>
              </w:tc>
            </w:tr>
            <w:tr w:rsidR="00085F16" w:rsidRPr="00E31BF8" w14:paraId="1ED74339" w14:textId="77777777" w:rsidTr="00085F16">
              <w:trPr>
                <w:trHeight w:val="310"/>
              </w:trPr>
              <w:tc>
                <w:tcPr>
                  <w:tcW w:w="1867" w:type="pct"/>
                  <w:shd w:val="clear" w:color="auto" w:fill="auto"/>
                  <w:vAlign w:val="center"/>
                  <w:hideMark/>
                </w:tcPr>
                <w:p w14:paraId="22599E5F" w14:textId="77777777" w:rsidR="00085F16" w:rsidRPr="00E31BF8" w:rsidRDefault="00085F16" w:rsidP="00620506">
                  <w:pPr>
                    <w:spacing w:after="0"/>
                    <w:rPr>
                      <w:sz w:val="20"/>
                    </w:rPr>
                  </w:pPr>
                  <w:r w:rsidRPr="00E31BF8">
                    <w:rPr>
                      <w:sz w:val="20"/>
                    </w:rPr>
                    <w:t xml:space="preserve">  Të hyrat direkte dhe pjesët e fitimit</w:t>
                  </w:r>
                </w:p>
              </w:tc>
              <w:tc>
                <w:tcPr>
                  <w:tcW w:w="1069" w:type="pct"/>
                  <w:shd w:val="clear" w:color="auto" w:fill="auto"/>
                  <w:vAlign w:val="center"/>
                  <w:hideMark/>
                </w:tcPr>
                <w:p w14:paraId="631D7A07" w14:textId="77777777" w:rsidR="00085F16" w:rsidRPr="00E31BF8" w:rsidRDefault="00085F16" w:rsidP="00620506">
                  <w:pPr>
                    <w:spacing w:after="0"/>
                    <w:jc w:val="center"/>
                    <w:rPr>
                      <w:sz w:val="20"/>
                    </w:rPr>
                  </w:pPr>
                  <w:r w:rsidRPr="00E31BF8">
                    <w:rPr>
                      <w:sz w:val="20"/>
                    </w:rPr>
                    <w:t>48.80%</w:t>
                  </w:r>
                </w:p>
              </w:tc>
              <w:tc>
                <w:tcPr>
                  <w:tcW w:w="1044" w:type="pct"/>
                  <w:shd w:val="clear" w:color="auto" w:fill="auto"/>
                  <w:vAlign w:val="center"/>
                  <w:hideMark/>
                </w:tcPr>
                <w:p w14:paraId="7CDF3E5F" w14:textId="77777777" w:rsidR="00085F16" w:rsidRPr="00E31BF8" w:rsidRDefault="00085F16" w:rsidP="00620506">
                  <w:pPr>
                    <w:spacing w:after="0"/>
                    <w:jc w:val="center"/>
                    <w:rPr>
                      <w:sz w:val="20"/>
                    </w:rPr>
                  </w:pPr>
                  <w:r w:rsidRPr="00E31BF8">
                    <w:rPr>
                      <w:sz w:val="20"/>
                    </w:rPr>
                    <w:t>-0.30%</w:t>
                  </w:r>
                </w:p>
              </w:tc>
              <w:tc>
                <w:tcPr>
                  <w:tcW w:w="1020" w:type="pct"/>
                  <w:shd w:val="clear" w:color="auto" w:fill="auto"/>
                  <w:vAlign w:val="center"/>
                  <w:hideMark/>
                </w:tcPr>
                <w:p w14:paraId="1B68CEEE" w14:textId="77777777" w:rsidR="00085F16" w:rsidRPr="00E31BF8" w:rsidRDefault="00085F16" w:rsidP="00620506">
                  <w:pPr>
                    <w:spacing w:after="0"/>
                    <w:jc w:val="center"/>
                    <w:rPr>
                      <w:sz w:val="20"/>
                    </w:rPr>
                  </w:pPr>
                  <w:r w:rsidRPr="00E31BF8">
                    <w:rPr>
                      <w:sz w:val="20"/>
                    </w:rPr>
                    <w:t>10.30%</w:t>
                  </w:r>
                </w:p>
              </w:tc>
            </w:tr>
            <w:tr w:rsidR="00085F16" w:rsidRPr="00E31BF8" w14:paraId="63589B1B" w14:textId="77777777" w:rsidTr="00085F16">
              <w:trPr>
                <w:trHeight w:val="310"/>
              </w:trPr>
              <w:tc>
                <w:tcPr>
                  <w:tcW w:w="1867" w:type="pct"/>
                  <w:shd w:val="clear" w:color="auto" w:fill="auto"/>
                  <w:vAlign w:val="center"/>
                  <w:hideMark/>
                </w:tcPr>
                <w:p w14:paraId="433AB57A" w14:textId="77777777" w:rsidR="00085F16" w:rsidRPr="00E31BF8" w:rsidRDefault="00085F16" w:rsidP="00620506">
                  <w:pPr>
                    <w:spacing w:after="0"/>
                    <w:rPr>
                      <w:sz w:val="20"/>
                    </w:rPr>
                  </w:pPr>
                  <w:r w:rsidRPr="00E31BF8">
                    <w:rPr>
                      <w:sz w:val="20"/>
                    </w:rPr>
                    <w:t xml:space="preserve">  Taksat indirekte</w:t>
                  </w:r>
                </w:p>
              </w:tc>
              <w:tc>
                <w:tcPr>
                  <w:tcW w:w="1069" w:type="pct"/>
                  <w:shd w:val="clear" w:color="auto" w:fill="auto"/>
                  <w:vAlign w:val="center"/>
                  <w:hideMark/>
                </w:tcPr>
                <w:p w14:paraId="3E50E602" w14:textId="77777777" w:rsidR="00085F16" w:rsidRPr="00E31BF8" w:rsidRDefault="00085F16" w:rsidP="00620506">
                  <w:pPr>
                    <w:spacing w:after="0"/>
                    <w:jc w:val="center"/>
                    <w:rPr>
                      <w:sz w:val="20"/>
                    </w:rPr>
                  </w:pPr>
                  <w:r w:rsidRPr="00E31BF8">
                    <w:rPr>
                      <w:sz w:val="20"/>
                    </w:rPr>
                    <w:t>0.00%</w:t>
                  </w:r>
                </w:p>
              </w:tc>
              <w:tc>
                <w:tcPr>
                  <w:tcW w:w="1044" w:type="pct"/>
                  <w:shd w:val="clear" w:color="auto" w:fill="auto"/>
                  <w:vAlign w:val="center"/>
                  <w:hideMark/>
                </w:tcPr>
                <w:p w14:paraId="4094A8A7" w14:textId="77777777" w:rsidR="00085F16" w:rsidRPr="00E31BF8" w:rsidRDefault="00085F16" w:rsidP="00620506">
                  <w:pPr>
                    <w:spacing w:after="0"/>
                    <w:jc w:val="center"/>
                    <w:rPr>
                      <w:sz w:val="20"/>
                    </w:rPr>
                  </w:pPr>
                  <w:r w:rsidRPr="00E31BF8">
                    <w:rPr>
                      <w:sz w:val="20"/>
                    </w:rPr>
                    <w:t>-0.10%</w:t>
                  </w:r>
                </w:p>
              </w:tc>
              <w:tc>
                <w:tcPr>
                  <w:tcW w:w="1020" w:type="pct"/>
                  <w:shd w:val="clear" w:color="auto" w:fill="auto"/>
                  <w:vAlign w:val="center"/>
                  <w:hideMark/>
                </w:tcPr>
                <w:p w14:paraId="2216E4EA" w14:textId="77777777" w:rsidR="00085F16" w:rsidRPr="00E31BF8" w:rsidRDefault="00085F16" w:rsidP="00620506">
                  <w:pPr>
                    <w:spacing w:after="0"/>
                    <w:jc w:val="center"/>
                    <w:rPr>
                      <w:sz w:val="20"/>
                    </w:rPr>
                  </w:pPr>
                  <w:r w:rsidRPr="00E31BF8">
                    <w:rPr>
                      <w:sz w:val="20"/>
                    </w:rPr>
                    <w:t>5.90%</w:t>
                  </w:r>
                </w:p>
              </w:tc>
            </w:tr>
            <w:tr w:rsidR="00085F16" w:rsidRPr="00E31BF8" w14:paraId="6C9F6C9A" w14:textId="77777777" w:rsidTr="00085F16">
              <w:trPr>
                <w:trHeight w:val="310"/>
              </w:trPr>
              <w:tc>
                <w:tcPr>
                  <w:tcW w:w="1867" w:type="pct"/>
                  <w:shd w:val="clear" w:color="auto" w:fill="auto"/>
                  <w:vAlign w:val="center"/>
                  <w:hideMark/>
                </w:tcPr>
                <w:p w14:paraId="59433A31" w14:textId="77777777" w:rsidR="00085F16" w:rsidRPr="00E31BF8" w:rsidRDefault="00085F16" w:rsidP="00620506">
                  <w:pPr>
                    <w:spacing w:after="0"/>
                    <w:rPr>
                      <w:b/>
                      <w:bCs/>
                      <w:sz w:val="20"/>
                    </w:rPr>
                  </w:pPr>
                  <w:r w:rsidRPr="00E31BF8">
                    <w:rPr>
                      <w:b/>
                      <w:bCs/>
                      <w:sz w:val="20"/>
                    </w:rPr>
                    <w:t xml:space="preserve">  Të tjera</w:t>
                  </w:r>
                </w:p>
              </w:tc>
              <w:tc>
                <w:tcPr>
                  <w:tcW w:w="1069" w:type="pct"/>
                  <w:shd w:val="clear" w:color="auto" w:fill="auto"/>
                  <w:vAlign w:val="center"/>
                  <w:hideMark/>
                </w:tcPr>
                <w:p w14:paraId="031C4C69" w14:textId="77777777" w:rsidR="00085F16" w:rsidRPr="00E31BF8" w:rsidRDefault="00085F16" w:rsidP="00620506">
                  <w:pPr>
                    <w:spacing w:after="0"/>
                    <w:jc w:val="center"/>
                    <w:rPr>
                      <w:sz w:val="20"/>
                    </w:rPr>
                  </w:pPr>
                  <w:r w:rsidRPr="00E31BF8">
                    <w:rPr>
                      <w:sz w:val="20"/>
                    </w:rPr>
                    <w:t>0.00%</w:t>
                  </w:r>
                </w:p>
              </w:tc>
              <w:tc>
                <w:tcPr>
                  <w:tcW w:w="1044" w:type="pct"/>
                  <w:shd w:val="clear" w:color="auto" w:fill="auto"/>
                  <w:vAlign w:val="center"/>
                  <w:hideMark/>
                </w:tcPr>
                <w:p w14:paraId="6FAC0D1E" w14:textId="77777777" w:rsidR="00085F16" w:rsidRPr="00E31BF8" w:rsidRDefault="00085F16" w:rsidP="00620506">
                  <w:pPr>
                    <w:spacing w:after="0"/>
                    <w:jc w:val="center"/>
                    <w:rPr>
                      <w:sz w:val="20"/>
                    </w:rPr>
                  </w:pPr>
                  <w:r w:rsidRPr="00E31BF8">
                    <w:rPr>
                      <w:sz w:val="20"/>
                    </w:rPr>
                    <w:t>0.00%</w:t>
                  </w:r>
                </w:p>
              </w:tc>
              <w:tc>
                <w:tcPr>
                  <w:tcW w:w="1020" w:type="pct"/>
                  <w:shd w:val="clear" w:color="auto" w:fill="auto"/>
                  <w:vAlign w:val="center"/>
                  <w:hideMark/>
                </w:tcPr>
                <w:p w14:paraId="368021DA" w14:textId="77777777" w:rsidR="00085F16" w:rsidRPr="00E31BF8" w:rsidRDefault="00085F16" w:rsidP="00620506">
                  <w:pPr>
                    <w:spacing w:after="0"/>
                    <w:jc w:val="center"/>
                    <w:rPr>
                      <w:sz w:val="20"/>
                    </w:rPr>
                  </w:pPr>
                  <w:r w:rsidRPr="00E31BF8">
                    <w:rPr>
                      <w:sz w:val="20"/>
                    </w:rPr>
                    <w:t>0.00%</w:t>
                  </w:r>
                </w:p>
              </w:tc>
            </w:tr>
            <w:tr w:rsidR="00085F16" w:rsidRPr="00E31BF8" w14:paraId="5965342B" w14:textId="77777777" w:rsidTr="00085F16">
              <w:trPr>
                <w:trHeight w:val="310"/>
              </w:trPr>
              <w:tc>
                <w:tcPr>
                  <w:tcW w:w="1867" w:type="pct"/>
                  <w:shd w:val="clear" w:color="auto" w:fill="auto"/>
                  <w:vAlign w:val="center"/>
                  <w:hideMark/>
                </w:tcPr>
                <w:p w14:paraId="3B1649EE" w14:textId="77777777" w:rsidR="00085F16" w:rsidRPr="00E31BF8" w:rsidRDefault="00085F16" w:rsidP="00620506">
                  <w:pPr>
                    <w:spacing w:after="0"/>
                    <w:rPr>
                      <w:b/>
                      <w:bCs/>
                      <w:sz w:val="20"/>
                    </w:rPr>
                  </w:pPr>
                  <w:r w:rsidRPr="00E31BF8">
                    <w:rPr>
                      <w:b/>
                      <w:bCs/>
                      <w:sz w:val="20"/>
                    </w:rPr>
                    <w:t>Shpenzimet</w:t>
                  </w:r>
                </w:p>
              </w:tc>
              <w:tc>
                <w:tcPr>
                  <w:tcW w:w="1069" w:type="pct"/>
                  <w:shd w:val="clear" w:color="auto" w:fill="auto"/>
                  <w:vAlign w:val="center"/>
                  <w:hideMark/>
                </w:tcPr>
                <w:p w14:paraId="611EFE35" w14:textId="77777777" w:rsidR="00085F16" w:rsidRPr="00E31BF8" w:rsidRDefault="00085F16" w:rsidP="00620506">
                  <w:pPr>
                    <w:spacing w:after="0"/>
                    <w:jc w:val="center"/>
                    <w:rPr>
                      <w:sz w:val="20"/>
                    </w:rPr>
                  </w:pPr>
                  <w:r w:rsidRPr="00E31BF8">
                    <w:rPr>
                      <w:sz w:val="20"/>
                    </w:rPr>
                    <w:t>0.70%</w:t>
                  </w:r>
                </w:p>
              </w:tc>
              <w:tc>
                <w:tcPr>
                  <w:tcW w:w="1044" w:type="pct"/>
                  <w:shd w:val="clear" w:color="auto" w:fill="auto"/>
                  <w:vAlign w:val="center"/>
                  <w:hideMark/>
                </w:tcPr>
                <w:p w14:paraId="7D0B33C8" w14:textId="77777777" w:rsidR="00085F16" w:rsidRPr="00E31BF8" w:rsidRDefault="00085F16" w:rsidP="00620506">
                  <w:pPr>
                    <w:spacing w:after="0"/>
                    <w:jc w:val="center"/>
                    <w:rPr>
                      <w:sz w:val="20"/>
                    </w:rPr>
                  </w:pPr>
                  <w:r w:rsidRPr="00E31BF8">
                    <w:rPr>
                      <w:sz w:val="20"/>
                    </w:rPr>
                    <w:t>-2.70%</w:t>
                  </w:r>
                </w:p>
              </w:tc>
              <w:tc>
                <w:tcPr>
                  <w:tcW w:w="1020" w:type="pct"/>
                  <w:shd w:val="clear" w:color="auto" w:fill="auto"/>
                  <w:vAlign w:val="center"/>
                  <w:hideMark/>
                </w:tcPr>
                <w:p w14:paraId="31CE7B84" w14:textId="77777777" w:rsidR="00085F16" w:rsidRPr="00E31BF8" w:rsidRDefault="00085F16" w:rsidP="00620506">
                  <w:pPr>
                    <w:spacing w:after="0"/>
                    <w:jc w:val="center"/>
                    <w:rPr>
                      <w:sz w:val="20"/>
                    </w:rPr>
                  </w:pPr>
                  <w:r w:rsidRPr="00E31BF8">
                    <w:rPr>
                      <w:sz w:val="20"/>
                    </w:rPr>
                    <w:t>7.40%</w:t>
                  </w:r>
                </w:p>
              </w:tc>
            </w:tr>
            <w:tr w:rsidR="00085F16" w:rsidRPr="00E31BF8" w14:paraId="73DEFEC0" w14:textId="77777777" w:rsidTr="00085F16">
              <w:trPr>
                <w:trHeight w:val="310"/>
              </w:trPr>
              <w:tc>
                <w:tcPr>
                  <w:tcW w:w="1867" w:type="pct"/>
                  <w:shd w:val="clear" w:color="auto" w:fill="auto"/>
                  <w:vAlign w:val="center"/>
                  <w:hideMark/>
                </w:tcPr>
                <w:p w14:paraId="1A8F3ED3" w14:textId="77777777" w:rsidR="00085F16" w:rsidRPr="00E31BF8" w:rsidRDefault="00085F16" w:rsidP="00620506">
                  <w:pPr>
                    <w:spacing w:after="0"/>
                    <w:rPr>
                      <w:sz w:val="20"/>
                    </w:rPr>
                  </w:pPr>
                  <w:r w:rsidRPr="00E31BF8">
                    <w:rPr>
                      <w:sz w:val="20"/>
                    </w:rPr>
                    <w:t xml:space="preserve">   Konsumi i qeverisë</w:t>
                  </w:r>
                </w:p>
              </w:tc>
              <w:tc>
                <w:tcPr>
                  <w:tcW w:w="1069" w:type="pct"/>
                  <w:shd w:val="clear" w:color="auto" w:fill="auto"/>
                  <w:vAlign w:val="center"/>
                  <w:hideMark/>
                </w:tcPr>
                <w:p w14:paraId="0469D908" w14:textId="77777777" w:rsidR="00085F16" w:rsidRPr="00E31BF8" w:rsidRDefault="00085F16" w:rsidP="00620506">
                  <w:pPr>
                    <w:spacing w:after="0"/>
                    <w:jc w:val="center"/>
                    <w:rPr>
                      <w:sz w:val="20"/>
                    </w:rPr>
                  </w:pPr>
                  <w:r w:rsidRPr="00E31BF8">
                    <w:rPr>
                      <w:sz w:val="20"/>
                    </w:rPr>
                    <w:t>1.20%</w:t>
                  </w:r>
                </w:p>
              </w:tc>
              <w:tc>
                <w:tcPr>
                  <w:tcW w:w="1044" w:type="pct"/>
                  <w:shd w:val="clear" w:color="auto" w:fill="auto"/>
                  <w:vAlign w:val="center"/>
                  <w:hideMark/>
                </w:tcPr>
                <w:p w14:paraId="6BB7BA1B" w14:textId="77777777" w:rsidR="00085F16" w:rsidRPr="00E31BF8" w:rsidRDefault="00085F16" w:rsidP="00620506">
                  <w:pPr>
                    <w:spacing w:after="0"/>
                    <w:jc w:val="center"/>
                    <w:rPr>
                      <w:sz w:val="20"/>
                    </w:rPr>
                  </w:pPr>
                  <w:r w:rsidRPr="00E31BF8">
                    <w:rPr>
                      <w:sz w:val="20"/>
                    </w:rPr>
                    <w:t>0.20%</w:t>
                  </w:r>
                </w:p>
              </w:tc>
              <w:tc>
                <w:tcPr>
                  <w:tcW w:w="1020" w:type="pct"/>
                  <w:shd w:val="clear" w:color="auto" w:fill="auto"/>
                  <w:vAlign w:val="center"/>
                  <w:hideMark/>
                </w:tcPr>
                <w:p w14:paraId="026B927A" w14:textId="77777777" w:rsidR="00085F16" w:rsidRPr="00E31BF8" w:rsidRDefault="00085F16" w:rsidP="00620506">
                  <w:pPr>
                    <w:spacing w:after="0"/>
                    <w:jc w:val="center"/>
                    <w:rPr>
                      <w:sz w:val="20"/>
                    </w:rPr>
                  </w:pPr>
                  <w:r w:rsidRPr="00E31BF8">
                    <w:rPr>
                      <w:sz w:val="20"/>
                    </w:rPr>
                    <w:t>10.80%</w:t>
                  </w:r>
                </w:p>
              </w:tc>
            </w:tr>
            <w:tr w:rsidR="00085F16" w:rsidRPr="00E31BF8" w14:paraId="0A021030" w14:textId="77777777" w:rsidTr="00085F16">
              <w:trPr>
                <w:trHeight w:val="310"/>
              </w:trPr>
              <w:tc>
                <w:tcPr>
                  <w:tcW w:w="1867" w:type="pct"/>
                  <w:shd w:val="clear" w:color="auto" w:fill="auto"/>
                  <w:vAlign w:val="center"/>
                  <w:hideMark/>
                </w:tcPr>
                <w:p w14:paraId="4CE000F1" w14:textId="77777777" w:rsidR="00085F16" w:rsidRPr="00E31BF8" w:rsidRDefault="00085F16" w:rsidP="00620506">
                  <w:pPr>
                    <w:spacing w:after="0"/>
                    <w:rPr>
                      <w:sz w:val="20"/>
                    </w:rPr>
                  </w:pPr>
                  <w:r w:rsidRPr="00E31BF8">
                    <w:rPr>
                      <w:sz w:val="20"/>
                    </w:rPr>
                    <w:t xml:space="preserve">   Transfere dhe subvensione</w:t>
                  </w:r>
                </w:p>
              </w:tc>
              <w:tc>
                <w:tcPr>
                  <w:tcW w:w="1069" w:type="pct"/>
                  <w:shd w:val="clear" w:color="auto" w:fill="auto"/>
                  <w:vAlign w:val="center"/>
                  <w:hideMark/>
                </w:tcPr>
                <w:p w14:paraId="4890EB67" w14:textId="77777777" w:rsidR="00085F16" w:rsidRPr="00E31BF8" w:rsidRDefault="00085F16" w:rsidP="00620506">
                  <w:pPr>
                    <w:spacing w:after="0"/>
                    <w:jc w:val="center"/>
                    <w:rPr>
                      <w:sz w:val="20"/>
                    </w:rPr>
                  </w:pPr>
                  <w:r w:rsidRPr="00E31BF8">
                    <w:rPr>
                      <w:sz w:val="20"/>
                    </w:rPr>
                    <w:t>-1.30%</w:t>
                  </w:r>
                </w:p>
              </w:tc>
              <w:tc>
                <w:tcPr>
                  <w:tcW w:w="1044" w:type="pct"/>
                  <w:shd w:val="clear" w:color="auto" w:fill="auto"/>
                  <w:vAlign w:val="center"/>
                  <w:hideMark/>
                </w:tcPr>
                <w:p w14:paraId="7AA39DB0" w14:textId="77777777" w:rsidR="00085F16" w:rsidRPr="00E31BF8" w:rsidRDefault="00085F16" w:rsidP="00620506">
                  <w:pPr>
                    <w:spacing w:after="0"/>
                    <w:jc w:val="center"/>
                    <w:rPr>
                      <w:sz w:val="20"/>
                    </w:rPr>
                  </w:pPr>
                  <w:r w:rsidRPr="00E31BF8">
                    <w:rPr>
                      <w:sz w:val="20"/>
                    </w:rPr>
                    <w:t>-35.30%</w:t>
                  </w:r>
                </w:p>
              </w:tc>
              <w:tc>
                <w:tcPr>
                  <w:tcW w:w="1020" w:type="pct"/>
                  <w:shd w:val="clear" w:color="auto" w:fill="auto"/>
                  <w:vAlign w:val="center"/>
                  <w:hideMark/>
                </w:tcPr>
                <w:p w14:paraId="71E56FE1" w14:textId="77777777" w:rsidR="00085F16" w:rsidRPr="00E31BF8" w:rsidRDefault="00085F16" w:rsidP="00620506">
                  <w:pPr>
                    <w:spacing w:after="0"/>
                    <w:jc w:val="center"/>
                    <w:rPr>
                      <w:sz w:val="20"/>
                    </w:rPr>
                  </w:pPr>
                  <w:r w:rsidRPr="00E31BF8">
                    <w:rPr>
                      <w:sz w:val="20"/>
                    </w:rPr>
                    <w:t>7.00%</w:t>
                  </w:r>
                </w:p>
              </w:tc>
            </w:tr>
            <w:tr w:rsidR="00085F16" w:rsidRPr="00E31BF8" w14:paraId="14AE34F1" w14:textId="77777777" w:rsidTr="00085F16">
              <w:trPr>
                <w:trHeight w:val="310"/>
              </w:trPr>
              <w:tc>
                <w:tcPr>
                  <w:tcW w:w="1867" w:type="pct"/>
                  <w:shd w:val="clear" w:color="auto" w:fill="auto"/>
                  <w:vAlign w:val="center"/>
                  <w:hideMark/>
                </w:tcPr>
                <w:p w14:paraId="0C33C840" w14:textId="77777777" w:rsidR="00085F16" w:rsidRPr="00E31BF8" w:rsidRDefault="00085F16" w:rsidP="00620506">
                  <w:pPr>
                    <w:spacing w:after="0"/>
                    <w:rPr>
                      <w:b/>
                      <w:bCs/>
                      <w:sz w:val="20"/>
                    </w:rPr>
                  </w:pPr>
                  <w:r w:rsidRPr="00E31BF8">
                    <w:rPr>
                      <w:b/>
                      <w:bCs/>
                      <w:sz w:val="20"/>
                    </w:rPr>
                    <w:t>Bilanci operativ</w:t>
                  </w:r>
                </w:p>
              </w:tc>
              <w:tc>
                <w:tcPr>
                  <w:tcW w:w="1069" w:type="pct"/>
                  <w:shd w:val="clear" w:color="auto" w:fill="auto"/>
                  <w:vAlign w:val="center"/>
                  <w:hideMark/>
                </w:tcPr>
                <w:p w14:paraId="3995E550" w14:textId="77777777" w:rsidR="00085F16" w:rsidRPr="00E31BF8" w:rsidRDefault="00085F16" w:rsidP="00620506">
                  <w:pPr>
                    <w:spacing w:after="0"/>
                    <w:jc w:val="center"/>
                    <w:rPr>
                      <w:sz w:val="20"/>
                    </w:rPr>
                  </w:pPr>
                  <w:r w:rsidRPr="00E31BF8">
                    <w:rPr>
                      <w:sz w:val="20"/>
                    </w:rPr>
                    <w:t>47.20%</w:t>
                  </w:r>
                </w:p>
              </w:tc>
              <w:tc>
                <w:tcPr>
                  <w:tcW w:w="1044" w:type="pct"/>
                  <w:shd w:val="clear" w:color="auto" w:fill="auto"/>
                  <w:vAlign w:val="center"/>
                  <w:hideMark/>
                </w:tcPr>
                <w:p w14:paraId="468B1264" w14:textId="77777777" w:rsidR="00085F16" w:rsidRPr="00E31BF8" w:rsidRDefault="00085F16" w:rsidP="00620506">
                  <w:pPr>
                    <w:spacing w:after="0"/>
                    <w:jc w:val="center"/>
                    <w:rPr>
                      <w:sz w:val="20"/>
                    </w:rPr>
                  </w:pPr>
                  <w:r w:rsidRPr="00E31BF8">
                    <w:rPr>
                      <w:sz w:val="20"/>
                    </w:rPr>
                    <w:t>13.60%</w:t>
                  </w:r>
                </w:p>
              </w:tc>
              <w:tc>
                <w:tcPr>
                  <w:tcW w:w="1020" w:type="pct"/>
                  <w:shd w:val="clear" w:color="auto" w:fill="auto"/>
                  <w:vAlign w:val="center"/>
                  <w:hideMark/>
                </w:tcPr>
                <w:p w14:paraId="604D687C" w14:textId="77777777" w:rsidR="00085F16" w:rsidRPr="00E31BF8" w:rsidRDefault="00085F16" w:rsidP="00620506">
                  <w:pPr>
                    <w:spacing w:after="0"/>
                    <w:jc w:val="center"/>
                    <w:rPr>
                      <w:sz w:val="20"/>
                    </w:rPr>
                  </w:pPr>
                  <w:r w:rsidRPr="00E31BF8">
                    <w:rPr>
                      <w:sz w:val="20"/>
                    </w:rPr>
                    <w:t>-3.80%</w:t>
                  </w:r>
                </w:p>
              </w:tc>
            </w:tr>
          </w:tbl>
          <w:p w14:paraId="7A31B77F" w14:textId="77777777" w:rsidR="00085F16" w:rsidRPr="00E31BF8" w:rsidRDefault="00085F16" w:rsidP="00620506"/>
          <w:tbl>
            <w:tblPr>
              <w:tblW w:w="8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2"/>
              <w:gridCol w:w="1696"/>
              <w:gridCol w:w="1696"/>
              <w:gridCol w:w="1696"/>
            </w:tblGrid>
            <w:tr w:rsidR="00085F16" w:rsidRPr="00E31BF8" w14:paraId="63CE80D6" w14:textId="77777777" w:rsidTr="00085F16">
              <w:trPr>
                <w:trHeight w:val="368"/>
              </w:trPr>
              <w:tc>
                <w:tcPr>
                  <w:tcW w:w="8770" w:type="dxa"/>
                  <w:gridSpan w:val="4"/>
                  <w:shd w:val="clear" w:color="auto" w:fill="auto"/>
                  <w:vAlign w:val="center"/>
                  <w:hideMark/>
                </w:tcPr>
                <w:p w14:paraId="60597AF2" w14:textId="77777777" w:rsidR="00085F16" w:rsidRPr="00E31BF8" w:rsidRDefault="00085F16" w:rsidP="00620506">
                  <w:pPr>
                    <w:spacing w:after="0"/>
                    <w:rPr>
                      <w:b/>
                      <w:bCs/>
                      <w:sz w:val="16"/>
                    </w:rPr>
                  </w:pPr>
                  <w:r w:rsidRPr="00E31BF8">
                    <w:rPr>
                      <w:b/>
                      <w:bCs/>
                      <w:sz w:val="16"/>
                    </w:rPr>
                    <w:t>Tabela 2: ndikimi i PRE masave #11, #1, and #9: Lllogaritë kombëtare (kumulativ 2019-2022)</w:t>
                  </w:r>
                </w:p>
              </w:tc>
            </w:tr>
            <w:tr w:rsidR="00085F16" w:rsidRPr="00E31BF8" w14:paraId="288EA09A" w14:textId="77777777" w:rsidTr="00085F16">
              <w:trPr>
                <w:trHeight w:val="289"/>
              </w:trPr>
              <w:tc>
                <w:tcPr>
                  <w:tcW w:w="3682" w:type="dxa"/>
                  <w:shd w:val="clear" w:color="auto" w:fill="auto"/>
                  <w:vAlign w:val="center"/>
                  <w:hideMark/>
                </w:tcPr>
                <w:p w14:paraId="0431734E" w14:textId="77777777" w:rsidR="00085F16" w:rsidRPr="00E31BF8" w:rsidRDefault="00085F16" w:rsidP="00620506">
                  <w:pPr>
                    <w:spacing w:after="0"/>
                    <w:rPr>
                      <w:sz w:val="20"/>
                    </w:rPr>
                  </w:pPr>
                  <w:r w:rsidRPr="00E31BF8">
                    <w:rPr>
                      <w:sz w:val="20"/>
                    </w:rPr>
                    <w:t> </w:t>
                  </w:r>
                </w:p>
              </w:tc>
              <w:tc>
                <w:tcPr>
                  <w:tcW w:w="5088" w:type="dxa"/>
                  <w:gridSpan w:val="3"/>
                  <w:shd w:val="clear" w:color="auto" w:fill="auto"/>
                  <w:vAlign w:val="center"/>
                  <w:hideMark/>
                </w:tcPr>
                <w:p w14:paraId="7821177A" w14:textId="77777777" w:rsidR="00085F16" w:rsidRPr="00E31BF8" w:rsidRDefault="00085F16" w:rsidP="00620506">
                  <w:pPr>
                    <w:spacing w:after="0"/>
                    <w:jc w:val="center"/>
                    <w:rPr>
                      <w:i/>
                      <w:iCs/>
                      <w:sz w:val="20"/>
                    </w:rPr>
                  </w:pPr>
                  <w:r w:rsidRPr="00E31BF8">
                    <w:rPr>
                      <w:i/>
                      <w:iCs/>
                      <w:sz w:val="20"/>
                    </w:rPr>
                    <w:t>% Rritja, Ndryshimi nga Modeli Bazë</w:t>
                  </w:r>
                </w:p>
              </w:tc>
            </w:tr>
            <w:tr w:rsidR="00085F16" w:rsidRPr="00E31BF8" w14:paraId="1A09EFDE" w14:textId="77777777" w:rsidTr="00085F16">
              <w:trPr>
                <w:trHeight w:val="395"/>
              </w:trPr>
              <w:tc>
                <w:tcPr>
                  <w:tcW w:w="3682" w:type="dxa"/>
                  <w:shd w:val="clear" w:color="auto" w:fill="auto"/>
                  <w:vAlign w:val="center"/>
                  <w:hideMark/>
                </w:tcPr>
                <w:p w14:paraId="02B40266" w14:textId="77777777" w:rsidR="00085F16" w:rsidRPr="00E31BF8" w:rsidRDefault="00085F16" w:rsidP="00620506">
                  <w:pPr>
                    <w:spacing w:after="0"/>
                    <w:rPr>
                      <w:sz w:val="20"/>
                    </w:rPr>
                  </w:pPr>
                  <w:r w:rsidRPr="00E31BF8">
                    <w:rPr>
                      <w:sz w:val="20"/>
                    </w:rPr>
                    <w:t> </w:t>
                  </w:r>
                </w:p>
              </w:tc>
              <w:tc>
                <w:tcPr>
                  <w:tcW w:w="1696" w:type="dxa"/>
                  <w:shd w:val="clear" w:color="auto" w:fill="auto"/>
                  <w:vAlign w:val="center"/>
                  <w:hideMark/>
                </w:tcPr>
                <w:p w14:paraId="4ECCBD59" w14:textId="77777777" w:rsidR="00085F16" w:rsidRPr="00E31BF8" w:rsidRDefault="00085F16" w:rsidP="00620506">
                  <w:pPr>
                    <w:spacing w:after="0"/>
                    <w:jc w:val="center"/>
                    <w:rPr>
                      <w:i/>
                      <w:iCs/>
                      <w:sz w:val="20"/>
                    </w:rPr>
                  </w:pPr>
                  <w:r w:rsidRPr="00E31BF8">
                    <w:rPr>
                      <w:i/>
                      <w:iCs/>
                      <w:sz w:val="20"/>
                    </w:rPr>
                    <w:t>Ndikimi</w:t>
                  </w:r>
                </w:p>
                <w:p w14:paraId="1F88E550" w14:textId="77777777" w:rsidR="00085F16" w:rsidRPr="00E31BF8" w:rsidRDefault="00085F16" w:rsidP="00620506">
                  <w:pPr>
                    <w:spacing w:after="0"/>
                    <w:jc w:val="center"/>
                    <w:rPr>
                      <w:i/>
                      <w:iCs/>
                      <w:sz w:val="20"/>
                    </w:rPr>
                  </w:pPr>
                  <w:r w:rsidRPr="00E31BF8">
                    <w:rPr>
                      <w:i/>
                      <w:iCs/>
                      <w:sz w:val="20"/>
                    </w:rPr>
                    <w:t>(Masa 11)</w:t>
                  </w:r>
                </w:p>
              </w:tc>
              <w:tc>
                <w:tcPr>
                  <w:tcW w:w="1696" w:type="dxa"/>
                  <w:shd w:val="clear" w:color="auto" w:fill="auto"/>
                  <w:vAlign w:val="center"/>
                  <w:hideMark/>
                </w:tcPr>
                <w:p w14:paraId="61D200B5" w14:textId="77777777" w:rsidR="00085F16" w:rsidRPr="00E31BF8" w:rsidRDefault="00085F16" w:rsidP="00620506">
                  <w:pPr>
                    <w:spacing w:after="0"/>
                    <w:jc w:val="center"/>
                    <w:rPr>
                      <w:i/>
                      <w:iCs/>
                      <w:sz w:val="20"/>
                    </w:rPr>
                  </w:pPr>
                  <w:r w:rsidRPr="00E31BF8">
                    <w:rPr>
                      <w:i/>
                      <w:iCs/>
                      <w:sz w:val="20"/>
                    </w:rPr>
                    <w:t>Ndikimi</w:t>
                  </w:r>
                </w:p>
                <w:p w14:paraId="50720701" w14:textId="77777777" w:rsidR="00085F16" w:rsidRPr="00E31BF8" w:rsidRDefault="00085F16" w:rsidP="00620506">
                  <w:pPr>
                    <w:spacing w:after="0"/>
                    <w:jc w:val="center"/>
                    <w:rPr>
                      <w:i/>
                      <w:iCs/>
                      <w:sz w:val="20"/>
                    </w:rPr>
                  </w:pPr>
                  <w:r w:rsidRPr="00E31BF8">
                    <w:rPr>
                      <w:i/>
                      <w:iCs/>
                      <w:sz w:val="20"/>
                    </w:rPr>
                    <w:t>(Masa 1)</w:t>
                  </w:r>
                </w:p>
              </w:tc>
              <w:tc>
                <w:tcPr>
                  <w:tcW w:w="1696" w:type="dxa"/>
                  <w:shd w:val="clear" w:color="auto" w:fill="auto"/>
                  <w:vAlign w:val="center"/>
                  <w:hideMark/>
                </w:tcPr>
                <w:p w14:paraId="418396BE" w14:textId="77777777" w:rsidR="00085F16" w:rsidRPr="00E31BF8" w:rsidRDefault="00085F16" w:rsidP="00620506">
                  <w:pPr>
                    <w:spacing w:after="0"/>
                    <w:jc w:val="center"/>
                    <w:rPr>
                      <w:i/>
                      <w:iCs/>
                      <w:sz w:val="20"/>
                    </w:rPr>
                  </w:pPr>
                  <w:r w:rsidRPr="00E31BF8">
                    <w:rPr>
                      <w:i/>
                      <w:iCs/>
                      <w:sz w:val="20"/>
                    </w:rPr>
                    <w:t>Ndikimi</w:t>
                  </w:r>
                </w:p>
                <w:p w14:paraId="703AC7A5" w14:textId="77777777" w:rsidR="00085F16" w:rsidRPr="00E31BF8" w:rsidRDefault="00085F16" w:rsidP="00620506">
                  <w:pPr>
                    <w:spacing w:after="0"/>
                    <w:jc w:val="center"/>
                    <w:rPr>
                      <w:i/>
                      <w:iCs/>
                      <w:sz w:val="20"/>
                    </w:rPr>
                  </w:pPr>
                  <w:r w:rsidRPr="00E31BF8">
                    <w:rPr>
                      <w:i/>
                      <w:iCs/>
                      <w:sz w:val="20"/>
                    </w:rPr>
                    <w:t>(Masa 9)</w:t>
                  </w:r>
                </w:p>
              </w:tc>
            </w:tr>
            <w:tr w:rsidR="00085F16" w:rsidRPr="00E31BF8" w14:paraId="6DBE8232" w14:textId="77777777" w:rsidTr="00085F16">
              <w:trPr>
                <w:trHeight w:val="289"/>
              </w:trPr>
              <w:tc>
                <w:tcPr>
                  <w:tcW w:w="3682" w:type="dxa"/>
                  <w:shd w:val="clear" w:color="auto" w:fill="auto"/>
                  <w:vAlign w:val="center"/>
                  <w:hideMark/>
                </w:tcPr>
                <w:p w14:paraId="0A43D2EC" w14:textId="77777777" w:rsidR="00085F16" w:rsidRPr="00E31BF8" w:rsidRDefault="00085F16" w:rsidP="00620506">
                  <w:pPr>
                    <w:spacing w:after="0"/>
                    <w:rPr>
                      <w:sz w:val="20"/>
                    </w:rPr>
                  </w:pPr>
                  <w:r w:rsidRPr="00E31BF8">
                    <w:rPr>
                      <w:sz w:val="20"/>
                    </w:rPr>
                    <w:t xml:space="preserve">BPV Reale </w:t>
                  </w:r>
                </w:p>
              </w:tc>
              <w:tc>
                <w:tcPr>
                  <w:tcW w:w="1696" w:type="dxa"/>
                  <w:shd w:val="clear" w:color="auto" w:fill="auto"/>
                  <w:vAlign w:val="center"/>
                  <w:hideMark/>
                </w:tcPr>
                <w:p w14:paraId="66FF4ED8" w14:textId="77777777" w:rsidR="00085F16" w:rsidRPr="00E31BF8" w:rsidRDefault="00085F16" w:rsidP="00620506">
                  <w:pPr>
                    <w:spacing w:after="0"/>
                    <w:jc w:val="center"/>
                    <w:rPr>
                      <w:sz w:val="20"/>
                    </w:rPr>
                  </w:pPr>
                  <w:r w:rsidRPr="00E31BF8">
                    <w:rPr>
                      <w:sz w:val="20"/>
                    </w:rPr>
                    <w:t>0.20%</w:t>
                  </w:r>
                </w:p>
              </w:tc>
              <w:tc>
                <w:tcPr>
                  <w:tcW w:w="1696" w:type="dxa"/>
                  <w:shd w:val="clear" w:color="auto" w:fill="auto"/>
                  <w:vAlign w:val="center"/>
                  <w:hideMark/>
                </w:tcPr>
                <w:p w14:paraId="6B80ADA0" w14:textId="77777777" w:rsidR="00085F16" w:rsidRPr="00E31BF8" w:rsidRDefault="00085F16" w:rsidP="00620506">
                  <w:pPr>
                    <w:spacing w:after="0"/>
                    <w:jc w:val="center"/>
                    <w:rPr>
                      <w:sz w:val="20"/>
                    </w:rPr>
                  </w:pPr>
                  <w:r w:rsidRPr="00E31BF8">
                    <w:rPr>
                      <w:sz w:val="20"/>
                    </w:rPr>
                    <w:t>0.00%</w:t>
                  </w:r>
                </w:p>
              </w:tc>
              <w:tc>
                <w:tcPr>
                  <w:tcW w:w="1696" w:type="dxa"/>
                  <w:shd w:val="clear" w:color="auto" w:fill="auto"/>
                  <w:vAlign w:val="center"/>
                  <w:hideMark/>
                </w:tcPr>
                <w:p w14:paraId="4291C850" w14:textId="77777777" w:rsidR="00085F16" w:rsidRPr="00E31BF8" w:rsidRDefault="00085F16" w:rsidP="00620506">
                  <w:pPr>
                    <w:spacing w:after="0"/>
                    <w:jc w:val="center"/>
                    <w:rPr>
                      <w:sz w:val="20"/>
                    </w:rPr>
                  </w:pPr>
                  <w:r w:rsidRPr="00E31BF8">
                    <w:rPr>
                      <w:sz w:val="20"/>
                    </w:rPr>
                    <w:t>3.90%</w:t>
                  </w:r>
                </w:p>
              </w:tc>
            </w:tr>
            <w:tr w:rsidR="00085F16" w:rsidRPr="00E31BF8" w14:paraId="3C173526" w14:textId="77777777" w:rsidTr="00085F16">
              <w:trPr>
                <w:trHeight w:val="289"/>
              </w:trPr>
              <w:tc>
                <w:tcPr>
                  <w:tcW w:w="3682" w:type="dxa"/>
                  <w:shd w:val="clear" w:color="auto" w:fill="auto"/>
                  <w:vAlign w:val="center"/>
                  <w:hideMark/>
                </w:tcPr>
                <w:p w14:paraId="4095AFE6" w14:textId="77777777" w:rsidR="00085F16" w:rsidRPr="00E31BF8" w:rsidRDefault="00085F16" w:rsidP="00620506">
                  <w:pPr>
                    <w:spacing w:after="0"/>
                    <w:rPr>
                      <w:sz w:val="20"/>
                    </w:rPr>
                  </w:pPr>
                  <w:r w:rsidRPr="00E31BF8">
                    <w:rPr>
                      <w:sz w:val="20"/>
                    </w:rPr>
                    <w:t xml:space="preserve">   Konsumi</w:t>
                  </w:r>
                </w:p>
              </w:tc>
              <w:tc>
                <w:tcPr>
                  <w:tcW w:w="1696" w:type="dxa"/>
                  <w:shd w:val="clear" w:color="auto" w:fill="auto"/>
                  <w:vAlign w:val="center"/>
                  <w:hideMark/>
                </w:tcPr>
                <w:p w14:paraId="4989EE95" w14:textId="77777777" w:rsidR="00085F16" w:rsidRPr="00E31BF8" w:rsidRDefault="00085F16" w:rsidP="00620506">
                  <w:pPr>
                    <w:spacing w:after="0"/>
                    <w:jc w:val="center"/>
                    <w:rPr>
                      <w:sz w:val="20"/>
                    </w:rPr>
                  </w:pPr>
                  <w:r w:rsidRPr="00E31BF8">
                    <w:rPr>
                      <w:sz w:val="20"/>
                    </w:rPr>
                    <w:t>-1.30%</w:t>
                  </w:r>
                </w:p>
              </w:tc>
              <w:tc>
                <w:tcPr>
                  <w:tcW w:w="1696" w:type="dxa"/>
                  <w:shd w:val="clear" w:color="auto" w:fill="auto"/>
                  <w:vAlign w:val="center"/>
                  <w:hideMark/>
                </w:tcPr>
                <w:p w14:paraId="4B92B6C6" w14:textId="77777777" w:rsidR="00085F16" w:rsidRPr="00E31BF8" w:rsidRDefault="00085F16" w:rsidP="00620506">
                  <w:pPr>
                    <w:spacing w:after="0"/>
                    <w:jc w:val="center"/>
                    <w:rPr>
                      <w:sz w:val="20"/>
                    </w:rPr>
                  </w:pPr>
                  <w:r w:rsidRPr="00E31BF8">
                    <w:rPr>
                      <w:sz w:val="20"/>
                    </w:rPr>
                    <w:t>-0.40%</w:t>
                  </w:r>
                </w:p>
              </w:tc>
              <w:tc>
                <w:tcPr>
                  <w:tcW w:w="1696" w:type="dxa"/>
                  <w:shd w:val="clear" w:color="auto" w:fill="auto"/>
                  <w:vAlign w:val="center"/>
                  <w:hideMark/>
                </w:tcPr>
                <w:p w14:paraId="567AB24E" w14:textId="77777777" w:rsidR="00085F16" w:rsidRPr="00E31BF8" w:rsidRDefault="00085F16" w:rsidP="00620506">
                  <w:pPr>
                    <w:spacing w:after="0"/>
                    <w:jc w:val="center"/>
                    <w:rPr>
                      <w:sz w:val="20"/>
                    </w:rPr>
                  </w:pPr>
                  <w:r w:rsidRPr="00E31BF8">
                    <w:rPr>
                      <w:sz w:val="20"/>
                    </w:rPr>
                    <w:t>3.80%</w:t>
                  </w:r>
                </w:p>
              </w:tc>
            </w:tr>
            <w:tr w:rsidR="00085F16" w:rsidRPr="00E31BF8" w14:paraId="19EFB473" w14:textId="77777777" w:rsidTr="00085F16">
              <w:trPr>
                <w:trHeight w:val="289"/>
              </w:trPr>
              <w:tc>
                <w:tcPr>
                  <w:tcW w:w="3682" w:type="dxa"/>
                  <w:shd w:val="clear" w:color="auto" w:fill="auto"/>
                  <w:vAlign w:val="center"/>
                  <w:hideMark/>
                </w:tcPr>
                <w:p w14:paraId="615ED256" w14:textId="77777777" w:rsidR="00085F16" w:rsidRPr="00E31BF8" w:rsidRDefault="00085F16" w:rsidP="00620506">
                  <w:pPr>
                    <w:spacing w:after="0"/>
                    <w:rPr>
                      <w:sz w:val="20"/>
                    </w:rPr>
                  </w:pPr>
                  <w:r w:rsidRPr="00E31BF8">
                    <w:rPr>
                      <w:sz w:val="20"/>
                    </w:rPr>
                    <w:t xml:space="preserve">      Konsumi privat</w:t>
                  </w:r>
                </w:p>
              </w:tc>
              <w:tc>
                <w:tcPr>
                  <w:tcW w:w="1696" w:type="dxa"/>
                  <w:shd w:val="clear" w:color="auto" w:fill="auto"/>
                  <w:vAlign w:val="center"/>
                  <w:hideMark/>
                </w:tcPr>
                <w:p w14:paraId="0DB81DCA" w14:textId="77777777" w:rsidR="00085F16" w:rsidRPr="00E31BF8" w:rsidRDefault="00085F16" w:rsidP="00620506">
                  <w:pPr>
                    <w:spacing w:after="0"/>
                    <w:jc w:val="center"/>
                    <w:rPr>
                      <w:sz w:val="20"/>
                    </w:rPr>
                  </w:pPr>
                  <w:r w:rsidRPr="00E31BF8">
                    <w:rPr>
                      <w:sz w:val="20"/>
                    </w:rPr>
                    <w:t>-1.60%</w:t>
                  </w:r>
                </w:p>
              </w:tc>
              <w:tc>
                <w:tcPr>
                  <w:tcW w:w="1696" w:type="dxa"/>
                  <w:shd w:val="clear" w:color="auto" w:fill="auto"/>
                  <w:vAlign w:val="center"/>
                  <w:hideMark/>
                </w:tcPr>
                <w:p w14:paraId="6B5B7B1D" w14:textId="77777777" w:rsidR="00085F16" w:rsidRPr="00E31BF8" w:rsidRDefault="00085F16" w:rsidP="00620506">
                  <w:pPr>
                    <w:spacing w:after="0"/>
                    <w:jc w:val="center"/>
                    <w:rPr>
                      <w:sz w:val="20"/>
                    </w:rPr>
                  </w:pPr>
                  <w:r w:rsidRPr="00E31BF8">
                    <w:rPr>
                      <w:sz w:val="20"/>
                    </w:rPr>
                    <w:t>-0.40%</w:t>
                  </w:r>
                </w:p>
              </w:tc>
              <w:tc>
                <w:tcPr>
                  <w:tcW w:w="1696" w:type="dxa"/>
                  <w:shd w:val="clear" w:color="auto" w:fill="auto"/>
                  <w:vAlign w:val="center"/>
                  <w:hideMark/>
                </w:tcPr>
                <w:p w14:paraId="2F8EF23C" w14:textId="77777777" w:rsidR="00085F16" w:rsidRPr="00E31BF8" w:rsidRDefault="00085F16" w:rsidP="00620506">
                  <w:pPr>
                    <w:spacing w:after="0"/>
                    <w:jc w:val="center"/>
                    <w:rPr>
                      <w:sz w:val="20"/>
                    </w:rPr>
                  </w:pPr>
                  <w:r w:rsidRPr="00E31BF8">
                    <w:rPr>
                      <w:sz w:val="20"/>
                    </w:rPr>
                    <w:t>4.50%</w:t>
                  </w:r>
                </w:p>
              </w:tc>
            </w:tr>
            <w:tr w:rsidR="00085F16" w:rsidRPr="00E31BF8" w14:paraId="2C01ED60" w14:textId="77777777" w:rsidTr="00085F16">
              <w:trPr>
                <w:trHeight w:val="289"/>
              </w:trPr>
              <w:tc>
                <w:tcPr>
                  <w:tcW w:w="3682" w:type="dxa"/>
                  <w:shd w:val="clear" w:color="auto" w:fill="auto"/>
                  <w:vAlign w:val="center"/>
                  <w:hideMark/>
                </w:tcPr>
                <w:p w14:paraId="1BEA72A7" w14:textId="77777777" w:rsidR="00085F16" w:rsidRPr="00E31BF8" w:rsidRDefault="00085F16" w:rsidP="00620506">
                  <w:pPr>
                    <w:spacing w:after="0"/>
                    <w:rPr>
                      <w:sz w:val="20"/>
                    </w:rPr>
                  </w:pPr>
                  <w:r w:rsidRPr="00E31BF8">
                    <w:rPr>
                      <w:sz w:val="20"/>
                    </w:rPr>
                    <w:t xml:space="preserve">      Konsumi i qeverisë </w:t>
                  </w:r>
                </w:p>
              </w:tc>
              <w:tc>
                <w:tcPr>
                  <w:tcW w:w="1696" w:type="dxa"/>
                  <w:shd w:val="clear" w:color="auto" w:fill="auto"/>
                  <w:vAlign w:val="center"/>
                  <w:hideMark/>
                </w:tcPr>
                <w:p w14:paraId="0C3D201A" w14:textId="77777777" w:rsidR="00085F16" w:rsidRPr="00E31BF8" w:rsidRDefault="00085F16" w:rsidP="00620506">
                  <w:pPr>
                    <w:spacing w:after="0"/>
                    <w:jc w:val="center"/>
                    <w:rPr>
                      <w:sz w:val="20"/>
                    </w:rPr>
                  </w:pPr>
                  <w:r w:rsidRPr="00E31BF8">
                    <w:rPr>
                      <w:sz w:val="20"/>
                    </w:rPr>
                    <w:t>0.00%</w:t>
                  </w:r>
                </w:p>
              </w:tc>
              <w:tc>
                <w:tcPr>
                  <w:tcW w:w="1696" w:type="dxa"/>
                  <w:shd w:val="clear" w:color="auto" w:fill="auto"/>
                  <w:vAlign w:val="center"/>
                  <w:hideMark/>
                </w:tcPr>
                <w:p w14:paraId="20053819" w14:textId="77777777" w:rsidR="00085F16" w:rsidRPr="00E31BF8" w:rsidRDefault="00085F16" w:rsidP="00620506">
                  <w:pPr>
                    <w:spacing w:after="0"/>
                    <w:jc w:val="center"/>
                    <w:rPr>
                      <w:sz w:val="20"/>
                    </w:rPr>
                  </w:pPr>
                  <w:r w:rsidRPr="00E31BF8">
                    <w:rPr>
                      <w:sz w:val="20"/>
                    </w:rPr>
                    <w:t>0.00%</w:t>
                  </w:r>
                </w:p>
              </w:tc>
              <w:tc>
                <w:tcPr>
                  <w:tcW w:w="1696" w:type="dxa"/>
                  <w:shd w:val="clear" w:color="auto" w:fill="auto"/>
                  <w:vAlign w:val="center"/>
                  <w:hideMark/>
                </w:tcPr>
                <w:p w14:paraId="0345E8D5" w14:textId="77777777" w:rsidR="00085F16" w:rsidRPr="00E31BF8" w:rsidRDefault="00085F16" w:rsidP="00620506">
                  <w:pPr>
                    <w:spacing w:after="0"/>
                    <w:jc w:val="center"/>
                    <w:rPr>
                      <w:sz w:val="20"/>
                    </w:rPr>
                  </w:pPr>
                  <w:r w:rsidRPr="00E31BF8">
                    <w:rPr>
                      <w:sz w:val="20"/>
                    </w:rPr>
                    <w:t>0.00%</w:t>
                  </w:r>
                </w:p>
              </w:tc>
            </w:tr>
            <w:tr w:rsidR="00085F16" w:rsidRPr="00E31BF8" w14:paraId="13C66CDD" w14:textId="77777777" w:rsidTr="00085F16">
              <w:trPr>
                <w:trHeight w:val="289"/>
              </w:trPr>
              <w:tc>
                <w:tcPr>
                  <w:tcW w:w="3682" w:type="dxa"/>
                  <w:shd w:val="clear" w:color="auto" w:fill="auto"/>
                  <w:vAlign w:val="center"/>
                  <w:hideMark/>
                </w:tcPr>
                <w:p w14:paraId="60FC45FB" w14:textId="77777777" w:rsidR="00085F16" w:rsidRPr="00E31BF8" w:rsidRDefault="00085F16" w:rsidP="00620506">
                  <w:pPr>
                    <w:spacing w:after="0"/>
                    <w:rPr>
                      <w:sz w:val="20"/>
                    </w:rPr>
                  </w:pPr>
                  <w:r w:rsidRPr="00E31BF8">
                    <w:rPr>
                      <w:sz w:val="20"/>
                    </w:rPr>
                    <w:t xml:space="preserve">   Investimet</w:t>
                  </w:r>
                </w:p>
              </w:tc>
              <w:tc>
                <w:tcPr>
                  <w:tcW w:w="1696" w:type="dxa"/>
                  <w:shd w:val="clear" w:color="auto" w:fill="auto"/>
                  <w:vAlign w:val="center"/>
                  <w:hideMark/>
                </w:tcPr>
                <w:p w14:paraId="49159150" w14:textId="77777777" w:rsidR="00085F16" w:rsidRPr="00E31BF8" w:rsidRDefault="00085F16" w:rsidP="00620506">
                  <w:pPr>
                    <w:spacing w:after="0"/>
                    <w:jc w:val="center"/>
                    <w:rPr>
                      <w:sz w:val="20"/>
                    </w:rPr>
                  </w:pPr>
                  <w:r w:rsidRPr="00E31BF8">
                    <w:rPr>
                      <w:sz w:val="20"/>
                    </w:rPr>
                    <w:t>5.50%</w:t>
                  </w:r>
                </w:p>
              </w:tc>
              <w:tc>
                <w:tcPr>
                  <w:tcW w:w="1696" w:type="dxa"/>
                  <w:shd w:val="clear" w:color="auto" w:fill="auto"/>
                  <w:vAlign w:val="center"/>
                  <w:hideMark/>
                </w:tcPr>
                <w:p w14:paraId="5B748FD0" w14:textId="77777777" w:rsidR="00085F16" w:rsidRPr="00E31BF8" w:rsidRDefault="00085F16" w:rsidP="00620506">
                  <w:pPr>
                    <w:spacing w:after="0"/>
                    <w:jc w:val="center"/>
                    <w:rPr>
                      <w:sz w:val="20"/>
                    </w:rPr>
                  </w:pPr>
                  <w:r w:rsidRPr="00E31BF8">
                    <w:rPr>
                      <w:sz w:val="20"/>
                    </w:rPr>
                    <w:t>1.20%</w:t>
                  </w:r>
                </w:p>
              </w:tc>
              <w:tc>
                <w:tcPr>
                  <w:tcW w:w="1696" w:type="dxa"/>
                  <w:shd w:val="clear" w:color="auto" w:fill="auto"/>
                  <w:vAlign w:val="center"/>
                  <w:hideMark/>
                </w:tcPr>
                <w:p w14:paraId="21BE1207" w14:textId="77777777" w:rsidR="00085F16" w:rsidRPr="00E31BF8" w:rsidRDefault="00085F16" w:rsidP="00620506">
                  <w:pPr>
                    <w:spacing w:after="0"/>
                    <w:jc w:val="center"/>
                    <w:rPr>
                      <w:sz w:val="20"/>
                    </w:rPr>
                  </w:pPr>
                  <w:r w:rsidRPr="00E31BF8">
                    <w:rPr>
                      <w:sz w:val="20"/>
                    </w:rPr>
                    <w:t>11.30%</w:t>
                  </w:r>
                </w:p>
              </w:tc>
            </w:tr>
            <w:tr w:rsidR="00085F16" w:rsidRPr="00E31BF8" w14:paraId="606FAF20" w14:textId="77777777" w:rsidTr="00085F16">
              <w:trPr>
                <w:trHeight w:val="289"/>
              </w:trPr>
              <w:tc>
                <w:tcPr>
                  <w:tcW w:w="3682" w:type="dxa"/>
                  <w:shd w:val="clear" w:color="auto" w:fill="auto"/>
                  <w:vAlign w:val="center"/>
                  <w:hideMark/>
                </w:tcPr>
                <w:p w14:paraId="3E4B175A" w14:textId="77777777" w:rsidR="00085F16" w:rsidRPr="00E31BF8" w:rsidRDefault="00085F16" w:rsidP="00620506">
                  <w:pPr>
                    <w:spacing w:after="0"/>
                    <w:rPr>
                      <w:sz w:val="20"/>
                    </w:rPr>
                  </w:pPr>
                  <w:r w:rsidRPr="00E31BF8">
                    <w:rPr>
                      <w:sz w:val="20"/>
                    </w:rPr>
                    <w:t xml:space="preserve">   Eksportet</w:t>
                  </w:r>
                </w:p>
              </w:tc>
              <w:tc>
                <w:tcPr>
                  <w:tcW w:w="1696" w:type="dxa"/>
                  <w:shd w:val="clear" w:color="auto" w:fill="auto"/>
                  <w:vAlign w:val="center"/>
                  <w:hideMark/>
                </w:tcPr>
                <w:p w14:paraId="61CBB2F5" w14:textId="77777777" w:rsidR="00085F16" w:rsidRPr="00E31BF8" w:rsidRDefault="00085F16" w:rsidP="00620506">
                  <w:pPr>
                    <w:spacing w:after="0"/>
                    <w:jc w:val="center"/>
                    <w:rPr>
                      <w:sz w:val="20"/>
                    </w:rPr>
                  </w:pPr>
                  <w:r w:rsidRPr="00E31BF8">
                    <w:rPr>
                      <w:sz w:val="20"/>
                    </w:rPr>
                    <w:t>-0.10%</w:t>
                  </w:r>
                </w:p>
              </w:tc>
              <w:tc>
                <w:tcPr>
                  <w:tcW w:w="1696" w:type="dxa"/>
                  <w:shd w:val="clear" w:color="auto" w:fill="auto"/>
                  <w:vAlign w:val="center"/>
                  <w:hideMark/>
                </w:tcPr>
                <w:p w14:paraId="5E9D43FC" w14:textId="77777777" w:rsidR="00085F16" w:rsidRPr="00E31BF8" w:rsidRDefault="00085F16" w:rsidP="00620506">
                  <w:pPr>
                    <w:spacing w:after="0"/>
                    <w:jc w:val="center"/>
                    <w:rPr>
                      <w:sz w:val="20"/>
                    </w:rPr>
                  </w:pPr>
                  <w:r w:rsidRPr="00E31BF8">
                    <w:rPr>
                      <w:sz w:val="20"/>
                    </w:rPr>
                    <w:t>-0.20%</w:t>
                  </w:r>
                </w:p>
              </w:tc>
              <w:tc>
                <w:tcPr>
                  <w:tcW w:w="1696" w:type="dxa"/>
                  <w:shd w:val="clear" w:color="auto" w:fill="auto"/>
                  <w:vAlign w:val="center"/>
                  <w:hideMark/>
                </w:tcPr>
                <w:p w14:paraId="5245F25D" w14:textId="77777777" w:rsidR="00085F16" w:rsidRPr="00E31BF8" w:rsidRDefault="00085F16" w:rsidP="00620506">
                  <w:pPr>
                    <w:spacing w:after="0"/>
                    <w:jc w:val="center"/>
                    <w:rPr>
                      <w:sz w:val="20"/>
                    </w:rPr>
                  </w:pPr>
                  <w:r w:rsidRPr="00E31BF8">
                    <w:rPr>
                      <w:sz w:val="20"/>
                    </w:rPr>
                    <w:t>1.60%</w:t>
                  </w:r>
                </w:p>
              </w:tc>
            </w:tr>
            <w:tr w:rsidR="00085F16" w:rsidRPr="00E31BF8" w14:paraId="6B7711BE" w14:textId="77777777" w:rsidTr="00085F16">
              <w:trPr>
                <w:trHeight w:val="289"/>
              </w:trPr>
              <w:tc>
                <w:tcPr>
                  <w:tcW w:w="3682" w:type="dxa"/>
                  <w:shd w:val="clear" w:color="auto" w:fill="auto"/>
                  <w:vAlign w:val="center"/>
                  <w:hideMark/>
                </w:tcPr>
                <w:p w14:paraId="379E5A8F" w14:textId="77777777" w:rsidR="00085F16" w:rsidRPr="00E31BF8" w:rsidRDefault="00085F16" w:rsidP="00620506">
                  <w:pPr>
                    <w:spacing w:after="0"/>
                    <w:rPr>
                      <w:sz w:val="20"/>
                    </w:rPr>
                  </w:pPr>
                  <w:r w:rsidRPr="00E31BF8">
                    <w:rPr>
                      <w:sz w:val="20"/>
                    </w:rPr>
                    <w:t xml:space="preserve">   Importet</w:t>
                  </w:r>
                </w:p>
              </w:tc>
              <w:tc>
                <w:tcPr>
                  <w:tcW w:w="1696" w:type="dxa"/>
                  <w:shd w:val="clear" w:color="auto" w:fill="auto"/>
                  <w:vAlign w:val="center"/>
                  <w:hideMark/>
                </w:tcPr>
                <w:p w14:paraId="5104E40F" w14:textId="77777777" w:rsidR="00085F16" w:rsidRPr="00E31BF8" w:rsidRDefault="00085F16" w:rsidP="00620506">
                  <w:pPr>
                    <w:spacing w:after="0"/>
                    <w:jc w:val="center"/>
                    <w:rPr>
                      <w:sz w:val="20"/>
                    </w:rPr>
                  </w:pPr>
                  <w:r w:rsidRPr="00E31BF8">
                    <w:rPr>
                      <w:sz w:val="20"/>
                    </w:rPr>
                    <w:t>-0.10%</w:t>
                  </w:r>
                </w:p>
              </w:tc>
              <w:tc>
                <w:tcPr>
                  <w:tcW w:w="1696" w:type="dxa"/>
                  <w:shd w:val="clear" w:color="auto" w:fill="auto"/>
                  <w:vAlign w:val="center"/>
                  <w:hideMark/>
                </w:tcPr>
                <w:p w14:paraId="43ADF18F" w14:textId="77777777" w:rsidR="00085F16" w:rsidRPr="00E31BF8" w:rsidRDefault="00085F16" w:rsidP="00620506">
                  <w:pPr>
                    <w:spacing w:after="0"/>
                    <w:jc w:val="center"/>
                    <w:rPr>
                      <w:sz w:val="20"/>
                    </w:rPr>
                  </w:pPr>
                  <w:r w:rsidRPr="00E31BF8">
                    <w:rPr>
                      <w:sz w:val="20"/>
                    </w:rPr>
                    <w:t>-0.10%</w:t>
                  </w:r>
                </w:p>
              </w:tc>
              <w:tc>
                <w:tcPr>
                  <w:tcW w:w="1696" w:type="dxa"/>
                  <w:shd w:val="clear" w:color="auto" w:fill="auto"/>
                  <w:vAlign w:val="center"/>
                  <w:hideMark/>
                </w:tcPr>
                <w:p w14:paraId="0318DA30" w14:textId="77777777" w:rsidR="00085F16" w:rsidRPr="00E31BF8" w:rsidRDefault="00085F16" w:rsidP="00620506">
                  <w:pPr>
                    <w:spacing w:after="0"/>
                    <w:jc w:val="center"/>
                    <w:rPr>
                      <w:sz w:val="20"/>
                    </w:rPr>
                  </w:pPr>
                  <w:r w:rsidRPr="00E31BF8">
                    <w:rPr>
                      <w:sz w:val="20"/>
                    </w:rPr>
                    <w:t>6.10%</w:t>
                  </w:r>
                </w:p>
              </w:tc>
            </w:tr>
            <w:tr w:rsidR="00085F16" w:rsidRPr="00E31BF8" w14:paraId="3D70296B" w14:textId="77777777" w:rsidTr="00085F16">
              <w:trPr>
                <w:trHeight w:val="289"/>
              </w:trPr>
              <w:tc>
                <w:tcPr>
                  <w:tcW w:w="3682" w:type="dxa"/>
                  <w:shd w:val="clear" w:color="auto" w:fill="auto"/>
                  <w:vAlign w:val="center"/>
                  <w:hideMark/>
                </w:tcPr>
                <w:p w14:paraId="51F0899B" w14:textId="77777777" w:rsidR="00085F16" w:rsidRPr="00E31BF8" w:rsidRDefault="00085F16" w:rsidP="00620506">
                  <w:pPr>
                    <w:spacing w:after="0"/>
                    <w:rPr>
                      <w:sz w:val="20"/>
                    </w:rPr>
                  </w:pPr>
                  <w:r w:rsidRPr="00E31BF8">
                    <w:rPr>
                      <w:sz w:val="20"/>
                    </w:rPr>
                    <w:t>Indeksi i pagave</w:t>
                  </w:r>
                </w:p>
              </w:tc>
              <w:tc>
                <w:tcPr>
                  <w:tcW w:w="1696" w:type="dxa"/>
                  <w:shd w:val="clear" w:color="auto" w:fill="auto"/>
                  <w:vAlign w:val="center"/>
                  <w:hideMark/>
                </w:tcPr>
                <w:p w14:paraId="13DBD927" w14:textId="77777777" w:rsidR="00085F16" w:rsidRPr="00E31BF8" w:rsidRDefault="00085F16" w:rsidP="00620506">
                  <w:pPr>
                    <w:spacing w:after="0"/>
                    <w:jc w:val="center"/>
                    <w:rPr>
                      <w:sz w:val="20"/>
                    </w:rPr>
                  </w:pPr>
                  <w:r w:rsidRPr="00E31BF8">
                    <w:rPr>
                      <w:sz w:val="20"/>
                    </w:rPr>
                    <w:t>4.70%</w:t>
                  </w:r>
                </w:p>
              </w:tc>
              <w:tc>
                <w:tcPr>
                  <w:tcW w:w="1696" w:type="dxa"/>
                  <w:shd w:val="clear" w:color="auto" w:fill="auto"/>
                  <w:vAlign w:val="center"/>
                  <w:hideMark/>
                </w:tcPr>
                <w:p w14:paraId="74265879" w14:textId="77777777" w:rsidR="00085F16" w:rsidRPr="00E31BF8" w:rsidRDefault="00085F16" w:rsidP="00620506">
                  <w:pPr>
                    <w:spacing w:after="0"/>
                    <w:jc w:val="center"/>
                    <w:rPr>
                      <w:sz w:val="20"/>
                    </w:rPr>
                  </w:pPr>
                  <w:r w:rsidRPr="00E31BF8">
                    <w:rPr>
                      <w:sz w:val="20"/>
                    </w:rPr>
                    <w:t>n/a</w:t>
                  </w:r>
                </w:p>
              </w:tc>
              <w:tc>
                <w:tcPr>
                  <w:tcW w:w="1696" w:type="dxa"/>
                  <w:shd w:val="clear" w:color="auto" w:fill="auto"/>
                  <w:vAlign w:val="center"/>
                  <w:hideMark/>
                </w:tcPr>
                <w:p w14:paraId="7E1D19B5" w14:textId="77777777" w:rsidR="00085F16" w:rsidRPr="00E31BF8" w:rsidRDefault="00085F16" w:rsidP="00620506">
                  <w:pPr>
                    <w:spacing w:after="0"/>
                    <w:jc w:val="center"/>
                    <w:rPr>
                      <w:sz w:val="20"/>
                    </w:rPr>
                  </w:pPr>
                  <w:r w:rsidRPr="00E31BF8">
                    <w:rPr>
                      <w:sz w:val="20"/>
                    </w:rPr>
                    <w:t>26.10%</w:t>
                  </w:r>
                </w:p>
              </w:tc>
            </w:tr>
            <w:tr w:rsidR="00085F16" w:rsidRPr="00E31BF8" w14:paraId="51C37F99" w14:textId="77777777" w:rsidTr="00085F16">
              <w:trPr>
                <w:trHeight w:val="289"/>
              </w:trPr>
              <w:tc>
                <w:tcPr>
                  <w:tcW w:w="3682" w:type="dxa"/>
                  <w:shd w:val="clear" w:color="auto" w:fill="auto"/>
                  <w:vAlign w:val="center"/>
                  <w:hideMark/>
                </w:tcPr>
                <w:p w14:paraId="12F1C0AC" w14:textId="77777777" w:rsidR="00085F16" w:rsidRPr="00E31BF8" w:rsidRDefault="00085F16" w:rsidP="00620506">
                  <w:pPr>
                    <w:spacing w:after="0"/>
                    <w:rPr>
                      <w:sz w:val="20"/>
                    </w:rPr>
                  </w:pPr>
                  <w:r w:rsidRPr="00E31BF8">
                    <w:rPr>
                      <w:sz w:val="20"/>
                    </w:rPr>
                    <w:t>Deflator i BPV-së</w:t>
                  </w:r>
                </w:p>
              </w:tc>
              <w:tc>
                <w:tcPr>
                  <w:tcW w:w="1696" w:type="dxa"/>
                  <w:shd w:val="clear" w:color="auto" w:fill="auto"/>
                  <w:vAlign w:val="center"/>
                  <w:hideMark/>
                </w:tcPr>
                <w:p w14:paraId="5F792EF2" w14:textId="77777777" w:rsidR="00085F16" w:rsidRPr="00E31BF8" w:rsidRDefault="00085F16" w:rsidP="00620506">
                  <w:pPr>
                    <w:spacing w:after="0"/>
                    <w:jc w:val="center"/>
                    <w:rPr>
                      <w:sz w:val="20"/>
                    </w:rPr>
                  </w:pPr>
                  <w:r w:rsidRPr="00E31BF8">
                    <w:rPr>
                      <w:sz w:val="20"/>
                    </w:rPr>
                    <w:t>0.30%</w:t>
                  </w:r>
                </w:p>
              </w:tc>
              <w:tc>
                <w:tcPr>
                  <w:tcW w:w="1696" w:type="dxa"/>
                  <w:shd w:val="clear" w:color="auto" w:fill="auto"/>
                  <w:vAlign w:val="center"/>
                  <w:hideMark/>
                </w:tcPr>
                <w:p w14:paraId="470AD70D" w14:textId="77777777" w:rsidR="00085F16" w:rsidRPr="00E31BF8" w:rsidRDefault="00085F16" w:rsidP="00620506">
                  <w:pPr>
                    <w:spacing w:after="0"/>
                    <w:jc w:val="center"/>
                    <w:rPr>
                      <w:sz w:val="20"/>
                    </w:rPr>
                  </w:pPr>
                  <w:r w:rsidRPr="00E31BF8">
                    <w:rPr>
                      <w:sz w:val="20"/>
                    </w:rPr>
                    <w:t>n/a</w:t>
                  </w:r>
                </w:p>
              </w:tc>
              <w:tc>
                <w:tcPr>
                  <w:tcW w:w="1696" w:type="dxa"/>
                  <w:shd w:val="clear" w:color="auto" w:fill="auto"/>
                  <w:vAlign w:val="center"/>
                  <w:hideMark/>
                </w:tcPr>
                <w:p w14:paraId="05E8DF19" w14:textId="77777777" w:rsidR="00085F16" w:rsidRPr="00E31BF8" w:rsidRDefault="00085F16" w:rsidP="00620506">
                  <w:pPr>
                    <w:spacing w:after="0"/>
                    <w:jc w:val="center"/>
                    <w:rPr>
                      <w:sz w:val="20"/>
                    </w:rPr>
                  </w:pPr>
                  <w:r w:rsidRPr="00E31BF8">
                    <w:rPr>
                      <w:sz w:val="20"/>
                    </w:rPr>
                    <w:t>2.60%</w:t>
                  </w:r>
                </w:p>
              </w:tc>
            </w:tr>
            <w:tr w:rsidR="00085F16" w:rsidRPr="00E31BF8" w14:paraId="355DD3EE" w14:textId="77777777" w:rsidTr="00085F16">
              <w:trPr>
                <w:trHeight w:val="289"/>
              </w:trPr>
              <w:tc>
                <w:tcPr>
                  <w:tcW w:w="3682" w:type="dxa"/>
                  <w:shd w:val="clear" w:color="auto" w:fill="auto"/>
                  <w:vAlign w:val="center"/>
                  <w:hideMark/>
                </w:tcPr>
                <w:p w14:paraId="5402EF4A" w14:textId="77777777" w:rsidR="00085F16" w:rsidRPr="00E31BF8" w:rsidRDefault="00085F16" w:rsidP="00620506">
                  <w:pPr>
                    <w:spacing w:after="0"/>
                    <w:rPr>
                      <w:sz w:val="20"/>
                    </w:rPr>
                  </w:pPr>
                  <w:r w:rsidRPr="00E31BF8">
                    <w:rPr>
                      <w:sz w:val="20"/>
                    </w:rPr>
                    <w:t>Punësimi</w:t>
                  </w:r>
                </w:p>
              </w:tc>
              <w:tc>
                <w:tcPr>
                  <w:tcW w:w="1696" w:type="dxa"/>
                  <w:shd w:val="clear" w:color="auto" w:fill="auto"/>
                  <w:vAlign w:val="center"/>
                  <w:hideMark/>
                </w:tcPr>
                <w:p w14:paraId="0FA2DA81" w14:textId="77777777" w:rsidR="00085F16" w:rsidRPr="00E31BF8" w:rsidRDefault="00085F16" w:rsidP="00620506">
                  <w:pPr>
                    <w:spacing w:after="0"/>
                    <w:jc w:val="center"/>
                    <w:rPr>
                      <w:sz w:val="20"/>
                    </w:rPr>
                  </w:pPr>
                  <w:r w:rsidRPr="00E31BF8">
                    <w:rPr>
                      <w:sz w:val="20"/>
                    </w:rPr>
                    <w:t>0.00%</w:t>
                  </w:r>
                </w:p>
              </w:tc>
              <w:tc>
                <w:tcPr>
                  <w:tcW w:w="1696" w:type="dxa"/>
                  <w:shd w:val="clear" w:color="auto" w:fill="auto"/>
                  <w:vAlign w:val="center"/>
                  <w:hideMark/>
                </w:tcPr>
                <w:p w14:paraId="75A53A90" w14:textId="77777777" w:rsidR="00085F16" w:rsidRPr="00E31BF8" w:rsidRDefault="00085F16" w:rsidP="00620506">
                  <w:pPr>
                    <w:spacing w:after="0"/>
                    <w:jc w:val="center"/>
                    <w:rPr>
                      <w:sz w:val="20"/>
                    </w:rPr>
                  </w:pPr>
                  <w:r w:rsidRPr="00E31BF8">
                    <w:rPr>
                      <w:sz w:val="20"/>
                    </w:rPr>
                    <w:t>n/a</w:t>
                  </w:r>
                </w:p>
              </w:tc>
              <w:tc>
                <w:tcPr>
                  <w:tcW w:w="1696" w:type="dxa"/>
                  <w:shd w:val="clear" w:color="auto" w:fill="auto"/>
                  <w:vAlign w:val="center"/>
                  <w:hideMark/>
                </w:tcPr>
                <w:p w14:paraId="5EC48CE3" w14:textId="77777777" w:rsidR="00085F16" w:rsidRPr="00E31BF8" w:rsidRDefault="00085F16" w:rsidP="00620506">
                  <w:pPr>
                    <w:spacing w:after="0"/>
                    <w:jc w:val="center"/>
                    <w:rPr>
                      <w:sz w:val="20"/>
                    </w:rPr>
                  </w:pPr>
                  <w:r w:rsidRPr="00E31BF8">
                    <w:rPr>
                      <w:sz w:val="20"/>
                    </w:rPr>
                    <w:t>0.00%</w:t>
                  </w:r>
                </w:p>
              </w:tc>
            </w:tr>
            <w:tr w:rsidR="00085F16" w:rsidRPr="00E31BF8" w14:paraId="2FDA831C" w14:textId="77777777" w:rsidTr="00085F16">
              <w:trPr>
                <w:trHeight w:val="289"/>
              </w:trPr>
              <w:tc>
                <w:tcPr>
                  <w:tcW w:w="3682" w:type="dxa"/>
                  <w:shd w:val="clear" w:color="auto" w:fill="auto"/>
                  <w:vAlign w:val="center"/>
                  <w:hideMark/>
                </w:tcPr>
                <w:p w14:paraId="6B9827C7" w14:textId="77777777" w:rsidR="00085F16" w:rsidRPr="00E31BF8" w:rsidRDefault="00085F16" w:rsidP="00620506">
                  <w:pPr>
                    <w:spacing w:after="0"/>
                    <w:rPr>
                      <w:sz w:val="20"/>
                    </w:rPr>
                  </w:pPr>
                  <w:r w:rsidRPr="00E31BF8">
                    <w:rPr>
                      <w:sz w:val="20"/>
                    </w:rPr>
                    <w:t>Kursimet private (% e BPV-së)</w:t>
                  </w:r>
                </w:p>
              </w:tc>
              <w:tc>
                <w:tcPr>
                  <w:tcW w:w="1696" w:type="dxa"/>
                  <w:shd w:val="clear" w:color="auto" w:fill="auto"/>
                  <w:vAlign w:val="center"/>
                  <w:hideMark/>
                </w:tcPr>
                <w:p w14:paraId="473AE0B9" w14:textId="77777777" w:rsidR="00085F16" w:rsidRPr="00E31BF8" w:rsidRDefault="00085F16" w:rsidP="00620506">
                  <w:pPr>
                    <w:spacing w:after="0"/>
                    <w:jc w:val="center"/>
                    <w:rPr>
                      <w:sz w:val="20"/>
                    </w:rPr>
                  </w:pPr>
                  <w:r w:rsidRPr="00E31BF8">
                    <w:rPr>
                      <w:sz w:val="20"/>
                    </w:rPr>
                    <w:t>-2.00%</w:t>
                  </w:r>
                </w:p>
              </w:tc>
              <w:tc>
                <w:tcPr>
                  <w:tcW w:w="1696" w:type="dxa"/>
                  <w:shd w:val="clear" w:color="auto" w:fill="auto"/>
                  <w:vAlign w:val="center"/>
                  <w:hideMark/>
                </w:tcPr>
                <w:p w14:paraId="38CBF48C" w14:textId="77777777" w:rsidR="00085F16" w:rsidRPr="00E31BF8" w:rsidRDefault="00085F16" w:rsidP="00620506">
                  <w:pPr>
                    <w:spacing w:after="0"/>
                    <w:jc w:val="center"/>
                    <w:rPr>
                      <w:sz w:val="20"/>
                    </w:rPr>
                  </w:pPr>
                  <w:r w:rsidRPr="00E31BF8">
                    <w:rPr>
                      <w:sz w:val="20"/>
                    </w:rPr>
                    <w:t>n/a</w:t>
                  </w:r>
                </w:p>
              </w:tc>
              <w:tc>
                <w:tcPr>
                  <w:tcW w:w="1696" w:type="dxa"/>
                  <w:shd w:val="clear" w:color="auto" w:fill="auto"/>
                  <w:vAlign w:val="center"/>
                  <w:hideMark/>
                </w:tcPr>
                <w:p w14:paraId="03716273" w14:textId="77777777" w:rsidR="00085F16" w:rsidRPr="00E31BF8" w:rsidRDefault="00085F16" w:rsidP="00620506">
                  <w:pPr>
                    <w:spacing w:after="0"/>
                    <w:jc w:val="center"/>
                    <w:rPr>
                      <w:sz w:val="20"/>
                    </w:rPr>
                  </w:pPr>
                  <w:r w:rsidRPr="00E31BF8">
                    <w:rPr>
                      <w:sz w:val="20"/>
                    </w:rPr>
                    <w:t>7.40%</w:t>
                  </w:r>
                </w:p>
              </w:tc>
            </w:tr>
            <w:tr w:rsidR="00085F16" w:rsidRPr="00E31BF8" w14:paraId="302BBDBF" w14:textId="77777777" w:rsidTr="00085F16">
              <w:trPr>
                <w:trHeight w:val="289"/>
              </w:trPr>
              <w:tc>
                <w:tcPr>
                  <w:tcW w:w="3682" w:type="dxa"/>
                  <w:shd w:val="clear" w:color="auto" w:fill="auto"/>
                  <w:vAlign w:val="center"/>
                  <w:hideMark/>
                </w:tcPr>
                <w:p w14:paraId="6CE49EE3" w14:textId="77777777" w:rsidR="00085F16" w:rsidRPr="00E31BF8" w:rsidRDefault="00085F16" w:rsidP="00620506">
                  <w:pPr>
                    <w:spacing w:after="0"/>
                    <w:rPr>
                      <w:sz w:val="20"/>
                    </w:rPr>
                  </w:pPr>
                  <w:r w:rsidRPr="00E31BF8">
                    <w:rPr>
                      <w:sz w:val="20"/>
                    </w:rPr>
                    <w:t>Bilanci buxhetor (% e BPV-së)</w:t>
                  </w:r>
                </w:p>
              </w:tc>
              <w:tc>
                <w:tcPr>
                  <w:tcW w:w="1696" w:type="dxa"/>
                  <w:shd w:val="clear" w:color="auto" w:fill="auto"/>
                  <w:vAlign w:val="center"/>
                  <w:hideMark/>
                </w:tcPr>
                <w:p w14:paraId="19B062E1" w14:textId="77777777" w:rsidR="00085F16" w:rsidRPr="00E31BF8" w:rsidRDefault="00085F16" w:rsidP="00620506">
                  <w:pPr>
                    <w:spacing w:after="0"/>
                    <w:jc w:val="center"/>
                    <w:rPr>
                      <w:sz w:val="20"/>
                    </w:rPr>
                  </w:pPr>
                  <w:r w:rsidRPr="00E31BF8">
                    <w:rPr>
                      <w:sz w:val="20"/>
                    </w:rPr>
                    <w:t>47.20%</w:t>
                  </w:r>
                </w:p>
              </w:tc>
              <w:tc>
                <w:tcPr>
                  <w:tcW w:w="1696" w:type="dxa"/>
                  <w:shd w:val="clear" w:color="auto" w:fill="auto"/>
                  <w:vAlign w:val="center"/>
                  <w:hideMark/>
                </w:tcPr>
                <w:p w14:paraId="1ECE0152" w14:textId="77777777" w:rsidR="00085F16" w:rsidRPr="00E31BF8" w:rsidRDefault="00085F16" w:rsidP="00620506">
                  <w:pPr>
                    <w:spacing w:after="0"/>
                    <w:jc w:val="center"/>
                    <w:rPr>
                      <w:sz w:val="20"/>
                    </w:rPr>
                  </w:pPr>
                  <w:r w:rsidRPr="00E31BF8">
                    <w:rPr>
                      <w:sz w:val="20"/>
                    </w:rPr>
                    <w:t>n/a</w:t>
                  </w:r>
                </w:p>
              </w:tc>
              <w:tc>
                <w:tcPr>
                  <w:tcW w:w="1696" w:type="dxa"/>
                  <w:shd w:val="clear" w:color="auto" w:fill="auto"/>
                  <w:vAlign w:val="center"/>
                  <w:hideMark/>
                </w:tcPr>
                <w:p w14:paraId="60156760" w14:textId="77777777" w:rsidR="00085F16" w:rsidRPr="00E31BF8" w:rsidRDefault="00085F16" w:rsidP="00620506">
                  <w:pPr>
                    <w:spacing w:after="0"/>
                    <w:jc w:val="center"/>
                    <w:rPr>
                      <w:sz w:val="20"/>
                    </w:rPr>
                  </w:pPr>
                  <w:r w:rsidRPr="00E31BF8">
                    <w:rPr>
                      <w:sz w:val="20"/>
                    </w:rPr>
                    <w:t>-3.80%</w:t>
                  </w:r>
                </w:p>
              </w:tc>
            </w:tr>
            <w:tr w:rsidR="00085F16" w:rsidRPr="00E31BF8" w14:paraId="1FC373FE" w14:textId="77777777" w:rsidTr="00085F16">
              <w:trPr>
                <w:trHeight w:val="303"/>
              </w:trPr>
              <w:tc>
                <w:tcPr>
                  <w:tcW w:w="3682" w:type="dxa"/>
                  <w:shd w:val="clear" w:color="auto" w:fill="auto"/>
                  <w:vAlign w:val="center"/>
                  <w:hideMark/>
                </w:tcPr>
                <w:p w14:paraId="191B0322" w14:textId="77777777" w:rsidR="00085F16" w:rsidRPr="00E31BF8" w:rsidRDefault="00085F16" w:rsidP="00620506">
                  <w:pPr>
                    <w:spacing w:after="0"/>
                    <w:rPr>
                      <w:sz w:val="20"/>
                    </w:rPr>
                  </w:pPr>
                  <w:r w:rsidRPr="00E31BF8">
                    <w:rPr>
                      <w:sz w:val="20"/>
                    </w:rPr>
                    <w:t>Llogaria rrjedhëse (% e BPV-së)</w:t>
                  </w:r>
                </w:p>
              </w:tc>
              <w:tc>
                <w:tcPr>
                  <w:tcW w:w="1696" w:type="dxa"/>
                  <w:shd w:val="clear" w:color="auto" w:fill="auto"/>
                  <w:vAlign w:val="center"/>
                  <w:hideMark/>
                </w:tcPr>
                <w:p w14:paraId="3C53F26A" w14:textId="77777777" w:rsidR="00085F16" w:rsidRPr="00E31BF8" w:rsidRDefault="00085F16" w:rsidP="00620506">
                  <w:pPr>
                    <w:spacing w:after="0"/>
                    <w:jc w:val="center"/>
                    <w:rPr>
                      <w:sz w:val="20"/>
                    </w:rPr>
                  </w:pPr>
                  <w:r w:rsidRPr="00E31BF8">
                    <w:rPr>
                      <w:sz w:val="20"/>
                    </w:rPr>
                    <w:t>-0.10%</w:t>
                  </w:r>
                </w:p>
              </w:tc>
              <w:tc>
                <w:tcPr>
                  <w:tcW w:w="1696" w:type="dxa"/>
                  <w:shd w:val="clear" w:color="auto" w:fill="auto"/>
                  <w:vAlign w:val="center"/>
                  <w:hideMark/>
                </w:tcPr>
                <w:p w14:paraId="7B8795C9" w14:textId="77777777" w:rsidR="00085F16" w:rsidRPr="00E31BF8" w:rsidRDefault="00085F16" w:rsidP="00620506">
                  <w:pPr>
                    <w:spacing w:after="0"/>
                    <w:jc w:val="center"/>
                    <w:rPr>
                      <w:sz w:val="20"/>
                    </w:rPr>
                  </w:pPr>
                  <w:r w:rsidRPr="00E31BF8">
                    <w:rPr>
                      <w:sz w:val="20"/>
                    </w:rPr>
                    <w:t>n/a</w:t>
                  </w:r>
                </w:p>
              </w:tc>
              <w:tc>
                <w:tcPr>
                  <w:tcW w:w="1696" w:type="dxa"/>
                  <w:shd w:val="clear" w:color="auto" w:fill="auto"/>
                  <w:vAlign w:val="center"/>
                  <w:hideMark/>
                </w:tcPr>
                <w:p w14:paraId="1B8A3296" w14:textId="77777777" w:rsidR="00085F16" w:rsidRPr="00E31BF8" w:rsidRDefault="00085F16" w:rsidP="00620506">
                  <w:pPr>
                    <w:spacing w:after="0"/>
                    <w:jc w:val="center"/>
                    <w:rPr>
                      <w:sz w:val="20"/>
                    </w:rPr>
                  </w:pPr>
                  <w:r w:rsidRPr="00E31BF8">
                    <w:rPr>
                      <w:sz w:val="20"/>
                    </w:rPr>
                    <w:t>54.60%</w:t>
                  </w:r>
                </w:p>
              </w:tc>
            </w:tr>
          </w:tbl>
          <w:p w14:paraId="2845A666" w14:textId="77777777" w:rsidR="00085F16" w:rsidRPr="0067685A" w:rsidRDefault="00085F16" w:rsidP="00085F16">
            <w:pPr>
              <w:jc w:val="both"/>
            </w:pPr>
          </w:p>
        </w:tc>
      </w:tr>
    </w:tbl>
    <w:p w14:paraId="049CDF48" w14:textId="77777777" w:rsidR="00085F16" w:rsidRPr="00591E18" w:rsidRDefault="00085F16" w:rsidP="00802FB3">
      <w:pPr>
        <w:pStyle w:val="ERPL3"/>
        <w:numPr>
          <w:ilvl w:val="0"/>
          <w:numId w:val="95"/>
        </w:numPr>
        <w:ind w:hanging="720"/>
        <w:rPr>
          <w:i w:val="0"/>
          <w:iCs/>
        </w:rPr>
      </w:pPr>
      <w:bookmarkStart w:id="118" w:name="_Toc25873728"/>
      <w:r w:rsidRPr="00591E18">
        <w:rPr>
          <w:i w:val="0"/>
          <w:iCs/>
        </w:rPr>
        <w:t>Rezultatet e skenarëve alternativë</w:t>
      </w:r>
      <w:bookmarkEnd w:id="118"/>
    </w:p>
    <w:p w14:paraId="112E8C2D" w14:textId="77777777" w:rsidR="00085F16" w:rsidRPr="0052584D" w:rsidRDefault="00085F16" w:rsidP="00085F16">
      <w:pPr>
        <w:pStyle w:val="Default"/>
        <w:spacing w:before="120" w:after="240" w:line="276" w:lineRule="auto"/>
        <w:jc w:val="both"/>
        <w:rPr>
          <w:sz w:val="20"/>
          <w:szCs w:val="20"/>
        </w:rPr>
      </w:pPr>
      <w:r w:rsidRPr="005F7830">
        <w:rPr>
          <w:rFonts w:eastAsia="Times New Roman"/>
          <w:color w:val="000000" w:themeColor="text1"/>
          <w:lang w:val="en-GB"/>
        </w:rPr>
        <w:t>Kur grumbullohen të gjitha rreziqet, rritja e BPV-së vlerësohet të luhatet mesatarisht rreth 2.4% mesatarisht gjatë periudhës 2020-2022. Ndërsa, materializimi i reformave strukturore në lidhje me uljen e informalitetit, krijimin e Gjykatës Komerciale dhe uljen e konsumit të energjisë do të prodhonte një stimul shtesë për rritjen e BPV-së prej 1.3 pikë përqindje. Në rrethana të tilla, për një periudhë afatmesme, rritja e BPV-së reale do të luhatet në rreth 5.8%, me kulmin e saj në 2021 (6.7%). Kur llogaritet një ekzekutim më i lartë i projekteve kapitale nën klauzolën e investimeve, BP</w:t>
      </w:r>
      <w:r>
        <w:rPr>
          <w:rFonts w:eastAsia="Times New Roman"/>
          <w:color w:val="000000" w:themeColor="text1"/>
          <w:lang w:val="en-GB"/>
        </w:rPr>
        <w:t xml:space="preserve">V do të ishte edhe më e lartë, </w:t>
      </w:r>
      <w:r w:rsidRPr="005F7830">
        <w:rPr>
          <w:rFonts w:eastAsia="Times New Roman"/>
          <w:color w:val="000000" w:themeColor="text1"/>
          <w:lang w:val="en-GB"/>
        </w:rPr>
        <w:t xml:space="preserve">pak më shumë se 6%. Nga grafiku mund të shihet se ekuilibri i rreziqeve është paksa më poshtë, duke reflektuar rreziqet nga mjedisi i jashtëm. Sidoqoftë, </w:t>
      </w:r>
      <w:r>
        <w:rPr>
          <w:rFonts w:eastAsia="Times New Roman"/>
          <w:color w:val="000000" w:themeColor="text1"/>
          <w:lang w:val="en-GB"/>
        </w:rPr>
        <w:t xml:space="preserve">grafiku pasqyron edhe </w:t>
      </w:r>
      <w:r w:rsidRPr="005F7830">
        <w:rPr>
          <w:rFonts w:eastAsia="Times New Roman"/>
          <w:color w:val="000000" w:themeColor="text1"/>
          <w:lang w:val="en-GB"/>
        </w:rPr>
        <w:t>rreziqet nga mjedisi i brendshëm shoqëruar me pasiguritë e shkaktuara nga zhvillimet në mjedisin politik.</w:t>
      </w:r>
    </w:p>
    <w:p w14:paraId="41C4449C" w14:textId="77777777" w:rsidR="00085F16" w:rsidRPr="00E31BF8" w:rsidRDefault="00085F16" w:rsidP="00085F16">
      <w:pPr>
        <w:spacing w:line="276" w:lineRule="auto"/>
        <w:jc w:val="both"/>
        <w:rPr>
          <w:b/>
          <w:sz w:val="18"/>
        </w:rPr>
      </w:pPr>
      <w:bookmarkStart w:id="119" w:name="_Toc25673464"/>
      <w:r w:rsidRPr="00E31BF8">
        <w:rPr>
          <w:b/>
          <w:sz w:val="18"/>
        </w:rPr>
        <w:t xml:space="preserve">Grafiku </w:t>
      </w:r>
      <w:r w:rsidRPr="00E31BF8">
        <w:rPr>
          <w:b/>
          <w:sz w:val="18"/>
        </w:rPr>
        <w:fldChar w:fldCharType="begin"/>
      </w:r>
      <w:r w:rsidRPr="00E31BF8">
        <w:rPr>
          <w:b/>
          <w:sz w:val="18"/>
        </w:rPr>
        <w:instrText xml:space="preserve"> SEQ Grafiku \* ARABIC </w:instrText>
      </w:r>
      <w:r w:rsidRPr="00E31BF8">
        <w:rPr>
          <w:b/>
          <w:sz w:val="18"/>
        </w:rPr>
        <w:fldChar w:fldCharType="separate"/>
      </w:r>
      <w:r>
        <w:rPr>
          <w:b/>
          <w:noProof/>
          <w:sz w:val="18"/>
        </w:rPr>
        <w:t>12</w:t>
      </w:r>
      <w:r w:rsidRPr="00E31BF8">
        <w:rPr>
          <w:b/>
          <w:sz w:val="18"/>
        </w:rPr>
        <w:fldChar w:fldCharType="end"/>
      </w:r>
      <w:r w:rsidRPr="00E31BF8">
        <w:rPr>
          <w:b/>
          <w:sz w:val="18"/>
        </w:rPr>
        <w:t xml:space="preserve"> BPV reale nën skenarë alternativë</w:t>
      </w:r>
      <w:bookmarkEnd w:id="119"/>
    </w:p>
    <w:p w14:paraId="2188D93C" w14:textId="77777777" w:rsidR="00085F16" w:rsidRDefault="00085F16" w:rsidP="00085F16">
      <w:pPr>
        <w:spacing w:line="276" w:lineRule="auto"/>
        <w:jc w:val="center"/>
      </w:pPr>
      <w:r>
        <w:rPr>
          <w:noProof/>
          <w:lang w:val="en-US"/>
        </w:rPr>
        <w:drawing>
          <wp:anchor distT="0" distB="0" distL="114300" distR="114300" simplePos="0" relativeHeight="251678720" behindDoc="0" locked="0" layoutInCell="1" allowOverlap="1" wp14:anchorId="7E1C5C28" wp14:editId="2108656A">
            <wp:simplePos x="0" y="0"/>
            <wp:positionH relativeFrom="column">
              <wp:posOffset>0</wp:posOffset>
            </wp:positionH>
            <wp:positionV relativeFrom="paragraph">
              <wp:posOffset>-3440</wp:posOffset>
            </wp:positionV>
            <wp:extent cx="5732145" cy="2807970"/>
            <wp:effectExtent l="0" t="0" r="1905" b="0"/>
            <wp:wrapSquare wrapText="bothSides"/>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14:paraId="6F0E0FC7" w14:textId="77777777" w:rsidR="00085F16" w:rsidRPr="0067685A" w:rsidRDefault="00085F16" w:rsidP="00802FB3">
      <w:pPr>
        <w:pStyle w:val="ERPL1"/>
        <w:numPr>
          <w:ilvl w:val="0"/>
          <w:numId w:val="97"/>
        </w:numPr>
        <w:ind w:left="426" w:hanging="426"/>
        <w:rPr>
          <w:rFonts w:ascii="Times New Roman" w:hAnsi="Times New Roman"/>
        </w:rPr>
      </w:pPr>
      <w:bookmarkStart w:id="120" w:name="_Toc531359882"/>
      <w:bookmarkStart w:id="121" w:name="_Toc25873729"/>
      <w:r>
        <w:rPr>
          <w:rFonts w:ascii="Times New Roman" w:hAnsi="Times New Roman"/>
        </w:rPr>
        <w:t>Korniza Fiskale</w:t>
      </w:r>
      <w:bookmarkEnd w:id="120"/>
      <w:bookmarkEnd w:id="121"/>
    </w:p>
    <w:p w14:paraId="09804294" w14:textId="77777777" w:rsidR="00085F16" w:rsidRPr="005E5D6B" w:rsidRDefault="00085F16" w:rsidP="00802FB3">
      <w:pPr>
        <w:keepNext/>
        <w:numPr>
          <w:ilvl w:val="1"/>
          <w:numId w:val="80"/>
        </w:numPr>
        <w:spacing w:before="180" w:after="240" w:line="240" w:lineRule="auto"/>
        <w:ind w:left="426" w:hanging="426"/>
        <w:jc w:val="both"/>
        <w:outlineLvl w:val="0"/>
        <w:rPr>
          <w:b/>
          <w:kern w:val="28"/>
        </w:rPr>
      </w:pPr>
      <w:r w:rsidRPr="005E5D6B">
        <w:rPr>
          <w:b/>
        </w:rPr>
        <w:t xml:space="preserve"> </w:t>
      </w:r>
      <w:bookmarkStart w:id="122" w:name="_Toc531360993"/>
      <w:bookmarkStart w:id="123" w:name="_Toc536429081"/>
      <w:bookmarkStart w:id="124" w:name="_Toc25873730"/>
      <w:r w:rsidRPr="005E5D6B">
        <w:rPr>
          <w:rFonts w:ascii="Times New Roman Bold" w:hAnsi="Times New Roman Bold"/>
          <w:b/>
          <w:kern w:val="28"/>
        </w:rPr>
        <w:t>Strategjia e politikave dhe objektivat afatmesme</w:t>
      </w:r>
      <w:bookmarkEnd w:id="122"/>
      <w:bookmarkEnd w:id="123"/>
      <w:bookmarkEnd w:id="124"/>
    </w:p>
    <w:p w14:paraId="1886CFDB" w14:textId="77777777" w:rsidR="00085F16" w:rsidRPr="00B922C3" w:rsidRDefault="00085F16" w:rsidP="00085F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rFonts w:ascii="Times New Roman" w:hAnsi="Times New Roman" w:cs="Times New Roman"/>
          <w:sz w:val="24"/>
          <w:szCs w:val="24"/>
        </w:rPr>
      </w:pPr>
      <w:r w:rsidRPr="00B922C3">
        <w:rPr>
          <w:rFonts w:ascii="Times New Roman" w:hAnsi="Times New Roman" w:cs="Times New Roman"/>
          <w:sz w:val="24"/>
          <w:szCs w:val="24"/>
        </w:rPr>
        <w:t>Mbajtja dhe forcimi i mëtejshëm i pozitës fiskale të vendit, vazhdon të mbetet objektivi kryesor i Qeverisë për periudhën që mbulon ky dokument. Stabiliteti fiskal dhe forcimi tutje i proceseve dhe mekanizmave që sigurojnë këtë stabilitet, ndikojnë direkt në implementimin me sukses të reformave prioritare të Qeverisë, ndërsa kjo më pas ndikon në mbështetjen direkte dhe indirekte të rritjes së aktivitetit ekonomik në sektorin privat. Në këtë kontekst, Qeveria synon të ketë një menaxhim të përgjegjshëm të financave publike duke u siguruar se planifikimi dhe ekzekutimi i buxhetit do të bëhet në përputhje të plotë me kornizën fiskale, ashtu siç parashihet me LMFPP, Ligjin për Financat e Pushtetit Lokal, dhe aktet ligjore që dalin nga këto dy ligje. Me rastin e planifikimit dhe implementimit të buxheteve të ardhshme, një vëmendje e veçantë do ju kushtohet zbatimit me përpikëri të rregullave fiskale që paralelisht sigurojnë qëndrueshmëri fiskale dhe stimulim të rritjes ekonomike, siç janë:</w:t>
      </w:r>
    </w:p>
    <w:p w14:paraId="06E0BEDB" w14:textId="77777777" w:rsidR="00085F16" w:rsidRPr="00B922C3" w:rsidRDefault="00085F16" w:rsidP="00802FB3">
      <w:pPr>
        <w:pStyle w:val="ListParagraph"/>
        <w:numPr>
          <w:ilvl w:val="0"/>
          <w:numId w:val="98"/>
        </w:numPr>
        <w:shd w:val="clear" w:color="auto" w:fill="FFFFFF"/>
        <w:tabs>
          <w:tab w:val="left" w:pos="117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rFonts w:ascii="Times New Roman" w:hAnsi="Times New Roman" w:cs="Times New Roman"/>
          <w:sz w:val="24"/>
          <w:szCs w:val="24"/>
        </w:rPr>
      </w:pPr>
      <w:r w:rsidRPr="00B922C3">
        <w:rPr>
          <w:rFonts w:ascii="Times New Roman" w:hAnsi="Times New Roman" w:cs="Times New Roman"/>
          <w:sz w:val="24"/>
          <w:szCs w:val="24"/>
        </w:rPr>
        <w:t xml:space="preserve">Kufizimi i deficitit buxhetor në 2% të BPV-së (në baza vjetore), </w:t>
      </w:r>
    </w:p>
    <w:p w14:paraId="7706972B" w14:textId="77777777" w:rsidR="00085F16" w:rsidRPr="00B922C3" w:rsidRDefault="00085F16" w:rsidP="00802FB3">
      <w:pPr>
        <w:pStyle w:val="ListParagraph"/>
        <w:numPr>
          <w:ilvl w:val="0"/>
          <w:numId w:val="98"/>
        </w:numPr>
        <w:shd w:val="clear" w:color="auto" w:fill="FFFFFF"/>
        <w:tabs>
          <w:tab w:val="left" w:pos="117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rFonts w:ascii="Times New Roman" w:hAnsi="Times New Roman" w:cs="Times New Roman"/>
          <w:sz w:val="24"/>
          <w:szCs w:val="24"/>
        </w:rPr>
      </w:pPr>
      <w:r w:rsidRPr="00B922C3">
        <w:rPr>
          <w:rFonts w:ascii="Times New Roman" w:hAnsi="Times New Roman" w:cs="Times New Roman"/>
          <w:sz w:val="24"/>
          <w:szCs w:val="24"/>
        </w:rPr>
        <w:t>Investimet shtesë përmes Klauzolës për Investime (në periudhë afatmesme dhe afatgjate);</w:t>
      </w:r>
    </w:p>
    <w:p w14:paraId="52E254FD" w14:textId="77777777" w:rsidR="00085F16" w:rsidRPr="00B922C3" w:rsidRDefault="00085F16" w:rsidP="00802FB3">
      <w:pPr>
        <w:pStyle w:val="ListParagraph"/>
        <w:numPr>
          <w:ilvl w:val="0"/>
          <w:numId w:val="98"/>
        </w:numPr>
        <w:shd w:val="clear" w:color="auto" w:fill="FFFFFF"/>
        <w:tabs>
          <w:tab w:val="left" w:pos="117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rFonts w:ascii="Times New Roman" w:hAnsi="Times New Roman" w:cs="Times New Roman"/>
          <w:sz w:val="24"/>
          <w:szCs w:val="24"/>
        </w:rPr>
      </w:pPr>
      <w:r w:rsidRPr="00B922C3">
        <w:rPr>
          <w:rFonts w:ascii="Times New Roman" w:hAnsi="Times New Roman" w:cs="Times New Roman"/>
          <w:sz w:val="24"/>
          <w:szCs w:val="24"/>
        </w:rPr>
        <w:t xml:space="preserve">Mirëmbajtja e një niveli adekuat të rezervës fiskale (në baza vjetore), dhe  </w:t>
      </w:r>
    </w:p>
    <w:p w14:paraId="4FE35E3A" w14:textId="77777777" w:rsidR="00085F16" w:rsidRPr="00B922C3" w:rsidRDefault="00085F16" w:rsidP="00802FB3">
      <w:pPr>
        <w:pStyle w:val="ListParagraph"/>
        <w:numPr>
          <w:ilvl w:val="0"/>
          <w:numId w:val="98"/>
        </w:numPr>
        <w:shd w:val="clear" w:color="auto" w:fill="FFFFFF"/>
        <w:tabs>
          <w:tab w:val="left" w:pos="117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rFonts w:ascii="Times New Roman" w:hAnsi="Times New Roman" w:cs="Times New Roman"/>
          <w:sz w:val="24"/>
          <w:szCs w:val="24"/>
        </w:rPr>
      </w:pPr>
      <w:r w:rsidRPr="00B922C3">
        <w:rPr>
          <w:rFonts w:ascii="Times New Roman" w:hAnsi="Times New Roman" w:cs="Times New Roman"/>
          <w:sz w:val="24"/>
          <w:szCs w:val="24"/>
        </w:rPr>
        <w:t>Kufizimi i borxhit publik në 40% të BPV (në periudhë afatgjate).</w:t>
      </w:r>
    </w:p>
    <w:p w14:paraId="60A2BB9F" w14:textId="77777777" w:rsidR="00085F16" w:rsidRPr="00B922C3" w:rsidRDefault="00085F16" w:rsidP="00085F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rFonts w:ascii="Times New Roman" w:hAnsi="Times New Roman" w:cs="Times New Roman"/>
          <w:sz w:val="24"/>
          <w:szCs w:val="24"/>
        </w:rPr>
      </w:pPr>
      <w:r w:rsidRPr="00B922C3">
        <w:rPr>
          <w:rFonts w:ascii="Times New Roman" w:hAnsi="Times New Roman" w:cs="Times New Roman"/>
          <w:sz w:val="24"/>
          <w:szCs w:val="24"/>
        </w:rPr>
        <w:t>Implementimi me sukses i këtyre rregullave siguron stabilitet dhe qëndrueshmëri makro-fiskale, dhe në të njëjtën kohë, i jep hapësirë fiskale Qeverisë për të adresuar mangësitë kyçe të infrastrukturës publike, përmes financimit të projekteve investive me karakter publik nga kreditë koncesionare dhe fondet e likuidimit të NSH-ve, i cili financim, sipas LMFPP është i përjashtuar nga kufiri i deficitit prej 2% të BPV-së.</w:t>
      </w:r>
    </w:p>
    <w:p w14:paraId="5E04B9D2" w14:textId="77777777" w:rsidR="00085F16" w:rsidRPr="00B922C3" w:rsidRDefault="00085F16" w:rsidP="00085F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rFonts w:ascii="Times New Roman" w:hAnsi="Times New Roman" w:cs="Times New Roman"/>
          <w:sz w:val="24"/>
          <w:szCs w:val="24"/>
        </w:rPr>
      </w:pPr>
      <w:r w:rsidRPr="00B922C3">
        <w:rPr>
          <w:rFonts w:ascii="Times New Roman" w:hAnsi="Times New Roman" w:cs="Times New Roman"/>
          <w:sz w:val="24"/>
          <w:szCs w:val="24"/>
        </w:rPr>
        <w:t>Krahas implementimit të rregullave të listuara më lartë, Qeveria e Kosovës do ti kushtoj një vëmendje të veçantë politikave tatimore dhe administrimit të tatimeve, duke u siguruar se çdo ndryshim në sistemin aktual, do të bëhet në konsultim me të gjitha palët e interesit, e në veçanti me komunitetin e bizneseve, për tu siguruar se ndryshimet që do të mund të ndodhin, janë në funksion të stimulimit të aktivitetit ekonomik dhe punësimit, si dhe financimit të qëndrueshëm të operacioneve të Qeverisë. Nga konteksti i administrimit të tatimeve, do të vazhdohet me automatizimin e shërbimeve për tatimpaguesit, zvogëlimin e komunikimit direkt midis zyrtarëve tatimor dhe tatimpaguesve, aplikimin e qasjes të bazuar në rrezik dhe e gjithë kjo do të ndikoj në përmirësimin e kualitetit të shërbimeve, rritjen e përmbushjes vullnetare dhe zvogëlimin e informalitetit.</w:t>
      </w:r>
    </w:p>
    <w:p w14:paraId="76599F2D" w14:textId="77777777" w:rsidR="00085F16" w:rsidRPr="00B922C3" w:rsidRDefault="00085F16" w:rsidP="00085F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rFonts w:ascii="Times New Roman" w:hAnsi="Times New Roman" w:cs="Times New Roman"/>
          <w:sz w:val="24"/>
          <w:szCs w:val="24"/>
        </w:rPr>
      </w:pPr>
      <w:r w:rsidRPr="00B922C3">
        <w:rPr>
          <w:rFonts w:ascii="Times New Roman" w:hAnsi="Times New Roman" w:cs="Times New Roman"/>
          <w:sz w:val="24"/>
          <w:szCs w:val="24"/>
        </w:rPr>
        <w:t xml:space="preserve"> Në këtë drejtim, objektivat fiskale afatmesme të Qeverisë janë si në vijim:</w:t>
      </w:r>
    </w:p>
    <w:p w14:paraId="673C8525" w14:textId="77777777" w:rsidR="00085F16" w:rsidRPr="00B922C3" w:rsidRDefault="00085F16" w:rsidP="00802FB3">
      <w:pPr>
        <w:pStyle w:val="ListParagraph"/>
        <w:numPr>
          <w:ilvl w:val="0"/>
          <w:numId w:val="99"/>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rFonts w:ascii="Times New Roman" w:hAnsi="Times New Roman" w:cs="Times New Roman"/>
          <w:sz w:val="24"/>
          <w:szCs w:val="24"/>
        </w:rPr>
      </w:pPr>
      <w:r w:rsidRPr="00B922C3">
        <w:rPr>
          <w:rFonts w:ascii="Times New Roman" w:hAnsi="Times New Roman" w:cs="Times New Roman"/>
          <w:sz w:val="24"/>
          <w:szCs w:val="24"/>
        </w:rPr>
        <w:t xml:space="preserve">Sigurimi i financimit të qëndrueshëm të aktiviteteve publike të Qeverisë, duke u siguruar se politikat tatimore janë në funksion të stimulimit të aktivitetit në sektorin privat dhe që gjenerojnë të hyra stabile për buxhetin e shtetit; </w:t>
      </w:r>
    </w:p>
    <w:p w14:paraId="17CCC9C4" w14:textId="77777777" w:rsidR="00085F16" w:rsidRPr="00B922C3" w:rsidRDefault="00085F16" w:rsidP="00802FB3">
      <w:pPr>
        <w:pStyle w:val="ListParagraph"/>
        <w:numPr>
          <w:ilvl w:val="0"/>
          <w:numId w:val="99"/>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rFonts w:ascii="Times New Roman" w:hAnsi="Times New Roman" w:cs="Times New Roman"/>
          <w:sz w:val="24"/>
          <w:szCs w:val="24"/>
        </w:rPr>
      </w:pPr>
      <w:r w:rsidRPr="00B922C3">
        <w:rPr>
          <w:rFonts w:ascii="Times New Roman" w:hAnsi="Times New Roman" w:cs="Times New Roman"/>
          <w:sz w:val="24"/>
          <w:szCs w:val="24"/>
        </w:rPr>
        <w:t>Mobilizimi i të hyrave duke zgjeruar bazën tatimore në vend të rritjes së normave tatimore statutore.</w:t>
      </w:r>
    </w:p>
    <w:p w14:paraId="26651835" w14:textId="77777777" w:rsidR="00085F16" w:rsidRPr="00B922C3" w:rsidRDefault="00085F16" w:rsidP="00802FB3">
      <w:pPr>
        <w:pStyle w:val="ListParagraph"/>
        <w:numPr>
          <w:ilvl w:val="0"/>
          <w:numId w:val="99"/>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rFonts w:ascii="Times New Roman" w:hAnsi="Times New Roman" w:cs="Times New Roman"/>
          <w:sz w:val="24"/>
          <w:szCs w:val="24"/>
        </w:rPr>
      </w:pPr>
      <w:r w:rsidRPr="00B922C3">
        <w:rPr>
          <w:rFonts w:ascii="Times New Roman" w:hAnsi="Times New Roman" w:cs="Times New Roman"/>
          <w:sz w:val="24"/>
          <w:szCs w:val="24"/>
        </w:rPr>
        <w:t>Thjeshtëzimi i tarifave administrative dhe zvogëlimi i barrës rregullative.</w:t>
      </w:r>
    </w:p>
    <w:p w14:paraId="0F5E5EFB" w14:textId="77777777" w:rsidR="00085F16" w:rsidRPr="00B922C3" w:rsidRDefault="00085F16" w:rsidP="00802FB3">
      <w:pPr>
        <w:pStyle w:val="ListParagraph"/>
        <w:numPr>
          <w:ilvl w:val="0"/>
          <w:numId w:val="99"/>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rFonts w:ascii="Times New Roman" w:hAnsi="Times New Roman" w:cs="Times New Roman"/>
          <w:sz w:val="24"/>
          <w:szCs w:val="24"/>
        </w:rPr>
      </w:pPr>
      <w:r w:rsidRPr="00B922C3">
        <w:rPr>
          <w:rFonts w:ascii="Times New Roman" w:hAnsi="Times New Roman" w:cs="Times New Roman"/>
          <w:sz w:val="24"/>
          <w:szCs w:val="24"/>
        </w:rPr>
        <w:t>Mbajtja e një strukturë të balancuar të buxhetit, me një dominim të investimeve kapitale për të adresuar pengesat strukturore, përmes përmirësimit të infrastrukturës publike.</w:t>
      </w:r>
    </w:p>
    <w:p w14:paraId="326E7FBA" w14:textId="77777777" w:rsidR="00085F16" w:rsidRPr="00B922C3" w:rsidRDefault="00085F16" w:rsidP="00802FB3">
      <w:pPr>
        <w:pStyle w:val="ListParagraph"/>
        <w:numPr>
          <w:ilvl w:val="0"/>
          <w:numId w:val="99"/>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rFonts w:ascii="Times New Roman" w:hAnsi="Times New Roman" w:cs="Times New Roman"/>
          <w:sz w:val="24"/>
          <w:szCs w:val="24"/>
        </w:rPr>
      </w:pPr>
      <w:r w:rsidRPr="00B922C3">
        <w:rPr>
          <w:rFonts w:ascii="Times New Roman" w:hAnsi="Times New Roman" w:cs="Times New Roman"/>
          <w:sz w:val="24"/>
          <w:szCs w:val="24"/>
        </w:rPr>
        <w:t>Sigurimi i financimit adekuat për fushat me prioritet, siç janë institucionet e fushës së drejtësisë, sektori i sigurisë, shëndetësia dhe arsimi.</w:t>
      </w:r>
    </w:p>
    <w:p w14:paraId="5426D36B" w14:textId="77777777" w:rsidR="00085F16" w:rsidRPr="00B922C3" w:rsidRDefault="00085F16" w:rsidP="00802FB3">
      <w:pPr>
        <w:pStyle w:val="ListParagraph"/>
        <w:numPr>
          <w:ilvl w:val="0"/>
          <w:numId w:val="99"/>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rFonts w:ascii="Times New Roman" w:hAnsi="Times New Roman" w:cs="Times New Roman"/>
          <w:sz w:val="24"/>
          <w:szCs w:val="24"/>
        </w:rPr>
      </w:pPr>
      <w:r w:rsidRPr="00B922C3">
        <w:rPr>
          <w:rFonts w:ascii="Times New Roman" w:hAnsi="Times New Roman" w:cs="Times New Roman"/>
          <w:sz w:val="24"/>
          <w:szCs w:val="24"/>
        </w:rPr>
        <w:t>Përmirësimi i efektivitetit të shpenzimeve sociale dhe subvencioneve bujqësore përmes targetimit më të mirë.</w:t>
      </w:r>
    </w:p>
    <w:p w14:paraId="70898955" w14:textId="77777777" w:rsidR="00085F16" w:rsidRPr="00B922C3" w:rsidRDefault="00085F16" w:rsidP="00802FB3">
      <w:pPr>
        <w:pStyle w:val="ListParagraph"/>
        <w:numPr>
          <w:ilvl w:val="0"/>
          <w:numId w:val="99"/>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rFonts w:ascii="Times New Roman" w:hAnsi="Times New Roman" w:cs="Times New Roman"/>
          <w:sz w:val="24"/>
          <w:szCs w:val="24"/>
        </w:rPr>
      </w:pPr>
      <w:r w:rsidRPr="00B922C3">
        <w:rPr>
          <w:rFonts w:ascii="Times New Roman" w:hAnsi="Times New Roman" w:cs="Times New Roman"/>
          <w:sz w:val="24"/>
          <w:szCs w:val="24"/>
        </w:rPr>
        <w:t>Mbajtja e nivelit të ulët të deficitit të rregullt (sipas definicionit të rregullës fiskale), dhe kështu mbajtja nën kontroll e borxhit publik.</w:t>
      </w:r>
    </w:p>
    <w:p w14:paraId="67667D6F" w14:textId="77777777" w:rsidR="00085F16" w:rsidRPr="00B922C3" w:rsidRDefault="00085F16" w:rsidP="00085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rFonts w:ascii="Times New Roman" w:hAnsi="Times New Roman" w:cs="Times New Roman"/>
          <w:sz w:val="24"/>
          <w:szCs w:val="24"/>
        </w:rPr>
      </w:pPr>
      <w:r w:rsidRPr="00B922C3">
        <w:rPr>
          <w:rFonts w:ascii="Times New Roman" w:hAnsi="Times New Roman" w:cs="Times New Roman"/>
          <w:sz w:val="24"/>
          <w:szCs w:val="24"/>
        </w:rPr>
        <w:t>Bazuar në këto objektiva, buxheti i vitit 2020 ka ndarë hapësirën fiskale që rezulton nga rritja e parashikuar e të hyrave për: a) shpenzime më të larta operative për sektorët prioritarë; dhe b) shpenzime më të larta kapitale për të adresuar mangësitë strukturore. Megjithatë, një nga sfidat kryesore fiskale për arritjen e këtyre objektivave, mbetet mbajtja nën kontroll e shpenzimeve për financimin e skemave të ndryshme sociale, që nga viti në vit, po vijnë duke u rritur.</w:t>
      </w:r>
    </w:p>
    <w:p w14:paraId="61E6F964" w14:textId="77777777" w:rsidR="00085F16" w:rsidRPr="00B922C3" w:rsidRDefault="00085F16" w:rsidP="00085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rFonts w:ascii="Times New Roman" w:hAnsi="Times New Roman" w:cs="Times New Roman"/>
          <w:sz w:val="24"/>
          <w:szCs w:val="24"/>
        </w:rPr>
      </w:pPr>
      <w:r w:rsidRPr="00B922C3">
        <w:rPr>
          <w:rFonts w:ascii="Times New Roman" w:hAnsi="Times New Roman" w:cs="Times New Roman"/>
          <w:sz w:val="24"/>
          <w:szCs w:val="24"/>
        </w:rPr>
        <w:t>Për sa i përket të hyrave buxhetore për vitin 2020 dhe vitet në vijim, projeksionet tona janë të bazuara në supozime të arsyeshme për të gjitha burimet e financimit (të hyrat tatimore, jo-tatimore, si dhe financimi i brendshëm dhe i jashtëm). Pjesa më e madhe e humbjeve të të hyrave nga zbatimi i Marrëveshjes së Stabilizim Asociimit (MSA) tashmë është absorbuar dhe është plotësisht e llogaritur në periudhën afatmesme.</w:t>
      </w:r>
    </w:p>
    <w:p w14:paraId="74FA6B02" w14:textId="77777777" w:rsidR="00085F16" w:rsidRPr="00B922C3" w:rsidRDefault="00085F16" w:rsidP="00085F16">
      <w:pPr>
        <w:spacing w:after="120" w:line="276" w:lineRule="auto"/>
        <w:jc w:val="both"/>
        <w:rPr>
          <w:rFonts w:ascii="Times New Roman" w:hAnsi="Times New Roman" w:cs="Times New Roman"/>
          <w:sz w:val="24"/>
          <w:szCs w:val="24"/>
        </w:rPr>
      </w:pPr>
      <w:r w:rsidRPr="00B922C3">
        <w:rPr>
          <w:rFonts w:ascii="Times New Roman" w:hAnsi="Times New Roman" w:cs="Times New Roman"/>
          <w:sz w:val="24"/>
          <w:szCs w:val="24"/>
        </w:rPr>
        <w:t>Që nga 1 janari 2018, Qeveria gjithashtu paraqiti një skemë të re nxitjeje tatimore që liron kompanitë e çertifikuara si "prodhues vendor" nga obligimi për të paguar detyrimet doganore dhe akcizat për lëndët e tyre të para të përdorur në prodhim. Kjo masë fiskale që synon stimulimin e kapaciteteve prodhuese në vend, natyrisht do të vazhdoj edhe në vitet e ardhshme, ndërsa efektet në të hyrat tatimore, që pritet të jenë modeste, tani më janë integruar në projeksionet tatimore për periudhën afatmesme.</w:t>
      </w:r>
    </w:p>
    <w:p w14:paraId="45E82B54" w14:textId="77777777" w:rsidR="00085F16" w:rsidRPr="00B922C3" w:rsidRDefault="00085F16" w:rsidP="00802FB3">
      <w:pPr>
        <w:pStyle w:val="ERPL20"/>
        <w:numPr>
          <w:ilvl w:val="1"/>
          <w:numId w:val="80"/>
        </w:numPr>
        <w:ind w:left="990" w:hanging="450"/>
        <w:rPr>
          <w:rFonts w:ascii="Times New Roman" w:hAnsi="Times New Roman"/>
        </w:rPr>
      </w:pPr>
      <w:bookmarkStart w:id="125" w:name="_Toc25873731"/>
      <w:bookmarkStart w:id="126" w:name="_Toc531359884"/>
      <w:r w:rsidRPr="00B922C3">
        <w:rPr>
          <w:rFonts w:ascii="Times New Roman" w:hAnsi="Times New Roman"/>
        </w:rPr>
        <w:t xml:space="preserve">Implementimi i buxhetit 2019 </w:t>
      </w:r>
      <w:r w:rsidRPr="00B922C3">
        <w:rPr>
          <w:rFonts w:ascii="Times New Roman" w:hAnsi="Times New Roman"/>
          <w:iCs/>
        </w:rPr>
        <w:t>(janar-tetor)</w:t>
      </w:r>
      <w:bookmarkEnd w:id="125"/>
      <w:r w:rsidRPr="00B922C3">
        <w:rPr>
          <w:rFonts w:ascii="Times New Roman" w:hAnsi="Times New Roman"/>
        </w:rPr>
        <w:t xml:space="preserve"> </w:t>
      </w:r>
      <w:bookmarkEnd w:id="126"/>
    </w:p>
    <w:p w14:paraId="76D31C3D" w14:textId="77777777" w:rsidR="00085F16" w:rsidRPr="00B922C3" w:rsidRDefault="00085F16" w:rsidP="00085F16">
      <w:pPr>
        <w:spacing w:after="120" w:line="276" w:lineRule="auto"/>
        <w:jc w:val="both"/>
        <w:rPr>
          <w:rFonts w:ascii="Times New Roman" w:hAnsi="Times New Roman" w:cs="Times New Roman"/>
          <w:sz w:val="24"/>
          <w:szCs w:val="24"/>
        </w:rPr>
      </w:pPr>
      <w:r w:rsidRPr="00B922C3">
        <w:rPr>
          <w:rFonts w:ascii="Times New Roman" w:hAnsi="Times New Roman" w:cs="Times New Roman"/>
          <w:sz w:val="24"/>
          <w:szCs w:val="24"/>
        </w:rPr>
        <w:t>Sipas të dhënave preliminare fiskale, buxheti i vitit 2019 përgjithësisht ka pasur një përmbushje të mirë si në anën e të hyrave, ashtu edhe tek shpenzimet. Rregulla fiskale e deficitit është respektuar duke arritur suficit prej 1.30% të BPV-së së parashikuar, e që është nën kufirin prej 2%. Njëherit, bilanci i parasë së gatshme në fundvit shënoi normën prej 8.01% të BPV-së, që poashtu është në linjë me rregullat e aplikueshme fiskale (4.5% minimum në rast të përdorimit të fondeve nga AKP).</w:t>
      </w:r>
    </w:p>
    <w:p w14:paraId="1BEF517D" w14:textId="77777777" w:rsidR="00085F16" w:rsidRPr="00B922C3" w:rsidRDefault="00085F16" w:rsidP="00085F16">
      <w:pPr>
        <w:spacing w:after="120" w:line="276" w:lineRule="auto"/>
        <w:jc w:val="both"/>
        <w:rPr>
          <w:rFonts w:ascii="Times New Roman" w:hAnsi="Times New Roman" w:cs="Times New Roman"/>
          <w:sz w:val="24"/>
          <w:szCs w:val="24"/>
        </w:rPr>
      </w:pPr>
      <w:r w:rsidRPr="00B922C3">
        <w:rPr>
          <w:rFonts w:ascii="Times New Roman" w:hAnsi="Times New Roman" w:cs="Times New Roman"/>
          <w:sz w:val="24"/>
          <w:szCs w:val="24"/>
        </w:rPr>
        <w:t xml:space="preserve">Për sa i përket të hyrave, dy agjencionet respektive përgjegjëse për mbledhjen e të hyrave (ATK dhe Dogana) arritën një përmbushje të mirë të planit të të hyrave. </w:t>
      </w:r>
    </w:p>
    <w:p w14:paraId="4715EFAB" w14:textId="77777777" w:rsidR="00085F16" w:rsidRPr="00B922C3" w:rsidRDefault="00085F16" w:rsidP="00085F16">
      <w:pPr>
        <w:spacing w:after="120" w:line="276" w:lineRule="auto"/>
        <w:jc w:val="both"/>
        <w:rPr>
          <w:rFonts w:ascii="Times New Roman" w:hAnsi="Times New Roman" w:cs="Times New Roman"/>
          <w:sz w:val="24"/>
          <w:szCs w:val="24"/>
        </w:rPr>
      </w:pPr>
      <w:r w:rsidRPr="00B922C3">
        <w:rPr>
          <w:rFonts w:ascii="Times New Roman" w:hAnsi="Times New Roman" w:cs="Times New Roman"/>
          <w:sz w:val="24"/>
          <w:szCs w:val="24"/>
        </w:rPr>
        <w:t xml:space="preserve">Përveç të hyrave buxhetore, kishte një përmbushje të mirë edhe për sa i përket burimeve të tjera të financimit, ku me përjashtim të financimit nga huamarrjet e jashtme, financimi i brendshëm (letrat me vlerë dhe financimi nga AKP) ishte në linjë me parashikimet buxhetore. </w:t>
      </w:r>
    </w:p>
    <w:p w14:paraId="2F9842FF" w14:textId="77777777" w:rsidR="00085F16" w:rsidRPr="00B922C3" w:rsidRDefault="00085F16" w:rsidP="00085F16">
      <w:pPr>
        <w:spacing w:after="120" w:line="276" w:lineRule="auto"/>
        <w:jc w:val="both"/>
        <w:rPr>
          <w:rFonts w:ascii="Times New Roman" w:hAnsi="Times New Roman" w:cs="Times New Roman"/>
          <w:sz w:val="24"/>
          <w:szCs w:val="24"/>
        </w:rPr>
      </w:pPr>
      <w:r w:rsidRPr="00B922C3">
        <w:rPr>
          <w:rFonts w:ascii="Times New Roman" w:hAnsi="Times New Roman" w:cs="Times New Roman"/>
          <w:sz w:val="24"/>
          <w:szCs w:val="24"/>
        </w:rPr>
        <w:t>Sa i përket shpenzimeve buxhetore, ato shënuan normë të ekzekutimit me tendencë të nivelit të parashikuar të shpenzimeve rrjedhëse, ndërsa nivel shumë më i ulët i ekzekutimit tek shpenzimeve kapitale, krahasuar me parashikimet.</w:t>
      </w:r>
    </w:p>
    <w:p w14:paraId="7F4EFC3C" w14:textId="77777777" w:rsidR="00085F16" w:rsidRPr="00B922C3" w:rsidRDefault="00085F16" w:rsidP="00085F16">
      <w:pPr>
        <w:spacing w:after="120" w:line="276" w:lineRule="auto"/>
        <w:jc w:val="both"/>
        <w:rPr>
          <w:rFonts w:ascii="Times New Roman" w:hAnsi="Times New Roman" w:cs="Times New Roman"/>
          <w:sz w:val="24"/>
          <w:szCs w:val="24"/>
        </w:rPr>
      </w:pPr>
      <w:r w:rsidRPr="00B922C3">
        <w:rPr>
          <w:rFonts w:ascii="Times New Roman" w:hAnsi="Times New Roman" w:cs="Times New Roman"/>
          <w:sz w:val="24"/>
          <w:szCs w:val="24"/>
        </w:rPr>
        <w:t xml:space="preserve">Vlenë të theksohet se në raport me buxhetin, transferet sociale shënuan rritje, si rrjedhojë e mos-implementimit të reformës për skemën e veteranëve të luftës, si dhe tejkalimit të shpenzimeve të planifikuara për skemat tjera përfituese. Përkundër faktit se buxheti i vitit 2019 kishte supozuar se do kryhet ri-kategorizimi në skemën e veteranëve të luftës, kjo nuk ndodhi dhe si pasojë, shpenzimet mbetën ende në nivel të lartë. </w:t>
      </w:r>
    </w:p>
    <w:p w14:paraId="142F9491" w14:textId="77777777" w:rsidR="00085F16" w:rsidRPr="00B922C3" w:rsidRDefault="00085F16" w:rsidP="00085F16">
      <w:pPr>
        <w:spacing w:after="120" w:line="276" w:lineRule="auto"/>
        <w:jc w:val="both"/>
        <w:rPr>
          <w:rFonts w:ascii="Times New Roman" w:hAnsi="Times New Roman" w:cs="Times New Roman"/>
          <w:sz w:val="24"/>
          <w:szCs w:val="24"/>
        </w:rPr>
      </w:pPr>
      <w:r w:rsidRPr="00B922C3">
        <w:rPr>
          <w:rFonts w:ascii="Times New Roman" w:hAnsi="Times New Roman" w:cs="Times New Roman"/>
          <w:b/>
          <w:sz w:val="24"/>
          <w:szCs w:val="24"/>
        </w:rPr>
        <w:t xml:space="preserve">Të hyrat buxhetore </w:t>
      </w:r>
      <w:r w:rsidRPr="00B922C3">
        <w:rPr>
          <w:rFonts w:ascii="Times New Roman" w:hAnsi="Times New Roman" w:cs="Times New Roman"/>
          <w:sz w:val="24"/>
          <w:szCs w:val="24"/>
        </w:rPr>
        <w:t>kishin një performancë të mirë në raport me pritjet sipas buxhetit. Të hyrat tatimore u përmbushën deri në 96.5% dhe ato jo – tatimore deri në 106.7%. Në raport me vitin 2018, kjo shënoi rritje prej 6.3% dhe 13.1% të të hyrave tatimore dhe atyre jo – tatimore, respektivisht.</w:t>
      </w:r>
    </w:p>
    <w:p w14:paraId="00634171" w14:textId="77777777" w:rsidR="00085F16" w:rsidRPr="00B922C3" w:rsidRDefault="00085F16" w:rsidP="00085F16">
      <w:pPr>
        <w:spacing w:after="120" w:line="276" w:lineRule="auto"/>
        <w:jc w:val="both"/>
        <w:rPr>
          <w:rFonts w:ascii="Times New Roman" w:hAnsi="Times New Roman" w:cs="Times New Roman"/>
          <w:sz w:val="24"/>
          <w:szCs w:val="24"/>
        </w:rPr>
      </w:pPr>
      <w:r w:rsidRPr="00B922C3">
        <w:rPr>
          <w:rFonts w:ascii="Times New Roman" w:hAnsi="Times New Roman" w:cs="Times New Roman"/>
          <w:sz w:val="24"/>
          <w:szCs w:val="24"/>
        </w:rPr>
        <w:t xml:space="preserve">Të hyrat nga TVSH u rritën për 5.1% (në linjë me parashikimet) krahasuar me vitin paraprak. Në anën tjetër, të hyrat nga detyrimet doganore, tejkaluan parashikimet dhe mbetën më të larta në krahasim me vitin 2018 për 6.5%. </w:t>
      </w:r>
    </w:p>
    <w:p w14:paraId="7AD23974" w14:textId="77777777" w:rsidR="00085F16" w:rsidRPr="00B922C3" w:rsidRDefault="00085F16" w:rsidP="00085F16">
      <w:pPr>
        <w:spacing w:after="120" w:line="276" w:lineRule="auto"/>
        <w:jc w:val="both"/>
        <w:rPr>
          <w:rFonts w:ascii="Times New Roman" w:hAnsi="Times New Roman" w:cs="Times New Roman"/>
          <w:sz w:val="24"/>
          <w:szCs w:val="24"/>
        </w:rPr>
      </w:pPr>
      <w:r w:rsidRPr="00B922C3">
        <w:rPr>
          <w:rFonts w:ascii="Times New Roman" w:hAnsi="Times New Roman" w:cs="Times New Roman"/>
          <w:sz w:val="24"/>
          <w:szCs w:val="24"/>
        </w:rPr>
        <w:t>Pavarësisht pritjeve për zvogëlimin e importit të veturave të përdorura (për shkak të rregullave për ndalimin e importit të veturave të vjetra), autoritetet arritën të grumbullojnë të hyra më tepër nga akciza se në vitin paraprak. Ndërsa të hyrat nga akciza totale për këtë periudhë(Jan-Tet) janë për 3.3% më të larta se sa periudha e njejtë e vitit të kaluar, por rreth 23 milionë janë më pak të hyra nga akciza në total nga vlera e parashikuar. Kjo kryesisht për shkak të ligjit për ndalimin e lojërave të fatit i cili u aprovua në mars të këtij viti.</w:t>
      </w:r>
    </w:p>
    <w:p w14:paraId="2240A631" w14:textId="2CD85E37" w:rsidR="00085F16" w:rsidRPr="00B922C3" w:rsidRDefault="00085F16" w:rsidP="00085F16">
      <w:pPr>
        <w:spacing w:after="120" w:line="276" w:lineRule="auto"/>
        <w:jc w:val="both"/>
        <w:rPr>
          <w:rFonts w:ascii="Times New Roman" w:hAnsi="Times New Roman" w:cs="Times New Roman"/>
          <w:sz w:val="24"/>
          <w:szCs w:val="24"/>
        </w:rPr>
      </w:pPr>
      <w:r w:rsidRPr="00B922C3">
        <w:rPr>
          <w:rFonts w:ascii="Times New Roman" w:hAnsi="Times New Roman" w:cs="Times New Roman"/>
          <w:sz w:val="24"/>
          <w:szCs w:val="24"/>
        </w:rPr>
        <w:t>Tatimi në të ardhura personale si kontribues kryesor në tatime direkte, tejkaloj projeksionet për 7.9%. Në anën tjetër, të hyrat nga tatimi në të ardhura të korporatave shënuan rritje prej 10.0% në raport me vitin paraprak. Andaj në tërësi, të hyrat indirekte arritën 95.2% përmbushje të planit, ndërsa të hyrat direkte në 101.3%.</w:t>
      </w:r>
    </w:p>
    <w:p w14:paraId="253457EE" w14:textId="77777777" w:rsidR="00085F16" w:rsidRPr="00B922C3" w:rsidRDefault="00085F16" w:rsidP="00085F16">
      <w:pPr>
        <w:spacing w:after="120" w:line="276" w:lineRule="auto"/>
        <w:jc w:val="both"/>
        <w:rPr>
          <w:rFonts w:ascii="Times New Roman" w:hAnsi="Times New Roman" w:cs="Times New Roman"/>
          <w:sz w:val="24"/>
          <w:szCs w:val="24"/>
        </w:rPr>
      </w:pPr>
      <w:r w:rsidRPr="00B922C3">
        <w:rPr>
          <w:rFonts w:ascii="Times New Roman" w:hAnsi="Times New Roman" w:cs="Times New Roman"/>
          <w:sz w:val="24"/>
          <w:szCs w:val="24"/>
        </w:rPr>
        <w:t xml:space="preserve">Të hyrat jo–tatimore treguan rritje krahasuar me periudhën paraprake dhe tejkaluan parashikimet fillestare me 13.1%. Të hyrat nga niveli lokal arritën 90.3% të vlerës së projektuar.  </w:t>
      </w:r>
    </w:p>
    <w:p w14:paraId="641E0CCA" w14:textId="77777777" w:rsidR="00085F16" w:rsidRPr="00B922C3" w:rsidRDefault="00085F16" w:rsidP="00085F16">
      <w:pPr>
        <w:spacing w:after="120" w:line="276" w:lineRule="auto"/>
        <w:jc w:val="both"/>
        <w:rPr>
          <w:rFonts w:ascii="Times New Roman" w:hAnsi="Times New Roman" w:cs="Times New Roman"/>
          <w:sz w:val="24"/>
          <w:szCs w:val="24"/>
        </w:rPr>
      </w:pPr>
      <w:r w:rsidRPr="00B922C3">
        <w:rPr>
          <w:rFonts w:ascii="Times New Roman" w:hAnsi="Times New Roman" w:cs="Times New Roman"/>
          <w:b/>
          <w:sz w:val="24"/>
          <w:szCs w:val="24"/>
        </w:rPr>
        <w:t xml:space="preserve">Shpenzimet buxhetore </w:t>
      </w:r>
      <w:r w:rsidRPr="00B922C3">
        <w:rPr>
          <w:rFonts w:ascii="Times New Roman" w:hAnsi="Times New Roman" w:cs="Times New Roman"/>
          <w:sz w:val="24"/>
          <w:szCs w:val="24"/>
        </w:rPr>
        <w:t>ishin më të larta se në vitin 2018, ndërsa</w:t>
      </w:r>
      <w:r w:rsidRPr="00B922C3">
        <w:rPr>
          <w:rFonts w:ascii="Times New Roman" w:hAnsi="Times New Roman" w:cs="Times New Roman"/>
          <w:b/>
          <w:sz w:val="24"/>
          <w:szCs w:val="24"/>
        </w:rPr>
        <w:t xml:space="preserve"> </w:t>
      </w:r>
      <w:r w:rsidRPr="00B922C3">
        <w:rPr>
          <w:rFonts w:ascii="Times New Roman" w:hAnsi="Times New Roman" w:cs="Times New Roman"/>
          <w:sz w:val="24"/>
          <w:szCs w:val="24"/>
        </w:rPr>
        <w:t>norma e ekzekutimit sipas kategorive ekonomike ishte e ndryshme. Për kategorinë e pagave dhe mëditjeve, norma e ekzekutimit ishte 99.0%, mallra dhe shërbime &amp; komunalitë 88.0%, subvencionet dhe transferet 107.6%, dhe shpenzimet kapitale me 59.1% - kjo e fundit e ndikuar kryesisht nga pamundësia për disbursimin e mjeteve nga klauzola investive. Shpenzimet kapitale u ulën për 12.2% krahasuar me vitin 2018. Në përgjithësi, këto ndikuan që ekzekutimi total i shpenzimeve të arrijë normën prej 87.7%, duke reflektuar një rritje prej 4.5% krahasuar me vitin 2018.</w:t>
      </w:r>
    </w:p>
    <w:p w14:paraId="6FDD9E96" w14:textId="77777777" w:rsidR="00085F16" w:rsidRPr="00B922C3" w:rsidRDefault="00085F16" w:rsidP="00085F16">
      <w:pPr>
        <w:spacing w:after="120" w:line="276" w:lineRule="auto"/>
        <w:jc w:val="both"/>
        <w:rPr>
          <w:rFonts w:ascii="Times New Roman" w:hAnsi="Times New Roman" w:cs="Times New Roman"/>
          <w:sz w:val="24"/>
          <w:szCs w:val="24"/>
        </w:rPr>
      </w:pPr>
      <w:r w:rsidRPr="00B922C3">
        <w:rPr>
          <w:rFonts w:ascii="Times New Roman" w:hAnsi="Times New Roman" w:cs="Times New Roman"/>
          <w:sz w:val="24"/>
          <w:szCs w:val="24"/>
        </w:rPr>
        <w:t>Në vazhdim është paraqitur tabela me parametrat kyç të buxhetit të vitit 2019.</w:t>
      </w:r>
      <w:bookmarkStart w:id="127" w:name="_Toc531076016"/>
      <w:r w:rsidRPr="00B922C3">
        <w:rPr>
          <w:rFonts w:ascii="Times New Roman" w:hAnsi="Times New Roman" w:cs="Times New Roman"/>
          <w:sz w:val="24"/>
          <w:szCs w:val="24"/>
        </w:rPr>
        <w:t xml:space="preserve">(Janar-Tetor). </w:t>
      </w:r>
    </w:p>
    <w:p w14:paraId="0D0D9E2D" w14:textId="1DE990FC" w:rsidR="00085F16" w:rsidRPr="00847CB1" w:rsidRDefault="00085F16" w:rsidP="00620506">
      <w:pPr>
        <w:rPr>
          <w:rFonts w:ascii="Times New Roman" w:hAnsi="Times New Roman"/>
          <w:b/>
          <w:i/>
        </w:rPr>
      </w:pPr>
      <w:r w:rsidRPr="00B922C3">
        <w:rPr>
          <w:rFonts w:ascii="Times New Roman" w:hAnsi="Times New Roman" w:cs="Times New Roman"/>
          <w:sz w:val="24"/>
          <w:szCs w:val="24"/>
        </w:rPr>
        <w:br w:type="page"/>
      </w:r>
      <w:bookmarkStart w:id="128" w:name="_Toc25673445"/>
      <w:bookmarkEnd w:id="127"/>
      <w:r w:rsidRPr="00847CB1">
        <w:rPr>
          <w:rFonts w:ascii="Times New Roman" w:hAnsi="Times New Roman"/>
          <w:b/>
          <w:i/>
        </w:rPr>
        <w:t xml:space="preserve">Tabela </w:t>
      </w:r>
      <w:r w:rsidRPr="00847CB1">
        <w:rPr>
          <w:rFonts w:ascii="Times New Roman" w:hAnsi="Times New Roman"/>
          <w:b/>
          <w:i/>
        </w:rPr>
        <w:fldChar w:fldCharType="begin"/>
      </w:r>
      <w:r w:rsidRPr="00847CB1">
        <w:rPr>
          <w:rFonts w:ascii="Times New Roman" w:hAnsi="Times New Roman"/>
          <w:b/>
          <w:i/>
        </w:rPr>
        <w:instrText xml:space="preserve"> SEQ Tabela \* ARABIC </w:instrText>
      </w:r>
      <w:r w:rsidRPr="00847CB1">
        <w:rPr>
          <w:rFonts w:ascii="Times New Roman" w:hAnsi="Times New Roman"/>
          <w:b/>
          <w:i/>
        </w:rPr>
        <w:fldChar w:fldCharType="separate"/>
      </w:r>
      <w:r>
        <w:rPr>
          <w:rFonts w:ascii="Times New Roman" w:hAnsi="Times New Roman"/>
          <w:b/>
          <w:i/>
          <w:noProof/>
        </w:rPr>
        <w:t>7</w:t>
      </w:r>
      <w:r w:rsidRPr="00847CB1">
        <w:rPr>
          <w:rFonts w:ascii="Times New Roman" w:hAnsi="Times New Roman"/>
          <w:b/>
          <w:i/>
        </w:rPr>
        <w:fldChar w:fldCharType="end"/>
      </w:r>
      <w:r w:rsidRPr="00847CB1">
        <w:rPr>
          <w:rFonts w:ascii="Times New Roman" w:hAnsi="Times New Roman"/>
          <w:b/>
          <w:i/>
        </w:rPr>
        <w:t xml:space="preserve"> Veprimtaria e Qeverisë së Përgjithshme, në miliona Euro</w:t>
      </w:r>
      <w:bookmarkEnd w:id="128"/>
    </w:p>
    <w:tbl>
      <w:tblPr>
        <w:tblW w:w="5000" w:type="pct"/>
        <w:shd w:val="clear" w:color="auto" w:fill="DEEAF6" w:themeFill="accent1" w:themeFillTint="33"/>
        <w:tblLook w:val="04A0" w:firstRow="1" w:lastRow="0" w:firstColumn="1" w:lastColumn="0" w:noHBand="0" w:noVBand="1"/>
      </w:tblPr>
      <w:tblGrid>
        <w:gridCol w:w="5439"/>
        <w:gridCol w:w="1384"/>
        <w:gridCol w:w="1083"/>
        <w:gridCol w:w="1444"/>
      </w:tblGrid>
      <w:tr w:rsidR="00085F16" w:rsidRPr="00620506" w14:paraId="13554511" w14:textId="77777777" w:rsidTr="00085F16">
        <w:trPr>
          <w:trHeight w:val="249"/>
        </w:trPr>
        <w:tc>
          <w:tcPr>
            <w:tcW w:w="2909"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5E79CB29" w14:textId="77777777" w:rsidR="00085F16" w:rsidRPr="00620506" w:rsidRDefault="00085F16" w:rsidP="00620506">
            <w:pPr>
              <w:spacing w:after="0" w:line="240" w:lineRule="auto"/>
              <w:jc w:val="center"/>
              <w:rPr>
                <w:rFonts w:ascii="Times New Roman" w:hAnsi="Times New Roman" w:cs="Times New Roman"/>
                <w:sz w:val="20"/>
                <w:szCs w:val="20"/>
                <w:lang w:val="en-US"/>
              </w:rPr>
            </w:pPr>
            <w:bookmarkStart w:id="129" w:name="_Toc504051218"/>
            <w:bookmarkStart w:id="130" w:name="_Toc504051415"/>
            <w:bookmarkStart w:id="131" w:name="_Toc504338920"/>
            <w:r w:rsidRPr="00620506">
              <w:rPr>
                <w:rFonts w:ascii="Times New Roman" w:hAnsi="Times New Roman" w:cs="Times New Roman"/>
                <w:sz w:val="20"/>
                <w:szCs w:val="20"/>
                <w:lang w:val="en-US"/>
              </w:rPr>
              <w:t>Përshkrimi</w:t>
            </w:r>
          </w:p>
        </w:tc>
        <w:tc>
          <w:tcPr>
            <w:tcW w:w="740"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0173C12F" w14:textId="77777777" w:rsidR="00085F16" w:rsidRPr="00620506" w:rsidRDefault="00085F16" w:rsidP="00620506">
            <w:pPr>
              <w:spacing w:after="0" w:line="240" w:lineRule="auto"/>
              <w:jc w:val="center"/>
              <w:rPr>
                <w:rFonts w:ascii="Times New Roman" w:hAnsi="Times New Roman" w:cs="Times New Roman"/>
                <w:sz w:val="20"/>
                <w:szCs w:val="20"/>
              </w:rPr>
            </w:pPr>
            <w:r w:rsidRPr="00620506">
              <w:rPr>
                <w:rFonts w:ascii="Times New Roman" w:hAnsi="Times New Roman" w:cs="Times New Roman"/>
                <w:sz w:val="20"/>
                <w:szCs w:val="20"/>
              </w:rPr>
              <w:t xml:space="preserve">2018 </w:t>
            </w:r>
          </w:p>
        </w:tc>
        <w:tc>
          <w:tcPr>
            <w:tcW w:w="579"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50C6E105" w14:textId="77777777" w:rsidR="00085F16" w:rsidRPr="00620506" w:rsidRDefault="00085F16" w:rsidP="00620506">
            <w:pPr>
              <w:spacing w:after="0" w:line="240" w:lineRule="auto"/>
              <w:jc w:val="center"/>
              <w:rPr>
                <w:rFonts w:ascii="Times New Roman" w:hAnsi="Times New Roman" w:cs="Times New Roman"/>
                <w:sz w:val="20"/>
                <w:szCs w:val="20"/>
              </w:rPr>
            </w:pPr>
            <w:r w:rsidRPr="00620506">
              <w:rPr>
                <w:rFonts w:ascii="Times New Roman" w:hAnsi="Times New Roman" w:cs="Times New Roman"/>
                <w:sz w:val="20"/>
                <w:szCs w:val="20"/>
              </w:rPr>
              <w:t xml:space="preserve">2019 </w:t>
            </w:r>
            <w:r w:rsidRPr="00620506">
              <w:rPr>
                <w:rFonts w:ascii="Times New Roman" w:hAnsi="Times New Roman" w:cs="Times New Roman"/>
                <w:sz w:val="20"/>
                <w:szCs w:val="20"/>
              </w:rPr>
              <w:br/>
              <w:t>Buxhet</w:t>
            </w:r>
          </w:p>
        </w:tc>
        <w:tc>
          <w:tcPr>
            <w:tcW w:w="772"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78B35874" w14:textId="77777777" w:rsidR="00085F16" w:rsidRPr="00620506" w:rsidRDefault="00085F16" w:rsidP="00620506">
            <w:pPr>
              <w:spacing w:after="0" w:line="240" w:lineRule="auto"/>
              <w:jc w:val="center"/>
              <w:rPr>
                <w:rFonts w:ascii="Times New Roman" w:hAnsi="Times New Roman" w:cs="Times New Roman"/>
                <w:sz w:val="20"/>
                <w:szCs w:val="20"/>
              </w:rPr>
            </w:pPr>
            <w:r w:rsidRPr="00620506">
              <w:rPr>
                <w:rFonts w:ascii="Times New Roman" w:hAnsi="Times New Roman" w:cs="Times New Roman"/>
                <w:sz w:val="20"/>
                <w:szCs w:val="20"/>
              </w:rPr>
              <w:t>2019 Realizimi(Jan-Tet)</w:t>
            </w:r>
          </w:p>
        </w:tc>
      </w:tr>
      <w:tr w:rsidR="00085F16" w:rsidRPr="00620506" w14:paraId="66B7D669" w14:textId="77777777" w:rsidTr="00085F16">
        <w:trPr>
          <w:trHeight w:val="92"/>
        </w:trPr>
        <w:tc>
          <w:tcPr>
            <w:tcW w:w="2909" w:type="pct"/>
            <w:tcBorders>
              <w:top w:val="nil"/>
              <w:left w:val="single" w:sz="4" w:space="0" w:color="auto"/>
              <w:bottom w:val="nil"/>
              <w:right w:val="single" w:sz="4" w:space="0" w:color="auto"/>
            </w:tcBorders>
            <w:shd w:val="clear" w:color="auto" w:fill="DEEAF6" w:themeFill="accent1" w:themeFillTint="33"/>
            <w:noWrap/>
            <w:vAlign w:val="bottom"/>
            <w:hideMark/>
          </w:tcPr>
          <w:p w14:paraId="49475872" w14:textId="77777777" w:rsidR="00085F16" w:rsidRPr="00620506" w:rsidRDefault="00085F16" w:rsidP="00620506">
            <w:pPr>
              <w:spacing w:after="0" w:line="240" w:lineRule="auto"/>
              <w:rPr>
                <w:rFonts w:ascii="Times New Roman" w:hAnsi="Times New Roman" w:cs="Times New Roman"/>
                <w:b/>
                <w:bCs/>
                <w:sz w:val="20"/>
                <w:szCs w:val="20"/>
              </w:rPr>
            </w:pPr>
            <w:r w:rsidRPr="00620506">
              <w:rPr>
                <w:rFonts w:ascii="Times New Roman" w:hAnsi="Times New Roman" w:cs="Times New Roman"/>
                <w:b/>
                <w:bCs/>
                <w:sz w:val="20"/>
                <w:szCs w:val="20"/>
              </w:rPr>
              <w:t>1. GJITHSEJ TË HYRAT BUXHETORE</w:t>
            </w:r>
          </w:p>
        </w:tc>
        <w:tc>
          <w:tcPr>
            <w:tcW w:w="740" w:type="pct"/>
            <w:shd w:val="clear" w:color="auto" w:fill="DEEAF6" w:themeFill="accent1" w:themeFillTint="33"/>
            <w:noWrap/>
            <w:hideMark/>
          </w:tcPr>
          <w:p w14:paraId="5118DAE4" w14:textId="77777777" w:rsidR="00085F16" w:rsidRPr="00620506" w:rsidRDefault="00085F16" w:rsidP="00620506">
            <w:pPr>
              <w:spacing w:after="0" w:line="240" w:lineRule="auto"/>
              <w:jc w:val="right"/>
              <w:rPr>
                <w:rFonts w:ascii="Times New Roman" w:hAnsi="Times New Roman" w:cs="Times New Roman"/>
                <w:b/>
                <w:bCs/>
                <w:sz w:val="20"/>
                <w:szCs w:val="20"/>
                <w:lang w:val="en-US"/>
              </w:rPr>
            </w:pPr>
            <w:r w:rsidRPr="00620506">
              <w:rPr>
                <w:rFonts w:ascii="Times New Roman" w:hAnsi="Times New Roman" w:cs="Times New Roman"/>
                <w:b/>
                <w:sz w:val="20"/>
                <w:szCs w:val="20"/>
              </w:rPr>
              <w:t>1,757</w:t>
            </w:r>
          </w:p>
        </w:tc>
        <w:tc>
          <w:tcPr>
            <w:tcW w:w="579" w:type="pct"/>
            <w:shd w:val="clear" w:color="auto" w:fill="DEEAF6" w:themeFill="accent1" w:themeFillTint="33"/>
            <w:noWrap/>
            <w:hideMark/>
          </w:tcPr>
          <w:p w14:paraId="41922FA0" w14:textId="77777777" w:rsidR="00085F16" w:rsidRPr="00620506" w:rsidRDefault="00085F16" w:rsidP="00620506">
            <w:pPr>
              <w:spacing w:after="0" w:line="240" w:lineRule="auto"/>
              <w:jc w:val="right"/>
              <w:rPr>
                <w:rFonts w:ascii="Times New Roman" w:hAnsi="Times New Roman" w:cs="Times New Roman"/>
                <w:b/>
                <w:bCs/>
                <w:sz w:val="20"/>
                <w:szCs w:val="20"/>
                <w:lang w:val="en-US"/>
              </w:rPr>
            </w:pPr>
            <w:r w:rsidRPr="00620506">
              <w:rPr>
                <w:rFonts w:ascii="Times New Roman" w:hAnsi="Times New Roman" w:cs="Times New Roman"/>
                <w:b/>
                <w:sz w:val="20"/>
                <w:szCs w:val="20"/>
              </w:rPr>
              <w:t>1,949</w:t>
            </w:r>
          </w:p>
        </w:tc>
        <w:tc>
          <w:tcPr>
            <w:tcW w:w="772" w:type="pct"/>
            <w:tcBorders>
              <w:top w:val="nil"/>
              <w:left w:val="nil"/>
              <w:bottom w:val="nil"/>
              <w:right w:val="single" w:sz="4" w:space="0" w:color="auto"/>
            </w:tcBorders>
            <w:shd w:val="clear" w:color="auto" w:fill="DEEAF6" w:themeFill="accent1" w:themeFillTint="33"/>
            <w:noWrap/>
            <w:hideMark/>
          </w:tcPr>
          <w:p w14:paraId="2039DBF4" w14:textId="77777777" w:rsidR="00085F16" w:rsidRPr="00620506" w:rsidRDefault="00085F16" w:rsidP="00620506">
            <w:pPr>
              <w:spacing w:after="0" w:line="240" w:lineRule="auto"/>
              <w:jc w:val="right"/>
              <w:rPr>
                <w:rFonts w:ascii="Times New Roman" w:hAnsi="Times New Roman" w:cs="Times New Roman"/>
                <w:b/>
                <w:sz w:val="20"/>
                <w:szCs w:val="20"/>
              </w:rPr>
            </w:pPr>
            <w:r w:rsidRPr="00620506">
              <w:rPr>
                <w:rFonts w:ascii="Times New Roman" w:hAnsi="Times New Roman" w:cs="Times New Roman"/>
                <w:b/>
                <w:sz w:val="20"/>
                <w:szCs w:val="20"/>
              </w:rPr>
              <w:t>1,570</w:t>
            </w:r>
          </w:p>
        </w:tc>
      </w:tr>
      <w:tr w:rsidR="00085F16" w:rsidRPr="00620506" w14:paraId="028BEFBE" w14:textId="77777777" w:rsidTr="00085F16">
        <w:trPr>
          <w:trHeight w:val="253"/>
        </w:trPr>
        <w:tc>
          <w:tcPr>
            <w:tcW w:w="2909" w:type="pct"/>
            <w:tcBorders>
              <w:top w:val="nil"/>
              <w:left w:val="single" w:sz="4" w:space="0" w:color="auto"/>
              <w:bottom w:val="nil"/>
              <w:right w:val="single" w:sz="4" w:space="0" w:color="auto"/>
            </w:tcBorders>
            <w:shd w:val="clear" w:color="auto" w:fill="DEEAF6" w:themeFill="accent1" w:themeFillTint="33"/>
            <w:noWrap/>
            <w:vAlign w:val="bottom"/>
            <w:hideMark/>
          </w:tcPr>
          <w:p w14:paraId="35A971E2" w14:textId="77777777" w:rsidR="00085F16" w:rsidRPr="00620506" w:rsidRDefault="00085F16" w:rsidP="00620506">
            <w:pPr>
              <w:spacing w:after="0" w:line="240" w:lineRule="auto"/>
              <w:ind w:firstLineChars="300" w:firstLine="600"/>
              <w:rPr>
                <w:rFonts w:ascii="Times New Roman" w:hAnsi="Times New Roman" w:cs="Times New Roman"/>
                <w:i/>
                <w:iCs/>
                <w:sz w:val="20"/>
                <w:szCs w:val="20"/>
              </w:rPr>
            </w:pPr>
            <w:r w:rsidRPr="00620506">
              <w:rPr>
                <w:rFonts w:ascii="Times New Roman" w:hAnsi="Times New Roman" w:cs="Times New Roman"/>
                <w:i/>
                <w:iCs/>
                <w:sz w:val="20"/>
                <w:szCs w:val="20"/>
              </w:rPr>
              <w:t>nga të cilat: nga ulja e stokut të borxhit tatimor</w:t>
            </w:r>
          </w:p>
        </w:tc>
        <w:tc>
          <w:tcPr>
            <w:tcW w:w="740" w:type="pct"/>
            <w:shd w:val="clear" w:color="auto" w:fill="DEEAF6" w:themeFill="accent1" w:themeFillTint="33"/>
            <w:noWrap/>
            <w:hideMark/>
          </w:tcPr>
          <w:p w14:paraId="4082A89E" w14:textId="77777777" w:rsidR="00085F16" w:rsidRPr="00FC648F" w:rsidRDefault="00085F16" w:rsidP="00620506">
            <w:pPr>
              <w:spacing w:after="0" w:line="240" w:lineRule="auto"/>
              <w:ind w:firstLineChars="300" w:firstLine="600"/>
              <w:rPr>
                <w:rFonts w:ascii="Times New Roman" w:hAnsi="Times New Roman" w:cs="Times New Roman"/>
                <w:i/>
                <w:iCs/>
                <w:sz w:val="20"/>
                <w:szCs w:val="20"/>
              </w:rPr>
            </w:pPr>
          </w:p>
        </w:tc>
        <w:tc>
          <w:tcPr>
            <w:tcW w:w="579" w:type="pct"/>
            <w:shd w:val="clear" w:color="auto" w:fill="DEEAF6" w:themeFill="accent1" w:themeFillTint="33"/>
            <w:noWrap/>
            <w:hideMark/>
          </w:tcPr>
          <w:p w14:paraId="6F8B941B" w14:textId="77777777" w:rsidR="00085F16" w:rsidRPr="00620506" w:rsidRDefault="00085F16" w:rsidP="00620506">
            <w:pPr>
              <w:spacing w:after="0" w:line="240" w:lineRule="auto"/>
              <w:jc w:val="right"/>
              <w:rPr>
                <w:rFonts w:ascii="Times New Roman" w:hAnsi="Times New Roman" w:cs="Times New Roman"/>
                <w:i/>
                <w:iCs/>
                <w:sz w:val="20"/>
                <w:szCs w:val="20"/>
                <w:lang w:val="en-US"/>
              </w:rPr>
            </w:pPr>
            <w:r w:rsidRPr="00620506">
              <w:rPr>
                <w:rFonts w:ascii="Times New Roman" w:hAnsi="Times New Roman" w:cs="Times New Roman"/>
                <w:sz w:val="20"/>
                <w:szCs w:val="20"/>
              </w:rPr>
              <w:t>27</w:t>
            </w:r>
          </w:p>
        </w:tc>
        <w:tc>
          <w:tcPr>
            <w:tcW w:w="772" w:type="pct"/>
            <w:tcBorders>
              <w:top w:val="nil"/>
              <w:left w:val="nil"/>
              <w:bottom w:val="nil"/>
              <w:right w:val="single" w:sz="4" w:space="0" w:color="auto"/>
            </w:tcBorders>
            <w:shd w:val="clear" w:color="auto" w:fill="DEEAF6" w:themeFill="accent1" w:themeFillTint="33"/>
            <w:noWrap/>
            <w:hideMark/>
          </w:tcPr>
          <w:p w14:paraId="58BDC06D" w14:textId="77777777" w:rsidR="00085F16" w:rsidRPr="00620506" w:rsidRDefault="00085F16" w:rsidP="00620506">
            <w:pPr>
              <w:spacing w:after="0" w:line="240" w:lineRule="auto"/>
              <w:jc w:val="right"/>
              <w:rPr>
                <w:rFonts w:ascii="Times New Roman" w:hAnsi="Times New Roman" w:cs="Times New Roman"/>
                <w:b/>
                <w:sz w:val="20"/>
                <w:szCs w:val="20"/>
              </w:rPr>
            </w:pPr>
          </w:p>
        </w:tc>
      </w:tr>
      <w:tr w:rsidR="00085F16" w:rsidRPr="00620506" w14:paraId="0AE8E7C1" w14:textId="77777777" w:rsidTr="00085F16">
        <w:trPr>
          <w:trHeight w:val="253"/>
        </w:trPr>
        <w:tc>
          <w:tcPr>
            <w:tcW w:w="2909" w:type="pct"/>
            <w:tcBorders>
              <w:top w:val="nil"/>
              <w:left w:val="single" w:sz="4" w:space="0" w:color="auto"/>
              <w:bottom w:val="nil"/>
              <w:right w:val="single" w:sz="4" w:space="0" w:color="auto"/>
            </w:tcBorders>
            <w:shd w:val="clear" w:color="auto" w:fill="DEEAF6" w:themeFill="accent1" w:themeFillTint="33"/>
            <w:noWrap/>
            <w:vAlign w:val="bottom"/>
            <w:hideMark/>
          </w:tcPr>
          <w:p w14:paraId="4D78ECD7" w14:textId="77777777" w:rsidR="00085F16" w:rsidRPr="00620506" w:rsidRDefault="00085F16" w:rsidP="00620506">
            <w:pPr>
              <w:spacing w:after="0" w:line="240" w:lineRule="auto"/>
              <w:ind w:firstLineChars="300" w:firstLine="600"/>
              <w:rPr>
                <w:rFonts w:ascii="Times New Roman" w:hAnsi="Times New Roman" w:cs="Times New Roman"/>
                <w:i/>
                <w:iCs/>
                <w:sz w:val="20"/>
                <w:szCs w:val="20"/>
              </w:rPr>
            </w:pPr>
            <w:r w:rsidRPr="00620506">
              <w:rPr>
                <w:rFonts w:ascii="Times New Roman" w:hAnsi="Times New Roman" w:cs="Times New Roman"/>
                <w:i/>
                <w:iCs/>
                <w:sz w:val="20"/>
                <w:szCs w:val="20"/>
              </w:rPr>
              <w:t>nga përmirësimi i përmbushjes tatimore</w:t>
            </w:r>
          </w:p>
        </w:tc>
        <w:tc>
          <w:tcPr>
            <w:tcW w:w="740" w:type="pct"/>
            <w:shd w:val="clear" w:color="auto" w:fill="DEEAF6" w:themeFill="accent1" w:themeFillTint="33"/>
            <w:noWrap/>
            <w:hideMark/>
          </w:tcPr>
          <w:p w14:paraId="3322E361" w14:textId="77777777" w:rsidR="00085F16" w:rsidRPr="00620506" w:rsidRDefault="00085F16" w:rsidP="00620506">
            <w:pPr>
              <w:spacing w:after="0" w:line="240" w:lineRule="auto"/>
              <w:ind w:firstLineChars="300" w:firstLine="600"/>
              <w:rPr>
                <w:rFonts w:ascii="Times New Roman" w:hAnsi="Times New Roman" w:cs="Times New Roman"/>
                <w:i/>
                <w:iCs/>
                <w:sz w:val="20"/>
                <w:szCs w:val="20"/>
                <w:lang w:val="en-US"/>
              </w:rPr>
            </w:pPr>
          </w:p>
        </w:tc>
        <w:tc>
          <w:tcPr>
            <w:tcW w:w="579" w:type="pct"/>
            <w:shd w:val="clear" w:color="auto" w:fill="DEEAF6" w:themeFill="accent1" w:themeFillTint="33"/>
            <w:noWrap/>
            <w:hideMark/>
          </w:tcPr>
          <w:p w14:paraId="5C79C09A" w14:textId="77777777" w:rsidR="00085F16" w:rsidRPr="00620506" w:rsidRDefault="00085F16" w:rsidP="00620506">
            <w:pPr>
              <w:spacing w:after="0" w:line="240" w:lineRule="auto"/>
              <w:jc w:val="right"/>
              <w:rPr>
                <w:rFonts w:ascii="Times New Roman" w:hAnsi="Times New Roman" w:cs="Times New Roman"/>
                <w:i/>
                <w:iCs/>
                <w:sz w:val="20"/>
                <w:szCs w:val="20"/>
                <w:lang w:val="en-US"/>
              </w:rPr>
            </w:pPr>
            <w:r w:rsidRPr="00620506">
              <w:rPr>
                <w:rFonts w:ascii="Times New Roman" w:hAnsi="Times New Roman" w:cs="Times New Roman"/>
                <w:sz w:val="20"/>
                <w:szCs w:val="20"/>
              </w:rPr>
              <w:t>14</w:t>
            </w:r>
          </w:p>
        </w:tc>
        <w:tc>
          <w:tcPr>
            <w:tcW w:w="772" w:type="pct"/>
            <w:tcBorders>
              <w:top w:val="nil"/>
              <w:left w:val="nil"/>
              <w:bottom w:val="nil"/>
              <w:right w:val="single" w:sz="4" w:space="0" w:color="auto"/>
            </w:tcBorders>
            <w:shd w:val="clear" w:color="auto" w:fill="DEEAF6" w:themeFill="accent1" w:themeFillTint="33"/>
            <w:noWrap/>
            <w:hideMark/>
          </w:tcPr>
          <w:p w14:paraId="45DEAEE9" w14:textId="77777777" w:rsidR="00085F16" w:rsidRPr="00620506" w:rsidRDefault="00085F16" w:rsidP="00620506">
            <w:pPr>
              <w:spacing w:after="0" w:line="240" w:lineRule="auto"/>
              <w:jc w:val="right"/>
              <w:rPr>
                <w:rFonts w:ascii="Times New Roman" w:hAnsi="Times New Roman" w:cs="Times New Roman"/>
                <w:b/>
                <w:sz w:val="20"/>
                <w:szCs w:val="20"/>
              </w:rPr>
            </w:pPr>
          </w:p>
        </w:tc>
      </w:tr>
      <w:tr w:rsidR="00085F16" w:rsidRPr="00620506" w14:paraId="17699332" w14:textId="77777777" w:rsidTr="00085F16">
        <w:trPr>
          <w:trHeight w:val="188"/>
        </w:trPr>
        <w:tc>
          <w:tcPr>
            <w:tcW w:w="2909" w:type="pct"/>
            <w:tcBorders>
              <w:top w:val="nil"/>
              <w:left w:val="single" w:sz="4" w:space="0" w:color="auto"/>
              <w:bottom w:val="nil"/>
              <w:right w:val="single" w:sz="4" w:space="0" w:color="auto"/>
            </w:tcBorders>
            <w:shd w:val="clear" w:color="auto" w:fill="DEEAF6" w:themeFill="accent1" w:themeFillTint="33"/>
            <w:noWrap/>
            <w:vAlign w:val="bottom"/>
            <w:hideMark/>
          </w:tcPr>
          <w:p w14:paraId="240F990D" w14:textId="77777777" w:rsidR="00085F16" w:rsidRPr="00620506" w:rsidRDefault="00085F16" w:rsidP="00620506">
            <w:pPr>
              <w:spacing w:after="0" w:line="240" w:lineRule="auto"/>
              <w:ind w:firstLineChars="100" w:firstLine="201"/>
              <w:rPr>
                <w:rFonts w:ascii="Times New Roman" w:hAnsi="Times New Roman" w:cs="Times New Roman"/>
                <w:b/>
                <w:bCs/>
                <w:sz w:val="20"/>
                <w:szCs w:val="20"/>
              </w:rPr>
            </w:pPr>
            <w:r w:rsidRPr="00620506">
              <w:rPr>
                <w:rFonts w:ascii="Times New Roman" w:hAnsi="Times New Roman" w:cs="Times New Roman"/>
                <w:b/>
                <w:bCs/>
                <w:sz w:val="20"/>
                <w:szCs w:val="20"/>
              </w:rPr>
              <w:t>1.1 Të Hyra Tatimore</w:t>
            </w:r>
          </w:p>
        </w:tc>
        <w:tc>
          <w:tcPr>
            <w:tcW w:w="740" w:type="pct"/>
            <w:shd w:val="clear" w:color="auto" w:fill="DEEAF6" w:themeFill="accent1" w:themeFillTint="33"/>
            <w:noWrap/>
            <w:hideMark/>
          </w:tcPr>
          <w:p w14:paraId="056F5B92" w14:textId="77777777" w:rsidR="00085F16" w:rsidRPr="00620506" w:rsidRDefault="00085F16" w:rsidP="00620506">
            <w:pPr>
              <w:spacing w:after="0" w:line="240" w:lineRule="auto"/>
              <w:jc w:val="right"/>
              <w:rPr>
                <w:rFonts w:ascii="Times New Roman" w:hAnsi="Times New Roman" w:cs="Times New Roman"/>
                <w:b/>
                <w:bCs/>
                <w:sz w:val="20"/>
                <w:szCs w:val="20"/>
                <w:lang w:val="en-US"/>
              </w:rPr>
            </w:pPr>
            <w:r w:rsidRPr="00620506">
              <w:rPr>
                <w:rFonts w:ascii="Times New Roman" w:hAnsi="Times New Roman" w:cs="Times New Roman"/>
                <w:b/>
                <w:sz w:val="20"/>
                <w:szCs w:val="20"/>
              </w:rPr>
              <w:t>1,564</w:t>
            </w:r>
          </w:p>
        </w:tc>
        <w:tc>
          <w:tcPr>
            <w:tcW w:w="579" w:type="pct"/>
            <w:shd w:val="clear" w:color="auto" w:fill="DEEAF6" w:themeFill="accent1" w:themeFillTint="33"/>
            <w:noWrap/>
            <w:hideMark/>
          </w:tcPr>
          <w:p w14:paraId="1C18AD55" w14:textId="77777777" w:rsidR="00085F16" w:rsidRPr="00620506" w:rsidRDefault="00085F16" w:rsidP="00620506">
            <w:pPr>
              <w:spacing w:after="0" w:line="240" w:lineRule="auto"/>
              <w:jc w:val="right"/>
              <w:rPr>
                <w:rFonts w:ascii="Times New Roman" w:hAnsi="Times New Roman" w:cs="Times New Roman"/>
                <w:b/>
                <w:bCs/>
                <w:sz w:val="20"/>
                <w:szCs w:val="20"/>
                <w:lang w:val="en-US"/>
              </w:rPr>
            </w:pPr>
            <w:r w:rsidRPr="00620506">
              <w:rPr>
                <w:rFonts w:ascii="Times New Roman" w:hAnsi="Times New Roman" w:cs="Times New Roman"/>
                <w:b/>
                <w:sz w:val="20"/>
                <w:szCs w:val="20"/>
              </w:rPr>
              <w:t>1,730</w:t>
            </w:r>
          </w:p>
        </w:tc>
        <w:tc>
          <w:tcPr>
            <w:tcW w:w="772" w:type="pct"/>
            <w:tcBorders>
              <w:top w:val="nil"/>
              <w:left w:val="nil"/>
              <w:bottom w:val="nil"/>
              <w:right w:val="single" w:sz="4" w:space="0" w:color="auto"/>
            </w:tcBorders>
            <w:shd w:val="clear" w:color="auto" w:fill="DEEAF6" w:themeFill="accent1" w:themeFillTint="33"/>
            <w:noWrap/>
            <w:hideMark/>
          </w:tcPr>
          <w:p w14:paraId="79BE5FAE" w14:textId="77777777" w:rsidR="00085F16" w:rsidRPr="00620506" w:rsidRDefault="00085F16" w:rsidP="00620506">
            <w:pPr>
              <w:spacing w:after="0" w:line="240" w:lineRule="auto"/>
              <w:jc w:val="right"/>
              <w:rPr>
                <w:rFonts w:ascii="Times New Roman" w:hAnsi="Times New Roman" w:cs="Times New Roman"/>
                <w:b/>
                <w:sz w:val="20"/>
                <w:szCs w:val="20"/>
              </w:rPr>
            </w:pPr>
            <w:r w:rsidRPr="00620506">
              <w:rPr>
                <w:rFonts w:ascii="Times New Roman" w:hAnsi="Times New Roman" w:cs="Times New Roman"/>
                <w:b/>
                <w:sz w:val="20"/>
                <w:szCs w:val="20"/>
              </w:rPr>
              <w:t>1,387</w:t>
            </w:r>
          </w:p>
        </w:tc>
      </w:tr>
      <w:tr w:rsidR="00085F16" w:rsidRPr="00620506" w14:paraId="1173B009" w14:textId="77777777" w:rsidTr="00085F16">
        <w:trPr>
          <w:trHeight w:val="177"/>
        </w:trPr>
        <w:tc>
          <w:tcPr>
            <w:tcW w:w="2909" w:type="pct"/>
            <w:tcBorders>
              <w:top w:val="nil"/>
              <w:left w:val="single" w:sz="4" w:space="0" w:color="auto"/>
              <w:bottom w:val="nil"/>
              <w:right w:val="single" w:sz="4" w:space="0" w:color="auto"/>
            </w:tcBorders>
            <w:shd w:val="clear" w:color="auto" w:fill="DEEAF6" w:themeFill="accent1" w:themeFillTint="33"/>
            <w:noWrap/>
            <w:vAlign w:val="bottom"/>
            <w:hideMark/>
          </w:tcPr>
          <w:p w14:paraId="484097BE" w14:textId="77777777" w:rsidR="00085F16" w:rsidRPr="00620506" w:rsidRDefault="00085F16" w:rsidP="00620506">
            <w:pPr>
              <w:spacing w:after="0" w:line="240" w:lineRule="auto"/>
              <w:ind w:firstLineChars="300" w:firstLine="602"/>
              <w:rPr>
                <w:rFonts w:ascii="Times New Roman" w:hAnsi="Times New Roman" w:cs="Times New Roman"/>
                <w:b/>
                <w:bCs/>
                <w:sz w:val="20"/>
                <w:szCs w:val="20"/>
              </w:rPr>
            </w:pPr>
            <w:r w:rsidRPr="00620506">
              <w:rPr>
                <w:rFonts w:ascii="Times New Roman" w:hAnsi="Times New Roman" w:cs="Times New Roman"/>
                <w:b/>
                <w:bCs/>
                <w:sz w:val="20"/>
                <w:szCs w:val="20"/>
              </w:rPr>
              <w:t>Tatimet Direkte</w:t>
            </w:r>
          </w:p>
        </w:tc>
        <w:tc>
          <w:tcPr>
            <w:tcW w:w="740" w:type="pct"/>
            <w:shd w:val="clear" w:color="auto" w:fill="DEEAF6" w:themeFill="accent1" w:themeFillTint="33"/>
            <w:noWrap/>
            <w:hideMark/>
          </w:tcPr>
          <w:p w14:paraId="710A1ECD" w14:textId="77777777" w:rsidR="00085F16" w:rsidRPr="00620506" w:rsidRDefault="00085F16" w:rsidP="00620506">
            <w:pPr>
              <w:spacing w:after="0" w:line="240" w:lineRule="auto"/>
              <w:jc w:val="right"/>
              <w:rPr>
                <w:rFonts w:ascii="Times New Roman" w:hAnsi="Times New Roman" w:cs="Times New Roman"/>
                <w:b/>
                <w:bCs/>
                <w:sz w:val="20"/>
                <w:szCs w:val="20"/>
                <w:lang w:val="en-US"/>
              </w:rPr>
            </w:pPr>
            <w:r w:rsidRPr="00620506">
              <w:rPr>
                <w:rFonts w:ascii="Times New Roman" w:hAnsi="Times New Roman" w:cs="Times New Roman"/>
                <w:b/>
                <w:sz w:val="20"/>
                <w:szCs w:val="20"/>
              </w:rPr>
              <w:t>268</w:t>
            </w:r>
          </w:p>
        </w:tc>
        <w:tc>
          <w:tcPr>
            <w:tcW w:w="579" w:type="pct"/>
            <w:shd w:val="clear" w:color="auto" w:fill="DEEAF6" w:themeFill="accent1" w:themeFillTint="33"/>
            <w:noWrap/>
            <w:hideMark/>
          </w:tcPr>
          <w:p w14:paraId="2C4C82F4" w14:textId="77777777" w:rsidR="00085F16" w:rsidRPr="00620506" w:rsidRDefault="00085F16" w:rsidP="00620506">
            <w:pPr>
              <w:spacing w:after="0" w:line="240" w:lineRule="auto"/>
              <w:jc w:val="right"/>
              <w:rPr>
                <w:rFonts w:ascii="Times New Roman" w:hAnsi="Times New Roman" w:cs="Times New Roman"/>
                <w:b/>
                <w:bCs/>
                <w:sz w:val="20"/>
                <w:szCs w:val="20"/>
                <w:lang w:val="en-US"/>
              </w:rPr>
            </w:pPr>
            <w:r w:rsidRPr="00620506">
              <w:rPr>
                <w:rFonts w:ascii="Times New Roman" w:hAnsi="Times New Roman" w:cs="Times New Roman"/>
                <w:b/>
                <w:sz w:val="20"/>
                <w:szCs w:val="20"/>
              </w:rPr>
              <w:t>288</w:t>
            </w:r>
          </w:p>
        </w:tc>
        <w:tc>
          <w:tcPr>
            <w:tcW w:w="772" w:type="pct"/>
            <w:tcBorders>
              <w:top w:val="nil"/>
              <w:left w:val="nil"/>
              <w:bottom w:val="nil"/>
              <w:right w:val="single" w:sz="4" w:space="0" w:color="auto"/>
            </w:tcBorders>
            <w:shd w:val="clear" w:color="auto" w:fill="DEEAF6" w:themeFill="accent1" w:themeFillTint="33"/>
            <w:noWrap/>
            <w:hideMark/>
          </w:tcPr>
          <w:p w14:paraId="0E489473" w14:textId="77777777" w:rsidR="00085F16" w:rsidRPr="00620506" w:rsidRDefault="00085F16" w:rsidP="00620506">
            <w:pPr>
              <w:spacing w:after="0" w:line="240" w:lineRule="auto"/>
              <w:jc w:val="right"/>
              <w:rPr>
                <w:rFonts w:ascii="Times New Roman" w:hAnsi="Times New Roman" w:cs="Times New Roman"/>
                <w:b/>
                <w:sz w:val="20"/>
                <w:szCs w:val="20"/>
              </w:rPr>
            </w:pPr>
            <w:r w:rsidRPr="00620506">
              <w:rPr>
                <w:rFonts w:ascii="Times New Roman" w:hAnsi="Times New Roman" w:cs="Times New Roman"/>
                <w:b/>
                <w:sz w:val="20"/>
                <w:szCs w:val="20"/>
              </w:rPr>
              <w:t>259</w:t>
            </w:r>
          </w:p>
        </w:tc>
      </w:tr>
      <w:tr w:rsidR="00085F16" w:rsidRPr="00620506" w14:paraId="2B204713" w14:textId="77777777" w:rsidTr="00085F16">
        <w:trPr>
          <w:trHeight w:val="92"/>
        </w:trPr>
        <w:tc>
          <w:tcPr>
            <w:tcW w:w="2909" w:type="pct"/>
            <w:tcBorders>
              <w:top w:val="nil"/>
              <w:left w:val="single" w:sz="4" w:space="0" w:color="auto"/>
              <w:bottom w:val="nil"/>
              <w:right w:val="single" w:sz="4" w:space="0" w:color="auto"/>
            </w:tcBorders>
            <w:shd w:val="clear" w:color="auto" w:fill="DEEAF6" w:themeFill="accent1" w:themeFillTint="33"/>
            <w:noWrap/>
            <w:vAlign w:val="bottom"/>
            <w:hideMark/>
          </w:tcPr>
          <w:p w14:paraId="1E34FBD9" w14:textId="77777777" w:rsidR="00085F16" w:rsidRPr="00620506" w:rsidRDefault="00085F16" w:rsidP="00620506">
            <w:pPr>
              <w:spacing w:after="0" w:line="240" w:lineRule="auto"/>
              <w:ind w:firstLineChars="400" w:firstLine="800"/>
              <w:rPr>
                <w:rFonts w:ascii="Times New Roman" w:hAnsi="Times New Roman" w:cs="Times New Roman"/>
                <w:i/>
                <w:iCs/>
                <w:sz w:val="20"/>
                <w:szCs w:val="20"/>
              </w:rPr>
            </w:pPr>
            <w:r w:rsidRPr="00620506">
              <w:rPr>
                <w:rFonts w:ascii="Times New Roman" w:hAnsi="Times New Roman" w:cs="Times New Roman"/>
                <w:i/>
                <w:iCs/>
                <w:sz w:val="20"/>
                <w:szCs w:val="20"/>
              </w:rPr>
              <w:t>Tatimi në të ardhurat e korporatave</w:t>
            </w:r>
          </w:p>
        </w:tc>
        <w:tc>
          <w:tcPr>
            <w:tcW w:w="740" w:type="pct"/>
            <w:shd w:val="clear" w:color="auto" w:fill="DEEAF6" w:themeFill="accent1" w:themeFillTint="33"/>
            <w:noWrap/>
            <w:hideMark/>
          </w:tcPr>
          <w:p w14:paraId="71AE7E9C" w14:textId="77777777" w:rsidR="00085F16" w:rsidRPr="00620506" w:rsidRDefault="00085F16" w:rsidP="00620506">
            <w:pPr>
              <w:spacing w:after="0" w:line="240" w:lineRule="auto"/>
              <w:jc w:val="right"/>
              <w:rPr>
                <w:rFonts w:ascii="Times New Roman" w:hAnsi="Times New Roman" w:cs="Times New Roman"/>
                <w:sz w:val="20"/>
                <w:szCs w:val="20"/>
                <w:lang w:val="en-US"/>
              </w:rPr>
            </w:pPr>
            <w:r w:rsidRPr="00620506">
              <w:rPr>
                <w:rFonts w:ascii="Times New Roman" w:hAnsi="Times New Roman" w:cs="Times New Roman"/>
                <w:sz w:val="20"/>
                <w:szCs w:val="20"/>
              </w:rPr>
              <w:t>87</w:t>
            </w:r>
          </w:p>
        </w:tc>
        <w:tc>
          <w:tcPr>
            <w:tcW w:w="579" w:type="pct"/>
            <w:shd w:val="clear" w:color="auto" w:fill="DEEAF6" w:themeFill="accent1" w:themeFillTint="33"/>
            <w:noWrap/>
            <w:hideMark/>
          </w:tcPr>
          <w:p w14:paraId="4E3C0B26" w14:textId="77777777" w:rsidR="00085F16" w:rsidRPr="00620506" w:rsidRDefault="00085F16" w:rsidP="00620506">
            <w:pPr>
              <w:spacing w:after="0" w:line="240" w:lineRule="auto"/>
              <w:jc w:val="right"/>
              <w:rPr>
                <w:rFonts w:ascii="Times New Roman" w:hAnsi="Times New Roman" w:cs="Times New Roman"/>
                <w:sz w:val="20"/>
                <w:szCs w:val="20"/>
                <w:lang w:val="en-US"/>
              </w:rPr>
            </w:pPr>
            <w:r w:rsidRPr="00620506">
              <w:rPr>
                <w:rFonts w:ascii="Times New Roman" w:hAnsi="Times New Roman" w:cs="Times New Roman"/>
                <w:sz w:val="20"/>
                <w:szCs w:val="20"/>
              </w:rPr>
              <w:t>91</w:t>
            </w:r>
          </w:p>
        </w:tc>
        <w:tc>
          <w:tcPr>
            <w:tcW w:w="772" w:type="pct"/>
            <w:tcBorders>
              <w:top w:val="nil"/>
              <w:left w:val="nil"/>
              <w:bottom w:val="nil"/>
              <w:right w:val="single" w:sz="4" w:space="0" w:color="auto"/>
            </w:tcBorders>
            <w:shd w:val="clear" w:color="auto" w:fill="DEEAF6" w:themeFill="accent1" w:themeFillTint="33"/>
            <w:noWrap/>
            <w:hideMark/>
          </w:tcPr>
          <w:p w14:paraId="7084A0F8" w14:textId="77777777" w:rsidR="00085F16" w:rsidRPr="00620506" w:rsidRDefault="00085F16" w:rsidP="00620506">
            <w:pPr>
              <w:spacing w:after="0" w:line="240" w:lineRule="auto"/>
              <w:jc w:val="right"/>
              <w:rPr>
                <w:rFonts w:ascii="Times New Roman" w:hAnsi="Times New Roman" w:cs="Times New Roman"/>
                <w:sz w:val="20"/>
                <w:szCs w:val="20"/>
              </w:rPr>
            </w:pPr>
            <w:r w:rsidRPr="00620506">
              <w:rPr>
                <w:rFonts w:ascii="Times New Roman" w:hAnsi="Times New Roman" w:cs="Times New Roman"/>
                <w:sz w:val="20"/>
                <w:szCs w:val="20"/>
              </w:rPr>
              <w:t>91</w:t>
            </w:r>
          </w:p>
        </w:tc>
      </w:tr>
      <w:tr w:rsidR="00085F16" w:rsidRPr="00620506" w14:paraId="234E3043" w14:textId="77777777" w:rsidTr="00085F16">
        <w:trPr>
          <w:trHeight w:val="92"/>
        </w:trPr>
        <w:tc>
          <w:tcPr>
            <w:tcW w:w="2909" w:type="pct"/>
            <w:tcBorders>
              <w:top w:val="nil"/>
              <w:left w:val="single" w:sz="4" w:space="0" w:color="auto"/>
              <w:bottom w:val="nil"/>
              <w:right w:val="single" w:sz="4" w:space="0" w:color="auto"/>
            </w:tcBorders>
            <w:shd w:val="clear" w:color="auto" w:fill="DEEAF6" w:themeFill="accent1" w:themeFillTint="33"/>
            <w:noWrap/>
            <w:vAlign w:val="bottom"/>
            <w:hideMark/>
          </w:tcPr>
          <w:p w14:paraId="10537CD8" w14:textId="77777777" w:rsidR="00085F16" w:rsidRPr="00620506" w:rsidRDefault="00085F16" w:rsidP="00620506">
            <w:pPr>
              <w:spacing w:after="0" w:line="240" w:lineRule="auto"/>
              <w:ind w:firstLineChars="400" w:firstLine="800"/>
              <w:rPr>
                <w:rFonts w:ascii="Times New Roman" w:hAnsi="Times New Roman" w:cs="Times New Roman"/>
                <w:i/>
                <w:iCs/>
                <w:sz w:val="20"/>
                <w:szCs w:val="20"/>
              </w:rPr>
            </w:pPr>
            <w:r w:rsidRPr="00620506">
              <w:rPr>
                <w:rFonts w:ascii="Times New Roman" w:hAnsi="Times New Roman" w:cs="Times New Roman"/>
                <w:i/>
                <w:iCs/>
                <w:sz w:val="20"/>
                <w:szCs w:val="20"/>
              </w:rPr>
              <w:t>Tatimi në të ardhura personale</w:t>
            </w:r>
          </w:p>
        </w:tc>
        <w:tc>
          <w:tcPr>
            <w:tcW w:w="740" w:type="pct"/>
            <w:shd w:val="clear" w:color="auto" w:fill="DEEAF6" w:themeFill="accent1" w:themeFillTint="33"/>
            <w:noWrap/>
            <w:hideMark/>
          </w:tcPr>
          <w:p w14:paraId="6DE9353F" w14:textId="77777777" w:rsidR="00085F16" w:rsidRPr="00620506" w:rsidRDefault="00085F16" w:rsidP="00620506">
            <w:pPr>
              <w:spacing w:after="0" w:line="240" w:lineRule="auto"/>
              <w:jc w:val="right"/>
              <w:rPr>
                <w:rFonts w:ascii="Times New Roman" w:hAnsi="Times New Roman" w:cs="Times New Roman"/>
                <w:sz w:val="20"/>
                <w:szCs w:val="20"/>
                <w:lang w:val="en-US"/>
              </w:rPr>
            </w:pPr>
            <w:r w:rsidRPr="00620506">
              <w:rPr>
                <w:rFonts w:ascii="Times New Roman" w:hAnsi="Times New Roman" w:cs="Times New Roman"/>
                <w:sz w:val="20"/>
                <w:szCs w:val="20"/>
              </w:rPr>
              <w:t>153</w:t>
            </w:r>
          </w:p>
        </w:tc>
        <w:tc>
          <w:tcPr>
            <w:tcW w:w="579" w:type="pct"/>
            <w:shd w:val="clear" w:color="auto" w:fill="DEEAF6" w:themeFill="accent1" w:themeFillTint="33"/>
            <w:noWrap/>
            <w:hideMark/>
          </w:tcPr>
          <w:p w14:paraId="26AC965E" w14:textId="77777777" w:rsidR="00085F16" w:rsidRPr="00620506" w:rsidRDefault="00085F16" w:rsidP="00620506">
            <w:pPr>
              <w:spacing w:after="0" w:line="240" w:lineRule="auto"/>
              <w:jc w:val="right"/>
              <w:rPr>
                <w:rFonts w:ascii="Times New Roman" w:hAnsi="Times New Roman" w:cs="Times New Roman"/>
                <w:sz w:val="20"/>
                <w:szCs w:val="20"/>
                <w:lang w:val="en-US"/>
              </w:rPr>
            </w:pPr>
            <w:r w:rsidRPr="00620506">
              <w:rPr>
                <w:rFonts w:ascii="Times New Roman" w:hAnsi="Times New Roman" w:cs="Times New Roman"/>
                <w:sz w:val="20"/>
                <w:szCs w:val="20"/>
              </w:rPr>
              <w:t>163</w:t>
            </w:r>
          </w:p>
        </w:tc>
        <w:tc>
          <w:tcPr>
            <w:tcW w:w="772" w:type="pct"/>
            <w:tcBorders>
              <w:top w:val="nil"/>
              <w:left w:val="nil"/>
              <w:bottom w:val="nil"/>
              <w:right w:val="single" w:sz="4" w:space="0" w:color="auto"/>
            </w:tcBorders>
            <w:shd w:val="clear" w:color="auto" w:fill="DEEAF6" w:themeFill="accent1" w:themeFillTint="33"/>
            <w:noWrap/>
            <w:hideMark/>
          </w:tcPr>
          <w:p w14:paraId="46115DF4" w14:textId="77777777" w:rsidR="00085F16" w:rsidRPr="00620506" w:rsidRDefault="00085F16" w:rsidP="00620506">
            <w:pPr>
              <w:spacing w:after="0" w:line="240" w:lineRule="auto"/>
              <w:jc w:val="right"/>
              <w:rPr>
                <w:rFonts w:ascii="Times New Roman" w:hAnsi="Times New Roman" w:cs="Times New Roman"/>
                <w:sz w:val="20"/>
                <w:szCs w:val="20"/>
              </w:rPr>
            </w:pPr>
            <w:r w:rsidRPr="00620506">
              <w:rPr>
                <w:rFonts w:ascii="Times New Roman" w:hAnsi="Times New Roman" w:cs="Times New Roman"/>
                <w:sz w:val="20"/>
                <w:szCs w:val="20"/>
              </w:rPr>
              <w:t>141</w:t>
            </w:r>
          </w:p>
        </w:tc>
      </w:tr>
      <w:tr w:rsidR="00085F16" w:rsidRPr="00620506" w14:paraId="09FCB4E7" w14:textId="77777777" w:rsidTr="00085F16">
        <w:trPr>
          <w:trHeight w:val="295"/>
        </w:trPr>
        <w:tc>
          <w:tcPr>
            <w:tcW w:w="2909" w:type="pct"/>
            <w:tcBorders>
              <w:top w:val="nil"/>
              <w:left w:val="single" w:sz="4" w:space="0" w:color="auto"/>
              <w:bottom w:val="nil"/>
              <w:right w:val="single" w:sz="4" w:space="0" w:color="auto"/>
            </w:tcBorders>
            <w:shd w:val="clear" w:color="auto" w:fill="DEEAF6" w:themeFill="accent1" w:themeFillTint="33"/>
            <w:noWrap/>
            <w:vAlign w:val="bottom"/>
            <w:hideMark/>
          </w:tcPr>
          <w:p w14:paraId="099E2CEC" w14:textId="77777777" w:rsidR="00085F16" w:rsidRPr="00620506" w:rsidRDefault="00085F16" w:rsidP="00620506">
            <w:pPr>
              <w:spacing w:after="0" w:line="240" w:lineRule="auto"/>
              <w:ind w:firstLineChars="400" w:firstLine="800"/>
              <w:rPr>
                <w:rFonts w:ascii="Times New Roman" w:hAnsi="Times New Roman" w:cs="Times New Roman"/>
                <w:i/>
                <w:iCs/>
                <w:sz w:val="20"/>
                <w:szCs w:val="20"/>
              </w:rPr>
            </w:pPr>
            <w:r w:rsidRPr="00620506">
              <w:rPr>
                <w:rFonts w:ascii="Times New Roman" w:hAnsi="Times New Roman" w:cs="Times New Roman"/>
                <w:i/>
                <w:iCs/>
                <w:sz w:val="20"/>
                <w:szCs w:val="20"/>
              </w:rPr>
              <w:t>Tatimi në pronë</w:t>
            </w:r>
          </w:p>
        </w:tc>
        <w:tc>
          <w:tcPr>
            <w:tcW w:w="740" w:type="pct"/>
            <w:shd w:val="clear" w:color="auto" w:fill="DEEAF6" w:themeFill="accent1" w:themeFillTint="33"/>
            <w:noWrap/>
            <w:hideMark/>
          </w:tcPr>
          <w:p w14:paraId="142DFE27" w14:textId="77777777" w:rsidR="00085F16" w:rsidRPr="00620506" w:rsidRDefault="00085F16" w:rsidP="00620506">
            <w:pPr>
              <w:spacing w:after="0" w:line="240" w:lineRule="auto"/>
              <w:jc w:val="right"/>
              <w:rPr>
                <w:rFonts w:ascii="Times New Roman" w:hAnsi="Times New Roman" w:cs="Times New Roman"/>
                <w:sz w:val="20"/>
                <w:szCs w:val="20"/>
                <w:lang w:val="en-US"/>
              </w:rPr>
            </w:pPr>
            <w:r w:rsidRPr="00620506">
              <w:rPr>
                <w:rFonts w:ascii="Times New Roman" w:hAnsi="Times New Roman" w:cs="Times New Roman"/>
                <w:sz w:val="20"/>
                <w:szCs w:val="20"/>
              </w:rPr>
              <w:t>24</w:t>
            </w:r>
          </w:p>
        </w:tc>
        <w:tc>
          <w:tcPr>
            <w:tcW w:w="579" w:type="pct"/>
            <w:shd w:val="clear" w:color="auto" w:fill="DEEAF6" w:themeFill="accent1" w:themeFillTint="33"/>
            <w:noWrap/>
            <w:hideMark/>
          </w:tcPr>
          <w:p w14:paraId="437BDC49" w14:textId="77777777" w:rsidR="00085F16" w:rsidRPr="00620506" w:rsidRDefault="00085F16" w:rsidP="00620506">
            <w:pPr>
              <w:spacing w:after="0" w:line="240" w:lineRule="auto"/>
              <w:jc w:val="right"/>
              <w:rPr>
                <w:rFonts w:ascii="Times New Roman" w:hAnsi="Times New Roman" w:cs="Times New Roman"/>
                <w:sz w:val="20"/>
                <w:szCs w:val="20"/>
                <w:lang w:val="en-US"/>
              </w:rPr>
            </w:pPr>
            <w:r w:rsidRPr="00620506">
              <w:rPr>
                <w:rFonts w:ascii="Times New Roman" w:hAnsi="Times New Roman" w:cs="Times New Roman"/>
                <w:sz w:val="20"/>
                <w:szCs w:val="20"/>
              </w:rPr>
              <w:t>30</w:t>
            </w:r>
          </w:p>
        </w:tc>
        <w:tc>
          <w:tcPr>
            <w:tcW w:w="772" w:type="pct"/>
            <w:tcBorders>
              <w:top w:val="nil"/>
              <w:left w:val="nil"/>
              <w:bottom w:val="nil"/>
              <w:right w:val="single" w:sz="4" w:space="0" w:color="auto"/>
            </w:tcBorders>
            <w:shd w:val="clear" w:color="auto" w:fill="DEEAF6" w:themeFill="accent1" w:themeFillTint="33"/>
            <w:noWrap/>
            <w:hideMark/>
          </w:tcPr>
          <w:p w14:paraId="01BEA641" w14:textId="77777777" w:rsidR="00085F16" w:rsidRPr="00620506" w:rsidRDefault="00085F16" w:rsidP="00620506">
            <w:pPr>
              <w:spacing w:after="0" w:line="240" w:lineRule="auto"/>
              <w:jc w:val="right"/>
              <w:rPr>
                <w:rFonts w:ascii="Times New Roman" w:hAnsi="Times New Roman" w:cs="Times New Roman"/>
                <w:sz w:val="20"/>
                <w:szCs w:val="20"/>
              </w:rPr>
            </w:pPr>
            <w:r w:rsidRPr="00620506">
              <w:rPr>
                <w:rFonts w:ascii="Times New Roman" w:hAnsi="Times New Roman" w:cs="Times New Roman"/>
                <w:sz w:val="20"/>
                <w:szCs w:val="20"/>
              </w:rPr>
              <w:t>24</w:t>
            </w:r>
          </w:p>
        </w:tc>
      </w:tr>
      <w:tr w:rsidR="00085F16" w:rsidRPr="00620506" w14:paraId="75BC7289" w14:textId="77777777" w:rsidTr="00085F16">
        <w:trPr>
          <w:trHeight w:val="295"/>
        </w:trPr>
        <w:tc>
          <w:tcPr>
            <w:tcW w:w="2909" w:type="pct"/>
            <w:tcBorders>
              <w:top w:val="nil"/>
              <w:left w:val="single" w:sz="4" w:space="0" w:color="auto"/>
              <w:bottom w:val="nil"/>
              <w:right w:val="single" w:sz="4" w:space="0" w:color="auto"/>
            </w:tcBorders>
            <w:shd w:val="clear" w:color="auto" w:fill="DEEAF6" w:themeFill="accent1" w:themeFillTint="33"/>
            <w:noWrap/>
            <w:vAlign w:val="bottom"/>
            <w:hideMark/>
          </w:tcPr>
          <w:p w14:paraId="3EB4B89E" w14:textId="77777777" w:rsidR="00085F16" w:rsidRPr="00620506" w:rsidRDefault="00085F16" w:rsidP="00620506">
            <w:pPr>
              <w:spacing w:after="0" w:line="240" w:lineRule="auto"/>
              <w:ind w:firstLineChars="400" w:firstLine="800"/>
              <w:rPr>
                <w:rFonts w:ascii="Times New Roman" w:hAnsi="Times New Roman" w:cs="Times New Roman"/>
                <w:i/>
                <w:iCs/>
                <w:sz w:val="20"/>
                <w:szCs w:val="20"/>
              </w:rPr>
            </w:pPr>
            <w:r w:rsidRPr="00620506">
              <w:rPr>
                <w:rFonts w:ascii="Times New Roman" w:hAnsi="Times New Roman" w:cs="Times New Roman"/>
                <w:i/>
                <w:iCs/>
                <w:sz w:val="20"/>
                <w:szCs w:val="20"/>
              </w:rPr>
              <w:t>Të tjera</w:t>
            </w:r>
          </w:p>
        </w:tc>
        <w:tc>
          <w:tcPr>
            <w:tcW w:w="740" w:type="pct"/>
            <w:shd w:val="clear" w:color="auto" w:fill="DEEAF6" w:themeFill="accent1" w:themeFillTint="33"/>
            <w:noWrap/>
            <w:hideMark/>
          </w:tcPr>
          <w:p w14:paraId="361B66CC" w14:textId="77777777" w:rsidR="00085F16" w:rsidRPr="00620506" w:rsidRDefault="00085F16" w:rsidP="00620506">
            <w:pPr>
              <w:spacing w:after="0" w:line="240" w:lineRule="auto"/>
              <w:jc w:val="right"/>
              <w:rPr>
                <w:rFonts w:ascii="Times New Roman" w:hAnsi="Times New Roman" w:cs="Times New Roman"/>
                <w:sz w:val="20"/>
                <w:szCs w:val="20"/>
                <w:lang w:val="en-US"/>
              </w:rPr>
            </w:pPr>
            <w:r w:rsidRPr="00620506">
              <w:rPr>
                <w:rFonts w:ascii="Times New Roman" w:hAnsi="Times New Roman" w:cs="Times New Roman"/>
                <w:sz w:val="20"/>
                <w:szCs w:val="20"/>
              </w:rPr>
              <w:t>4</w:t>
            </w:r>
          </w:p>
        </w:tc>
        <w:tc>
          <w:tcPr>
            <w:tcW w:w="579" w:type="pct"/>
            <w:shd w:val="clear" w:color="auto" w:fill="DEEAF6" w:themeFill="accent1" w:themeFillTint="33"/>
            <w:noWrap/>
            <w:hideMark/>
          </w:tcPr>
          <w:p w14:paraId="54436FC2" w14:textId="77777777" w:rsidR="00085F16" w:rsidRPr="00620506" w:rsidRDefault="00085F16" w:rsidP="00620506">
            <w:pPr>
              <w:spacing w:after="0" w:line="240" w:lineRule="auto"/>
              <w:jc w:val="right"/>
              <w:rPr>
                <w:rFonts w:ascii="Times New Roman" w:hAnsi="Times New Roman" w:cs="Times New Roman"/>
                <w:sz w:val="20"/>
                <w:szCs w:val="20"/>
                <w:lang w:val="en-US"/>
              </w:rPr>
            </w:pPr>
            <w:r w:rsidRPr="00620506">
              <w:rPr>
                <w:rFonts w:ascii="Times New Roman" w:hAnsi="Times New Roman" w:cs="Times New Roman"/>
                <w:sz w:val="20"/>
                <w:szCs w:val="20"/>
              </w:rPr>
              <w:t>4</w:t>
            </w:r>
          </w:p>
        </w:tc>
        <w:tc>
          <w:tcPr>
            <w:tcW w:w="772" w:type="pct"/>
            <w:tcBorders>
              <w:top w:val="nil"/>
              <w:left w:val="nil"/>
              <w:bottom w:val="nil"/>
              <w:right w:val="single" w:sz="4" w:space="0" w:color="auto"/>
            </w:tcBorders>
            <w:shd w:val="clear" w:color="auto" w:fill="DEEAF6" w:themeFill="accent1" w:themeFillTint="33"/>
            <w:noWrap/>
            <w:hideMark/>
          </w:tcPr>
          <w:p w14:paraId="3A23428A" w14:textId="77777777" w:rsidR="00085F16" w:rsidRPr="00620506" w:rsidRDefault="00085F16" w:rsidP="00620506">
            <w:pPr>
              <w:spacing w:after="0" w:line="240" w:lineRule="auto"/>
              <w:jc w:val="right"/>
              <w:rPr>
                <w:rFonts w:ascii="Times New Roman" w:hAnsi="Times New Roman" w:cs="Times New Roman"/>
                <w:sz w:val="20"/>
                <w:szCs w:val="20"/>
              </w:rPr>
            </w:pPr>
            <w:r w:rsidRPr="00620506">
              <w:rPr>
                <w:rFonts w:ascii="Times New Roman" w:hAnsi="Times New Roman" w:cs="Times New Roman"/>
                <w:sz w:val="20"/>
                <w:szCs w:val="20"/>
              </w:rPr>
              <w:t>4</w:t>
            </w:r>
          </w:p>
        </w:tc>
      </w:tr>
      <w:tr w:rsidR="00085F16" w:rsidRPr="00620506" w14:paraId="1A474DCD" w14:textId="77777777" w:rsidTr="00085F16">
        <w:trPr>
          <w:trHeight w:val="295"/>
        </w:trPr>
        <w:tc>
          <w:tcPr>
            <w:tcW w:w="2909" w:type="pct"/>
            <w:tcBorders>
              <w:top w:val="nil"/>
              <w:left w:val="single" w:sz="4" w:space="0" w:color="auto"/>
              <w:bottom w:val="nil"/>
              <w:right w:val="single" w:sz="4" w:space="0" w:color="auto"/>
            </w:tcBorders>
            <w:shd w:val="clear" w:color="auto" w:fill="DEEAF6" w:themeFill="accent1" w:themeFillTint="33"/>
            <w:noWrap/>
            <w:vAlign w:val="bottom"/>
            <w:hideMark/>
          </w:tcPr>
          <w:p w14:paraId="5982D9C5" w14:textId="77777777" w:rsidR="00085F16" w:rsidRPr="00620506" w:rsidRDefault="00085F16" w:rsidP="00620506">
            <w:pPr>
              <w:spacing w:after="0" w:line="240" w:lineRule="auto"/>
              <w:ind w:firstLineChars="300" w:firstLine="602"/>
              <w:rPr>
                <w:rFonts w:ascii="Times New Roman" w:hAnsi="Times New Roman" w:cs="Times New Roman"/>
                <w:b/>
                <w:bCs/>
                <w:sz w:val="20"/>
                <w:szCs w:val="20"/>
              </w:rPr>
            </w:pPr>
            <w:r w:rsidRPr="00620506">
              <w:rPr>
                <w:rFonts w:ascii="Times New Roman" w:hAnsi="Times New Roman" w:cs="Times New Roman"/>
                <w:b/>
                <w:bCs/>
                <w:sz w:val="20"/>
                <w:szCs w:val="20"/>
              </w:rPr>
              <w:t>Tatimet Indirekte</w:t>
            </w:r>
          </w:p>
        </w:tc>
        <w:tc>
          <w:tcPr>
            <w:tcW w:w="740" w:type="pct"/>
            <w:shd w:val="clear" w:color="auto" w:fill="DEEAF6" w:themeFill="accent1" w:themeFillTint="33"/>
            <w:noWrap/>
            <w:hideMark/>
          </w:tcPr>
          <w:p w14:paraId="0BE938E8" w14:textId="77777777" w:rsidR="00085F16" w:rsidRPr="00620506" w:rsidRDefault="00085F16" w:rsidP="00620506">
            <w:pPr>
              <w:spacing w:after="0" w:line="240" w:lineRule="auto"/>
              <w:jc w:val="right"/>
              <w:rPr>
                <w:rFonts w:ascii="Times New Roman" w:hAnsi="Times New Roman" w:cs="Times New Roman"/>
                <w:b/>
                <w:bCs/>
                <w:sz w:val="20"/>
                <w:szCs w:val="20"/>
                <w:lang w:val="en-US"/>
              </w:rPr>
            </w:pPr>
            <w:r w:rsidRPr="00620506">
              <w:rPr>
                <w:rFonts w:ascii="Times New Roman" w:hAnsi="Times New Roman" w:cs="Times New Roman"/>
                <w:b/>
                <w:sz w:val="20"/>
                <w:szCs w:val="20"/>
              </w:rPr>
              <w:t>1,344</w:t>
            </w:r>
          </w:p>
        </w:tc>
        <w:tc>
          <w:tcPr>
            <w:tcW w:w="579" w:type="pct"/>
            <w:shd w:val="clear" w:color="auto" w:fill="DEEAF6" w:themeFill="accent1" w:themeFillTint="33"/>
            <w:noWrap/>
            <w:hideMark/>
          </w:tcPr>
          <w:p w14:paraId="0D38C3B2" w14:textId="77777777" w:rsidR="00085F16" w:rsidRPr="00620506" w:rsidRDefault="00085F16" w:rsidP="00620506">
            <w:pPr>
              <w:spacing w:after="0" w:line="240" w:lineRule="auto"/>
              <w:jc w:val="right"/>
              <w:rPr>
                <w:rFonts w:ascii="Times New Roman" w:hAnsi="Times New Roman" w:cs="Times New Roman"/>
                <w:b/>
                <w:bCs/>
                <w:sz w:val="20"/>
                <w:szCs w:val="20"/>
                <w:lang w:val="en-US"/>
              </w:rPr>
            </w:pPr>
            <w:r w:rsidRPr="00620506">
              <w:rPr>
                <w:rFonts w:ascii="Times New Roman" w:hAnsi="Times New Roman" w:cs="Times New Roman"/>
                <w:b/>
                <w:sz w:val="20"/>
                <w:szCs w:val="20"/>
              </w:rPr>
              <w:t>1,492</w:t>
            </w:r>
          </w:p>
        </w:tc>
        <w:tc>
          <w:tcPr>
            <w:tcW w:w="772" w:type="pct"/>
            <w:tcBorders>
              <w:top w:val="nil"/>
              <w:left w:val="nil"/>
              <w:bottom w:val="nil"/>
              <w:right w:val="single" w:sz="4" w:space="0" w:color="auto"/>
            </w:tcBorders>
            <w:shd w:val="clear" w:color="auto" w:fill="DEEAF6" w:themeFill="accent1" w:themeFillTint="33"/>
            <w:noWrap/>
            <w:hideMark/>
          </w:tcPr>
          <w:p w14:paraId="55B84BF8" w14:textId="77777777" w:rsidR="00085F16" w:rsidRPr="00620506" w:rsidRDefault="00085F16" w:rsidP="00620506">
            <w:pPr>
              <w:spacing w:after="0" w:line="240" w:lineRule="auto"/>
              <w:jc w:val="right"/>
              <w:rPr>
                <w:rFonts w:ascii="Times New Roman" w:hAnsi="Times New Roman" w:cs="Times New Roman"/>
                <w:b/>
                <w:sz w:val="20"/>
                <w:szCs w:val="20"/>
              </w:rPr>
            </w:pPr>
            <w:r w:rsidRPr="00620506">
              <w:rPr>
                <w:rFonts w:ascii="Times New Roman" w:hAnsi="Times New Roman" w:cs="Times New Roman"/>
                <w:b/>
                <w:sz w:val="20"/>
                <w:szCs w:val="20"/>
              </w:rPr>
              <w:t>1,163</w:t>
            </w:r>
          </w:p>
        </w:tc>
      </w:tr>
      <w:tr w:rsidR="00085F16" w:rsidRPr="00620506" w14:paraId="35DA55B4" w14:textId="77777777" w:rsidTr="00085F16">
        <w:trPr>
          <w:trHeight w:val="295"/>
        </w:trPr>
        <w:tc>
          <w:tcPr>
            <w:tcW w:w="2909" w:type="pct"/>
            <w:tcBorders>
              <w:top w:val="nil"/>
              <w:left w:val="single" w:sz="4" w:space="0" w:color="auto"/>
              <w:bottom w:val="nil"/>
              <w:right w:val="single" w:sz="4" w:space="0" w:color="auto"/>
            </w:tcBorders>
            <w:shd w:val="clear" w:color="auto" w:fill="DEEAF6" w:themeFill="accent1" w:themeFillTint="33"/>
            <w:noWrap/>
            <w:vAlign w:val="bottom"/>
            <w:hideMark/>
          </w:tcPr>
          <w:p w14:paraId="3C8069BF" w14:textId="77777777" w:rsidR="00085F16" w:rsidRPr="00620506" w:rsidRDefault="00085F16" w:rsidP="00620506">
            <w:pPr>
              <w:spacing w:after="0" w:line="240" w:lineRule="auto"/>
              <w:ind w:firstLineChars="400" w:firstLine="800"/>
              <w:rPr>
                <w:rFonts w:ascii="Times New Roman" w:hAnsi="Times New Roman" w:cs="Times New Roman"/>
                <w:i/>
                <w:iCs/>
                <w:sz w:val="20"/>
                <w:szCs w:val="20"/>
              </w:rPr>
            </w:pPr>
            <w:r w:rsidRPr="00620506">
              <w:rPr>
                <w:rFonts w:ascii="Times New Roman" w:hAnsi="Times New Roman" w:cs="Times New Roman"/>
                <w:i/>
                <w:iCs/>
                <w:sz w:val="20"/>
                <w:szCs w:val="20"/>
              </w:rPr>
              <w:t>Tatimi mbi Vlerën e Shtuar</w:t>
            </w:r>
          </w:p>
        </w:tc>
        <w:tc>
          <w:tcPr>
            <w:tcW w:w="740" w:type="pct"/>
            <w:shd w:val="clear" w:color="auto" w:fill="DEEAF6" w:themeFill="accent1" w:themeFillTint="33"/>
            <w:noWrap/>
            <w:hideMark/>
          </w:tcPr>
          <w:p w14:paraId="256587AD" w14:textId="77777777" w:rsidR="00085F16" w:rsidRPr="00620506" w:rsidRDefault="00085F16" w:rsidP="00620506">
            <w:pPr>
              <w:spacing w:after="0" w:line="240" w:lineRule="auto"/>
              <w:jc w:val="right"/>
              <w:rPr>
                <w:rFonts w:ascii="Times New Roman" w:hAnsi="Times New Roman" w:cs="Times New Roman"/>
                <w:sz w:val="20"/>
                <w:szCs w:val="20"/>
                <w:lang w:val="en-US"/>
              </w:rPr>
            </w:pPr>
            <w:r w:rsidRPr="00620506">
              <w:rPr>
                <w:rFonts w:ascii="Times New Roman" w:hAnsi="Times New Roman" w:cs="Times New Roman"/>
                <w:sz w:val="20"/>
                <w:szCs w:val="20"/>
              </w:rPr>
              <w:t>799</w:t>
            </w:r>
          </w:p>
        </w:tc>
        <w:tc>
          <w:tcPr>
            <w:tcW w:w="579" w:type="pct"/>
            <w:shd w:val="clear" w:color="auto" w:fill="DEEAF6" w:themeFill="accent1" w:themeFillTint="33"/>
            <w:noWrap/>
            <w:hideMark/>
          </w:tcPr>
          <w:p w14:paraId="4312AFAB" w14:textId="77777777" w:rsidR="00085F16" w:rsidRPr="00620506" w:rsidRDefault="00085F16" w:rsidP="00620506">
            <w:pPr>
              <w:spacing w:after="0" w:line="240" w:lineRule="auto"/>
              <w:jc w:val="right"/>
              <w:rPr>
                <w:rFonts w:ascii="Times New Roman" w:hAnsi="Times New Roman" w:cs="Times New Roman"/>
                <w:sz w:val="20"/>
                <w:szCs w:val="20"/>
                <w:lang w:val="en-US"/>
              </w:rPr>
            </w:pPr>
            <w:r w:rsidRPr="00620506">
              <w:rPr>
                <w:rFonts w:ascii="Times New Roman" w:hAnsi="Times New Roman" w:cs="Times New Roman"/>
                <w:sz w:val="20"/>
                <w:szCs w:val="20"/>
              </w:rPr>
              <w:t>905</w:t>
            </w:r>
          </w:p>
        </w:tc>
        <w:tc>
          <w:tcPr>
            <w:tcW w:w="772" w:type="pct"/>
            <w:tcBorders>
              <w:top w:val="nil"/>
              <w:left w:val="nil"/>
              <w:bottom w:val="nil"/>
              <w:right w:val="single" w:sz="4" w:space="0" w:color="auto"/>
            </w:tcBorders>
            <w:shd w:val="clear" w:color="auto" w:fill="DEEAF6" w:themeFill="accent1" w:themeFillTint="33"/>
            <w:noWrap/>
            <w:hideMark/>
          </w:tcPr>
          <w:p w14:paraId="3EEA1953" w14:textId="77777777" w:rsidR="00085F16" w:rsidRPr="00620506" w:rsidRDefault="00085F16" w:rsidP="00620506">
            <w:pPr>
              <w:spacing w:after="0" w:line="240" w:lineRule="auto"/>
              <w:jc w:val="right"/>
              <w:rPr>
                <w:rFonts w:ascii="Times New Roman" w:hAnsi="Times New Roman" w:cs="Times New Roman"/>
                <w:sz w:val="20"/>
                <w:szCs w:val="20"/>
              </w:rPr>
            </w:pPr>
            <w:r w:rsidRPr="00620506">
              <w:rPr>
                <w:rFonts w:ascii="Times New Roman" w:hAnsi="Times New Roman" w:cs="Times New Roman"/>
                <w:sz w:val="20"/>
                <w:szCs w:val="20"/>
              </w:rPr>
              <w:t>692</w:t>
            </w:r>
          </w:p>
        </w:tc>
      </w:tr>
      <w:tr w:rsidR="00085F16" w:rsidRPr="00620506" w14:paraId="136405C2" w14:textId="77777777" w:rsidTr="00085F16">
        <w:trPr>
          <w:trHeight w:val="295"/>
        </w:trPr>
        <w:tc>
          <w:tcPr>
            <w:tcW w:w="2909" w:type="pct"/>
            <w:tcBorders>
              <w:top w:val="nil"/>
              <w:left w:val="single" w:sz="4" w:space="0" w:color="auto"/>
              <w:bottom w:val="nil"/>
              <w:right w:val="single" w:sz="4" w:space="0" w:color="auto"/>
            </w:tcBorders>
            <w:shd w:val="clear" w:color="auto" w:fill="DEEAF6" w:themeFill="accent1" w:themeFillTint="33"/>
            <w:noWrap/>
            <w:vAlign w:val="bottom"/>
            <w:hideMark/>
          </w:tcPr>
          <w:p w14:paraId="141697FC" w14:textId="77777777" w:rsidR="00085F16" w:rsidRPr="00620506" w:rsidRDefault="00085F16" w:rsidP="00620506">
            <w:pPr>
              <w:spacing w:after="0" w:line="240" w:lineRule="auto"/>
              <w:ind w:firstLineChars="400" w:firstLine="800"/>
              <w:rPr>
                <w:rFonts w:ascii="Times New Roman" w:hAnsi="Times New Roman" w:cs="Times New Roman"/>
                <w:i/>
                <w:iCs/>
                <w:sz w:val="20"/>
                <w:szCs w:val="20"/>
              </w:rPr>
            </w:pPr>
            <w:r w:rsidRPr="00620506">
              <w:rPr>
                <w:rFonts w:ascii="Times New Roman" w:hAnsi="Times New Roman" w:cs="Times New Roman"/>
                <w:i/>
                <w:iCs/>
                <w:sz w:val="20"/>
                <w:szCs w:val="20"/>
              </w:rPr>
              <w:t>Detyrimi Doganor</w:t>
            </w:r>
          </w:p>
        </w:tc>
        <w:tc>
          <w:tcPr>
            <w:tcW w:w="740" w:type="pct"/>
            <w:shd w:val="clear" w:color="auto" w:fill="DEEAF6" w:themeFill="accent1" w:themeFillTint="33"/>
            <w:noWrap/>
            <w:hideMark/>
          </w:tcPr>
          <w:p w14:paraId="41D15DDD" w14:textId="77777777" w:rsidR="00085F16" w:rsidRPr="00620506" w:rsidRDefault="00085F16" w:rsidP="00620506">
            <w:pPr>
              <w:spacing w:after="0" w:line="240" w:lineRule="auto"/>
              <w:jc w:val="right"/>
              <w:rPr>
                <w:rFonts w:ascii="Times New Roman" w:hAnsi="Times New Roman" w:cs="Times New Roman"/>
                <w:sz w:val="20"/>
                <w:szCs w:val="20"/>
                <w:lang w:val="en-US"/>
              </w:rPr>
            </w:pPr>
            <w:r w:rsidRPr="00620506">
              <w:rPr>
                <w:rFonts w:ascii="Times New Roman" w:hAnsi="Times New Roman" w:cs="Times New Roman"/>
                <w:sz w:val="20"/>
                <w:szCs w:val="20"/>
              </w:rPr>
              <w:t>124</w:t>
            </w:r>
          </w:p>
        </w:tc>
        <w:tc>
          <w:tcPr>
            <w:tcW w:w="579" w:type="pct"/>
            <w:shd w:val="clear" w:color="auto" w:fill="DEEAF6" w:themeFill="accent1" w:themeFillTint="33"/>
            <w:noWrap/>
            <w:hideMark/>
          </w:tcPr>
          <w:p w14:paraId="180AAD6C" w14:textId="77777777" w:rsidR="00085F16" w:rsidRPr="00620506" w:rsidRDefault="00085F16" w:rsidP="00620506">
            <w:pPr>
              <w:spacing w:after="0" w:line="240" w:lineRule="auto"/>
              <w:jc w:val="right"/>
              <w:rPr>
                <w:rFonts w:ascii="Times New Roman" w:hAnsi="Times New Roman" w:cs="Times New Roman"/>
                <w:sz w:val="20"/>
                <w:szCs w:val="20"/>
                <w:lang w:val="en-US"/>
              </w:rPr>
            </w:pPr>
            <w:r w:rsidRPr="00620506">
              <w:rPr>
                <w:rFonts w:ascii="Times New Roman" w:hAnsi="Times New Roman" w:cs="Times New Roman"/>
                <w:sz w:val="20"/>
                <w:szCs w:val="20"/>
              </w:rPr>
              <w:t>120</w:t>
            </w:r>
          </w:p>
        </w:tc>
        <w:tc>
          <w:tcPr>
            <w:tcW w:w="772" w:type="pct"/>
            <w:tcBorders>
              <w:top w:val="nil"/>
              <w:left w:val="nil"/>
              <w:bottom w:val="nil"/>
              <w:right w:val="single" w:sz="4" w:space="0" w:color="auto"/>
            </w:tcBorders>
            <w:shd w:val="clear" w:color="auto" w:fill="DEEAF6" w:themeFill="accent1" w:themeFillTint="33"/>
            <w:noWrap/>
            <w:hideMark/>
          </w:tcPr>
          <w:p w14:paraId="6CABBC4F" w14:textId="77777777" w:rsidR="00085F16" w:rsidRPr="00620506" w:rsidRDefault="00085F16" w:rsidP="00620506">
            <w:pPr>
              <w:spacing w:after="0" w:line="240" w:lineRule="auto"/>
              <w:jc w:val="right"/>
              <w:rPr>
                <w:rFonts w:ascii="Times New Roman" w:hAnsi="Times New Roman" w:cs="Times New Roman"/>
                <w:sz w:val="20"/>
                <w:szCs w:val="20"/>
              </w:rPr>
            </w:pPr>
            <w:r w:rsidRPr="00620506">
              <w:rPr>
                <w:rFonts w:ascii="Times New Roman" w:hAnsi="Times New Roman" w:cs="Times New Roman"/>
                <w:sz w:val="20"/>
                <w:szCs w:val="20"/>
              </w:rPr>
              <w:t>107</w:t>
            </w:r>
          </w:p>
        </w:tc>
      </w:tr>
      <w:tr w:rsidR="00085F16" w:rsidRPr="00620506" w14:paraId="2121A0A6" w14:textId="77777777" w:rsidTr="00085F16">
        <w:trPr>
          <w:trHeight w:val="295"/>
        </w:trPr>
        <w:tc>
          <w:tcPr>
            <w:tcW w:w="2909" w:type="pct"/>
            <w:tcBorders>
              <w:top w:val="nil"/>
              <w:left w:val="single" w:sz="4" w:space="0" w:color="auto"/>
              <w:bottom w:val="nil"/>
              <w:right w:val="single" w:sz="4" w:space="0" w:color="auto"/>
            </w:tcBorders>
            <w:shd w:val="clear" w:color="auto" w:fill="DEEAF6" w:themeFill="accent1" w:themeFillTint="33"/>
            <w:noWrap/>
            <w:vAlign w:val="bottom"/>
            <w:hideMark/>
          </w:tcPr>
          <w:p w14:paraId="7F3D9C0B" w14:textId="77777777" w:rsidR="00085F16" w:rsidRPr="00620506" w:rsidRDefault="00085F16" w:rsidP="00620506">
            <w:pPr>
              <w:spacing w:after="0" w:line="240" w:lineRule="auto"/>
              <w:ind w:firstLineChars="400" w:firstLine="800"/>
              <w:rPr>
                <w:rFonts w:ascii="Times New Roman" w:hAnsi="Times New Roman" w:cs="Times New Roman"/>
                <w:i/>
                <w:iCs/>
                <w:sz w:val="20"/>
                <w:szCs w:val="20"/>
              </w:rPr>
            </w:pPr>
            <w:r w:rsidRPr="00620506">
              <w:rPr>
                <w:rFonts w:ascii="Times New Roman" w:hAnsi="Times New Roman" w:cs="Times New Roman"/>
                <w:i/>
                <w:iCs/>
                <w:sz w:val="20"/>
                <w:szCs w:val="20"/>
              </w:rPr>
              <w:t>Akcizë</w:t>
            </w:r>
          </w:p>
        </w:tc>
        <w:tc>
          <w:tcPr>
            <w:tcW w:w="740" w:type="pct"/>
            <w:shd w:val="clear" w:color="auto" w:fill="DEEAF6" w:themeFill="accent1" w:themeFillTint="33"/>
            <w:noWrap/>
            <w:hideMark/>
          </w:tcPr>
          <w:p w14:paraId="79985784" w14:textId="77777777" w:rsidR="00085F16" w:rsidRPr="00620506" w:rsidRDefault="00085F16" w:rsidP="00620506">
            <w:pPr>
              <w:spacing w:after="0" w:line="240" w:lineRule="auto"/>
              <w:jc w:val="right"/>
              <w:rPr>
                <w:rFonts w:ascii="Times New Roman" w:hAnsi="Times New Roman" w:cs="Times New Roman"/>
                <w:sz w:val="20"/>
                <w:szCs w:val="20"/>
                <w:lang w:val="en-US"/>
              </w:rPr>
            </w:pPr>
            <w:r w:rsidRPr="00620506">
              <w:rPr>
                <w:rFonts w:ascii="Times New Roman" w:hAnsi="Times New Roman" w:cs="Times New Roman"/>
                <w:sz w:val="20"/>
                <w:szCs w:val="20"/>
              </w:rPr>
              <w:t>419</w:t>
            </w:r>
          </w:p>
        </w:tc>
        <w:tc>
          <w:tcPr>
            <w:tcW w:w="579" w:type="pct"/>
            <w:shd w:val="clear" w:color="auto" w:fill="DEEAF6" w:themeFill="accent1" w:themeFillTint="33"/>
            <w:noWrap/>
            <w:hideMark/>
          </w:tcPr>
          <w:p w14:paraId="6462572A" w14:textId="77777777" w:rsidR="00085F16" w:rsidRPr="00620506" w:rsidRDefault="00085F16" w:rsidP="00620506">
            <w:pPr>
              <w:spacing w:after="0" w:line="240" w:lineRule="auto"/>
              <w:jc w:val="right"/>
              <w:rPr>
                <w:rFonts w:ascii="Times New Roman" w:hAnsi="Times New Roman" w:cs="Times New Roman"/>
                <w:sz w:val="20"/>
                <w:szCs w:val="20"/>
                <w:lang w:val="en-US"/>
              </w:rPr>
            </w:pPr>
            <w:r w:rsidRPr="00620506">
              <w:rPr>
                <w:rFonts w:ascii="Times New Roman" w:hAnsi="Times New Roman" w:cs="Times New Roman"/>
                <w:sz w:val="20"/>
                <w:szCs w:val="20"/>
              </w:rPr>
              <w:t>465</w:t>
            </w:r>
          </w:p>
        </w:tc>
        <w:tc>
          <w:tcPr>
            <w:tcW w:w="772" w:type="pct"/>
            <w:tcBorders>
              <w:top w:val="nil"/>
              <w:left w:val="nil"/>
              <w:bottom w:val="nil"/>
              <w:right w:val="single" w:sz="4" w:space="0" w:color="auto"/>
            </w:tcBorders>
            <w:shd w:val="clear" w:color="auto" w:fill="DEEAF6" w:themeFill="accent1" w:themeFillTint="33"/>
            <w:noWrap/>
            <w:hideMark/>
          </w:tcPr>
          <w:p w14:paraId="2BB6DBF9" w14:textId="77777777" w:rsidR="00085F16" w:rsidRPr="00620506" w:rsidRDefault="00085F16" w:rsidP="00620506">
            <w:pPr>
              <w:spacing w:after="0" w:line="240" w:lineRule="auto"/>
              <w:jc w:val="right"/>
              <w:rPr>
                <w:rFonts w:ascii="Times New Roman" w:hAnsi="Times New Roman" w:cs="Times New Roman"/>
                <w:sz w:val="20"/>
                <w:szCs w:val="20"/>
              </w:rPr>
            </w:pPr>
            <w:r w:rsidRPr="00620506">
              <w:rPr>
                <w:rFonts w:ascii="Times New Roman" w:hAnsi="Times New Roman" w:cs="Times New Roman"/>
                <w:sz w:val="20"/>
                <w:szCs w:val="20"/>
              </w:rPr>
              <w:t>361</w:t>
            </w:r>
          </w:p>
        </w:tc>
      </w:tr>
      <w:tr w:rsidR="00085F16" w:rsidRPr="00620506" w14:paraId="7FE45424" w14:textId="77777777" w:rsidTr="00085F16">
        <w:trPr>
          <w:trHeight w:val="295"/>
        </w:trPr>
        <w:tc>
          <w:tcPr>
            <w:tcW w:w="2909" w:type="pct"/>
            <w:tcBorders>
              <w:top w:val="nil"/>
              <w:left w:val="single" w:sz="4" w:space="0" w:color="auto"/>
              <w:bottom w:val="nil"/>
              <w:right w:val="single" w:sz="4" w:space="0" w:color="auto"/>
            </w:tcBorders>
            <w:shd w:val="clear" w:color="auto" w:fill="DEEAF6" w:themeFill="accent1" w:themeFillTint="33"/>
            <w:noWrap/>
            <w:vAlign w:val="bottom"/>
            <w:hideMark/>
          </w:tcPr>
          <w:p w14:paraId="221CB4D5" w14:textId="77777777" w:rsidR="00085F16" w:rsidRPr="00620506" w:rsidRDefault="00085F16" w:rsidP="00620506">
            <w:pPr>
              <w:spacing w:after="0" w:line="240" w:lineRule="auto"/>
              <w:ind w:firstLineChars="400" w:firstLine="800"/>
              <w:rPr>
                <w:rFonts w:ascii="Times New Roman" w:hAnsi="Times New Roman" w:cs="Times New Roman"/>
                <w:i/>
                <w:iCs/>
                <w:sz w:val="20"/>
                <w:szCs w:val="20"/>
              </w:rPr>
            </w:pPr>
            <w:r w:rsidRPr="00620506">
              <w:rPr>
                <w:rFonts w:ascii="Times New Roman" w:hAnsi="Times New Roman" w:cs="Times New Roman"/>
                <w:i/>
                <w:iCs/>
                <w:sz w:val="20"/>
                <w:szCs w:val="20"/>
              </w:rPr>
              <w:t>Të tjera</w:t>
            </w:r>
          </w:p>
        </w:tc>
        <w:tc>
          <w:tcPr>
            <w:tcW w:w="740" w:type="pct"/>
            <w:shd w:val="clear" w:color="auto" w:fill="DEEAF6" w:themeFill="accent1" w:themeFillTint="33"/>
            <w:noWrap/>
            <w:hideMark/>
          </w:tcPr>
          <w:p w14:paraId="42520F85" w14:textId="77777777" w:rsidR="00085F16" w:rsidRPr="00620506" w:rsidRDefault="00085F16" w:rsidP="00620506">
            <w:pPr>
              <w:spacing w:after="0" w:line="240" w:lineRule="auto"/>
              <w:jc w:val="right"/>
              <w:rPr>
                <w:rFonts w:ascii="Times New Roman" w:hAnsi="Times New Roman" w:cs="Times New Roman"/>
                <w:sz w:val="20"/>
                <w:szCs w:val="20"/>
                <w:lang w:val="en-US"/>
              </w:rPr>
            </w:pPr>
            <w:r w:rsidRPr="00620506">
              <w:rPr>
                <w:rFonts w:ascii="Times New Roman" w:hAnsi="Times New Roman" w:cs="Times New Roman"/>
                <w:sz w:val="20"/>
                <w:szCs w:val="20"/>
              </w:rPr>
              <w:t>2</w:t>
            </w:r>
          </w:p>
        </w:tc>
        <w:tc>
          <w:tcPr>
            <w:tcW w:w="579" w:type="pct"/>
            <w:shd w:val="clear" w:color="auto" w:fill="DEEAF6" w:themeFill="accent1" w:themeFillTint="33"/>
            <w:noWrap/>
            <w:hideMark/>
          </w:tcPr>
          <w:p w14:paraId="612A275F" w14:textId="77777777" w:rsidR="00085F16" w:rsidRPr="00620506" w:rsidRDefault="00085F16" w:rsidP="00620506">
            <w:pPr>
              <w:spacing w:after="0" w:line="240" w:lineRule="auto"/>
              <w:jc w:val="right"/>
              <w:rPr>
                <w:rFonts w:ascii="Times New Roman" w:hAnsi="Times New Roman" w:cs="Times New Roman"/>
                <w:sz w:val="20"/>
                <w:szCs w:val="20"/>
                <w:lang w:val="en-US"/>
              </w:rPr>
            </w:pPr>
            <w:r w:rsidRPr="00620506">
              <w:rPr>
                <w:rFonts w:ascii="Times New Roman" w:hAnsi="Times New Roman" w:cs="Times New Roman"/>
                <w:sz w:val="20"/>
                <w:szCs w:val="20"/>
              </w:rPr>
              <w:t>2</w:t>
            </w:r>
          </w:p>
        </w:tc>
        <w:tc>
          <w:tcPr>
            <w:tcW w:w="772" w:type="pct"/>
            <w:tcBorders>
              <w:top w:val="nil"/>
              <w:left w:val="nil"/>
              <w:bottom w:val="nil"/>
              <w:right w:val="single" w:sz="4" w:space="0" w:color="auto"/>
            </w:tcBorders>
            <w:shd w:val="clear" w:color="auto" w:fill="DEEAF6" w:themeFill="accent1" w:themeFillTint="33"/>
            <w:noWrap/>
            <w:hideMark/>
          </w:tcPr>
          <w:p w14:paraId="29356159" w14:textId="77777777" w:rsidR="00085F16" w:rsidRPr="00620506" w:rsidRDefault="00085F16" w:rsidP="00620506">
            <w:pPr>
              <w:spacing w:after="0" w:line="240" w:lineRule="auto"/>
              <w:jc w:val="right"/>
              <w:rPr>
                <w:rFonts w:ascii="Times New Roman" w:hAnsi="Times New Roman" w:cs="Times New Roman"/>
                <w:sz w:val="20"/>
                <w:szCs w:val="20"/>
              </w:rPr>
            </w:pPr>
            <w:r w:rsidRPr="00620506">
              <w:rPr>
                <w:rFonts w:ascii="Times New Roman" w:hAnsi="Times New Roman" w:cs="Times New Roman"/>
                <w:sz w:val="20"/>
                <w:szCs w:val="20"/>
              </w:rPr>
              <w:t>3</w:t>
            </w:r>
          </w:p>
        </w:tc>
      </w:tr>
      <w:tr w:rsidR="00085F16" w:rsidRPr="00620506" w14:paraId="5CC475E1" w14:textId="77777777" w:rsidTr="00085F16">
        <w:trPr>
          <w:trHeight w:val="295"/>
        </w:trPr>
        <w:tc>
          <w:tcPr>
            <w:tcW w:w="2909" w:type="pct"/>
            <w:tcBorders>
              <w:top w:val="nil"/>
              <w:left w:val="single" w:sz="4" w:space="0" w:color="auto"/>
              <w:bottom w:val="nil"/>
              <w:right w:val="single" w:sz="4" w:space="0" w:color="auto"/>
            </w:tcBorders>
            <w:shd w:val="clear" w:color="auto" w:fill="DEEAF6" w:themeFill="accent1" w:themeFillTint="33"/>
            <w:noWrap/>
            <w:vAlign w:val="bottom"/>
            <w:hideMark/>
          </w:tcPr>
          <w:p w14:paraId="757CEDD9" w14:textId="77777777" w:rsidR="00085F16" w:rsidRPr="00620506" w:rsidRDefault="00085F16" w:rsidP="00620506">
            <w:pPr>
              <w:spacing w:after="0" w:line="240" w:lineRule="auto"/>
              <w:ind w:firstLineChars="200" w:firstLine="402"/>
              <w:rPr>
                <w:rFonts w:ascii="Times New Roman" w:hAnsi="Times New Roman" w:cs="Times New Roman"/>
                <w:b/>
                <w:bCs/>
                <w:sz w:val="20"/>
                <w:szCs w:val="20"/>
              </w:rPr>
            </w:pPr>
            <w:r w:rsidRPr="00620506">
              <w:rPr>
                <w:rFonts w:ascii="Times New Roman" w:hAnsi="Times New Roman" w:cs="Times New Roman"/>
                <w:b/>
                <w:bCs/>
                <w:sz w:val="20"/>
                <w:szCs w:val="20"/>
              </w:rPr>
              <w:t>Rimbursimet tatimore</w:t>
            </w:r>
          </w:p>
        </w:tc>
        <w:tc>
          <w:tcPr>
            <w:tcW w:w="740" w:type="pct"/>
            <w:shd w:val="clear" w:color="auto" w:fill="DEEAF6" w:themeFill="accent1" w:themeFillTint="33"/>
            <w:noWrap/>
            <w:hideMark/>
          </w:tcPr>
          <w:p w14:paraId="54BD98F0" w14:textId="77777777" w:rsidR="00085F16" w:rsidRPr="00620506" w:rsidRDefault="00085F16" w:rsidP="00620506">
            <w:pPr>
              <w:spacing w:after="0" w:line="240" w:lineRule="auto"/>
              <w:jc w:val="right"/>
              <w:rPr>
                <w:rFonts w:ascii="Times New Roman" w:hAnsi="Times New Roman" w:cs="Times New Roman"/>
                <w:b/>
                <w:sz w:val="20"/>
                <w:szCs w:val="20"/>
                <w:lang w:val="en-US"/>
              </w:rPr>
            </w:pPr>
            <w:r w:rsidRPr="00620506">
              <w:rPr>
                <w:rFonts w:ascii="Times New Roman" w:hAnsi="Times New Roman" w:cs="Times New Roman"/>
                <w:b/>
                <w:sz w:val="20"/>
                <w:szCs w:val="20"/>
              </w:rPr>
              <w:t>-48</w:t>
            </w:r>
          </w:p>
        </w:tc>
        <w:tc>
          <w:tcPr>
            <w:tcW w:w="579" w:type="pct"/>
            <w:shd w:val="clear" w:color="auto" w:fill="DEEAF6" w:themeFill="accent1" w:themeFillTint="33"/>
            <w:noWrap/>
            <w:hideMark/>
          </w:tcPr>
          <w:p w14:paraId="08A119D0" w14:textId="77777777" w:rsidR="00085F16" w:rsidRPr="00620506" w:rsidRDefault="00085F16" w:rsidP="00620506">
            <w:pPr>
              <w:spacing w:after="0" w:line="240" w:lineRule="auto"/>
              <w:jc w:val="right"/>
              <w:rPr>
                <w:rFonts w:ascii="Times New Roman" w:hAnsi="Times New Roman" w:cs="Times New Roman"/>
                <w:b/>
                <w:sz w:val="20"/>
                <w:szCs w:val="20"/>
                <w:lang w:val="en-US"/>
              </w:rPr>
            </w:pPr>
            <w:r w:rsidRPr="00620506">
              <w:rPr>
                <w:rFonts w:ascii="Times New Roman" w:hAnsi="Times New Roman" w:cs="Times New Roman"/>
                <w:b/>
                <w:sz w:val="20"/>
                <w:szCs w:val="20"/>
              </w:rPr>
              <w:t>-50</w:t>
            </w:r>
          </w:p>
        </w:tc>
        <w:tc>
          <w:tcPr>
            <w:tcW w:w="772" w:type="pct"/>
            <w:tcBorders>
              <w:top w:val="nil"/>
              <w:left w:val="nil"/>
              <w:bottom w:val="nil"/>
              <w:right w:val="single" w:sz="4" w:space="0" w:color="auto"/>
            </w:tcBorders>
            <w:shd w:val="clear" w:color="auto" w:fill="DEEAF6" w:themeFill="accent1" w:themeFillTint="33"/>
            <w:noWrap/>
            <w:hideMark/>
          </w:tcPr>
          <w:p w14:paraId="2768063F" w14:textId="77777777" w:rsidR="00085F16" w:rsidRPr="00620506" w:rsidRDefault="00085F16" w:rsidP="00620506">
            <w:pPr>
              <w:spacing w:after="0" w:line="240" w:lineRule="auto"/>
              <w:jc w:val="right"/>
              <w:rPr>
                <w:rFonts w:ascii="Times New Roman" w:hAnsi="Times New Roman" w:cs="Times New Roman"/>
                <w:b/>
                <w:sz w:val="20"/>
                <w:szCs w:val="20"/>
              </w:rPr>
            </w:pPr>
            <w:r w:rsidRPr="00620506">
              <w:rPr>
                <w:rFonts w:ascii="Times New Roman" w:hAnsi="Times New Roman" w:cs="Times New Roman"/>
                <w:b/>
                <w:sz w:val="20"/>
                <w:szCs w:val="20"/>
              </w:rPr>
              <w:t>-36</w:t>
            </w:r>
          </w:p>
        </w:tc>
      </w:tr>
      <w:tr w:rsidR="00085F16" w:rsidRPr="00620506" w14:paraId="7F6CCCA4" w14:textId="77777777" w:rsidTr="00085F16">
        <w:trPr>
          <w:trHeight w:val="295"/>
        </w:trPr>
        <w:tc>
          <w:tcPr>
            <w:tcW w:w="2909" w:type="pct"/>
            <w:tcBorders>
              <w:top w:val="nil"/>
              <w:left w:val="single" w:sz="4" w:space="0" w:color="auto"/>
              <w:bottom w:val="nil"/>
              <w:right w:val="single" w:sz="4" w:space="0" w:color="auto"/>
            </w:tcBorders>
            <w:shd w:val="clear" w:color="auto" w:fill="DEEAF6" w:themeFill="accent1" w:themeFillTint="33"/>
            <w:noWrap/>
            <w:vAlign w:val="bottom"/>
            <w:hideMark/>
          </w:tcPr>
          <w:p w14:paraId="77EB0E27" w14:textId="77777777" w:rsidR="00085F16" w:rsidRPr="00620506" w:rsidRDefault="00085F16" w:rsidP="00620506">
            <w:pPr>
              <w:spacing w:after="0" w:line="240" w:lineRule="auto"/>
              <w:ind w:firstLineChars="100" w:firstLine="201"/>
              <w:rPr>
                <w:rFonts w:ascii="Times New Roman" w:hAnsi="Times New Roman" w:cs="Times New Roman"/>
                <w:b/>
                <w:bCs/>
                <w:sz w:val="20"/>
                <w:szCs w:val="20"/>
              </w:rPr>
            </w:pPr>
            <w:r w:rsidRPr="00620506">
              <w:rPr>
                <w:rFonts w:ascii="Times New Roman" w:hAnsi="Times New Roman" w:cs="Times New Roman"/>
                <w:b/>
                <w:bCs/>
                <w:sz w:val="20"/>
                <w:szCs w:val="20"/>
              </w:rPr>
              <w:t>1.2 Të Hyrat Jo-Tatimore</w:t>
            </w:r>
          </w:p>
        </w:tc>
        <w:tc>
          <w:tcPr>
            <w:tcW w:w="740" w:type="pct"/>
            <w:shd w:val="clear" w:color="auto" w:fill="DEEAF6" w:themeFill="accent1" w:themeFillTint="33"/>
            <w:noWrap/>
            <w:hideMark/>
          </w:tcPr>
          <w:p w14:paraId="0F8AF112" w14:textId="77777777" w:rsidR="00085F16" w:rsidRPr="00620506" w:rsidRDefault="00085F16" w:rsidP="00620506">
            <w:pPr>
              <w:spacing w:after="0" w:line="240" w:lineRule="auto"/>
              <w:jc w:val="right"/>
              <w:rPr>
                <w:rFonts w:ascii="Times New Roman" w:hAnsi="Times New Roman" w:cs="Times New Roman"/>
                <w:b/>
                <w:bCs/>
                <w:sz w:val="20"/>
                <w:szCs w:val="20"/>
                <w:lang w:val="en-US"/>
              </w:rPr>
            </w:pPr>
            <w:r w:rsidRPr="00620506">
              <w:rPr>
                <w:rFonts w:ascii="Times New Roman" w:hAnsi="Times New Roman" w:cs="Times New Roman"/>
                <w:b/>
                <w:sz w:val="20"/>
                <w:szCs w:val="20"/>
              </w:rPr>
              <w:t>193</w:t>
            </w:r>
          </w:p>
        </w:tc>
        <w:tc>
          <w:tcPr>
            <w:tcW w:w="579" w:type="pct"/>
            <w:shd w:val="clear" w:color="auto" w:fill="DEEAF6" w:themeFill="accent1" w:themeFillTint="33"/>
            <w:noWrap/>
            <w:hideMark/>
          </w:tcPr>
          <w:p w14:paraId="604EFF9A" w14:textId="77777777" w:rsidR="00085F16" w:rsidRPr="00620506" w:rsidRDefault="00085F16" w:rsidP="00620506">
            <w:pPr>
              <w:spacing w:after="0" w:line="240" w:lineRule="auto"/>
              <w:jc w:val="right"/>
              <w:rPr>
                <w:rFonts w:ascii="Times New Roman" w:hAnsi="Times New Roman" w:cs="Times New Roman"/>
                <w:b/>
                <w:bCs/>
                <w:sz w:val="20"/>
                <w:szCs w:val="20"/>
                <w:lang w:val="en-US"/>
              </w:rPr>
            </w:pPr>
            <w:r w:rsidRPr="00620506">
              <w:rPr>
                <w:rFonts w:ascii="Times New Roman" w:hAnsi="Times New Roman" w:cs="Times New Roman"/>
                <w:b/>
                <w:sz w:val="20"/>
                <w:szCs w:val="20"/>
              </w:rPr>
              <w:t>208</w:t>
            </w:r>
          </w:p>
        </w:tc>
        <w:tc>
          <w:tcPr>
            <w:tcW w:w="772" w:type="pct"/>
            <w:tcBorders>
              <w:top w:val="nil"/>
              <w:left w:val="nil"/>
              <w:bottom w:val="nil"/>
              <w:right w:val="single" w:sz="4" w:space="0" w:color="auto"/>
            </w:tcBorders>
            <w:shd w:val="clear" w:color="auto" w:fill="DEEAF6" w:themeFill="accent1" w:themeFillTint="33"/>
            <w:noWrap/>
            <w:hideMark/>
          </w:tcPr>
          <w:p w14:paraId="51B09C66" w14:textId="77777777" w:rsidR="00085F16" w:rsidRPr="00620506" w:rsidRDefault="00085F16" w:rsidP="00620506">
            <w:pPr>
              <w:spacing w:after="0" w:line="240" w:lineRule="auto"/>
              <w:jc w:val="right"/>
              <w:rPr>
                <w:rFonts w:ascii="Times New Roman" w:hAnsi="Times New Roman" w:cs="Times New Roman"/>
                <w:b/>
                <w:sz w:val="20"/>
                <w:szCs w:val="20"/>
              </w:rPr>
            </w:pPr>
            <w:r w:rsidRPr="00620506">
              <w:rPr>
                <w:rFonts w:ascii="Times New Roman" w:hAnsi="Times New Roman" w:cs="Times New Roman"/>
                <w:b/>
                <w:sz w:val="20"/>
                <w:szCs w:val="20"/>
              </w:rPr>
              <w:t>183</w:t>
            </w:r>
          </w:p>
        </w:tc>
      </w:tr>
      <w:tr w:rsidR="00085F16" w:rsidRPr="00620506" w14:paraId="05B1D3D2" w14:textId="77777777" w:rsidTr="00085F16">
        <w:trPr>
          <w:trHeight w:val="295"/>
        </w:trPr>
        <w:tc>
          <w:tcPr>
            <w:tcW w:w="2909" w:type="pct"/>
            <w:tcBorders>
              <w:top w:val="nil"/>
              <w:left w:val="single" w:sz="4" w:space="0" w:color="auto"/>
              <w:bottom w:val="nil"/>
              <w:right w:val="single" w:sz="4" w:space="0" w:color="auto"/>
            </w:tcBorders>
            <w:shd w:val="clear" w:color="auto" w:fill="DEEAF6" w:themeFill="accent1" w:themeFillTint="33"/>
            <w:noWrap/>
            <w:vAlign w:val="bottom"/>
            <w:hideMark/>
          </w:tcPr>
          <w:p w14:paraId="0BF3BCBF" w14:textId="77777777" w:rsidR="00085F16" w:rsidRPr="00620506" w:rsidRDefault="00085F16" w:rsidP="00620506">
            <w:pPr>
              <w:spacing w:after="0" w:line="240" w:lineRule="auto"/>
              <w:ind w:firstLineChars="300" w:firstLine="600"/>
              <w:rPr>
                <w:rFonts w:ascii="Times New Roman" w:hAnsi="Times New Roman" w:cs="Times New Roman"/>
                <w:i/>
                <w:iCs/>
                <w:sz w:val="20"/>
                <w:szCs w:val="20"/>
              </w:rPr>
            </w:pPr>
            <w:r w:rsidRPr="00620506">
              <w:rPr>
                <w:rFonts w:ascii="Times New Roman" w:hAnsi="Times New Roman" w:cs="Times New Roman"/>
                <w:sz w:val="20"/>
                <w:szCs w:val="20"/>
              </w:rPr>
              <w:t>Taksa, ngarkesa dhe të tjera - Niveli Qendror</w:t>
            </w:r>
          </w:p>
        </w:tc>
        <w:tc>
          <w:tcPr>
            <w:tcW w:w="740" w:type="pct"/>
            <w:shd w:val="clear" w:color="auto" w:fill="DEEAF6" w:themeFill="accent1" w:themeFillTint="33"/>
            <w:noWrap/>
            <w:hideMark/>
          </w:tcPr>
          <w:p w14:paraId="209CA6F5" w14:textId="77777777" w:rsidR="00085F16" w:rsidRPr="00620506" w:rsidRDefault="00085F16" w:rsidP="00620506">
            <w:pPr>
              <w:spacing w:after="0" w:line="240" w:lineRule="auto"/>
              <w:jc w:val="right"/>
              <w:rPr>
                <w:rFonts w:ascii="Times New Roman" w:hAnsi="Times New Roman" w:cs="Times New Roman"/>
                <w:sz w:val="20"/>
                <w:szCs w:val="20"/>
                <w:lang w:val="en-US"/>
              </w:rPr>
            </w:pPr>
            <w:r w:rsidRPr="00620506">
              <w:rPr>
                <w:rFonts w:ascii="Times New Roman" w:hAnsi="Times New Roman" w:cs="Times New Roman"/>
                <w:sz w:val="20"/>
                <w:szCs w:val="20"/>
              </w:rPr>
              <w:t>110</w:t>
            </w:r>
          </w:p>
        </w:tc>
        <w:tc>
          <w:tcPr>
            <w:tcW w:w="579" w:type="pct"/>
            <w:shd w:val="clear" w:color="auto" w:fill="DEEAF6" w:themeFill="accent1" w:themeFillTint="33"/>
            <w:noWrap/>
            <w:hideMark/>
          </w:tcPr>
          <w:p w14:paraId="34BDC7FE" w14:textId="77777777" w:rsidR="00085F16" w:rsidRPr="00620506" w:rsidRDefault="00085F16" w:rsidP="00620506">
            <w:pPr>
              <w:spacing w:after="0" w:line="240" w:lineRule="auto"/>
              <w:jc w:val="right"/>
              <w:rPr>
                <w:rFonts w:ascii="Times New Roman" w:hAnsi="Times New Roman" w:cs="Times New Roman"/>
                <w:sz w:val="20"/>
                <w:szCs w:val="20"/>
                <w:lang w:val="en-US"/>
              </w:rPr>
            </w:pPr>
            <w:r w:rsidRPr="00620506">
              <w:rPr>
                <w:rFonts w:ascii="Times New Roman" w:hAnsi="Times New Roman" w:cs="Times New Roman"/>
                <w:sz w:val="20"/>
                <w:szCs w:val="20"/>
              </w:rPr>
              <w:t>103</w:t>
            </w:r>
          </w:p>
        </w:tc>
        <w:tc>
          <w:tcPr>
            <w:tcW w:w="772" w:type="pct"/>
            <w:tcBorders>
              <w:top w:val="nil"/>
              <w:left w:val="nil"/>
              <w:bottom w:val="nil"/>
              <w:right w:val="single" w:sz="4" w:space="0" w:color="auto"/>
            </w:tcBorders>
            <w:shd w:val="clear" w:color="auto" w:fill="DEEAF6" w:themeFill="accent1" w:themeFillTint="33"/>
            <w:noWrap/>
            <w:hideMark/>
          </w:tcPr>
          <w:p w14:paraId="6FAE1D95" w14:textId="77777777" w:rsidR="00085F16" w:rsidRPr="00620506" w:rsidRDefault="00085F16" w:rsidP="00620506">
            <w:pPr>
              <w:spacing w:after="0" w:line="240" w:lineRule="auto"/>
              <w:jc w:val="right"/>
              <w:rPr>
                <w:rFonts w:ascii="Times New Roman" w:hAnsi="Times New Roman" w:cs="Times New Roman"/>
                <w:sz w:val="20"/>
                <w:szCs w:val="20"/>
              </w:rPr>
            </w:pPr>
            <w:r w:rsidRPr="00620506">
              <w:rPr>
                <w:rFonts w:ascii="Times New Roman" w:hAnsi="Times New Roman" w:cs="Times New Roman"/>
                <w:sz w:val="20"/>
                <w:szCs w:val="20"/>
              </w:rPr>
              <w:t>101</w:t>
            </w:r>
          </w:p>
        </w:tc>
      </w:tr>
      <w:tr w:rsidR="00085F16" w:rsidRPr="00620506" w14:paraId="5B9B1794" w14:textId="77777777" w:rsidTr="00085F16">
        <w:trPr>
          <w:trHeight w:val="295"/>
        </w:trPr>
        <w:tc>
          <w:tcPr>
            <w:tcW w:w="2909" w:type="pct"/>
            <w:tcBorders>
              <w:top w:val="nil"/>
              <w:left w:val="single" w:sz="4" w:space="0" w:color="auto"/>
              <w:bottom w:val="nil"/>
              <w:right w:val="single" w:sz="4" w:space="0" w:color="auto"/>
            </w:tcBorders>
            <w:shd w:val="clear" w:color="auto" w:fill="DEEAF6" w:themeFill="accent1" w:themeFillTint="33"/>
            <w:noWrap/>
            <w:vAlign w:val="bottom"/>
            <w:hideMark/>
          </w:tcPr>
          <w:p w14:paraId="1217C7FA" w14:textId="77777777" w:rsidR="00085F16" w:rsidRPr="00620506" w:rsidRDefault="00085F16" w:rsidP="00620506">
            <w:pPr>
              <w:spacing w:after="0" w:line="240" w:lineRule="auto"/>
              <w:ind w:firstLineChars="300" w:firstLine="600"/>
              <w:rPr>
                <w:rFonts w:ascii="Times New Roman" w:hAnsi="Times New Roman" w:cs="Times New Roman"/>
                <w:i/>
                <w:iCs/>
                <w:sz w:val="20"/>
                <w:szCs w:val="20"/>
              </w:rPr>
            </w:pPr>
            <w:r w:rsidRPr="00620506">
              <w:rPr>
                <w:rFonts w:ascii="Times New Roman" w:hAnsi="Times New Roman" w:cs="Times New Roman"/>
                <w:sz w:val="20"/>
                <w:szCs w:val="20"/>
              </w:rPr>
              <w:t>Taksa, ngarkesa dhe të tjera - Niveli Lokal</w:t>
            </w:r>
          </w:p>
        </w:tc>
        <w:tc>
          <w:tcPr>
            <w:tcW w:w="740" w:type="pct"/>
            <w:shd w:val="clear" w:color="auto" w:fill="DEEAF6" w:themeFill="accent1" w:themeFillTint="33"/>
            <w:noWrap/>
            <w:hideMark/>
          </w:tcPr>
          <w:p w14:paraId="355F8D80" w14:textId="77777777" w:rsidR="00085F16" w:rsidRPr="00620506" w:rsidRDefault="00085F16" w:rsidP="00620506">
            <w:pPr>
              <w:spacing w:after="0" w:line="240" w:lineRule="auto"/>
              <w:jc w:val="right"/>
              <w:rPr>
                <w:rFonts w:ascii="Times New Roman" w:hAnsi="Times New Roman" w:cs="Times New Roman"/>
                <w:sz w:val="20"/>
                <w:szCs w:val="20"/>
                <w:lang w:val="en-US"/>
              </w:rPr>
            </w:pPr>
            <w:r w:rsidRPr="00620506">
              <w:rPr>
                <w:rFonts w:ascii="Times New Roman" w:hAnsi="Times New Roman" w:cs="Times New Roman"/>
                <w:sz w:val="20"/>
                <w:szCs w:val="20"/>
              </w:rPr>
              <w:t>46</w:t>
            </w:r>
          </w:p>
        </w:tc>
        <w:tc>
          <w:tcPr>
            <w:tcW w:w="579" w:type="pct"/>
            <w:shd w:val="clear" w:color="auto" w:fill="DEEAF6" w:themeFill="accent1" w:themeFillTint="33"/>
            <w:noWrap/>
            <w:hideMark/>
          </w:tcPr>
          <w:p w14:paraId="2DC42C83" w14:textId="77777777" w:rsidR="00085F16" w:rsidRPr="00620506" w:rsidRDefault="00085F16" w:rsidP="00620506">
            <w:pPr>
              <w:spacing w:after="0" w:line="240" w:lineRule="auto"/>
              <w:jc w:val="right"/>
              <w:rPr>
                <w:rFonts w:ascii="Times New Roman" w:hAnsi="Times New Roman" w:cs="Times New Roman"/>
                <w:sz w:val="20"/>
                <w:szCs w:val="20"/>
                <w:lang w:val="en-US"/>
              </w:rPr>
            </w:pPr>
            <w:r w:rsidRPr="00620506">
              <w:rPr>
                <w:rFonts w:ascii="Times New Roman" w:hAnsi="Times New Roman" w:cs="Times New Roman"/>
                <w:sz w:val="20"/>
                <w:szCs w:val="20"/>
              </w:rPr>
              <w:t>57</w:t>
            </w:r>
          </w:p>
        </w:tc>
        <w:tc>
          <w:tcPr>
            <w:tcW w:w="772" w:type="pct"/>
            <w:tcBorders>
              <w:top w:val="nil"/>
              <w:left w:val="nil"/>
              <w:bottom w:val="nil"/>
              <w:right w:val="single" w:sz="4" w:space="0" w:color="auto"/>
            </w:tcBorders>
            <w:shd w:val="clear" w:color="auto" w:fill="DEEAF6" w:themeFill="accent1" w:themeFillTint="33"/>
            <w:noWrap/>
            <w:hideMark/>
          </w:tcPr>
          <w:p w14:paraId="59EC5C3B" w14:textId="77777777" w:rsidR="00085F16" w:rsidRPr="00620506" w:rsidRDefault="00085F16" w:rsidP="00620506">
            <w:pPr>
              <w:spacing w:after="0" w:line="240" w:lineRule="auto"/>
              <w:jc w:val="right"/>
              <w:rPr>
                <w:rFonts w:ascii="Times New Roman" w:hAnsi="Times New Roman" w:cs="Times New Roman"/>
                <w:sz w:val="20"/>
                <w:szCs w:val="20"/>
              </w:rPr>
            </w:pPr>
            <w:r w:rsidRPr="00620506">
              <w:rPr>
                <w:rFonts w:ascii="Times New Roman" w:hAnsi="Times New Roman" w:cs="Times New Roman"/>
                <w:sz w:val="20"/>
                <w:szCs w:val="20"/>
              </w:rPr>
              <w:t>40</w:t>
            </w:r>
          </w:p>
        </w:tc>
      </w:tr>
      <w:tr w:rsidR="00085F16" w:rsidRPr="00620506" w14:paraId="42AD99EC" w14:textId="77777777" w:rsidTr="00085F16">
        <w:trPr>
          <w:trHeight w:val="295"/>
        </w:trPr>
        <w:tc>
          <w:tcPr>
            <w:tcW w:w="2909" w:type="pct"/>
            <w:tcBorders>
              <w:top w:val="nil"/>
              <w:left w:val="single" w:sz="4" w:space="0" w:color="auto"/>
              <w:bottom w:val="nil"/>
              <w:right w:val="single" w:sz="4" w:space="0" w:color="auto"/>
            </w:tcBorders>
            <w:shd w:val="clear" w:color="auto" w:fill="DEEAF6" w:themeFill="accent1" w:themeFillTint="33"/>
            <w:noWrap/>
            <w:vAlign w:val="bottom"/>
            <w:hideMark/>
          </w:tcPr>
          <w:p w14:paraId="67E461EE" w14:textId="77777777" w:rsidR="00085F16" w:rsidRPr="00620506" w:rsidRDefault="00085F16" w:rsidP="00620506">
            <w:pPr>
              <w:spacing w:after="0" w:line="240" w:lineRule="auto"/>
              <w:ind w:firstLineChars="300" w:firstLine="600"/>
              <w:rPr>
                <w:rFonts w:ascii="Times New Roman" w:hAnsi="Times New Roman" w:cs="Times New Roman"/>
                <w:i/>
                <w:iCs/>
                <w:sz w:val="20"/>
                <w:szCs w:val="20"/>
              </w:rPr>
            </w:pPr>
            <w:r w:rsidRPr="00620506">
              <w:rPr>
                <w:rFonts w:ascii="Times New Roman" w:hAnsi="Times New Roman" w:cs="Times New Roman"/>
                <w:sz w:val="20"/>
                <w:szCs w:val="20"/>
              </w:rPr>
              <w:t>Taksa koncesionare</w:t>
            </w:r>
          </w:p>
        </w:tc>
        <w:tc>
          <w:tcPr>
            <w:tcW w:w="740" w:type="pct"/>
            <w:shd w:val="clear" w:color="auto" w:fill="DEEAF6" w:themeFill="accent1" w:themeFillTint="33"/>
            <w:noWrap/>
            <w:hideMark/>
          </w:tcPr>
          <w:p w14:paraId="3F8DC725" w14:textId="77777777" w:rsidR="00085F16" w:rsidRPr="00620506" w:rsidRDefault="00085F16" w:rsidP="00620506">
            <w:pPr>
              <w:spacing w:after="0" w:line="240" w:lineRule="auto"/>
              <w:jc w:val="right"/>
              <w:rPr>
                <w:rFonts w:ascii="Times New Roman" w:hAnsi="Times New Roman" w:cs="Times New Roman"/>
                <w:sz w:val="20"/>
                <w:szCs w:val="20"/>
                <w:lang w:val="en-US"/>
              </w:rPr>
            </w:pPr>
            <w:r w:rsidRPr="00620506">
              <w:rPr>
                <w:rFonts w:ascii="Times New Roman" w:hAnsi="Times New Roman" w:cs="Times New Roman"/>
                <w:sz w:val="20"/>
                <w:szCs w:val="20"/>
              </w:rPr>
              <w:t>9</w:t>
            </w:r>
          </w:p>
        </w:tc>
        <w:tc>
          <w:tcPr>
            <w:tcW w:w="579" w:type="pct"/>
            <w:shd w:val="clear" w:color="auto" w:fill="DEEAF6" w:themeFill="accent1" w:themeFillTint="33"/>
            <w:noWrap/>
            <w:hideMark/>
          </w:tcPr>
          <w:p w14:paraId="3D1DAE8F" w14:textId="77777777" w:rsidR="00085F16" w:rsidRPr="00620506" w:rsidRDefault="00085F16" w:rsidP="00620506">
            <w:pPr>
              <w:spacing w:after="0" w:line="240" w:lineRule="auto"/>
              <w:jc w:val="right"/>
              <w:rPr>
                <w:rFonts w:ascii="Times New Roman" w:hAnsi="Times New Roman" w:cs="Times New Roman"/>
                <w:sz w:val="20"/>
                <w:szCs w:val="20"/>
                <w:lang w:val="en-US"/>
              </w:rPr>
            </w:pPr>
            <w:r w:rsidRPr="00620506">
              <w:rPr>
                <w:rFonts w:ascii="Times New Roman" w:hAnsi="Times New Roman" w:cs="Times New Roman"/>
                <w:sz w:val="20"/>
                <w:szCs w:val="20"/>
              </w:rPr>
              <w:t>11</w:t>
            </w:r>
          </w:p>
        </w:tc>
        <w:tc>
          <w:tcPr>
            <w:tcW w:w="772" w:type="pct"/>
            <w:tcBorders>
              <w:top w:val="nil"/>
              <w:left w:val="nil"/>
              <w:bottom w:val="nil"/>
              <w:right w:val="single" w:sz="4" w:space="0" w:color="auto"/>
            </w:tcBorders>
            <w:shd w:val="clear" w:color="auto" w:fill="DEEAF6" w:themeFill="accent1" w:themeFillTint="33"/>
            <w:noWrap/>
            <w:hideMark/>
          </w:tcPr>
          <w:p w14:paraId="36BE6ECE" w14:textId="77777777" w:rsidR="00085F16" w:rsidRPr="00620506" w:rsidRDefault="00085F16" w:rsidP="00620506">
            <w:pPr>
              <w:spacing w:after="0" w:line="240" w:lineRule="auto"/>
              <w:jc w:val="right"/>
              <w:rPr>
                <w:rFonts w:ascii="Times New Roman" w:hAnsi="Times New Roman" w:cs="Times New Roman"/>
                <w:sz w:val="20"/>
                <w:szCs w:val="20"/>
              </w:rPr>
            </w:pPr>
            <w:r w:rsidRPr="00620506">
              <w:rPr>
                <w:rFonts w:ascii="Times New Roman" w:hAnsi="Times New Roman" w:cs="Times New Roman"/>
                <w:sz w:val="20"/>
                <w:szCs w:val="20"/>
              </w:rPr>
              <w:t>11</w:t>
            </w:r>
          </w:p>
        </w:tc>
      </w:tr>
      <w:tr w:rsidR="00085F16" w:rsidRPr="00620506" w14:paraId="745D5214" w14:textId="77777777" w:rsidTr="00085F16">
        <w:trPr>
          <w:trHeight w:val="295"/>
        </w:trPr>
        <w:tc>
          <w:tcPr>
            <w:tcW w:w="2909" w:type="pct"/>
            <w:tcBorders>
              <w:top w:val="nil"/>
              <w:left w:val="single" w:sz="4" w:space="0" w:color="auto"/>
              <w:bottom w:val="nil"/>
              <w:right w:val="single" w:sz="4" w:space="0" w:color="auto"/>
            </w:tcBorders>
            <w:shd w:val="clear" w:color="auto" w:fill="DEEAF6" w:themeFill="accent1" w:themeFillTint="33"/>
            <w:noWrap/>
            <w:vAlign w:val="bottom"/>
            <w:hideMark/>
          </w:tcPr>
          <w:p w14:paraId="18F6B858" w14:textId="77777777" w:rsidR="00085F16" w:rsidRPr="00620506" w:rsidRDefault="00085F16" w:rsidP="00620506">
            <w:pPr>
              <w:spacing w:after="0" w:line="240" w:lineRule="auto"/>
              <w:ind w:firstLineChars="300" w:firstLine="600"/>
              <w:rPr>
                <w:rFonts w:ascii="Times New Roman" w:hAnsi="Times New Roman" w:cs="Times New Roman"/>
                <w:i/>
                <w:iCs/>
                <w:sz w:val="20"/>
                <w:szCs w:val="20"/>
              </w:rPr>
            </w:pPr>
            <w:r w:rsidRPr="00620506">
              <w:rPr>
                <w:rFonts w:ascii="Times New Roman" w:hAnsi="Times New Roman" w:cs="Times New Roman"/>
                <w:sz w:val="20"/>
                <w:szCs w:val="20"/>
              </w:rPr>
              <w:t xml:space="preserve">Renta Minerare </w:t>
            </w:r>
          </w:p>
        </w:tc>
        <w:tc>
          <w:tcPr>
            <w:tcW w:w="740" w:type="pct"/>
            <w:shd w:val="clear" w:color="auto" w:fill="DEEAF6" w:themeFill="accent1" w:themeFillTint="33"/>
            <w:noWrap/>
            <w:hideMark/>
          </w:tcPr>
          <w:p w14:paraId="4C0AD7FE" w14:textId="77777777" w:rsidR="00085F16" w:rsidRPr="00620506" w:rsidRDefault="00085F16" w:rsidP="00620506">
            <w:pPr>
              <w:spacing w:after="0" w:line="240" w:lineRule="auto"/>
              <w:jc w:val="right"/>
              <w:rPr>
                <w:rFonts w:ascii="Times New Roman" w:hAnsi="Times New Roman" w:cs="Times New Roman"/>
                <w:sz w:val="20"/>
                <w:szCs w:val="20"/>
                <w:lang w:val="en-US"/>
              </w:rPr>
            </w:pPr>
            <w:r w:rsidRPr="00620506">
              <w:rPr>
                <w:rFonts w:ascii="Times New Roman" w:hAnsi="Times New Roman" w:cs="Times New Roman"/>
                <w:sz w:val="20"/>
                <w:szCs w:val="20"/>
              </w:rPr>
              <w:t>25</w:t>
            </w:r>
          </w:p>
        </w:tc>
        <w:tc>
          <w:tcPr>
            <w:tcW w:w="579" w:type="pct"/>
            <w:shd w:val="clear" w:color="auto" w:fill="DEEAF6" w:themeFill="accent1" w:themeFillTint="33"/>
            <w:noWrap/>
            <w:hideMark/>
          </w:tcPr>
          <w:p w14:paraId="570D04D0" w14:textId="77777777" w:rsidR="00085F16" w:rsidRPr="00620506" w:rsidRDefault="00085F16" w:rsidP="00620506">
            <w:pPr>
              <w:spacing w:after="0" w:line="240" w:lineRule="auto"/>
              <w:jc w:val="right"/>
              <w:rPr>
                <w:rFonts w:ascii="Times New Roman" w:hAnsi="Times New Roman" w:cs="Times New Roman"/>
                <w:sz w:val="20"/>
                <w:szCs w:val="20"/>
                <w:lang w:val="en-US"/>
              </w:rPr>
            </w:pPr>
            <w:r w:rsidRPr="00620506">
              <w:rPr>
                <w:rFonts w:ascii="Times New Roman" w:hAnsi="Times New Roman" w:cs="Times New Roman"/>
                <w:sz w:val="20"/>
                <w:szCs w:val="20"/>
              </w:rPr>
              <w:t>33</w:t>
            </w:r>
          </w:p>
        </w:tc>
        <w:tc>
          <w:tcPr>
            <w:tcW w:w="772" w:type="pct"/>
            <w:tcBorders>
              <w:top w:val="nil"/>
              <w:left w:val="nil"/>
              <w:bottom w:val="nil"/>
              <w:right w:val="single" w:sz="4" w:space="0" w:color="auto"/>
            </w:tcBorders>
            <w:shd w:val="clear" w:color="auto" w:fill="DEEAF6" w:themeFill="accent1" w:themeFillTint="33"/>
            <w:noWrap/>
            <w:hideMark/>
          </w:tcPr>
          <w:p w14:paraId="297E7BBA" w14:textId="77777777" w:rsidR="00085F16" w:rsidRPr="00620506" w:rsidRDefault="00085F16" w:rsidP="00620506">
            <w:pPr>
              <w:spacing w:after="0" w:line="240" w:lineRule="auto"/>
              <w:jc w:val="right"/>
              <w:rPr>
                <w:rFonts w:ascii="Times New Roman" w:hAnsi="Times New Roman" w:cs="Times New Roman"/>
                <w:sz w:val="20"/>
                <w:szCs w:val="20"/>
              </w:rPr>
            </w:pPr>
            <w:r w:rsidRPr="00620506">
              <w:rPr>
                <w:rFonts w:ascii="Times New Roman" w:hAnsi="Times New Roman" w:cs="Times New Roman"/>
                <w:sz w:val="20"/>
                <w:szCs w:val="20"/>
              </w:rPr>
              <w:t>28</w:t>
            </w:r>
          </w:p>
        </w:tc>
      </w:tr>
      <w:tr w:rsidR="00085F16" w:rsidRPr="00620506" w14:paraId="09D6D819" w14:textId="77777777" w:rsidTr="00085F16">
        <w:trPr>
          <w:trHeight w:val="295"/>
        </w:trPr>
        <w:tc>
          <w:tcPr>
            <w:tcW w:w="2909" w:type="pct"/>
            <w:tcBorders>
              <w:top w:val="nil"/>
              <w:left w:val="single" w:sz="4" w:space="0" w:color="auto"/>
              <w:bottom w:val="nil"/>
              <w:right w:val="single" w:sz="4" w:space="0" w:color="auto"/>
            </w:tcBorders>
            <w:shd w:val="clear" w:color="auto" w:fill="DEEAF6" w:themeFill="accent1" w:themeFillTint="33"/>
            <w:noWrap/>
            <w:vAlign w:val="bottom"/>
            <w:hideMark/>
          </w:tcPr>
          <w:p w14:paraId="3B22BC5B" w14:textId="77777777" w:rsidR="00085F16" w:rsidRPr="00620506" w:rsidRDefault="00085F16" w:rsidP="00620506">
            <w:pPr>
              <w:spacing w:after="0" w:line="240" w:lineRule="auto"/>
              <w:ind w:firstLineChars="300" w:firstLine="600"/>
              <w:rPr>
                <w:rFonts w:ascii="Times New Roman" w:hAnsi="Times New Roman" w:cs="Times New Roman"/>
                <w:i/>
                <w:iCs/>
                <w:sz w:val="20"/>
                <w:szCs w:val="20"/>
              </w:rPr>
            </w:pPr>
            <w:r w:rsidRPr="00620506">
              <w:rPr>
                <w:rFonts w:ascii="Times New Roman" w:hAnsi="Times New Roman" w:cs="Times New Roman"/>
                <w:sz w:val="20"/>
                <w:szCs w:val="20"/>
              </w:rPr>
              <w:t xml:space="preserve">Të hyrat nga interesi </w:t>
            </w:r>
          </w:p>
        </w:tc>
        <w:tc>
          <w:tcPr>
            <w:tcW w:w="740" w:type="pct"/>
            <w:shd w:val="clear" w:color="auto" w:fill="DEEAF6" w:themeFill="accent1" w:themeFillTint="33"/>
            <w:noWrap/>
            <w:hideMark/>
          </w:tcPr>
          <w:p w14:paraId="3EA0C8E6" w14:textId="77777777" w:rsidR="00085F16" w:rsidRPr="00620506" w:rsidRDefault="00085F16" w:rsidP="00620506">
            <w:pPr>
              <w:spacing w:after="0" w:line="240" w:lineRule="auto"/>
              <w:jc w:val="right"/>
              <w:rPr>
                <w:rFonts w:ascii="Times New Roman" w:hAnsi="Times New Roman" w:cs="Times New Roman"/>
                <w:sz w:val="20"/>
                <w:szCs w:val="20"/>
                <w:lang w:val="en-US"/>
              </w:rPr>
            </w:pPr>
            <w:r w:rsidRPr="00620506">
              <w:rPr>
                <w:rFonts w:ascii="Times New Roman" w:hAnsi="Times New Roman" w:cs="Times New Roman"/>
                <w:sz w:val="20"/>
                <w:szCs w:val="20"/>
              </w:rPr>
              <w:t>2</w:t>
            </w:r>
          </w:p>
        </w:tc>
        <w:tc>
          <w:tcPr>
            <w:tcW w:w="579" w:type="pct"/>
            <w:shd w:val="clear" w:color="auto" w:fill="DEEAF6" w:themeFill="accent1" w:themeFillTint="33"/>
            <w:noWrap/>
            <w:hideMark/>
          </w:tcPr>
          <w:p w14:paraId="3947F13A" w14:textId="77777777" w:rsidR="00085F16" w:rsidRPr="00620506" w:rsidRDefault="00085F16" w:rsidP="00620506">
            <w:pPr>
              <w:spacing w:after="0" w:line="240" w:lineRule="auto"/>
              <w:jc w:val="right"/>
              <w:rPr>
                <w:rFonts w:ascii="Times New Roman" w:hAnsi="Times New Roman" w:cs="Times New Roman"/>
                <w:sz w:val="20"/>
                <w:szCs w:val="20"/>
                <w:lang w:val="en-US"/>
              </w:rPr>
            </w:pPr>
            <w:r w:rsidRPr="00620506">
              <w:rPr>
                <w:rFonts w:ascii="Times New Roman" w:hAnsi="Times New Roman" w:cs="Times New Roman"/>
                <w:sz w:val="20"/>
                <w:szCs w:val="20"/>
              </w:rPr>
              <w:t>4</w:t>
            </w:r>
          </w:p>
        </w:tc>
        <w:tc>
          <w:tcPr>
            <w:tcW w:w="772" w:type="pct"/>
            <w:tcBorders>
              <w:top w:val="nil"/>
              <w:left w:val="nil"/>
              <w:bottom w:val="nil"/>
              <w:right w:val="single" w:sz="4" w:space="0" w:color="auto"/>
            </w:tcBorders>
            <w:shd w:val="clear" w:color="auto" w:fill="DEEAF6" w:themeFill="accent1" w:themeFillTint="33"/>
            <w:noWrap/>
            <w:hideMark/>
          </w:tcPr>
          <w:p w14:paraId="17FE1776" w14:textId="77777777" w:rsidR="00085F16" w:rsidRPr="00620506" w:rsidRDefault="00085F16" w:rsidP="00620506">
            <w:pPr>
              <w:spacing w:after="0" w:line="240" w:lineRule="auto"/>
              <w:jc w:val="right"/>
              <w:rPr>
                <w:rFonts w:ascii="Times New Roman" w:hAnsi="Times New Roman" w:cs="Times New Roman"/>
                <w:sz w:val="20"/>
                <w:szCs w:val="20"/>
              </w:rPr>
            </w:pPr>
            <w:r w:rsidRPr="00620506">
              <w:rPr>
                <w:rFonts w:ascii="Times New Roman" w:hAnsi="Times New Roman" w:cs="Times New Roman"/>
                <w:sz w:val="20"/>
                <w:szCs w:val="20"/>
              </w:rPr>
              <w:t>3</w:t>
            </w:r>
          </w:p>
        </w:tc>
      </w:tr>
      <w:tr w:rsidR="00085F16" w:rsidRPr="00620506" w14:paraId="2CA12D13" w14:textId="77777777" w:rsidTr="00085F16">
        <w:trPr>
          <w:trHeight w:val="92"/>
        </w:trPr>
        <w:tc>
          <w:tcPr>
            <w:tcW w:w="2909" w:type="pct"/>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122CDC79" w14:textId="77777777" w:rsidR="00085F16" w:rsidRPr="00620506" w:rsidRDefault="00085F16" w:rsidP="00620506">
            <w:pPr>
              <w:spacing w:after="0" w:line="240" w:lineRule="auto"/>
              <w:ind w:firstLineChars="100" w:firstLine="201"/>
              <w:rPr>
                <w:rFonts w:ascii="Times New Roman" w:hAnsi="Times New Roman" w:cs="Times New Roman"/>
                <w:b/>
                <w:bCs/>
                <w:sz w:val="20"/>
                <w:szCs w:val="20"/>
              </w:rPr>
            </w:pPr>
            <w:r w:rsidRPr="00620506">
              <w:rPr>
                <w:rFonts w:ascii="Times New Roman" w:hAnsi="Times New Roman" w:cs="Times New Roman"/>
                <w:b/>
                <w:bCs/>
                <w:sz w:val="20"/>
                <w:szCs w:val="20"/>
              </w:rPr>
              <w:t>1.3 Grante për mbështetje buxhetore</w:t>
            </w:r>
          </w:p>
        </w:tc>
        <w:tc>
          <w:tcPr>
            <w:tcW w:w="740" w:type="pct"/>
            <w:tcBorders>
              <w:top w:val="nil"/>
              <w:left w:val="nil"/>
              <w:bottom w:val="single" w:sz="4" w:space="0" w:color="auto"/>
              <w:right w:val="nil"/>
            </w:tcBorders>
            <w:shd w:val="clear" w:color="auto" w:fill="DEEAF6" w:themeFill="accent1" w:themeFillTint="33"/>
            <w:noWrap/>
            <w:hideMark/>
          </w:tcPr>
          <w:p w14:paraId="5E12D9EF" w14:textId="77777777" w:rsidR="00085F16" w:rsidRPr="00620506" w:rsidRDefault="00085F16" w:rsidP="00620506">
            <w:pPr>
              <w:spacing w:after="0" w:line="240" w:lineRule="auto"/>
              <w:jc w:val="right"/>
              <w:rPr>
                <w:rFonts w:ascii="Times New Roman" w:hAnsi="Times New Roman" w:cs="Times New Roman"/>
                <w:b/>
                <w:bCs/>
                <w:sz w:val="20"/>
                <w:szCs w:val="20"/>
                <w:lang w:val="en-US"/>
              </w:rPr>
            </w:pPr>
            <w:r w:rsidRPr="00620506">
              <w:rPr>
                <w:rFonts w:ascii="Times New Roman" w:hAnsi="Times New Roman" w:cs="Times New Roman"/>
                <w:b/>
                <w:sz w:val="20"/>
                <w:szCs w:val="20"/>
              </w:rPr>
              <w:t>0</w:t>
            </w:r>
          </w:p>
        </w:tc>
        <w:tc>
          <w:tcPr>
            <w:tcW w:w="579" w:type="pct"/>
            <w:tcBorders>
              <w:top w:val="nil"/>
              <w:left w:val="nil"/>
              <w:bottom w:val="single" w:sz="4" w:space="0" w:color="auto"/>
              <w:right w:val="nil"/>
            </w:tcBorders>
            <w:shd w:val="clear" w:color="auto" w:fill="DEEAF6" w:themeFill="accent1" w:themeFillTint="33"/>
            <w:noWrap/>
            <w:hideMark/>
          </w:tcPr>
          <w:p w14:paraId="143F86B6" w14:textId="77777777" w:rsidR="00085F16" w:rsidRPr="00620506" w:rsidRDefault="00085F16" w:rsidP="00620506">
            <w:pPr>
              <w:spacing w:after="0" w:line="240" w:lineRule="auto"/>
              <w:jc w:val="right"/>
              <w:rPr>
                <w:rFonts w:ascii="Times New Roman" w:hAnsi="Times New Roman" w:cs="Times New Roman"/>
                <w:b/>
                <w:bCs/>
                <w:sz w:val="20"/>
                <w:szCs w:val="20"/>
                <w:lang w:val="en-US"/>
              </w:rPr>
            </w:pPr>
            <w:r w:rsidRPr="00620506">
              <w:rPr>
                <w:rFonts w:ascii="Times New Roman" w:hAnsi="Times New Roman" w:cs="Times New Roman"/>
                <w:b/>
                <w:sz w:val="20"/>
                <w:szCs w:val="20"/>
              </w:rPr>
              <w:t>11</w:t>
            </w:r>
          </w:p>
        </w:tc>
        <w:tc>
          <w:tcPr>
            <w:tcW w:w="772" w:type="pct"/>
            <w:tcBorders>
              <w:top w:val="nil"/>
              <w:left w:val="nil"/>
              <w:bottom w:val="single" w:sz="4" w:space="0" w:color="auto"/>
              <w:right w:val="single" w:sz="4" w:space="0" w:color="auto"/>
            </w:tcBorders>
            <w:shd w:val="clear" w:color="auto" w:fill="DEEAF6" w:themeFill="accent1" w:themeFillTint="33"/>
            <w:noWrap/>
            <w:hideMark/>
          </w:tcPr>
          <w:p w14:paraId="641FA245" w14:textId="77777777" w:rsidR="00085F16" w:rsidRPr="00620506" w:rsidRDefault="00085F16" w:rsidP="00620506">
            <w:pPr>
              <w:spacing w:after="0" w:line="240" w:lineRule="auto"/>
              <w:jc w:val="right"/>
              <w:rPr>
                <w:rFonts w:ascii="Times New Roman" w:hAnsi="Times New Roman" w:cs="Times New Roman"/>
                <w:b/>
                <w:sz w:val="20"/>
                <w:szCs w:val="20"/>
              </w:rPr>
            </w:pPr>
            <w:r w:rsidRPr="00620506">
              <w:rPr>
                <w:rFonts w:ascii="Times New Roman" w:hAnsi="Times New Roman" w:cs="Times New Roman"/>
                <w:b/>
                <w:sz w:val="20"/>
                <w:szCs w:val="20"/>
              </w:rPr>
              <w:t>0</w:t>
            </w:r>
          </w:p>
        </w:tc>
      </w:tr>
      <w:tr w:rsidR="00085F16" w:rsidRPr="00620506" w14:paraId="3A4C9B20" w14:textId="77777777" w:rsidTr="00085F16">
        <w:trPr>
          <w:trHeight w:val="315"/>
        </w:trPr>
        <w:tc>
          <w:tcPr>
            <w:tcW w:w="2909" w:type="pct"/>
            <w:tcBorders>
              <w:top w:val="nil"/>
              <w:left w:val="single" w:sz="4" w:space="0" w:color="auto"/>
              <w:bottom w:val="nil"/>
              <w:right w:val="single" w:sz="4" w:space="0" w:color="auto"/>
            </w:tcBorders>
            <w:shd w:val="clear" w:color="auto" w:fill="DEEAF6" w:themeFill="accent1" w:themeFillTint="33"/>
            <w:noWrap/>
            <w:vAlign w:val="bottom"/>
            <w:hideMark/>
          </w:tcPr>
          <w:p w14:paraId="3E4AFCFB" w14:textId="77777777" w:rsidR="00085F16" w:rsidRPr="00620506" w:rsidRDefault="00085F16" w:rsidP="00620506">
            <w:pPr>
              <w:spacing w:after="0" w:line="240" w:lineRule="auto"/>
              <w:rPr>
                <w:rFonts w:ascii="Times New Roman" w:hAnsi="Times New Roman" w:cs="Times New Roman"/>
                <w:b/>
                <w:bCs/>
                <w:sz w:val="20"/>
                <w:szCs w:val="20"/>
              </w:rPr>
            </w:pPr>
            <w:r w:rsidRPr="00620506">
              <w:rPr>
                <w:rFonts w:ascii="Times New Roman" w:hAnsi="Times New Roman" w:cs="Times New Roman"/>
                <w:b/>
                <w:bCs/>
                <w:sz w:val="20"/>
                <w:szCs w:val="20"/>
              </w:rPr>
              <w:t>2. GITHSEJ SHPENZIMET BUXHETORE</w:t>
            </w:r>
          </w:p>
        </w:tc>
        <w:tc>
          <w:tcPr>
            <w:tcW w:w="740" w:type="pct"/>
            <w:shd w:val="clear" w:color="auto" w:fill="DEEAF6" w:themeFill="accent1" w:themeFillTint="33"/>
            <w:noWrap/>
            <w:hideMark/>
          </w:tcPr>
          <w:p w14:paraId="5DD8032C" w14:textId="77777777" w:rsidR="00085F16" w:rsidRPr="00620506" w:rsidRDefault="00085F16" w:rsidP="00620506">
            <w:pPr>
              <w:tabs>
                <w:tab w:val="center" w:pos="558"/>
                <w:tab w:val="right" w:pos="1117"/>
              </w:tabs>
              <w:spacing w:after="0" w:line="240" w:lineRule="auto"/>
              <w:rPr>
                <w:rFonts w:ascii="Times New Roman" w:hAnsi="Times New Roman" w:cs="Times New Roman"/>
                <w:b/>
                <w:bCs/>
                <w:sz w:val="20"/>
                <w:szCs w:val="20"/>
                <w:lang w:val="en-US"/>
              </w:rPr>
            </w:pPr>
            <w:r w:rsidRPr="00620506">
              <w:rPr>
                <w:rFonts w:ascii="Times New Roman" w:hAnsi="Times New Roman" w:cs="Times New Roman"/>
                <w:b/>
                <w:sz w:val="20"/>
                <w:szCs w:val="20"/>
              </w:rPr>
              <w:tab/>
            </w:r>
            <w:r w:rsidRPr="00620506">
              <w:rPr>
                <w:rFonts w:ascii="Times New Roman" w:hAnsi="Times New Roman" w:cs="Times New Roman"/>
                <w:b/>
                <w:sz w:val="20"/>
                <w:szCs w:val="20"/>
              </w:rPr>
              <w:tab/>
              <w:t>1,956</w:t>
            </w:r>
          </w:p>
        </w:tc>
        <w:tc>
          <w:tcPr>
            <w:tcW w:w="579" w:type="pct"/>
            <w:shd w:val="clear" w:color="auto" w:fill="DEEAF6" w:themeFill="accent1" w:themeFillTint="33"/>
            <w:noWrap/>
            <w:hideMark/>
          </w:tcPr>
          <w:p w14:paraId="42FE8E98" w14:textId="77777777" w:rsidR="00085F16" w:rsidRPr="00620506" w:rsidRDefault="00085F16" w:rsidP="00620506">
            <w:pPr>
              <w:spacing w:after="0" w:line="240" w:lineRule="auto"/>
              <w:jc w:val="right"/>
              <w:rPr>
                <w:rFonts w:ascii="Times New Roman" w:hAnsi="Times New Roman" w:cs="Times New Roman"/>
                <w:b/>
                <w:bCs/>
                <w:sz w:val="20"/>
                <w:szCs w:val="20"/>
                <w:lang w:val="en-US"/>
              </w:rPr>
            </w:pPr>
            <w:r w:rsidRPr="00620506">
              <w:rPr>
                <w:rFonts w:ascii="Times New Roman" w:hAnsi="Times New Roman" w:cs="Times New Roman"/>
                <w:b/>
                <w:sz w:val="20"/>
                <w:szCs w:val="20"/>
              </w:rPr>
              <w:t>2,378</w:t>
            </w:r>
          </w:p>
        </w:tc>
        <w:tc>
          <w:tcPr>
            <w:tcW w:w="772" w:type="pct"/>
            <w:tcBorders>
              <w:top w:val="nil"/>
              <w:left w:val="nil"/>
              <w:bottom w:val="nil"/>
              <w:right w:val="single" w:sz="4" w:space="0" w:color="auto"/>
            </w:tcBorders>
            <w:shd w:val="clear" w:color="auto" w:fill="DEEAF6" w:themeFill="accent1" w:themeFillTint="33"/>
            <w:noWrap/>
            <w:hideMark/>
          </w:tcPr>
          <w:p w14:paraId="3AB12E5E" w14:textId="77777777" w:rsidR="00085F16" w:rsidRPr="00620506" w:rsidRDefault="00085F16" w:rsidP="00620506">
            <w:pPr>
              <w:spacing w:after="0" w:line="240" w:lineRule="auto"/>
              <w:jc w:val="right"/>
              <w:rPr>
                <w:rFonts w:ascii="Times New Roman" w:hAnsi="Times New Roman" w:cs="Times New Roman"/>
                <w:b/>
                <w:sz w:val="20"/>
                <w:szCs w:val="20"/>
              </w:rPr>
            </w:pPr>
            <w:r w:rsidRPr="00620506">
              <w:rPr>
                <w:rFonts w:ascii="Times New Roman" w:hAnsi="Times New Roman" w:cs="Times New Roman"/>
                <w:b/>
                <w:sz w:val="20"/>
                <w:szCs w:val="20"/>
              </w:rPr>
              <w:t>1,553</w:t>
            </w:r>
          </w:p>
        </w:tc>
      </w:tr>
      <w:tr w:rsidR="00085F16" w:rsidRPr="00620506" w14:paraId="2D4186CB" w14:textId="77777777" w:rsidTr="00085F16">
        <w:trPr>
          <w:trHeight w:val="295"/>
        </w:trPr>
        <w:tc>
          <w:tcPr>
            <w:tcW w:w="2909" w:type="pct"/>
            <w:tcBorders>
              <w:top w:val="nil"/>
              <w:left w:val="single" w:sz="4" w:space="0" w:color="auto"/>
              <w:bottom w:val="nil"/>
              <w:right w:val="single" w:sz="4" w:space="0" w:color="auto"/>
            </w:tcBorders>
            <w:shd w:val="clear" w:color="auto" w:fill="DEEAF6" w:themeFill="accent1" w:themeFillTint="33"/>
            <w:noWrap/>
            <w:vAlign w:val="bottom"/>
            <w:hideMark/>
          </w:tcPr>
          <w:p w14:paraId="27E7DF56" w14:textId="77777777" w:rsidR="00085F16" w:rsidRPr="00620506" w:rsidRDefault="00085F16" w:rsidP="00620506">
            <w:pPr>
              <w:spacing w:after="0" w:line="240" w:lineRule="auto"/>
              <w:ind w:firstLineChars="100" w:firstLine="201"/>
              <w:rPr>
                <w:rFonts w:ascii="Times New Roman" w:hAnsi="Times New Roman" w:cs="Times New Roman"/>
                <w:b/>
                <w:bCs/>
                <w:sz w:val="20"/>
                <w:szCs w:val="20"/>
              </w:rPr>
            </w:pPr>
            <w:r w:rsidRPr="00620506">
              <w:rPr>
                <w:rFonts w:ascii="Times New Roman" w:hAnsi="Times New Roman" w:cs="Times New Roman"/>
                <w:b/>
                <w:bCs/>
                <w:sz w:val="20"/>
                <w:szCs w:val="20"/>
              </w:rPr>
              <w:t>2.1 Shpenzimet Rrjedhëse</w:t>
            </w:r>
          </w:p>
        </w:tc>
        <w:tc>
          <w:tcPr>
            <w:tcW w:w="740" w:type="pct"/>
            <w:shd w:val="clear" w:color="auto" w:fill="DEEAF6" w:themeFill="accent1" w:themeFillTint="33"/>
            <w:noWrap/>
            <w:hideMark/>
          </w:tcPr>
          <w:p w14:paraId="056FAF60" w14:textId="77777777" w:rsidR="00085F16" w:rsidRPr="00620506" w:rsidRDefault="00085F16" w:rsidP="00620506">
            <w:pPr>
              <w:spacing w:after="0" w:line="240" w:lineRule="auto"/>
              <w:jc w:val="right"/>
              <w:rPr>
                <w:rFonts w:ascii="Times New Roman" w:hAnsi="Times New Roman" w:cs="Times New Roman"/>
                <w:b/>
                <w:bCs/>
                <w:sz w:val="20"/>
                <w:szCs w:val="20"/>
                <w:lang w:val="en-US"/>
              </w:rPr>
            </w:pPr>
            <w:r w:rsidRPr="00620506">
              <w:rPr>
                <w:rFonts w:ascii="Times New Roman" w:hAnsi="Times New Roman" w:cs="Times New Roman"/>
                <w:b/>
                <w:sz w:val="20"/>
                <w:szCs w:val="20"/>
              </w:rPr>
              <w:t>1,404</w:t>
            </w:r>
          </w:p>
        </w:tc>
        <w:tc>
          <w:tcPr>
            <w:tcW w:w="579" w:type="pct"/>
            <w:shd w:val="clear" w:color="auto" w:fill="DEEAF6" w:themeFill="accent1" w:themeFillTint="33"/>
            <w:noWrap/>
            <w:hideMark/>
          </w:tcPr>
          <w:p w14:paraId="28A7B424" w14:textId="77777777" w:rsidR="00085F16" w:rsidRPr="00620506" w:rsidRDefault="00085F16" w:rsidP="00620506">
            <w:pPr>
              <w:spacing w:after="0" w:line="240" w:lineRule="auto"/>
              <w:jc w:val="right"/>
              <w:rPr>
                <w:rFonts w:ascii="Times New Roman" w:hAnsi="Times New Roman" w:cs="Times New Roman"/>
                <w:b/>
                <w:bCs/>
                <w:sz w:val="20"/>
                <w:szCs w:val="20"/>
                <w:lang w:val="en-US"/>
              </w:rPr>
            </w:pPr>
            <w:r w:rsidRPr="00620506">
              <w:rPr>
                <w:rFonts w:ascii="Times New Roman" w:hAnsi="Times New Roman" w:cs="Times New Roman"/>
                <w:b/>
                <w:sz w:val="20"/>
                <w:szCs w:val="20"/>
              </w:rPr>
              <w:t>1,561</w:t>
            </w:r>
          </w:p>
        </w:tc>
        <w:tc>
          <w:tcPr>
            <w:tcW w:w="772" w:type="pct"/>
            <w:tcBorders>
              <w:top w:val="nil"/>
              <w:left w:val="nil"/>
              <w:bottom w:val="nil"/>
              <w:right w:val="single" w:sz="4" w:space="0" w:color="auto"/>
            </w:tcBorders>
            <w:shd w:val="clear" w:color="auto" w:fill="DEEAF6" w:themeFill="accent1" w:themeFillTint="33"/>
            <w:noWrap/>
            <w:hideMark/>
          </w:tcPr>
          <w:p w14:paraId="44B6A0BF" w14:textId="77777777" w:rsidR="00085F16" w:rsidRPr="00620506" w:rsidRDefault="00085F16" w:rsidP="00620506">
            <w:pPr>
              <w:spacing w:after="0" w:line="240" w:lineRule="auto"/>
              <w:jc w:val="right"/>
              <w:rPr>
                <w:rFonts w:ascii="Times New Roman" w:hAnsi="Times New Roman" w:cs="Times New Roman"/>
                <w:b/>
                <w:sz w:val="20"/>
                <w:szCs w:val="20"/>
              </w:rPr>
            </w:pPr>
            <w:r w:rsidRPr="00620506">
              <w:rPr>
                <w:rFonts w:ascii="Times New Roman" w:hAnsi="Times New Roman" w:cs="Times New Roman"/>
                <w:b/>
                <w:sz w:val="20"/>
                <w:szCs w:val="20"/>
              </w:rPr>
              <w:t>1,220</w:t>
            </w:r>
          </w:p>
        </w:tc>
      </w:tr>
      <w:tr w:rsidR="00085F16" w:rsidRPr="00620506" w14:paraId="3CC51CB7" w14:textId="77777777" w:rsidTr="00085F16">
        <w:trPr>
          <w:trHeight w:val="295"/>
        </w:trPr>
        <w:tc>
          <w:tcPr>
            <w:tcW w:w="2909" w:type="pct"/>
            <w:tcBorders>
              <w:top w:val="nil"/>
              <w:left w:val="single" w:sz="4" w:space="0" w:color="auto"/>
              <w:bottom w:val="nil"/>
              <w:right w:val="single" w:sz="4" w:space="0" w:color="auto"/>
            </w:tcBorders>
            <w:shd w:val="clear" w:color="auto" w:fill="DEEAF6" w:themeFill="accent1" w:themeFillTint="33"/>
            <w:noWrap/>
            <w:vAlign w:val="bottom"/>
            <w:hideMark/>
          </w:tcPr>
          <w:p w14:paraId="45DCF78E" w14:textId="77777777" w:rsidR="00085F16" w:rsidRPr="00620506" w:rsidRDefault="00085F16" w:rsidP="00620506">
            <w:pPr>
              <w:spacing w:after="0" w:line="240" w:lineRule="auto"/>
              <w:ind w:firstLineChars="300" w:firstLine="600"/>
              <w:rPr>
                <w:rFonts w:ascii="Times New Roman" w:hAnsi="Times New Roman" w:cs="Times New Roman"/>
                <w:i/>
                <w:iCs/>
                <w:sz w:val="20"/>
                <w:szCs w:val="20"/>
              </w:rPr>
            </w:pPr>
            <w:r w:rsidRPr="00620506">
              <w:rPr>
                <w:rFonts w:ascii="Times New Roman" w:hAnsi="Times New Roman" w:cs="Times New Roman"/>
                <w:i/>
                <w:iCs/>
                <w:sz w:val="20"/>
                <w:szCs w:val="20"/>
              </w:rPr>
              <w:t>Paga dhe mëditje</w:t>
            </w:r>
          </w:p>
        </w:tc>
        <w:tc>
          <w:tcPr>
            <w:tcW w:w="740" w:type="pct"/>
            <w:shd w:val="clear" w:color="auto" w:fill="DEEAF6" w:themeFill="accent1" w:themeFillTint="33"/>
            <w:noWrap/>
            <w:hideMark/>
          </w:tcPr>
          <w:p w14:paraId="4911EC4F" w14:textId="77777777" w:rsidR="00085F16" w:rsidRPr="00620506" w:rsidRDefault="00085F16" w:rsidP="00620506">
            <w:pPr>
              <w:spacing w:after="0" w:line="240" w:lineRule="auto"/>
              <w:jc w:val="right"/>
              <w:rPr>
                <w:rFonts w:ascii="Times New Roman" w:hAnsi="Times New Roman" w:cs="Times New Roman"/>
                <w:sz w:val="20"/>
                <w:szCs w:val="20"/>
                <w:lang w:val="en-US"/>
              </w:rPr>
            </w:pPr>
            <w:r w:rsidRPr="00620506">
              <w:rPr>
                <w:rFonts w:ascii="Times New Roman" w:hAnsi="Times New Roman" w:cs="Times New Roman"/>
                <w:sz w:val="20"/>
                <w:szCs w:val="20"/>
              </w:rPr>
              <w:t>593</w:t>
            </w:r>
          </w:p>
        </w:tc>
        <w:tc>
          <w:tcPr>
            <w:tcW w:w="579" w:type="pct"/>
            <w:shd w:val="clear" w:color="auto" w:fill="DEEAF6" w:themeFill="accent1" w:themeFillTint="33"/>
            <w:noWrap/>
            <w:hideMark/>
          </w:tcPr>
          <w:p w14:paraId="4FA377DA" w14:textId="77777777" w:rsidR="00085F16" w:rsidRPr="00620506" w:rsidRDefault="00085F16" w:rsidP="00620506">
            <w:pPr>
              <w:spacing w:after="0" w:line="240" w:lineRule="auto"/>
              <w:jc w:val="right"/>
              <w:rPr>
                <w:rFonts w:ascii="Times New Roman" w:hAnsi="Times New Roman" w:cs="Times New Roman"/>
                <w:sz w:val="20"/>
                <w:szCs w:val="20"/>
                <w:lang w:val="en-US"/>
              </w:rPr>
            </w:pPr>
            <w:r w:rsidRPr="00620506">
              <w:rPr>
                <w:rFonts w:ascii="Times New Roman" w:hAnsi="Times New Roman" w:cs="Times New Roman"/>
                <w:sz w:val="20"/>
                <w:szCs w:val="20"/>
              </w:rPr>
              <w:t>620</w:t>
            </w:r>
          </w:p>
        </w:tc>
        <w:tc>
          <w:tcPr>
            <w:tcW w:w="772" w:type="pct"/>
            <w:tcBorders>
              <w:top w:val="nil"/>
              <w:left w:val="nil"/>
              <w:bottom w:val="nil"/>
              <w:right w:val="single" w:sz="4" w:space="0" w:color="auto"/>
            </w:tcBorders>
            <w:shd w:val="clear" w:color="auto" w:fill="DEEAF6" w:themeFill="accent1" w:themeFillTint="33"/>
            <w:noWrap/>
            <w:hideMark/>
          </w:tcPr>
          <w:p w14:paraId="4D39C847" w14:textId="77777777" w:rsidR="00085F16" w:rsidRPr="00620506" w:rsidRDefault="00085F16" w:rsidP="00620506">
            <w:pPr>
              <w:spacing w:after="0" w:line="240" w:lineRule="auto"/>
              <w:jc w:val="right"/>
              <w:rPr>
                <w:rFonts w:ascii="Times New Roman" w:hAnsi="Times New Roman" w:cs="Times New Roman"/>
                <w:sz w:val="20"/>
                <w:szCs w:val="20"/>
              </w:rPr>
            </w:pPr>
            <w:r w:rsidRPr="00620506">
              <w:rPr>
                <w:rFonts w:ascii="Times New Roman" w:hAnsi="Times New Roman" w:cs="Times New Roman"/>
                <w:sz w:val="20"/>
                <w:szCs w:val="20"/>
              </w:rPr>
              <w:t>509</w:t>
            </w:r>
          </w:p>
        </w:tc>
      </w:tr>
      <w:tr w:rsidR="00085F16" w:rsidRPr="00620506" w14:paraId="52A27DE5" w14:textId="77777777" w:rsidTr="00085F16">
        <w:trPr>
          <w:trHeight w:val="295"/>
        </w:trPr>
        <w:tc>
          <w:tcPr>
            <w:tcW w:w="2909" w:type="pct"/>
            <w:tcBorders>
              <w:top w:val="nil"/>
              <w:left w:val="single" w:sz="4" w:space="0" w:color="auto"/>
              <w:bottom w:val="nil"/>
              <w:right w:val="single" w:sz="4" w:space="0" w:color="auto"/>
            </w:tcBorders>
            <w:shd w:val="clear" w:color="auto" w:fill="DEEAF6" w:themeFill="accent1" w:themeFillTint="33"/>
            <w:noWrap/>
            <w:vAlign w:val="bottom"/>
            <w:hideMark/>
          </w:tcPr>
          <w:p w14:paraId="70EB78E9" w14:textId="77777777" w:rsidR="00085F16" w:rsidRPr="00620506" w:rsidRDefault="00085F16" w:rsidP="00620506">
            <w:pPr>
              <w:spacing w:after="0" w:line="240" w:lineRule="auto"/>
              <w:ind w:firstLineChars="300" w:firstLine="600"/>
              <w:rPr>
                <w:rFonts w:ascii="Times New Roman" w:hAnsi="Times New Roman" w:cs="Times New Roman"/>
                <w:i/>
                <w:iCs/>
                <w:sz w:val="20"/>
                <w:szCs w:val="20"/>
              </w:rPr>
            </w:pPr>
            <w:r w:rsidRPr="00620506">
              <w:rPr>
                <w:rFonts w:ascii="Times New Roman" w:hAnsi="Times New Roman" w:cs="Times New Roman"/>
                <w:i/>
                <w:iCs/>
                <w:sz w:val="20"/>
                <w:szCs w:val="20"/>
              </w:rPr>
              <w:t>Mallra dhe Shërbime</w:t>
            </w:r>
          </w:p>
        </w:tc>
        <w:tc>
          <w:tcPr>
            <w:tcW w:w="740" w:type="pct"/>
            <w:shd w:val="clear" w:color="auto" w:fill="DEEAF6" w:themeFill="accent1" w:themeFillTint="33"/>
            <w:noWrap/>
            <w:hideMark/>
          </w:tcPr>
          <w:p w14:paraId="148A7A15" w14:textId="77777777" w:rsidR="00085F16" w:rsidRPr="00620506" w:rsidRDefault="00085F16" w:rsidP="00620506">
            <w:pPr>
              <w:spacing w:after="0" w:line="240" w:lineRule="auto"/>
              <w:jc w:val="right"/>
              <w:rPr>
                <w:rFonts w:ascii="Times New Roman" w:hAnsi="Times New Roman" w:cs="Times New Roman"/>
                <w:sz w:val="20"/>
                <w:szCs w:val="20"/>
                <w:lang w:val="en-US"/>
              </w:rPr>
            </w:pPr>
            <w:r w:rsidRPr="00620506">
              <w:rPr>
                <w:rFonts w:ascii="Times New Roman" w:hAnsi="Times New Roman" w:cs="Times New Roman"/>
                <w:sz w:val="20"/>
                <w:szCs w:val="20"/>
              </w:rPr>
              <w:t>253</w:t>
            </w:r>
          </w:p>
        </w:tc>
        <w:tc>
          <w:tcPr>
            <w:tcW w:w="579" w:type="pct"/>
            <w:shd w:val="clear" w:color="auto" w:fill="DEEAF6" w:themeFill="accent1" w:themeFillTint="33"/>
            <w:noWrap/>
            <w:hideMark/>
          </w:tcPr>
          <w:p w14:paraId="1F7A3FCA" w14:textId="77777777" w:rsidR="00085F16" w:rsidRPr="00620506" w:rsidRDefault="00085F16" w:rsidP="00620506">
            <w:pPr>
              <w:spacing w:after="0" w:line="240" w:lineRule="auto"/>
              <w:jc w:val="right"/>
              <w:rPr>
                <w:rFonts w:ascii="Times New Roman" w:hAnsi="Times New Roman" w:cs="Times New Roman"/>
                <w:sz w:val="20"/>
                <w:szCs w:val="20"/>
                <w:lang w:val="en-US"/>
              </w:rPr>
            </w:pPr>
            <w:r w:rsidRPr="00620506">
              <w:rPr>
                <w:rFonts w:ascii="Times New Roman" w:hAnsi="Times New Roman" w:cs="Times New Roman"/>
                <w:sz w:val="20"/>
                <w:szCs w:val="20"/>
              </w:rPr>
              <w:t>337</w:t>
            </w:r>
          </w:p>
        </w:tc>
        <w:tc>
          <w:tcPr>
            <w:tcW w:w="772" w:type="pct"/>
            <w:tcBorders>
              <w:top w:val="nil"/>
              <w:left w:val="nil"/>
              <w:bottom w:val="nil"/>
              <w:right w:val="single" w:sz="4" w:space="0" w:color="auto"/>
            </w:tcBorders>
            <w:shd w:val="clear" w:color="auto" w:fill="DEEAF6" w:themeFill="accent1" w:themeFillTint="33"/>
            <w:noWrap/>
            <w:hideMark/>
          </w:tcPr>
          <w:p w14:paraId="2FEDD8CA" w14:textId="77777777" w:rsidR="00085F16" w:rsidRPr="00620506" w:rsidRDefault="00085F16" w:rsidP="00620506">
            <w:pPr>
              <w:spacing w:after="0" w:line="240" w:lineRule="auto"/>
              <w:jc w:val="right"/>
              <w:rPr>
                <w:rFonts w:ascii="Times New Roman" w:hAnsi="Times New Roman" w:cs="Times New Roman"/>
                <w:sz w:val="20"/>
                <w:szCs w:val="20"/>
              </w:rPr>
            </w:pPr>
            <w:r w:rsidRPr="00620506">
              <w:rPr>
                <w:rFonts w:ascii="Times New Roman" w:hAnsi="Times New Roman" w:cs="Times New Roman"/>
                <w:sz w:val="20"/>
                <w:szCs w:val="20"/>
              </w:rPr>
              <w:t>210</w:t>
            </w:r>
          </w:p>
        </w:tc>
      </w:tr>
      <w:tr w:rsidR="00085F16" w:rsidRPr="00620506" w14:paraId="6FA97A78" w14:textId="77777777" w:rsidTr="00085F16">
        <w:trPr>
          <w:trHeight w:val="295"/>
        </w:trPr>
        <w:tc>
          <w:tcPr>
            <w:tcW w:w="2909" w:type="pct"/>
            <w:tcBorders>
              <w:top w:val="nil"/>
              <w:left w:val="single" w:sz="4" w:space="0" w:color="auto"/>
              <w:bottom w:val="nil"/>
              <w:right w:val="single" w:sz="4" w:space="0" w:color="auto"/>
            </w:tcBorders>
            <w:shd w:val="clear" w:color="auto" w:fill="DEEAF6" w:themeFill="accent1" w:themeFillTint="33"/>
            <w:noWrap/>
            <w:vAlign w:val="bottom"/>
            <w:hideMark/>
          </w:tcPr>
          <w:p w14:paraId="3EC4A317" w14:textId="77777777" w:rsidR="00085F16" w:rsidRPr="00620506" w:rsidRDefault="00085F16" w:rsidP="00620506">
            <w:pPr>
              <w:spacing w:after="0" w:line="240" w:lineRule="auto"/>
              <w:ind w:firstLineChars="300" w:firstLine="600"/>
              <w:rPr>
                <w:rFonts w:ascii="Times New Roman" w:hAnsi="Times New Roman" w:cs="Times New Roman"/>
                <w:i/>
                <w:iCs/>
                <w:sz w:val="20"/>
                <w:szCs w:val="20"/>
              </w:rPr>
            </w:pPr>
            <w:r w:rsidRPr="00620506">
              <w:rPr>
                <w:rFonts w:ascii="Times New Roman" w:hAnsi="Times New Roman" w:cs="Times New Roman"/>
                <w:i/>
                <w:iCs/>
                <w:sz w:val="20"/>
                <w:szCs w:val="20"/>
              </w:rPr>
              <w:t>Subvencione dhe transfere</w:t>
            </w:r>
          </w:p>
        </w:tc>
        <w:tc>
          <w:tcPr>
            <w:tcW w:w="740" w:type="pct"/>
            <w:shd w:val="clear" w:color="auto" w:fill="DEEAF6" w:themeFill="accent1" w:themeFillTint="33"/>
            <w:noWrap/>
            <w:hideMark/>
          </w:tcPr>
          <w:p w14:paraId="18B18E96" w14:textId="77777777" w:rsidR="00085F16" w:rsidRPr="00620506" w:rsidRDefault="00085F16" w:rsidP="00620506">
            <w:pPr>
              <w:spacing w:after="0" w:line="240" w:lineRule="auto"/>
              <w:jc w:val="right"/>
              <w:rPr>
                <w:rFonts w:ascii="Times New Roman" w:hAnsi="Times New Roman" w:cs="Times New Roman"/>
                <w:sz w:val="20"/>
                <w:szCs w:val="20"/>
                <w:lang w:val="en-US"/>
              </w:rPr>
            </w:pPr>
            <w:r w:rsidRPr="00620506">
              <w:rPr>
                <w:rFonts w:ascii="Times New Roman" w:hAnsi="Times New Roman" w:cs="Times New Roman"/>
                <w:sz w:val="20"/>
                <w:szCs w:val="20"/>
              </w:rPr>
              <w:t>559</w:t>
            </w:r>
          </w:p>
        </w:tc>
        <w:tc>
          <w:tcPr>
            <w:tcW w:w="579" w:type="pct"/>
            <w:shd w:val="clear" w:color="auto" w:fill="DEEAF6" w:themeFill="accent1" w:themeFillTint="33"/>
            <w:noWrap/>
            <w:hideMark/>
          </w:tcPr>
          <w:p w14:paraId="6EB7D32D" w14:textId="77777777" w:rsidR="00085F16" w:rsidRPr="00620506" w:rsidRDefault="00085F16" w:rsidP="00620506">
            <w:pPr>
              <w:spacing w:after="0" w:line="240" w:lineRule="auto"/>
              <w:jc w:val="right"/>
              <w:rPr>
                <w:rFonts w:ascii="Times New Roman" w:hAnsi="Times New Roman" w:cs="Times New Roman"/>
                <w:sz w:val="20"/>
                <w:szCs w:val="20"/>
                <w:lang w:val="en-US"/>
              </w:rPr>
            </w:pPr>
            <w:r w:rsidRPr="00620506">
              <w:rPr>
                <w:rFonts w:ascii="Times New Roman" w:hAnsi="Times New Roman" w:cs="Times New Roman"/>
                <w:sz w:val="20"/>
                <w:szCs w:val="20"/>
              </w:rPr>
              <w:t>600</w:t>
            </w:r>
          </w:p>
        </w:tc>
        <w:tc>
          <w:tcPr>
            <w:tcW w:w="772" w:type="pct"/>
            <w:tcBorders>
              <w:top w:val="nil"/>
              <w:left w:val="nil"/>
              <w:bottom w:val="nil"/>
              <w:right w:val="single" w:sz="4" w:space="0" w:color="auto"/>
            </w:tcBorders>
            <w:shd w:val="clear" w:color="auto" w:fill="DEEAF6" w:themeFill="accent1" w:themeFillTint="33"/>
            <w:noWrap/>
            <w:hideMark/>
          </w:tcPr>
          <w:p w14:paraId="1D2D5884" w14:textId="77777777" w:rsidR="00085F16" w:rsidRPr="00620506" w:rsidRDefault="00085F16" w:rsidP="00620506">
            <w:pPr>
              <w:spacing w:after="0" w:line="240" w:lineRule="auto"/>
              <w:jc w:val="right"/>
              <w:rPr>
                <w:rFonts w:ascii="Times New Roman" w:hAnsi="Times New Roman" w:cs="Times New Roman"/>
                <w:sz w:val="20"/>
                <w:szCs w:val="20"/>
              </w:rPr>
            </w:pPr>
            <w:r w:rsidRPr="00620506">
              <w:rPr>
                <w:rFonts w:ascii="Times New Roman" w:hAnsi="Times New Roman" w:cs="Times New Roman"/>
                <w:sz w:val="20"/>
                <w:szCs w:val="20"/>
              </w:rPr>
              <w:t>501</w:t>
            </w:r>
          </w:p>
        </w:tc>
      </w:tr>
      <w:tr w:rsidR="00085F16" w:rsidRPr="00620506" w14:paraId="26512B0C" w14:textId="77777777" w:rsidTr="00085F16">
        <w:trPr>
          <w:trHeight w:val="295"/>
        </w:trPr>
        <w:tc>
          <w:tcPr>
            <w:tcW w:w="2909" w:type="pct"/>
            <w:tcBorders>
              <w:top w:val="nil"/>
              <w:left w:val="single" w:sz="4" w:space="0" w:color="auto"/>
              <w:bottom w:val="nil"/>
              <w:right w:val="single" w:sz="4" w:space="0" w:color="auto"/>
            </w:tcBorders>
            <w:shd w:val="clear" w:color="auto" w:fill="DEEAF6" w:themeFill="accent1" w:themeFillTint="33"/>
            <w:noWrap/>
            <w:vAlign w:val="bottom"/>
            <w:hideMark/>
          </w:tcPr>
          <w:p w14:paraId="53CC487A" w14:textId="77777777" w:rsidR="00085F16" w:rsidRPr="00620506" w:rsidRDefault="00085F16" w:rsidP="00620506">
            <w:pPr>
              <w:spacing w:after="0" w:line="240" w:lineRule="auto"/>
              <w:ind w:firstLineChars="300" w:firstLine="600"/>
              <w:rPr>
                <w:rFonts w:ascii="Times New Roman" w:hAnsi="Times New Roman" w:cs="Times New Roman"/>
                <w:i/>
                <w:iCs/>
                <w:sz w:val="20"/>
                <w:szCs w:val="20"/>
              </w:rPr>
            </w:pPr>
            <w:r w:rsidRPr="00620506">
              <w:rPr>
                <w:rFonts w:ascii="Times New Roman" w:hAnsi="Times New Roman" w:cs="Times New Roman"/>
                <w:i/>
                <w:iCs/>
                <w:sz w:val="20"/>
                <w:szCs w:val="20"/>
              </w:rPr>
              <w:t>Rezerva rrjedhëse</w:t>
            </w:r>
          </w:p>
        </w:tc>
        <w:tc>
          <w:tcPr>
            <w:tcW w:w="740" w:type="pct"/>
            <w:shd w:val="clear" w:color="auto" w:fill="DEEAF6" w:themeFill="accent1" w:themeFillTint="33"/>
            <w:noWrap/>
            <w:hideMark/>
          </w:tcPr>
          <w:p w14:paraId="5F0545F6" w14:textId="77777777" w:rsidR="00085F16" w:rsidRPr="00620506" w:rsidRDefault="00085F16" w:rsidP="00620506">
            <w:pPr>
              <w:spacing w:after="0" w:line="240" w:lineRule="auto"/>
              <w:jc w:val="right"/>
              <w:rPr>
                <w:rFonts w:ascii="Times New Roman" w:hAnsi="Times New Roman" w:cs="Times New Roman"/>
                <w:sz w:val="20"/>
                <w:szCs w:val="20"/>
                <w:lang w:val="en-US"/>
              </w:rPr>
            </w:pPr>
            <w:r w:rsidRPr="00620506">
              <w:rPr>
                <w:rFonts w:ascii="Times New Roman" w:hAnsi="Times New Roman" w:cs="Times New Roman"/>
                <w:sz w:val="20"/>
                <w:szCs w:val="20"/>
              </w:rPr>
              <w:t>0</w:t>
            </w:r>
          </w:p>
        </w:tc>
        <w:tc>
          <w:tcPr>
            <w:tcW w:w="579" w:type="pct"/>
            <w:shd w:val="clear" w:color="auto" w:fill="DEEAF6" w:themeFill="accent1" w:themeFillTint="33"/>
            <w:noWrap/>
            <w:hideMark/>
          </w:tcPr>
          <w:p w14:paraId="6859DFCE" w14:textId="77777777" w:rsidR="00085F16" w:rsidRPr="00620506" w:rsidRDefault="00085F16" w:rsidP="00620506">
            <w:pPr>
              <w:spacing w:after="0" w:line="240" w:lineRule="auto"/>
              <w:jc w:val="right"/>
              <w:rPr>
                <w:rFonts w:ascii="Times New Roman" w:hAnsi="Times New Roman" w:cs="Times New Roman"/>
                <w:sz w:val="20"/>
                <w:szCs w:val="20"/>
                <w:lang w:val="en-US"/>
              </w:rPr>
            </w:pPr>
            <w:r w:rsidRPr="00620506">
              <w:rPr>
                <w:rFonts w:ascii="Times New Roman" w:hAnsi="Times New Roman" w:cs="Times New Roman"/>
                <w:sz w:val="20"/>
                <w:szCs w:val="20"/>
              </w:rPr>
              <w:t>5</w:t>
            </w:r>
          </w:p>
        </w:tc>
        <w:tc>
          <w:tcPr>
            <w:tcW w:w="772" w:type="pct"/>
            <w:tcBorders>
              <w:top w:val="nil"/>
              <w:left w:val="nil"/>
              <w:bottom w:val="nil"/>
              <w:right w:val="single" w:sz="4" w:space="0" w:color="auto"/>
            </w:tcBorders>
            <w:shd w:val="clear" w:color="auto" w:fill="DEEAF6" w:themeFill="accent1" w:themeFillTint="33"/>
            <w:noWrap/>
            <w:hideMark/>
          </w:tcPr>
          <w:p w14:paraId="5AEBE230" w14:textId="77777777" w:rsidR="00085F16" w:rsidRPr="00620506" w:rsidRDefault="00085F16" w:rsidP="00620506">
            <w:pPr>
              <w:spacing w:after="0" w:line="240" w:lineRule="auto"/>
              <w:jc w:val="right"/>
              <w:rPr>
                <w:rFonts w:ascii="Times New Roman" w:hAnsi="Times New Roman" w:cs="Times New Roman"/>
                <w:sz w:val="20"/>
                <w:szCs w:val="20"/>
              </w:rPr>
            </w:pPr>
            <w:r w:rsidRPr="00620506">
              <w:rPr>
                <w:rFonts w:ascii="Times New Roman" w:hAnsi="Times New Roman" w:cs="Times New Roman"/>
                <w:sz w:val="20"/>
                <w:szCs w:val="20"/>
              </w:rPr>
              <w:t>0</w:t>
            </w:r>
          </w:p>
        </w:tc>
      </w:tr>
      <w:tr w:rsidR="00085F16" w:rsidRPr="00620506" w14:paraId="11DFBB89" w14:textId="77777777" w:rsidTr="00085F16">
        <w:trPr>
          <w:trHeight w:val="295"/>
        </w:trPr>
        <w:tc>
          <w:tcPr>
            <w:tcW w:w="2909" w:type="pct"/>
            <w:tcBorders>
              <w:top w:val="nil"/>
              <w:left w:val="single" w:sz="4" w:space="0" w:color="auto"/>
              <w:bottom w:val="nil"/>
              <w:right w:val="single" w:sz="4" w:space="0" w:color="auto"/>
            </w:tcBorders>
            <w:shd w:val="clear" w:color="auto" w:fill="DEEAF6" w:themeFill="accent1" w:themeFillTint="33"/>
            <w:noWrap/>
            <w:vAlign w:val="bottom"/>
            <w:hideMark/>
          </w:tcPr>
          <w:p w14:paraId="12ED3C83" w14:textId="77777777" w:rsidR="00085F16" w:rsidRPr="00620506" w:rsidRDefault="00085F16" w:rsidP="00620506">
            <w:pPr>
              <w:spacing w:after="0" w:line="240" w:lineRule="auto"/>
              <w:ind w:firstLineChars="100" w:firstLine="201"/>
              <w:rPr>
                <w:rFonts w:ascii="Times New Roman" w:hAnsi="Times New Roman" w:cs="Times New Roman"/>
                <w:b/>
                <w:bCs/>
                <w:sz w:val="20"/>
                <w:szCs w:val="20"/>
              </w:rPr>
            </w:pPr>
            <w:r w:rsidRPr="00620506">
              <w:rPr>
                <w:rFonts w:ascii="Times New Roman" w:hAnsi="Times New Roman" w:cs="Times New Roman"/>
                <w:b/>
                <w:bCs/>
                <w:sz w:val="20"/>
                <w:szCs w:val="20"/>
              </w:rPr>
              <w:t>2.2 Shpenzimet Kapitale</w:t>
            </w:r>
          </w:p>
        </w:tc>
        <w:tc>
          <w:tcPr>
            <w:tcW w:w="740" w:type="pct"/>
            <w:shd w:val="clear" w:color="auto" w:fill="DEEAF6" w:themeFill="accent1" w:themeFillTint="33"/>
            <w:noWrap/>
            <w:hideMark/>
          </w:tcPr>
          <w:p w14:paraId="32371634" w14:textId="77777777" w:rsidR="00085F16" w:rsidRPr="00620506" w:rsidRDefault="00085F16" w:rsidP="00620506">
            <w:pPr>
              <w:spacing w:after="0" w:line="240" w:lineRule="auto"/>
              <w:jc w:val="right"/>
              <w:rPr>
                <w:rFonts w:ascii="Times New Roman" w:hAnsi="Times New Roman" w:cs="Times New Roman"/>
                <w:b/>
                <w:bCs/>
                <w:sz w:val="20"/>
                <w:szCs w:val="20"/>
                <w:lang w:val="en-US"/>
              </w:rPr>
            </w:pPr>
            <w:r w:rsidRPr="00620506">
              <w:rPr>
                <w:rFonts w:ascii="Times New Roman" w:hAnsi="Times New Roman" w:cs="Times New Roman"/>
                <w:b/>
                <w:sz w:val="20"/>
                <w:szCs w:val="20"/>
              </w:rPr>
              <w:t>533</w:t>
            </w:r>
          </w:p>
        </w:tc>
        <w:tc>
          <w:tcPr>
            <w:tcW w:w="579" w:type="pct"/>
            <w:shd w:val="clear" w:color="auto" w:fill="DEEAF6" w:themeFill="accent1" w:themeFillTint="33"/>
            <w:noWrap/>
            <w:hideMark/>
          </w:tcPr>
          <w:p w14:paraId="065B8D9B" w14:textId="77777777" w:rsidR="00085F16" w:rsidRPr="00620506" w:rsidRDefault="00085F16" w:rsidP="00620506">
            <w:pPr>
              <w:spacing w:after="0" w:line="240" w:lineRule="auto"/>
              <w:jc w:val="right"/>
              <w:rPr>
                <w:rFonts w:ascii="Times New Roman" w:hAnsi="Times New Roman" w:cs="Times New Roman"/>
                <w:b/>
                <w:bCs/>
                <w:sz w:val="20"/>
                <w:szCs w:val="20"/>
                <w:lang w:val="en-US"/>
              </w:rPr>
            </w:pPr>
            <w:r w:rsidRPr="00620506">
              <w:rPr>
                <w:rFonts w:ascii="Times New Roman" w:hAnsi="Times New Roman" w:cs="Times New Roman"/>
                <w:b/>
                <w:sz w:val="20"/>
                <w:szCs w:val="20"/>
              </w:rPr>
              <w:t>789</w:t>
            </w:r>
          </w:p>
        </w:tc>
        <w:tc>
          <w:tcPr>
            <w:tcW w:w="772" w:type="pct"/>
            <w:tcBorders>
              <w:top w:val="nil"/>
              <w:left w:val="nil"/>
              <w:bottom w:val="nil"/>
              <w:right w:val="single" w:sz="4" w:space="0" w:color="auto"/>
            </w:tcBorders>
            <w:shd w:val="clear" w:color="auto" w:fill="DEEAF6" w:themeFill="accent1" w:themeFillTint="33"/>
            <w:noWrap/>
            <w:hideMark/>
          </w:tcPr>
          <w:p w14:paraId="01541614" w14:textId="77777777" w:rsidR="00085F16" w:rsidRPr="00620506" w:rsidRDefault="00085F16" w:rsidP="00620506">
            <w:pPr>
              <w:spacing w:after="0" w:line="240" w:lineRule="auto"/>
              <w:jc w:val="right"/>
              <w:rPr>
                <w:rFonts w:ascii="Times New Roman" w:hAnsi="Times New Roman" w:cs="Times New Roman"/>
                <w:b/>
                <w:sz w:val="20"/>
                <w:szCs w:val="20"/>
                <w:highlight w:val="yellow"/>
              </w:rPr>
            </w:pPr>
            <w:r w:rsidRPr="00620506">
              <w:rPr>
                <w:rFonts w:ascii="Times New Roman" w:hAnsi="Times New Roman" w:cs="Times New Roman"/>
                <w:b/>
                <w:sz w:val="20"/>
                <w:szCs w:val="20"/>
              </w:rPr>
              <w:t>313</w:t>
            </w:r>
          </w:p>
        </w:tc>
      </w:tr>
      <w:tr w:rsidR="00085F16" w:rsidRPr="00620506" w14:paraId="394D0B80" w14:textId="77777777" w:rsidTr="00085F16">
        <w:trPr>
          <w:trHeight w:val="295"/>
        </w:trPr>
        <w:tc>
          <w:tcPr>
            <w:tcW w:w="2909" w:type="pct"/>
            <w:tcBorders>
              <w:top w:val="nil"/>
              <w:left w:val="single" w:sz="4" w:space="0" w:color="auto"/>
              <w:bottom w:val="nil"/>
              <w:right w:val="single" w:sz="4" w:space="0" w:color="auto"/>
            </w:tcBorders>
            <w:shd w:val="clear" w:color="auto" w:fill="DEEAF6" w:themeFill="accent1" w:themeFillTint="33"/>
            <w:noWrap/>
            <w:vAlign w:val="bottom"/>
            <w:hideMark/>
          </w:tcPr>
          <w:p w14:paraId="4F2A2813" w14:textId="77777777" w:rsidR="00085F16" w:rsidRPr="00620506" w:rsidRDefault="00085F16" w:rsidP="00620506">
            <w:pPr>
              <w:spacing w:after="0" w:line="240" w:lineRule="auto"/>
              <w:ind w:firstLineChars="300" w:firstLine="600"/>
              <w:rPr>
                <w:rFonts w:ascii="Times New Roman" w:hAnsi="Times New Roman" w:cs="Times New Roman"/>
                <w:i/>
                <w:iCs/>
                <w:sz w:val="20"/>
                <w:szCs w:val="20"/>
              </w:rPr>
            </w:pPr>
            <w:r w:rsidRPr="00620506">
              <w:rPr>
                <w:rFonts w:ascii="Times New Roman" w:hAnsi="Times New Roman" w:cs="Times New Roman"/>
                <w:i/>
                <w:iCs/>
                <w:sz w:val="20"/>
                <w:szCs w:val="20"/>
              </w:rPr>
              <w:t>Financimi nga buxheti i rregullt</w:t>
            </w:r>
          </w:p>
        </w:tc>
        <w:tc>
          <w:tcPr>
            <w:tcW w:w="740" w:type="pct"/>
            <w:shd w:val="clear" w:color="auto" w:fill="DEEAF6" w:themeFill="accent1" w:themeFillTint="33"/>
            <w:noWrap/>
            <w:hideMark/>
          </w:tcPr>
          <w:p w14:paraId="1F5033D0" w14:textId="77777777" w:rsidR="00085F16" w:rsidRPr="00620506" w:rsidRDefault="00085F16" w:rsidP="00620506">
            <w:pPr>
              <w:spacing w:after="0" w:line="240" w:lineRule="auto"/>
              <w:jc w:val="right"/>
              <w:rPr>
                <w:rFonts w:ascii="Times New Roman" w:hAnsi="Times New Roman" w:cs="Times New Roman"/>
                <w:sz w:val="20"/>
                <w:szCs w:val="20"/>
                <w:lang w:val="en-US"/>
              </w:rPr>
            </w:pPr>
            <w:r w:rsidRPr="00620506">
              <w:rPr>
                <w:rFonts w:ascii="Times New Roman" w:hAnsi="Times New Roman" w:cs="Times New Roman"/>
                <w:sz w:val="20"/>
                <w:szCs w:val="20"/>
              </w:rPr>
              <w:t>450</w:t>
            </w:r>
          </w:p>
        </w:tc>
        <w:tc>
          <w:tcPr>
            <w:tcW w:w="579" w:type="pct"/>
            <w:shd w:val="clear" w:color="auto" w:fill="DEEAF6" w:themeFill="accent1" w:themeFillTint="33"/>
            <w:noWrap/>
            <w:hideMark/>
          </w:tcPr>
          <w:p w14:paraId="62E078B2" w14:textId="77777777" w:rsidR="00085F16" w:rsidRPr="00620506" w:rsidRDefault="00085F16" w:rsidP="00620506">
            <w:pPr>
              <w:spacing w:after="0" w:line="240" w:lineRule="auto"/>
              <w:jc w:val="right"/>
              <w:rPr>
                <w:rFonts w:ascii="Times New Roman" w:hAnsi="Times New Roman" w:cs="Times New Roman"/>
                <w:sz w:val="20"/>
                <w:szCs w:val="20"/>
                <w:lang w:val="en-US"/>
              </w:rPr>
            </w:pPr>
            <w:r w:rsidRPr="00620506">
              <w:rPr>
                <w:rFonts w:ascii="Times New Roman" w:hAnsi="Times New Roman" w:cs="Times New Roman"/>
                <w:sz w:val="20"/>
                <w:szCs w:val="20"/>
              </w:rPr>
              <w:t>515</w:t>
            </w:r>
          </w:p>
        </w:tc>
        <w:tc>
          <w:tcPr>
            <w:tcW w:w="772" w:type="pct"/>
            <w:tcBorders>
              <w:top w:val="nil"/>
              <w:left w:val="nil"/>
              <w:bottom w:val="nil"/>
              <w:right w:val="single" w:sz="4" w:space="0" w:color="auto"/>
            </w:tcBorders>
            <w:shd w:val="clear" w:color="auto" w:fill="DEEAF6" w:themeFill="accent1" w:themeFillTint="33"/>
            <w:noWrap/>
            <w:hideMark/>
          </w:tcPr>
          <w:p w14:paraId="58831F1A" w14:textId="77777777" w:rsidR="00085F16" w:rsidRPr="00620506" w:rsidRDefault="00085F16" w:rsidP="00620506">
            <w:pPr>
              <w:spacing w:after="0" w:line="240" w:lineRule="auto"/>
              <w:jc w:val="right"/>
              <w:rPr>
                <w:rFonts w:ascii="Times New Roman" w:hAnsi="Times New Roman" w:cs="Times New Roman"/>
                <w:sz w:val="20"/>
                <w:szCs w:val="20"/>
              </w:rPr>
            </w:pPr>
            <w:r w:rsidRPr="00620506">
              <w:rPr>
                <w:rFonts w:ascii="Times New Roman" w:hAnsi="Times New Roman" w:cs="Times New Roman"/>
                <w:sz w:val="20"/>
                <w:szCs w:val="20"/>
              </w:rPr>
              <w:t>205</w:t>
            </w:r>
          </w:p>
        </w:tc>
      </w:tr>
      <w:tr w:rsidR="00085F16" w:rsidRPr="00620506" w14:paraId="5714D415" w14:textId="77777777" w:rsidTr="00085F16">
        <w:trPr>
          <w:trHeight w:val="295"/>
        </w:trPr>
        <w:tc>
          <w:tcPr>
            <w:tcW w:w="2909" w:type="pct"/>
            <w:tcBorders>
              <w:top w:val="nil"/>
              <w:left w:val="single" w:sz="4" w:space="0" w:color="auto"/>
              <w:bottom w:val="nil"/>
              <w:right w:val="single" w:sz="4" w:space="0" w:color="auto"/>
            </w:tcBorders>
            <w:shd w:val="clear" w:color="auto" w:fill="DEEAF6" w:themeFill="accent1" w:themeFillTint="33"/>
            <w:noWrap/>
            <w:vAlign w:val="bottom"/>
            <w:hideMark/>
          </w:tcPr>
          <w:p w14:paraId="5BBF0C48" w14:textId="77777777" w:rsidR="00085F16" w:rsidRPr="00620506" w:rsidRDefault="00085F16" w:rsidP="00620506">
            <w:pPr>
              <w:spacing w:after="0" w:line="240" w:lineRule="auto"/>
              <w:ind w:firstLineChars="300" w:firstLine="600"/>
              <w:rPr>
                <w:rFonts w:ascii="Times New Roman" w:hAnsi="Times New Roman" w:cs="Times New Roman"/>
                <w:i/>
                <w:iCs/>
                <w:sz w:val="20"/>
                <w:szCs w:val="20"/>
              </w:rPr>
            </w:pPr>
            <w:r w:rsidRPr="00620506">
              <w:rPr>
                <w:rFonts w:ascii="Times New Roman" w:hAnsi="Times New Roman" w:cs="Times New Roman"/>
                <w:i/>
                <w:iCs/>
                <w:sz w:val="20"/>
                <w:szCs w:val="20"/>
              </w:rPr>
              <w:t>Klauzola e investimeve</w:t>
            </w:r>
          </w:p>
        </w:tc>
        <w:tc>
          <w:tcPr>
            <w:tcW w:w="740" w:type="pct"/>
            <w:shd w:val="clear" w:color="auto" w:fill="DEEAF6" w:themeFill="accent1" w:themeFillTint="33"/>
            <w:noWrap/>
            <w:hideMark/>
          </w:tcPr>
          <w:p w14:paraId="4B471DBE" w14:textId="77777777" w:rsidR="00085F16" w:rsidRPr="00620506" w:rsidRDefault="00085F16" w:rsidP="00620506">
            <w:pPr>
              <w:spacing w:after="0" w:line="240" w:lineRule="auto"/>
              <w:jc w:val="right"/>
              <w:rPr>
                <w:rFonts w:ascii="Times New Roman" w:hAnsi="Times New Roman" w:cs="Times New Roman"/>
                <w:sz w:val="20"/>
                <w:szCs w:val="20"/>
                <w:lang w:val="en-US"/>
              </w:rPr>
            </w:pPr>
            <w:r w:rsidRPr="00620506">
              <w:rPr>
                <w:rFonts w:ascii="Times New Roman" w:hAnsi="Times New Roman" w:cs="Times New Roman"/>
                <w:sz w:val="20"/>
                <w:szCs w:val="20"/>
              </w:rPr>
              <w:t>0</w:t>
            </w:r>
          </w:p>
        </w:tc>
        <w:tc>
          <w:tcPr>
            <w:tcW w:w="579" w:type="pct"/>
            <w:shd w:val="clear" w:color="auto" w:fill="DEEAF6" w:themeFill="accent1" w:themeFillTint="33"/>
            <w:noWrap/>
            <w:hideMark/>
          </w:tcPr>
          <w:p w14:paraId="024CD7F8" w14:textId="77777777" w:rsidR="00085F16" w:rsidRPr="00620506" w:rsidRDefault="00085F16" w:rsidP="00620506">
            <w:pPr>
              <w:spacing w:after="0" w:line="240" w:lineRule="auto"/>
              <w:jc w:val="right"/>
              <w:rPr>
                <w:rFonts w:ascii="Times New Roman" w:hAnsi="Times New Roman" w:cs="Times New Roman"/>
                <w:sz w:val="20"/>
                <w:szCs w:val="20"/>
                <w:lang w:val="en-US"/>
              </w:rPr>
            </w:pPr>
            <w:r w:rsidRPr="00620506">
              <w:rPr>
                <w:rFonts w:ascii="Times New Roman" w:hAnsi="Times New Roman" w:cs="Times New Roman"/>
                <w:sz w:val="20"/>
                <w:szCs w:val="20"/>
              </w:rPr>
              <w:t>123</w:t>
            </w:r>
          </w:p>
        </w:tc>
        <w:tc>
          <w:tcPr>
            <w:tcW w:w="772" w:type="pct"/>
            <w:tcBorders>
              <w:top w:val="nil"/>
              <w:left w:val="nil"/>
              <w:bottom w:val="nil"/>
              <w:right w:val="single" w:sz="4" w:space="0" w:color="auto"/>
            </w:tcBorders>
            <w:shd w:val="clear" w:color="auto" w:fill="DEEAF6" w:themeFill="accent1" w:themeFillTint="33"/>
            <w:noWrap/>
            <w:hideMark/>
          </w:tcPr>
          <w:p w14:paraId="590605AE" w14:textId="77777777" w:rsidR="00085F16" w:rsidRPr="00620506" w:rsidRDefault="00085F16" w:rsidP="00620506">
            <w:pPr>
              <w:spacing w:after="0" w:line="240" w:lineRule="auto"/>
              <w:jc w:val="right"/>
              <w:rPr>
                <w:rFonts w:ascii="Times New Roman" w:hAnsi="Times New Roman" w:cs="Times New Roman"/>
                <w:sz w:val="20"/>
                <w:szCs w:val="20"/>
              </w:rPr>
            </w:pPr>
            <w:r w:rsidRPr="00620506">
              <w:rPr>
                <w:rFonts w:ascii="Times New Roman" w:hAnsi="Times New Roman" w:cs="Times New Roman"/>
                <w:sz w:val="20"/>
                <w:szCs w:val="20"/>
              </w:rPr>
              <w:t>4</w:t>
            </w:r>
          </w:p>
        </w:tc>
      </w:tr>
      <w:tr w:rsidR="00085F16" w:rsidRPr="00620506" w14:paraId="494A8FD1" w14:textId="77777777" w:rsidTr="00085F16">
        <w:trPr>
          <w:trHeight w:val="295"/>
        </w:trPr>
        <w:tc>
          <w:tcPr>
            <w:tcW w:w="2909" w:type="pct"/>
            <w:tcBorders>
              <w:top w:val="nil"/>
              <w:left w:val="single" w:sz="4" w:space="0" w:color="auto"/>
              <w:bottom w:val="nil"/>
              <w:right w:val="single" w:sz="4" w:space="0" w:color="auto"/>
            </w:tcBorders>
            <w:shd w:val="clear" w:color="auto" w:fill="DEEAF6" w:themeFill="accent1" w:themeFillTint="33"/>
            <w:noWrap/>
            <w:vAlign w:val="bottom"/>
            <w:hideMark/>
          </w:tcPr>
          <w:p w14:paraId="5518FB60" w14:textId="77777777" w:rsidR="00085F16" w:rsidRPr="00620506" w:rsidRDefault="00085F16" w:rsidP="00620506">
            <w:pPr>
              <w:spacing w:after="0" w:line="240" w:lineRule="auto"/>
              <w:ind w:firstLineChars="300" w:firstLine="600"/>
              <w:rPr>
                <w:rFonts w:ascii="Times New Roman" w:hAnsi="Times New Roman" w:cs="Times New Roman"/>
                <w:i/>
                <w:iCs/>
                <w:sz w:val="20"/>
                <w:szCs w:val="20"/>
              </w:rPr>
            </w:pPr>
            <w:r w:rsidRPr="00620506">
              <w:rPr>
                <w:rFonts w:ascii="Times New Roman" w:hAnsi="Times New Roman" w:cs="Times New Roman"/>
                <w:i/>
                <w:iCs/>
                <w:sz w:val="20"/>
                <w:szCs w:val="20"/>
              </w:rPr>
              <w:t xml:space="preserve">Fondet e likuidimit (AKP) </w:t>
            </w:r>
          </w:p>
        </w:tc>
        <w:tc>
          <w:tcPr>
            <w:tcW w:w="740" w:type="pct"/>
            <w:shd w:val="clear" w:color="auto" w:fill="DEEAF6" w:themeFill="accent1" w:themeFillTint="33"/>
            <w:noWrap/>
            <w:hideMark/>
          </w:tcPr>
          <w:p w14:paraId="3A70723C" w14:textId="77777777" w:rsidR="00085F16" w:rsidRPr="00620506" w:rsidRDefault="00085F16" w:rsidP="00620506">
            <w:pPr>
              <w:spacing w:after="0" w:line="240" w:lineRule="auto"/>
              <w:jc w:val="right"/>
              <w:rPr>
                <w:rFonts w:ascii="Times New Roman" w:hAnsi="Times New Roman" w:cs="Times New Roman"/>
                <w:sz w:val="20"/>
                <w:szCs w:val="20"/>
                <w:lang w:val="en-US"/>
              </w:rPr>
            </w:pPr>
            <w:r w:rsidRPr="00620506">
              <w:rPr>
                <w:rFonts w:ascii="Times New Roman" w:hAnsi="Times New Roman" w:cs="Times New Roman"/>
                <w:sz w:val="20"/>
                <w:szCs w:val="20"/>
              </w:rPr>
              <w:t>84</w:t>
            </w:r>
          </w:p>
        </w:tc>
        <w:tc>
          <w:tcPr>
            <w:tcW w:w="579" w:type="pct"/>
            <w:shd w:val="clear" w:color="auto" w:fill="DEEAF6" w:themeFill="accent1" w:themeFillTint="33"/>
            <w:noWrap/>
            <w:hideMark/>
          </w:tcPr>
          <w:p w14:paraId="06DB31E8" w14:textId="77777777" w:rsidR="00085F16" w:rsidRPr="00620506" w:rsidRDefault="00085F16" w:rsidP="00620506">
            <w:pPr>
              <w:spacing w:after="0" w:line="240" w:lineRule="auto"/>
              <w:jc w:val="right"/>
              <w:rPr>
                <w:rFonts w:ascii="Times New Roman" w:hAnsi="Times New Roman" w:cs="Times New Roman"/>
                <w:sz w:val="20"/>
                <w:szCs w:val="20"/>
                <w:lang w:val="en-US"/>
              </w:rPr>
            </w:pPr>
            <w:r w:rsidRPr="00620506">
              <w:rPr>
                <w:rFonts w:ascii="Times New Roman" w:hAnsi="Times New Roman" w:cs="Times New Roman"/>
                <w:sz w:val="20"/>
                <w:szCs w:val="20"/>
              </w:rPr>
              <w:t>151</w:t>
            </w:r>
          </w:p>
        </w:tc>
        <w:tc>
          <w:tcPr>
            <w:tcW w:w="772" w:type="pct"/>
            <w:tcBorders>
              <w:top w:val="nil"/>
              <w:left w:val="nil"/>
              <w:bottom w:val="nil"/>
              <w:right w:val="single" w:sz="4" w:space="0" w:color="auto"/>
            </w:tcBorders>
            <w:shd w:val="clear" w:color="auto" w:fill="DEEAF6" w:themeFill="accent1" w:themeFillTint="33"/>
            <w:noWrap/>
            <w:hideMark/>
          </w:tcPr>
          <w:p w14:paraId="2216370C" w14:textId="77777777" w:rsidR="00085F16" w:rsidRPr="00620506" w:rsidRDefault="00085F16" w:rsidP="00620506">
            <w:pPr>
              <w:spacing w:after="0" w:line="240" w:lineRule="auto"/>
              <w:jc w:val="right"/>
              <w:rPr>
                <w:rFonts w:ascii="Times New Roman" w:hAnsi="Times New Roman" w:cs="Times New Roman"/>
                <w:sz w:val="20"/>
                <w:szCs w:val="20"/>
              </w:rPr>
            </w:pPr>
            <w:r w:rsidRPr="00620506">
              <w:rPr>
                <w:rFonts w:ascii="Times New Roman" w:hAnsi="Times New Roman" w:cs="Times New Roman"/>
                <w:sz w:val="20"/>
                <w:szCs w:val="20"/>
              </w:rPr>
              <w:t>64</w:t>
            </w:r>
          </w:p>
        </w:tc>
      </w:tr>
      <w:tr w:rsidR="00085F16" w:rsidRPr="00620506" w14:paraId="6CD202EC" w14:textId="77777777" w:rsidTr="00085F16">
        <w:trPr>
          <w:trHeight w:val="92"/>
        </w:trPr>
        <w:tc>
          <w:tcPr>
            <w:tcW w:w="2909" w:type="pct"/>
            <w:tcBorders>
              <w:top w:val="nil"/>
              <w:left w:val="single" w:sz="4" w:space="0" w:color="auto"/>
              <w:bottom w:val="nil"/>
              <w:right w:val="single" w:sz="4" w:space="0" w:color="auto"/>
            </w:tcBorders>
            <w:shd w:val="clear" w:color="auto" w:fill="DEEAF6" w:themeFill="accent1" w:themeFillTint="33"/>
            <w:noWrap/>
            <w:vAlign w:val="bottom"/>
            <w:hideMark/>
          </w:tcPr>
          <w:p w14:paraId="4C7C1134" w14:textId="77777777" w:rsidR="00085F16" w:rsidRPr="00620506" w:rsidRDefault="00085F16" w:rsidP="00620506">
            <w:pPr>
              <w:spacing w:after="0" w:line="240" w:lineRule="auto"/>
              <w:ind w:firstLineChars="100" w:firstLine="201"/>
              <w:rPr>
                <w:rFonts w:ascii="Times New Roman" w:hAnsi="Times New Roman" w:cs="Times New Roman"/>
                <w:b/>
                <w:bCs/>
                <w:sz w:val="20"/>
                <w:szCs w:val="20"/>
              </w:rPr>
            </w:pPr>
            <w:r w:rsidRPr="00620506">
              <w:rPr>
                <w:rFonts w:ascii="Times New Roman" w:hAnsi="Times New Roman" w:cs="Times New Roman"/>
                <w:b/>
                <w:bCs/>
                <w:sz w:val="20"/>
                <w:szCs w:val="20"/>
              </w:rPr>
              <w:t>2.3 Interesi për Borxhin Publik</w:t>
            </w:r>
          </w:p>
        </w:tc>
        <w:tc>
          <w:tcPr>
            <w:tcW w:w="740" w:type="pct"/>
            <w:tcBorders>
              <w:top w:val="nil"/>
              <w:left w:val="nil"/>
              <w:bottom w:val="single" w:sz="4" w:space="0" w:color="auto"/>
              <w:right w:val="nil"/>
            </w:tcBorders>
            <w:shd w:val="clear" w:color="auto" w:fill="DEEAF6" w:themeFill="accent1" w:themeFillTint="33"/>
            <w:noWrap/>
            <w:hideMark/>
          </w:tcPr>
          <w:p w14:paraId="4EACCE48" w14:textId="77777777" w:rsidR="00085F16" w:rsidRPr="00620506" w:rsidRDefault="00085F16" w:rsidP="00620506">
            <w:pPr>
              <w:spacing w:after="0" w:line="240" w:lineRule="auto"/>
              <w:jc w:val="right"/>
              <w:rPr>
                <w:rFonts w:ascii="Times New Roman" w:hAnsi="Times New Roman" w:cs="Times New Roman"/>
                <w:b/>
                <w:bCs/>
                <w:sz w:val="20"/>
                <w:szCs w:val="20"/>
                <w:lang w:val="en-US"/>
              </w:rPr>
            </w:pPr>
            <w:r w:rsidRPr="00620506">
              <w:rPr>
                <w:rFonts w:ascii="Times New Roman" w:hAnsi="Times New Roman" w:cs="Times New Roman"/>
                <w:b/>
                <w:sz w:val="20"/>
                <w:szCs w:val="20"/>
              </w:rPr>
              <w:t>19</w:t>
            </w:r>
          </w:p>
        </w:tc>
        <w:tc>
          <w:tcPr>
            <w:tcW w:w="579" w:type="pct"/>
            <w:tcBorders>
              <w:top w:val="nil"/>
              <w:left w:val="nil"/>
              <w:bottom w:val="single" w:sz="4" w:space="0" w:color="auto"/>
              <w:right w:val="nil"/>
            </w:tcBorders>
            <w:shd w:val="clear" w:color="auto" w:fill="DEEAF6" w:themeFill="accent1" w:themeFillTint="33"/>
            <w:noWrap/>
            <w:hideMark/>
          </w:tcPr>
          <w:p w14:paraId="56728A8E" w14:textId="77777777" w:rsidR="00085F16" w:rsidRPr="00620506" w:rsidRDefault="00085F16" w:rsidP="00620506">
            <w:pPr>
              <w:spacing w:after="0" w:line="240" w:lineRule="auto"/>
              <w:jc w:val="right"/>
              <w:rPr>
                <w:rFonts w:ascii="Times New Roman" w:hAnsi="Times New Roman" w:cs="Times New Roman"/>
                <w:b/>
                <w:bCs/>
                <w:sz w:val="20"/>
                <w:szCs w:val="20"/>
                <w:lang w:val="en-US"/>
              </w:rPr>
            </w:pPr>
            <w:r w:rsidRPr="00620506">
              <w:rPr>
                <w:rFonts w:ascii="Times New Roman" w:hAnsi="Times New Roman" w:cs="Times New Roman"/>
                <w:b/>
                <w:sz w:val="20"/>
                <w:szCs w:val="20"/>
              </w:rPr>
              <w:t>28</w:t>
            </w:r>
          </w:p>
        </w:tc>
        <w:tc>
          <w:tcPr>
            <w:tcW w:w="772" w:type="pct"/>
            <w:tcBorders>
              <w:top w:val="nil"/>
              <w:left w:val="nil"/>
              <w:bottom w:val="single" w:sz="4" w:space="0" w:color="auto"/>
              <w:right w:val="single" w:sz="4" w:space="0" w:color="auto"/>
            </w:tcBorders>
            <w:shd w:val="clear" w:color="auto" w:fill="DEEAF6" w:themeFill="accent1" w:themeFillTint="33"/>
            <w:noWrap/>
            <w:hideMark/>
          </w:tcPr>
          <w:p w14:paraId="033A40BB" w14:textId="77777777" w:rsidR="00085F16" w:rsidRPr="00620506" w:rsidRDefault="00085F16" w:rsidP="00620506">
            <w:pPr>
              <w:spacing w:after="0" w:line="240" w:lineRule="auto"/>
              <w:jc w:val="right"/>
              <w:rPr>
                <w:rFonts w:ascii="Times New Roman" w:hAnsi="Times New Roman" w:cs="Times New Roman"/>
                <w:b/>
                <w:sz w:val="20"/>
                <w:szCs w:val="20"/>
              </w:rPr>
            </w:pPr>
            <w:r w:rsidRPr="00620506">
              <w:rPr>
                <w:rFonts w:ascii="Times New Roman" w:hAnsi="Times New Roman" w:cs="Times New Roman"/>
                <w:b/>
                <w:sz w:val="20"/>
                <w:szCs w:val="20"/>
              </w:rPr>
              <w:t>21</w:t>
            </w:r>
          </w:p>
        </w:tc>
      </w:tr>
      <w:tr w:rsidR="00085F16" w:rsidRPr="00620506" w14:paraId="5C865694" w14:textId="77777777" w:rsidTr="00085F16">
        <w:trPr>
          <w:trHeight w:val="315"/>
        </w:trPr>
        <w:tc>
          <w:tcPr>
            <w:tcW w:w="2909" w:type="pct"/>
            <w:tcBorders>
              <w:top w:val="single" w:sz="4" w:space="0" w:color="auto"/>
              <w:left w:val="single" w:sz="4" w:space="0" w:color="auto"/>
              <w:bottom w:val="nil"/>
              <w:right w:val="single" w:sz="4" w:space="0" w:color="auto"/>
            </w:tcBorders>
            <w:shd w:val="clear" w:color="auto" w:fill="DEEAF6" w:themeFill="accent1" w:themeFillTint="33"/>
            <w:noWrap/>
            <w:vAlign w:val="bottom"/>
            <w:hideMark/>
          </w:tcPr>
          <w:p w14:paraId="4FC71265" w14:textId="77777777" w:rsidR="00085F16" w:rsidRPr="00620506" w:rsidRDefault="00085F16" w:rsidP="00620506">
            <w:pPr>
              <w:spacing w:after="0" w:line="240" w:lineRule="auto"/>
              <w:rPr>
                <w:rFonts w:ascii="Times New Roman" w:hAnsi="Times New Roman" w:cs="Times New Roman"/>
                <w:b/>
                <w:bCs/>
                <w:sz w:val="20"/>
                <w:szCs w:val="20"/>
              </w:rPr>
            </w:pPr>
            <w:r w:rsidRPr="00620506">
              <w:rPr>
                <w:rFonts w:ascii="Times New Roman" w:hAnsi="Times New Roman" w:cs="Times New Roman"/>
                <w:b/>
                <w:bCs/>
                <w:sz w:val="20"/>
                <w:szCs w:val="20"/>
              </w:rPr>
              <w:t>3. Bilanci buxhetor (1-2)</w:t>
            </w:r>
          </w:p>
        </w:tc>
        <w:tc>
          <w:tcPr>
            <w:tcW w:w="740" w:type="pct"/>
            <w:shd w:val="clear" w:color="auto" w:fill="DEEAF6" w:themeFill="accent1" w:themeFillTint="33"/>
            <w:noWrap/>
            <w:hideMark/>
          </w:tcPr>
          <w:p w14:paraId="2319846F" w14:textId="77777777" w:rsidR="00085F16" w:rsidRPr="00620506" w:rsidRDefault="00085F16" w:rsidP="00620506">
            <w:pPr>
              <w:spacing w:after="0" w:line="240" w:lineRule="auto"/>
              <w:jc w:val="right"/>
              <w:rPr>
                <w:rFonts w:ascii="Times New Roman" w:hAnsi="Times New Roman" w:cs="Times New Roman"/>
                <w:b/>
                <w:bCs/>
                <w:sz w:val="20"/>
                <w:szCs w:val="20"/>
                <w:lang w:val="en-US"/>
              </w:rPr>
            </w:pPr>
            <w:r w:rsidRPr="00620506">
              <w:rPr>
                <w:rFonts w:ascii="Times New Roman" w:hAnsi="Times New Roman" w:cs="Times New Roman"/>
                <w:b/>
                <w:sz w:val="20"/>
                <w:szCs w:val="20"/>
              </w:rPr>
              <w:t>-199</w:t>
            </w:r>
          </w:p>
        </w:tc>
        <w:tc>
          <w:tcPr>
            <w:tcW w:w="579" w:type="pct"/>
            <w:shd w:val="clear" w:color="auto" w:fill="DEEAF6" w:themeFill="accent1" w:themeFillTint="33"/>
            <w:noWrap/>
            <w:hideMark/>
          </w:tcPr>
          <w:p w14:paraId="24FA64B4" w14:textId="77777777" w:rsidR="00085F16" w:rsidRPr="00620506" w:rsidRDefault="00085F16" w:rsidP="00620506">
            <w:pPr>
              <w:spacing w:after="0" w:line="240" w:lineRule="auto"/>
              <w:jc w:val="right"/>
              <w:rPr>
                <w:rFonts w:ascii="Times New Roman" w:hAnsi="Times New Roman" w:cs="Times New Roman"/>
                <w:b/>
                <w:bCs/>
                <w:sz w:val="20"/>
                <w:szCs w:val="20"/>
                <w:lang w:val="en-US"/>
              </w:rPr>
            </w:pPr>
            <w:r w:rsidRPr="00620506">
              <w:rPr>
                <w:rFonts w:ascii="Times New Roman" w:hAnsi="Times New Roman" w:cs="Times New Roman"/>
                <w:b/>
                <w:sz w:val="20"/>
                <w:szCs w:val="20"/>
              </w:rPr>
              <w:t>-429</w:t>
            </w:r>
          </w:p>
        </w:tc>
        <w:tc>
          <w:tcPr>
            <w:tcW w:w="772" w:type="pct"/>
            <w:tcBorders>
              <w:top w:val="nil"/>
              <w:left w:val="nil"/>
              <w:bottom w:val="nil"/>
              <w:right w:val="single" w:sz="4" w:space="0" w:color="auto"/>
            </w:tcBorders>
            <w:shd w:val="clear" w:color="auto" w:fill="DEEAF6" w:themeFill="accent1" w:themeFillTint="33"/>
            <w:noWrap/>
            <w:hideMark/>
          </w:tcPr>
          <w:p w14:paraId="34F600B8" w14:textId="77777777" w:rsidR="00085F16" w:rsidRPr="00620506" w:rsidRDefault="00085F16" w:rsidP="00620506">
            <w:pPr>
              <w:spacing w:after="0" w:line="240" w:lineRule="auto"/>
              <w:jc w:val="right"/>
              <w:rPr>
                <w:rFonts w:ascii="Times New Roman" w:hAnsi="Times New Roman" w:cs="Times New Roman"/>
                <w:b/>
                <w:sz w:val="20"/>
                <w:szCs w:val="20"/>
                <w:highlight w:val="yellow"/>
              </w:rPr>
            </w:pPr>
            <w:r w:rsidRPr="00620506">
              <w:rPr>
                <w:rFonts w:ascii="Times New Roman" w:hAnsi="Times New Roman" w:cs="Times New Roman"/>
                <w:b/>
                <w:sz w:val="20"/>
                <w:szCs w:val="20"/>
              </w:rPr>
              <w:t>17</w:t>
            </w:r>
          </w:p>
        </w:tc>
      </w:tr>
      <w:tr w:rsidR="00085F16" w:rsidRPr="00620506" w14:paraId="1DB9FD9E" w14:textId="77777777" w:rsidTr="00085F16">
        <w:trPr>
          <w:trHeight w:val="295"/>
        </w:trPr>
        <w:tc>
          <w:tcPr>
            <w:tcW w:w="2909" w:type="pct"/>
            <w:tcBorders>
              <w:top w:val="nil"/>
              <w:left w:val="single" w:sz="4" w:space="0" w:color="auto"/>
              <w:bottom w:val="nil"/>
              <w:right w:val="single" w:sz="4" w:space="0" w:color="auto"/>
            </w:tcBorders>
            <w:shd w:val="clear" w:color="auto" w:fill="DEEAF6" w:themeFill="accent1" w:themeFillTint="33"/>
            <w:noWrap/>
            <w:vAlign w:val="bottom"/>
            <w:hideMark/>
          </w:tcPr>
          <w:p w14:paraId="28B44D66" w14:textId="77777777" w:rsidR="00085F16" w:rsidRPr="00620506" w:rsidRDefault="00085F16" w:rsidP="00620506">
            <w:pPr>
              <w:spacing w:after="0" w:line="240" w:lineRule="auto"/>
              <w:rPr>
                <w:rFonts w:ascii="Times New Roman" w:hAnsi="Times New Roman" w:cs="Times New Roman"/>
                <w:b/>
                <w:bCs/>
                <w:sz w:val="20"/>
                <w:szCs w:val="20"/>
              </w:rPr>
            </w:pPr>
            <w:r w:rsidRPr="00620506">
              <w:rPr>
                <w:rFonts w:ascii="Times New Roman" w:hAnsi="Times New Roman" w:cs="Times New Roman"/>
                <w:b/>
                <w:bCs/>
                <w:sz w:val="20"/>
                <w:szCs w:val="20"/>
              </w:rPr>
              <w:t>4. Shpenzimet e përjashtuara nga kufiri i rr. fiskale:</w:t>
            </w:r>
          </w:p>
        </w:tc>
        <w:tc>
          <w:tcPr>
            <w:tcW w:w="740" w:type="pct"/>
            <w:shd w:val="clear" w:color="auto" w:fill="DEEAF6" w:themeFill="accent1" w:themeFillTint="33"/>
            <w:noWrap/>
            <w:hideMark/>
          </w:tcPr>
          <w:p w14:paraId="280A0F88" w14:textId="77777777" w:rsidR="00085F16" w:rsidRPr="00620506" w:rsidRDefault="00085F16" w:rsidP="00620506">
            <w:pPr>
              <w:spacing w:after="0" w:line="240" w:lineRule="auto"/>
              <w:jc w:val="right"/>
              <w:rPr>
                <w:rFonts w:ascii="Times New Roman" w:hAnsi="Times New Roman" w:cs="Times New Roman"/>
                <w:b/>
                <w:bCs/>
                <w:sz w:val="20"/>
                <w:szCs w:val="20"/>
                <w:lang w:val="en-US"/>
              </w:rPr>
            </w:pPr>
            <w:r w:rsidRPr="00620506">
              <w:rPr>
                <w:rFonts w:ascii="Times New Roman" w:hAnsi="Times New Roman" w:cs="Times New Roman"/>
                <w:b/>
                <w:sz w:val="20"/>
                <w:szCs w:val="20"/>
              </w:rPr>
              <w:t>112</w:t>
            </w:r>
          </w:p>
        </w:tc>
        <w:tc>
          <w:tcPr>
            <w:tcW w:w="579" w:type="pct"/>
            <w:shd w:val="clear" w:color="auto" w:fill="DEEAF6" w:themeFill="accent1" w:themeFillTint="33"/>
            <w:noWrap/>
            <w:hideMark/>
          </w:tcPr>
          <w:p w14:paraId="2502A734" w14:textId="77777777" w:rsidR="00085F16" w:rsidRPr="00620506" w:rsidRDefault="00085F16" w:rsidP="00620506">
            <w:pPr>
              <w:spacing w:after="0" w:line="240" w:lineRule="auto"/>
              <w:jc w:val="right"/>
              <w:rPr>
                <w:rFonts w:ascii="Times New Roman" w:hAnsi="Times New Roman" w:cs="Times New Roman"/>
                <w:b/>
                <w:bCs/>
                <w:sz w:val="20"/>
                <w:szCs w:val="20"/>
                <w:lang w:val="en-US"/>
              </w:rPr>
            </w:pPr>
            <w:r w:rsidRPr="00620506">
              <w:rPr>
                <w:rFonts w:ascii="Times New Roman" w:hAnsi="Times New Roman" w:cs="Times New Roman"/>
                <w:b/>
                <w:sz w:val="20"/>
                <w:szCs w:val="20"/>
              </w:rPr>
              <w:t>284</w:t>
            </w:r>
          </w:p>
        </w:tc>
        <w:tc>
          <w:tcPr>
            <w:tcW w:w="772" w:type="pct"/>
            <w:tcBorders>
              <w:top w:val="nil"/>
              <w:left w:val="nil"/>
              <w:bottom w:val="nil"/>
              <w:right w:val="single" w:sz="4" w:space="0" w:color="auto"/>
            </w:tcBorders>
            <w:shd w:val="clear" w:color="auto" w:fill="DEEAF6" w:themeFill="accent1" w:themeFillTint="33"/>
            <w:noWrap/>
            <w:hideMark/>
          </w:tcPr>
          <w:p w14:paraId="71D544B6" w14:textId="77777777" w:rsidR="00085F16" w:rsidRPr="00620506" w:rsidRDefault="00085F16" w:rsidP="00620506">
            <w:pPr>
              <w:spacing w:after="0" w:line="240" w:lineRule="auto"/>
              <w:jc w:val="right"/>
              <w:rPr>
                <w:rFonts w:ascii="Times New Roman" w:hAnsi="Times New Roman" w:cs="Times New Roman"/>
                <w:b/>
                <w:sz w:val="20"/>
                <w:szCs w:val="20"/>
              </w:rPr>
            </w:pPr>
            <w:r w:rsidRPr="00620506">
              <w:rPr>
                <w:rFonts w:ascii="Times New Roman" w:hAnsi="Times New Roman" w:cs="Times New Roman"/>
                <w:b/>
                <w:sz w:val="20"/>
                <w:szCs w:val="20"/>
              </w:rPr>
              <w:t>81</w:t>
            </w:r>
          </w:p>
        </w:tc>
      </w:tr>
      <w:tr w:rsidR="00085F16" w:rsidRPr="00620506" w14:paraId="67BFBA77" w14:textId="77777777" w:rsidTr="00085F16">
        <w:trPr>
          <w:trHeight w:val="295"/>
        </w:trPr>
        <w:tc>
          <w:tcPr>
            <w:tcW w:w="2909" w:type="pct"/>
            <w:tcBorders>
              <w:top w:val="nil"/>
              <w:left w:val="single" w:sz="4" w:space="0" w:color="auto"/>
              <w:bottom w:val="nil"/>
              <w:right w:val="single" w:sz="4" w:space="0" w:color="auto"/>
            </w:tcBorders>
            <w:shd w:val="clear" w:color="auto" w:fill="DEEAF6" w:themeFill="accent1" w:themeFillTint="33"/>
            <w:noWrap/>
            <w:vAlign w:val="bottom"/>
            <w:hideMark/>
          </w:tcPr>
          <w:p w14:paraId="034367D9" w14:textId="77777777" w:rsidR="00085F16" w:rsidRPr="00620506" w:rsidRDefault="00085F16" w:rsidP="00620506">
            <w:pPr>
              <w:spacing w:after="0" w:line="240" w:lineRule="auto"/>
              <w:ind w:firstLineChars="200" w:firstLine="400"/>
              <w:rPr>
                <w:rFonts w:ascii="Times New Roman" w:hAnsi="Times New Roman" w:cs="Times New Roman"/>
                <w:i/>
                <w:iCs/>
                <w:sz w:val="20"/>
                <w:szCs w:val="20"/>
              </w:rPr>
            </w:pPr>
            <w:r w:rsidRPr="00620506">
              <w:rPr>
                <w:rFonts w:ascii="Times New Roman" w:hAnsi="Times New Roman" w:cs="Times New Roman"/>
                <w:i/>
                <w:iCs/>
                <w:sz w:val="20"/>
                <w:szCs w:val="20"/>
              </w:rPr>
              <w:t>Shpenzimet nga pranimet e dedikuara për AKP/2</w:t>
            </w:r>
          </w:p>
        </w:tc>
        <w:tc>
          <w:tcPr>
            <w:tcW w:w="740" w:type="pct"/>
            <w:shd w:val="clear" w:color="auto" w:fill="DEEAF6" w:themeFill="accent1" w:themeFillTint="33"/>
            <w:noWrap/>
            <w:hideMark/>
          </w:tcPr>
          <w:p w14:paraId="4BF3B451" w14:textId="77777777" w:rsidR="00085F16" w:rsidRPr="00620506" w:rsidRDefault="00085F16" w:rsidP="00620506">
            <w:pPr>
              <w:spacing w:after="0" w:line="240" w:lineRule="auto"/>
              <w:jc w:val="right"/>
              <w:rPr>
                <w:rFonts w:ascii="Times New Roman" w:hAnsi="Times New Roman" w:cs="Times New Roman"/>
                <w:sz w:val="20"/>
                <w:szCs w:val="20"/>
                <w:lang w:val="en-US"/>
              </w:rPr>
            </w:pPr>
            <w:r w:rsidRPr="00620506">
              <w:rPr>
                <w:rFonts w:ascii="Times New Roman" w:hAnsi="Times New Roman" w:cs="Times New Roman"/>
                <w:sz w:val="20"/>
                <w:szCs w:val="20"/>
              </w:rPr>
              <w:t>9</w:t>
            </w:r>
          </w:p>
        </w:tc>
        <w:tc>
          <w:tcPr>
            <w:tcW w:w="579" w:type="pct"/>
            <w:shd w:val="clear" w:color="auto" w:fill="DEEAF6" w:themeFill="accent1" w:themeFillTint="33"/>
            <w:noWrap/>
            <w:hideMark/>
          </w:tcPr>
          <w:p w14:paraId="5F596204" w14:textId="77777777" w:rsidR="00085F16" w:rsidRPr="00620506" w:rsidRDefault="00085F16" w:rsidP="00620506">
            <w:pPr>
              <w:spacing w:after="0" w:line="240" w:lineRule="auto"/>
              <w:jc w:val="right"/>
              <w:rPr>
                <w:rFonts w:ascii="Times New Roman" w:hAnsi="Times New Roman" w:cs="Times New Roman"/>
                <w:sz w:val="20"/>
                <w:szCs w:val="20"/>
                <w:lang w:val="en-US"/>
              </w:rPr>
            </w:pPr>
            <w:r w:rsidRPr="00620506">
              <w:rPr>
                <w:rFonts w:ascii="Times New Roman" w:hAnsi="Times New Roman" w:cs="Times New Roman"/>
                <w:sz w:val="20"/>
                <w:szCs w:val="20"/>
              </w:rPr>
              <w:t>2</w:t>
            </w:r>
          </w:p>
        </w:tc>
        <w:tc>
          <w:tcPr>
            <w:tcW w:w="772" w:type="pct"/>
            <w:tcBorders>
              <w:top w:val="nil"/>
              <w:left w:val="nil"/>
              <w:bottom w:val="nil"/>
              <w:right w:val="single" w:sz="4" w:space="0" w:color="auto"/>
            </w:tcBorders>
            <w:shd w:val="clear" w:color="auto" w:fill="DEEAF6" w:themeFill="accent1" w:themeFillTint="33"/>
            <w:noWrap/>
            <w:hideMark/>
          </w:tcPr>
          <w:p w14:paraId="03121517" w14:textId="77777777" w:rsidR="00085F16" w:rsidRPr="00620506" w:rsidRDefault="00085F16" w:rsidP="00620506">
            <w:pPr>
              <w:spacing w:after="0" w:line="240" w:lineRule="auto"/>
              <w:jc w:val="right"/>
              <w:rPr>
                <w:rFonts w:ascii="Times New Roman" w:hAnsi="Times New Roman" w:cs="Times New Roman"/>
                <w:sz w:val="20"/>
                <w:szCs w:val="20"/>
              </w:rPr>
            </w:pPr>
            <w:r w:rsidRPr="00620506">
              <w:rPr>
                <w:rFonts w:ascii="Times New Roman" w:hAnsi="Times New Roman" w:cs="Times New Roman"/>
                <w:sz w:val="20"/>
                <w:szCs w:val="20"/>
              </w:rPr>
              <w:t>64</w:t>
            </w:r>
          </w:p>
        </w:tc>
      </w:tr>
      <w:tr w:rsidR="00085F16" w:rsidRPr="00620506" w14:paraId="444C82F5" w14:textId="77777777" w:rsidTr="00085F16">
        <w:trPr>
          <w:trHeight w:val="295"/>
        </w:trPr>
        <w:tc>
          <w:tcPr>
            <w:tcW w:w="2909" w:type="pct"/>
            <w:tcBorders>
              <w:top w:val="nil"/>
              <w:left w:val="single" w:sz="4" w:space="0" w:color="auto"/>
              <w:bottom w:val="nil"/>
              <w:right w:val="single" w:sz="4" w:space="0" w:color="auto"/>
            </w:tcBorders>
            <w:shd w:val="clear" w:color="auto" w:fill="DEEAF6" w:themeFill="accent1" w:themeFillTint="33"/>
            <w:noWrap/>
            <w:vAlign w:val="bottom"/>
            <w:hideMark/>
          </w:tcPr>
          <w:p w14:paraId="41616064" w14:textId="77777777" w:rsidR="00085F16" w:rsidRPr="00620506" w:rsidRDefault="00085F16" w:rsidP="00620506">
            <w:pPr>
              <w:spacing w:after="0" w:line="240" w:lineRule="auto"/>
              <w:ind w:firstLineChars="200" w:firstLine="400"/>
              <w:rPr>
                <w:rFonts w:ascii="Times New Roman" w:hAnsi="Times New Roman" w:cs="Times New Roman"/>
                <w:i/>
                <w:iCs/>
                <w:sz w:val="20"/>
                <w:szCs w:val="20"/>
              </w:rPr>
            </w:pPr>
            <w:r w:rsidRPr="00620506">
              <w:rPr>
                <w:rFonts w:ascii="Times New Roman" w:hAnsi="Times New Roman" w:cs="Times New Roman"/>
                <w:i/>
                <w:iCs/>
                <w:sz w:val="20"/>
                <w:szCs w:val="20"/>
              </w:rPr>
              <w:t>Shpenzimet nga të hyrat komunale të bartura</w:t>
            </w:r>
          </w:p>
        </w:tc>
        <w:tc>
          <w:tcPr>
            <w:tcW w:w="740" w:type="pct"/>
            <w:shd w:val="clear" w:color="auto" w:fill="DEEAF6" w:themeFill="accent1" w:themeFillTint="33"/>
            <w:noWrap/>
            <w:hideMark/>
          </w:tcPr>
          <w:p w14:paraId="4FBBC228" w14:textId="77777777" w:rsidR="00085F16" w:rsidRPr="00620506" w:rsidRDefault="00085F16" w:rsidP="00620506">
            <w:pPr>
              <w:spacing w:after="0" w:line="240" w:lineRule="auto"/>
              <w:jc w:val="right"/>
              <w:rPr>
                <w:rFonts w:ascii="Times New Roman" w:hAnsi="Times New Roman" w:cs="Times New Roman"/>
                <w:sz w:val="20"/>
                <w:szCs w:val="20"/>
                <w:lang w:val="en-US"/>
              </w:rPr>
            </w:pPr>
            <w:r w:rsidRPr="00620506">
              <w:rPr>
                <w:rFonts w:ascii="Times New Roman" w:hAnsi="Times New Roman" w:cs="Times New Roman"/>
                <w:sz w:val="20"/>
                <w:szCs w:val="20"/>
              </w:rPr>
              <w:t>19</w:t>
            </w:r>
          </w:p>
        </w:tc>
        <w:tc>
          <w:tcPr>
            <w:tcW w:w="579" w:type="pct"/>
            <w:shd w:val="clear" w:color="auto" w:fill="DEEAF6" w:themeFill="accent1" w:themeFillTint="33"/>
            <w:noWrap/>
            <w:hideMark/>
          </w:tcPr>
          <w:p w14:paraId="71144C99" w14:textId="77777777" w:rsidR="00085F16" w:rsidRPr="00620506" w:rsidRDefault="00085F16" w:rsidP="00620506">
            <w:pPr>
              <w:spacing w:after="0" w:line="240" w:lineRule="auto"/>
              <w:jc w:val="right"/>
              <w:rPr>
                <w:rFonts w:ascii="Times New Roman" w:hAnsi="Times New Roman" w:cs="Times New Roman"/>
                <w:sz w:val="20"/>
                <w:szCs w:val="20"/>
                <w:lang w:val="en-US"/>
              </w:rPr>
            </w:pPr>
            <w:r w:rsidRPr="00620506">
              <w:rPr>
                <w:rFonts w:ascii="Times New Roman" w:hAnsi="Times New Roman" w:cs="Times New Roman"/>
                <w:sz w:val="20"/>
                <w:szCs w:val="20"/>
              </w:rPr>
              <w:t>8</w:t>
            </w:r>
          </w:p>
        </w:tc>
        <w:tc>
          <w:tcPr>
            <w:tcW w:w="772" w:type="pct"/>
            <w:tcBorders>
              <w:top w:val="nil"/>
              <w:left w:val="nil"/>
              <w:bottom w:val="nil"/>
              <w:right w:val="single" w:sz="4" w:space="0" w:color="auto"/>
            </w:tcBorders>
            <w:shd w:val="clear" w:color="auto" w:fill="DEEAF6" w:themeFill="accent1" w:themeFillTint="33"/>
            <w:noWrap/>
            <w:hideMark/>
          </w:tcPr>
          <w:p w14:paraId="32CB8225" w14:textId="77777777" w:rsidR="00085F16" w:rsidRPr="00620506" w:rsidRDefault="00085F16" w:rsidP="00620506">
            <w:pPr>
              <w:spacing w:after="0" w:line="240" w:lineRule="auto"/>
              <w:jc w:val="right"/>
              <w:rPr>
                <w:rFonts w:ascii="Times New Roman" w:hAnsi="Times New Roman" w:cs="Times New Roman"/>
                <w:sz w:val="20"/>
                <w:szCs w:val="20"/>
              </w:rPr>
            </w:pPr>
            <w:r w:rsidRPr="00620506">
              <w:rPr>
                <w:rFonts w:ascii="Times New Roman" w:hAnsi="Times New Roman" w:cs="Times New Roman"/>
                <w:sz w:val="20"/>
                <w:szCs w:val="20"/>
              </w:rPr>
              <w:t>13</w:t>
            </w:r>
          </w:p>
        </w:tc>
      </w:tr>
      <w:tr w:rsidR="00085F16" w:rsidRPr="00620506" w14:paraId="013B3FC6" w14:textId="77777777" w:rsidTr="00085F16">
        <w:trPr>
          <w:trHeight w:val="92"/>
        </w:trPr>
        <w:tc>
          <w:tcPr>
            <w:tcW w:w="2909" w:type="pct"/>
            <w:tcBorders>
              <w:top w:val="nil"/>
              <w:left w:val="single" w:sz="4" w:space="0" w:color="auto"/>
              <w:bottom w:val="nil"/>
              <w:right w:val="single" w:sz="4" w:space="0" w:color="auto"/>
            </w:tcBorders>
            <w:shd w:val="clear" w:color="auto" w:fill="DEEAF6" w:themeFill="accent1" w:themeFillTint="33"/>
            <w:noWrap/>
            <w:vAlign w:val="bottom"/>
            <w:hideMark/>
          </w:tcPr>
          <w:p w14:paraId="4648CFB7" w14:textId="77777777" w:rsidR="00085F16" w:rsidRPr="00620506" w:rsidRDefault="00085F16" w:rsidP="00620506">
            <w:pPr>
              <w:spacing w:after="0" w:line="240" w:lineRule="auto"/>
              <w:ind w:firstLineChars="200" w:firstLine="400"/>
              <w:rPr>
                <w:rFonts w:ascii="Times New Roman" w:hAnsi="Times New Roman" w:cs="Times New Roman"/>
                <w:i/>
                <w:iCs/>
                <w:sz w:val="20"/>
                <w:szCs w:val="20"/>
              </w:rPr>
            </w:pPr>
            <w:r w:rsidRPr="00620506">
              <w:rPr>
                <w:rFonts w:ascii="Times New Roman" w:hAnsi="Times New Roman" w:cs="Times New Roman"/>
                <w:i/>
                <w:iCs/>
                <w:sz w:val="20"/>
                <w:szCs w:val="20"/>
              </w:rPr>
              <w:t>Shpenzimet kapitale nga klauzola investive dhe likuidimi</w:t>
            </w:r>
          </w:p>
        </w:tc>
        <w:tc>
          <w:tcPr>
            <w:tcW w:w="740" w:type="pct"/>
            <w:shd w:val="clear" w:color="auto" w:fill="DEEAF6" w:themeFill="accent1" w:themeFillTint="33"/>
            <w:noWrap/>
            <w:hideMark/>
          </w:tcPr>
          <w:p w14:paraId="725569BB" w14:textId="77777777" w:rsidR="00085F16" w:rsidRPr="00620506" w:rsidRDefault="00085F16" w:rsidP="00620506">
            <w:pPr>
              <w:spacing w:after="0" w:line="240" w:lineRule="auto"/>
              <w:jc w:val="right"/>
              <w:rPr>
                <w:rFonts w:ascii="Times New Roman" w:hAnsi="Times New Roman" w:cs="Times New Roman"/>
                <w:sz w:val="20"/>
                <w:szCs w:val="20"/>
                <w:lang w:val="en-US"/>
              </w:rPr>
            </w:pPr>
            <w:r w:rsidRPr="00620506">
              <w:rPr>
                <w:rFonts w:ascii="Times New Roman" w:hAnsi="Times New Roman" w:cs="Times New Roman"/>
                <w:sz w:val="20"/>
                <w:szCs w:val="20"/>
              </w:rPr>
              <w:t>84</w:t>
            </w:r>
          </w:p>
        </w:tc>
        <w:tc>
          <w:tcPr>
            <w:tcW w:w="579" w:type="pct"/>
            <w:shd w:val="clear" w:color="auto" w:fill="DEEAF6" w:themeFill="accent1" w:themeFillTint="33"/>
            <w:noWrap/>
            <w:hideMark/>
          </w:tcPr>
          <w:p w14:paraId="51C62B5C" w14:textId="77777777" w:rsidR="00085F16" w:rsidRPr="00620506" w:rsidRDefault="00085F16" w:rsidP="00620506">
            <w:pPr>
              <w:spacing w:after="0" w:line="240" w:lineRule="auto"/>
              <w:jc w:val="right"/>
              <w:rPr>
                <w:rFonts w:ascii="Times New Roman" w:hAnsi="Times New Roman" w:cs="Times New Roman"/>
                <w:sz w:val="20"/>
                <w:szCs w:val="20"/>
                <w:lang w:val="en-US"/>
              </w:rPr>
            </w:pPr>
            <w:r w:rsidRPr="00620506">
              <w:rPr>
                <w:rFonts w:ascii="Times New Roman" w:hAnsi="Times New Roman" w:cs="Times New Roman"/>
                <w:sz w:val="20"/>
                <w:szCs w:val="20"/>
              </w:rPr>
              <w:t>274</w:t>
            </w:r>
          </w:p>
        </w:tc>
        <w:tc>
          <w:tcPr>
            <w:tcW w:w="772" w:type="pct"/>
            <w:tcBorders>
              <w:top w:val="nil"/>
              <w:left w:val="nil"/>
              <w:bottom w:val="nil"/>
              <w:right w:val="single" w:sz="4" w:space="0" w:color="auto"/>
            </w:tcBorders>
            <w:shd w:val="clear" w:color="auto" w:fill="DEEAF6" w:themeFill="accent1" w:themeFillTint="33"/>
            <w:noWrap/>
            <w:hideMark/>
          </w:tcPr>
          <w:p w14:paraId="3A7A4F26" w14:textId="77777777" w:rsidR="00085F16" w:rsidRPr="00620506" w:rsidRDefault="00085F16" w:rsidP="00620506">
            <w:pPr>
              <w:spacing w:after="0" w:line="240" w:lineRule="auto"/>
              <w:jc w:val="right"/>
              <w:rPr>
                <w:rFonts w:ascii="Times New Roman" w:hAnsi="Times New Roman" w:cs="Times New Roman"/>
                <w:sz w:val="20"/>
                <w:szCs w:val="20"/>
              </w:rPr>
            </w:pPr>
            <w:r w:rsidRPr="00620506">
              <w:rPr>
                <w:rFonts w:ascii="Times New Roman" w:hAnsi="Times New Roman" w:cs="Times New Roman"/>
                <w:sz w:val="20"/>
                <w:szCs w:val="20"/>
              </w:rPr>
              <w:t>4</w:t>
            </w:r>
          </w:p>
        </w:tc>
      </w:tr>
      <w:tr w:rsidR="00085F16" w:rsidRPr="00620506" w14:paraId="226F54A1" w14:textId="77777777" w:rsidTr="00085F16">
        <w:trPr>
          <w:trHeight w:val="92"/>
        </w:trPr>
        <w:tc>
          <w:tcPr>
            <w:tcW w:w="2909" w:type="pct"/>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590A2FAC" w14:textId="77777777" w:rsidR="00085F16" w:rsidRPr="00620506" w:rsidRDefault="00085F16" w:rsidP="00620506">
            <w:pPr>
              <w:spacing w:after="0" w:line="240" w:lineRule="auto"/>
              <w:rPr>
                <w:rFonts w:ascii="Times New Roman" w:hAnsi="Times New Roman" w:cs="Times New Roman"/>
                <w:b/>
                <w:bCs/>
                <w:sz w:val="20"/>
                <w:szCs w:val="20"/>
              </w:rPr>
            </w:pPr>
            <w:r w:rsidRPr="00620506">
              <w:rPr>
                <w:rFonts w:ascii="Times New Roman" w:hAnsi="Times New Roman" w:cs="Times New Roman"/>
                <w:b/>
                <w:bCs/>
                <w:sz w:val="20"/>
                <w:szCs w:val="20"/>
              </w:rPr>
              <w:t>5. BILANCI BUXHETOR, sipas kufirit të rr. fiskale (3+4)</w:t>
            </w:r>
          </w:p>
        </w:tc>
        <w:tc>
          <w:tcPr>
            <w:tcW w:w="740" w:type="pct"/>
            <w:tcBorders>
              <w:top w:val="nil"/>
              <w:left w:val="nil"/>
              <w:bottom w:val="single" w:sz="4" w:space="0" w:color="auto"/>
              <w:right w:val="nil"/>
            </w:tcBorders>
            <w:shd w:val="clear" w:color="auto" w:fill="DEEAF6" w:themeFill="accent1" w:themeFillTint="33"/>
            <w:noWrap/>
            <w:hideMark/>
          </w:tcPr>
          <w:p w14:paraId="76D3C1C8" w14:textId="77777777" w:rsidR="00085F16" w:rsidRPr="00620506" w:rsidRDefault="00085F16" w:rsidP="00620506">
            <w:pPr>
              <w:spacing w:after="0" w:line="240" w:lineRule="auto"/>
              <w:jc w:val="right"/>
              <w:rPr>
                <w:rFonts w:ascii="Times New Roman" w:hAnsi="Times New Roman" w:cs="Times New Roman"/>
                <w:b/>
                <w:bCs/>
                <w:sz w:val="20"/>
                <w:szCs w:val="20"/>
                <w:lang w:val="en-US"/>
              </w:rPr>
            </w:pPr>
            <w:r w:rsidRPr="00620506">
              <w:rPr>
                <w:rFonts w:ascii="Times New Roman" w:hAnsi="Times New Roman" w:cs="Times New Roman"/>
                <w:b/>
                <w:sz w:val="20"/>
                <w:szCs w:val="20"/>
              </w:rPr>
              <w:t>-87</w:t>
            </w:r>
          </w:p>
        </w:tc>
        <w:tc>
          <w:tcPr>
            <w:tcW w:w="579" w:type="pct"/>
            <w:tcBorders>
              <w:top w:val="nil"/>
              <w:left w:val="nil"/>
              <w:bottom w:val="single" w:sz="4" w:space="0" w:color="auto"/>
              <w:right w:val="nil"/>
            </w:tcBorders>
            <w:shd w:val="clear" w:color="auto" w:fill="DEEAF6" w:themeFill="accent1" w:themeFillTint="33"/>
            <w:noWrap/>
            <w:hideMark/>
          </w:tcPr>
          <w:p w14:paraId="34BE1B54" w14:textId="77777777" w:rsidR="00085F16" w:rsidRPr="00620506" w:rsidRDefault="00085F16" w:rsidP="00620506">
            <w:pPr>
              <w:spacing w:after="0" w:line="240" w:lineRule="auto"/>
              <w:jc w:val="right"/>
              <w:rPr>
                <w:rFonts w:ascii="Times New Roman" w:hAnsi="Times New Roman" w:cs="Times New Roman"/>
                <w:b/>
                <w:bCs/>
                <w:sz w:val="20"/>
                <w:szCs w:val="20"/>
                <w:lang w:val="en-US"/>
              </w:rPr>
            </w:pPr>
            <w:r w:rsidRPr="00620506">
              <w:rPr>
                <w:rFonts w:ascii="Times New Roman" w:hAnsi="Times New Roman" w:cs="Times New Roman"/>
                <w:b/>
                <w:sz w:val="20"/>
                <w:szCs w:val="20"/>
              </w:rPr>
              <w:t>-146</w:t>
            </w:r>
          </w:p>
        </w:tc>
        <w:tc>
          <w:tcPr>
            <w:tcW w:w="772" w:type="pct"/>
            <w:tcBorders>
              <w:top w:val="nil"/>
              <w:left w:val="nil"/>
              <w:bottom w:val="single" w:sz="4" w:space="0" w:color="auto"/>
              <w:right w:val="single" w:sz="4" w:space="0" w:color="auto"/>
            </w:tcBorders>
            <w:shd w:val="clear" w:color="auto" w:fill="DEEAF6" w:themeFill="accent1" w:themeFillTint="33"/>
            <w:noWrap/>
            <w:hideMark/>
          </w:tcPr>
          <w:p w14:paraId="7C2B4126" w14:textId="77777777" w:rsidR="00085F16" w:rsidRPr="00620506" w:rsidRDefault="00085F16" w:rsidP="00620506">
            <w:pPr>
              <w:spacing w:after="0" w:line="240" w:lineRule="auto"/>
              <w:jc w:val="right"/>
              <w:rPr>
                <w:rFonts w:ascii="Times New Roman" w:hAnsi="Times New Roman" w:cs="Times New Roman"/>
                <w:b/>
                <w:sz w:val="20"/>
                <w:szCs w:val="20"/>
              </w:rPr>
            </w:pPr>
            <w:r w:rsidRPr="00620506">
              <w:rPr>
                <w:rFonts w:ascii="Times New Roman" w:hAnsi="Times New Roman" w:cs="Times New Roman"/>
                <w:b/>
                <w:sz w:val="20"/>
                <w:szCs w:val="20"/>
              </w:rPr>
              <w:t>98</w:t>
            </w:r>
          </w:p>
        </w:tc>
      </w:tr>
      <w:tr w:rsidR="00085F16" w:rsidRPr="00620506" w14:paraId="7500DA94" w14:textId="77777777" w:rsidTr="00085F16">
        <w:trPr>
          <w:trHeight w:val="295"/>
        </w:trPr>
        <w:tc>
          <w:tcPr>
            <w:tcW w:w="2909" w:type="pct"/>
            <w:tcBorders>
              <w:top w:val="nil"/>
              <w:left w:val="single" w:sz="4" w:space="0" w:color="auto"/>
              <w:bottom w:val="nil"/>
              <w:right w:val="single" w:sz="4" w:space="0" w:color="auto"/>
            </w:tcBorders>
            <w:shd w:val="clear" w:color="auto" w:fill="DEEAF6" w:themeFill="accent1" w:themeFillTint="33"/>
            <w:noWrap/>
            <w:vAlign w:val="bottom"/>
            <w:hideMark/>
          </w:tcPr>
          <w:p w14:paraId="240E67DA" w14:textId="77777777" w:rsidR="00085F16" w:rsidRPr="00620506" w:rsidRDefault="00085F16" w:rsidP="00620506">
            <w:pPr>
              <w:spacing w:after="0" w:line="240" w:lineRule="auto"/>
              <w:rPr>
                <w:rFonts w:ascii="Times New Roman" w:hAnsi="Times New Roman" w:cs="Times New Roman"/>
                <w:b/>
                <w:bCs/>
                <w:sz w:val="20"/>
                <w:szCs w:val="20"/>
              </w:rPr>
            </w:pPr>
            <w:r w:rsidRPr="00620506">
              <w:rPr>
                <w:rFonts w:ascii="Times New Roman" w:hAnsi="Times New Roman" w:cs="Times New Roman"/>
                <w:b/>
                <w:bCs/>
                <w:sz w:val="20"/>
                <w:szCs w:val="20"/>
              </w:rPr>
              <w:t>A. Nevoja për financim (3)</w:t>
            </w:r>
          </w:p>
        </w:tc>
        <w:tc>
          <w:tcPr>
            <w:tcW w:w="740" w:type="pct"/>
            <w:shd w:val="clear" w:color="auto" w:fill="DEEAF6" w:themeFill="accent1" w:themeFillTint="33"/>
            <w:noWrap/>
            <w:hideMark/>
          </w:tcPr>
          <w:p w14:paraId="57B2D4FC" w14:textId="77777777" w:rsidR="00085F16" w:rsidRPr="00620506" w:rsidRDefault="00085F16" w:rsidP="00620506">
            <w:pPr>
              <w:spacing w:after="0" w:line="240" w:lineRule="auto"/>
              <w:jc w:val="right"/>
              <w:rPr>
                <w:rFonts w:ascii="Times New Roman" w:hAnsi="Times New Roman" w:cs="Times New Roman"/>
                <w:b/>
                <w:bCs/>
                <w:sz w:val="20"/>
                <w:szCs w:val="20"/>
                <w:lang w:val="en-US"/>
              </w:rPr>
            </w:pPr>
            <w:r w:rsidRPr="00620506">
              <w:rPr>
                <w:rFonts w:ascii="Times New Roman" w:hAnsi="Times New Roman" w:cs="Times New Roman"/>
                <w:b/>
                <w:sz w:val="20"/>
                <w:szCs w:val="20"/>
              </w:rPr>
              <w:t>-199</w:t>
            </w:r>
          </w:p>
        </w:tc>
        <w:tc>
          <w:tcPr>
            <w:tcW w:w="579" w:type="pct"/>
            <w:shd w:val="clear" w:color="auto" w:fill="DEEAF6" w:themeFill="accent1" w:themeFillTint="33"/>
            <w:noWrap/>
            <w:hideMark/>
          </w:tcPr>
          <w:p w14:paraId="02A1A9A2" w14:textId="77777777" w:rsidR="00085F16" w:rsidRPr="00620506" w:rsidRDefault="00085F16" w:rsidP="00620506">
            <w:pPr>
              <w:spacing w:after="0" w:line="240" w:lineRule="auto"/>
              <w:jc w:val="right"/>
              <w:rPr>
                <w:rFonts w:ascii="Times New Roman" w:hAnsi="Times New Roman" w:cs="Times New Roman"/>
                <w:b/>
                <w:bCs/>
                <w:sz w:val="20"/>
                <w:szCs w:val="20"/>
                <w:lang w:val="en-US"/>
              </w:rPr>
            </w:pPr>
            <w:r w:rsidRPr="00620506">
              <w:rPr>
                <w:rFonts w:ascii="Times New Roman" w:hAnsi="Times New Roman" w:cs="Times New Roman"/>
                <w:b/>
                <w:sz w:val="20"/>
                <w:szCs w:val="20"/>
              </w:rPr>
              <w:t>-429</w:t>
            </w:r>
          </w:p>
        </w:tc>
        <w:tc>
          <w:tcPr>
            <w:tcW w:w="772" w:type="pct"/>
            <w:tcBorders>
              <w:top w:val="nil"/>
              <w:left w:val="nil"/>
              <w:bottom w:val="nil"/>
              <w:right w:val="single" w:sz="4" w:space="0" w:color="auto"/>
            </w:tcBorders>
            <w:shd w:val="clear" w:color="auto" w:fill="DEEAF6" w:themeFill="accent1" w:themeFillTint="33"/>
            <w:noWrap/>
            <w:hideMark/>
          </w:tcPr>
          <w:p w14:paraId="0EF5566A" w14:textId="77777777" w:rsidR="00085F16" w:rsidRPr="00620506" w:rsidRDefault="00085F16" w:rsidP="00620506">
            <w:pPr>
              <w:spacing w:after="0" w:line="240" w:lineRule="auto"/>
              <w:jc w:val="right"/>
              <w:rPr>
                <w:rFonts w:ascii="Times New Roman" w:hAnsi="Times New Roman" w:cs="Times New Roman"/>
                <w:b/>
                <w:sz w:val="20"/>
                <w:szCs w:val="20"/>
              </w:rPr>
            </w:pPr>
            <w:r w:rsidRPr="00620506">
              <w:rPr>
                <w:rFonts w:ascii="Times New Roman" w:hAnsi="Times New Roman" w:cs="Times New Roman"/>
                <w:b/>
                <w:sz w:val="20"/>
                <w:szCs w:val="20"/>
              </w:rPr>
              <w:t>17</w:t>
            </w:r>
          </w:p>
        </w:tc>
      </w:tr>
      <w:tr w:rsidR="00085F16" w:rsidRPr="00620506" w14:paraId="356ADB8E" w14:textId="77777777" w:rsidTr="00085F16">
        <w:trPr>
          <w:trHeight w:val="295"/>
        </w:trPr>
        <w:tc>
          <w:tcPr>
            <w:tcW w:w="2909" w:type="pct"/>
            <w:tcBorders>
              <w:top w:val="nil"/>
              <w:left w:val="single" w:sz="4" w:space="0" w:color="auto"/>
              <w:bottom w:val="nil"/>
              <w:right w:val="single" w:sz="4" w:space="0" w:color="auto"/>
            </w:tcBorders>
            <w:shd w:val="clear" w:color="auto" w:fill="DEEAF6" w:themeFill="accent1" w:themeFillTint="33"/>
            <w:noWrap/>
            <w:vAlign w:val="bottom"/>
            <w:hideMark/>
          </w:tcPr>
          <w:p w14:paraId="3CCE47D7" w14:textId="77777777" w:rsidR="00085F16" w:rsidRPr="00620506" w:rsidRDefault="00085F16" w:rsidP="00620506">
            <w:pPr>
              <w:spacing w:after="0" w:line="240" w:lineRule="auto"/>
              <w:rPr>
                <w:rFonts w:ascii="Times New Roman" w:hAnsi="Times New Roman" w:cs="Times New Roman"/>
                <w:b/>
                <w:bCs/>
                <w:sz w:val="20"/>
                <w:szCs w:val="20"/>
              </w:rPr>
            </w:pPr>
            <w:r w:rsidRPr="00620506">
              <w:rPr>
                <w:rFonts w:ascii="Times New Roman" w:hAnsi="Times New Roman" w:cs="Times New Roman"/>
                <w:b/>
                <w:bCs/>
                <w:sz w:val="20"/>
                <w:szCs w:val="20"/>
              </w:rPr>
              <w:t>B. Financimi i jashtëm</w:t>
            </w:r>
          </w:p>
        </w:tc>
        <w:tc>
          <w:tcPr>
            <w:tcW w:w="740" w:type="pct"/>
            <w:shd w:val="clear" w:color="auto" w:fill="DEEAF6" w:themeFill="accent1" w:themeFillTint="33"/>
            <w:noWrap/>
            <w:hideMark/>
          </w:tcPr>
          <w:p w14:paraId="50A6E87C" w14:textId="77777777" w:rsidR="00085F16" w:rsidRPr="00620506" w:rsidRDefault="00085F16" w:rsidP="00620506">
            <w:pPr>
              <w:spacing w:after="0" w:line="240" w:lineRule="auto"/>
              <w:jc w:val="right"/>
              <w:rPr>
                <w:rFonts w:ascii="Times New Roman" w:hAnsi="Times New Roman" w:cs="Times New Roman"/>
                <w:b/>
                <w:bCs/>
                <w:sz w:val="20"/>
                <w:szCs w:val="20"/>
                <w:lang w:val="en-US"/>
              </w:rPr>
            </w:pPr>
            <w:r w:rsidRPr="00620506">
              <w:rPr>
                <w:rFonts w:ascii="Times New Roman" w:hAnsi="Times New Roman" w:cs="Times New Roman"/>
                <w:b/>
                <w:sz w:val="20"/>
                <w:szCs w:val="20"/>
              </w:rPr>
              <w:t>-2</w:t>
            </w:r>
          </w:p>
        </w:tc>
        <w:tc>
          <w:tcPr>
            <w:tcW w:w="579" w:type="pct"/>
            <w:shd w:val="clear" w:color="auto" w:fill="DEEAF6" w:themeFill="accent1" w:themeFillTint="33"/>
            <w:noWrap/>
            <w:hideMark/>
          </w:tcPr>
          <w:p w14:paraId="2E31ADAC" w14:textId="77777777" w:rsidR="00085F16" w:rsidRPr="00620506" w:rsidRDefault="00085F16" w:rsidP="00620506">
            <w:pPr>
              <w:spacing w:after="0" w:line="240" w:lineRule="auto"/>
              <w:jc w:val="right"/>
              <w:rPr>
                <w:rFonts w:ascii="Times New Roman" w:hAnsi="Times New Roman" w:cs="Times New Roman"/>
                <w:b/>
                <w:bCs/>
                <w:sz w:val="20"/>
                <w:szCs w:val="20"/>
                <w:lang w:val="en-US"/>
              </w:rPr>
            </w:pPr>
            <w:r w:rsidRPr="00620506">
              <w:rPr>
                <w:rFonts w:ascii="Times New Roman" w:hAnsi="Times New Roman" w:cs="Times New Roman"/>
                <w:b/>
                <w:sz w:val="20"/>
                <w:szCs w:val="20"/>
              </w:rPr>
              <w:t>151</w:t>
            </w:r>
          </w:p>
        </w:tc>
        <w:tc>
          <w:tcPr>
            <w:tcW w:w="772" w:type="pct"/>
            <w:tcBorders>
              <w:top w:val="nil"/>
              <w:left w:val="nil"/>
              <w:bottom w:val="nil"/>
              <w:right w:val="single" w:sz="4" w:space="0" w:color="auto"/>
            </w:tcBorders>
            <w:shd w:val="clear" w:color="auto" w:fill="DEEAF6" w:themeFill="accent1" w:themeFillTint="33"/>
            <w:noWrap/>
            <w:hideMark/>
          </w:tcPr>
          <w:p w14:paraId="42E0640B" w14:textId="77777777" w:rsidR="00085F16" w:rsidRPr="00620506" w:rsidRDefault="00085F16" w:rsidP="00620506">
            <w:pPr>
              <w:spacing w:after="0" w:line="240" w:lineRule="auto"/>
              <w:jc w:val="right"/>
              <w:rPr>
                <w:rFonts w:ascii="Times New Roman" w:hAnsi="Times New Roman" w:cs="Times New Roman"/>
                <w:b/>
                <w:sz w:val="20"/>
                <w:szCs w:val="20"/>
              </w:rPr>
            </w:pPr>
            <w:r w:rsidRPr="00620506">
              <w:rPr>
                <w:rFonts w:ascii="Times New Roman" w:hAnsi="Times New Roman" w:cs="Times New Roman"/>
                <w:b/>
                <w:sz w:val="20"/>
                <w:szCs w:val="20"/>
              </w:rPr>
              <w:t>x</w:t>
            </w:r>
          </w:p>
        </w:tc>
      </w:tr>
      <w:tr w:rsidR="00085F16" w:rsidRPr="00620506" w14:paraId="376C257C" w14:textId="77777777" w:rsidTr="00085F16">
        <w:trPr>
          <w:trHeight w:val="295"/>
        </w:trPr>
        <w:tc>
          <w:tcPr>
            <w:tcW w:w="2909" w:type="pct"/>
            <w:tcBorders>
              <w:top w:val="nil"/>
              <w:left w:val="single" w:sz="4" w:space="0" w:color="auto"/>
              <w:bottom w:val="nil"/>
              <w:right w:val="single" w:sz="4" w:space="0" w:color="auto"/>
            </w:tcBorders>
            <w:shd w:val="clear" w:color="auto" w:fill="DEEAF6" w:themeFill="accent1" w:themeFillTint="33"/>
            <w:noWrap/>
            <w:vAlign w:val="bottom"/>
            <w:hideMark/>
          </w:tcPr>
          <w:p w14:paraId="5F759D18" w14:textId="77777777" w:rsidR="00085F16" w:rsidRPr="00620506" w:rsidRDefault="00085F16" w:rsidP="00620506">
            <w:pPr>
              <w:spacing w:after="0" w:line="240" w:lineRule="auto"/>
              <w:rPr>
                <w:rFonts w:ascii="Times New Roman" w:hAnsi="Times New Roman" w:cs="Times New Roman"/>
                <w:b/>
                <w:bCs/>
                <w:sz w:val="20"/>
                <w:szCs w:val="20"/>
              </w:rPr>
            </w:pPr>
            <w:r w:rsidRPr="00620506">
              <w:rPr>
                <w:rFonts w:ascii="Times New Roman" w:hAnsi="Times New Roman" w:cs="Times New Roman"/>
                <w:b/>
                <w:bCs/>
                <w:sz w:val="20"/>
                <w:szCs w:val="20"/>
              </w:rPr>
              <w:t>C. Financimi i Brendshëm</w:t>
            </w:r>
          </w:p>
        </w:tc>
        <w:tc>
          <w:tcPr>
            <w:tcW w:w="740" w:type="pct"/>
            <w:shd w:val="clear" w:color="auto" w:fill="DEEAF6" w:themeFill="accent1" w:themeFillTint="33"/>
            <w:noWrap/>
            <w:hideMark/>
          </w:tcPr>
          <w:p w14:paraId="3E1878A3" w14:textId="77777777" w:rsidR="00085F16" w:rsidRPr="00620506" w:rsidRDefault="00085F16" w:rsidP="00620506">
            <w:pPr>
              <w:spacing w:after="0" w:line="240" w:lineRule="auto"/>
              <w:jc w:val="right"/>
              <w:rPr>
                <w:rFonts w:ascii="Times New Roman" w:hAnsi="Times New Roman" w:cs="Times New Roman"/>
                <w:b/>
                <w:bCs/>
                <w:sz w:val="20"/>
                <w:szCs w:val="20"/>
                <w:lang w:val="en-US"/>
              </w:rPr>
            </w:pPr>
            <w:r w:rsidRPr="00620506">
              <w:rPr>
                <w:rFonts w:ascii="Times New Roman" w:hAnsi="Times New Roman" w:cs="Times New Roman"/>
                <w:b/>
                <w:sz w:val="20"/>
                <w:szCs w:val="20"/>
              </w:rPr>
              <w:t>200</w:t>
            </w:r>
          </w:p>
        </w:tc>
        <w:tc>
          <w:tcPr>
            <w:tcW w:w="579" w:type="pct"/>
            <w:shd w:val="clear" w:color="auto" w:fill="DEEAF6" w:themeFill="accent1" w:themeFillTint="33"/>
            <w:noWrap/>
            <w:hideMark/>
          </w:tcPr>
          <w:p w14:paraId="4BD8D3AA" w14:textId="77777777" w:rsidR="00085F16" w:rsidRPr="00620506" w:rsidRDefault="00085F16" w:rsidP="00620506">
            <w:pPr>
              <w:spacing w:after="0" w:line="240" w:lineRule="auto"/>
              <w:jc w:val="right"/>
              <w:rPr>
                <w:rFonts w:ascii="Times New Roman" w:hAnsi="Times New Roman" w:cs="Times New Roman"/>
                <w:b/>
                <w:bCs/>
                <w:sz w:val="20"/>
                <w:szCs w:val="20"/>
                <w:lang w:val="en-US"/>
              </w:rPr>
            </w:pPr>
            <w:r w:rsidRPr="00620506">
              <w:rPr>
                <w:rFonts w:ascii="Times New Roman" w:hAnsi="Times New Roman" w:cs="Times New Roman"/>
                <w:b/>
                <w:sz w:val="20"/>
                <w:szCs w:val="20"/>
              </w:rPr>
              <w:t>303</w:t>
            </w:r>
          </w:p>
        </w:tc>
        <w:tc>
          <w:tcPr>
            <w:tcW w:w="772" w:type="pct"/>
            <w:tcBorders>
              <w:top w:val="nil"/>
              <w:left w:val="nil"/>
              <w:bottom w:val="nil"/>
              <w:right w:val="single" w:sz="4" w:space="0" w:color="auto"/>
            </w:tcBorders>
            <w:shd w:val="clear" w:color="auto" w:fill="DEEAF6" w:themeFill="accent1" w:themeFillTint="33"/>
            <w:noWrap/>
            <w:hideMark/>
          </w:tcPr>
          <w:p w14:paraId="583D016A" w14:textId="77777777" w:rsidR="00085F16" w:rsidRPr="00620506" w:rsidRDefault="00085F16" w:rsidP="00620506">
            <w:pPr>
              <w:spacing w:after="0" w:line="240" w:lineRule="auto"/>
              <w:jc w:val="right"/>
              <w:rPr>
                <w:rFonts w:ascii="Times New Roman" w:hAnsi="Times New Roman" w:cs="Times New Roman"/>
                <w:b/>
                <w:sz w:val="20"/>
                <w:szCs w:val="20"/>
              </w:rPr>
            </w:pPr>
            <w:r w:rsidRPr="00620506">
              <w:rPr>
                <w:rFonts w:ascii="Times New Roman" w:hAnsi="Times New Roman" w:cs="Times New Roman"/>
                <w:b/>
                <w:sz w:val="20"/>
                <w:szCs w:val="20"/>
              </w:rPr>
              <w:t>x</w:t>
            </w:r>
          </w:p>
        </w:tc>
      </w:tr>
      <w:tr w:rsidR="00085F16" w:rsidRPr="00620506" w14:paraId="33411F3E" w14:textId="77777777" w:rsidTr="00085F16">
        <w:trPr>
          <w:trHeight w:val="295"/>
        </w:trPr>
        <w:tc>
          <w:tcPr>
            <w:tcW w:w="2909" w:type="pct"/>
            <w:tcBorders>
              <w:top w:val="nil"/>
              <w:left w:val="single" w:sz="4" w:space="0" w:color="auto"/>
              <w:bottom w:val="nil"/>
              <w:right w:val="single" w:sz="4" w:space="0" w:color="auto"/>
            </w:tcBorders>
            <w:shd w:val="clear" w:color="auto" w:fill="DEEAF6" w:themeFill="accent1" w:themeFillTint="33"/>
            <w:noWrap/>
            <w:vAlign w:val="bottom"/>
            <w:hideMark/>
          </w:tcPr>
          <w:p w14:paraId="4AE6E80E" w14:textId="77777777" w:rsidR="00085F16" w:rsidRPr="00620506" w:rsidRDefault="00085F16" w:rsidP="00620506">
            <w:pPr>
              <w:spacing w:after="0" w:line="240" w:lineRule="auto"/>
              <w:rPr>
                <w:rFonts w:ascii="Times New Roman" w:hAnsi="Times New Roman" w:cs="Times New Roman"/>
                <w:b/>
                <w:bCs/>
                <w:sz w:val="20"/>
                <w:szCs w:val="20"/>
              </w:rPr>
            </w:pPr>
            <w:r w:rsidRPr="00620506">
              <w:rPr>
                <w:rFonts w:ascii="Times New Roman" w:hAnsi="Times New Roman" w:cs="Times New Roman"/>
                <w:b/>
                <w:bCs/>
                <w:sz w:val="20"/>
                <w:szCs w:val="20"/>
              </w:rPr>
              <w:t>D. Ndryshimi në bilancin e pashpërndarë bankar (A+B+C)</w:t>
            </w:r>
          </w:p>
        </w:tc>
        <w:tc>
          <w:tcPr>
            <w:tcW w:w="740" w:type="pct"/>
            <w:shd w:val="clear" w:color="auto" w:fill="DEEAF6" w:themeFill="accent1" w:themeFillTint="33"/>
            <w:noWrap/>
            <w:hideMark/>
          </w:tcPr>
          <w:p w14:paraId="17612B0B" w14:textId="77777777" w:rsidR="00085F16" w:rsidRPr="00620506" w:rsidRDefault="00085F16" w:rsidP="00620506">
            <w:pPr>
              <w:spacing w:after="0" w:line="240" w:lineRule="auto"/>
              <w:jc w:val="right"/>
              <w:rPr>
                <w:rFonts w:ascii="Times New Roman" w:hAnsi="Times New Roman" w:cs="Times New Roman"/>
                <w:b/>
                <w:bCs/>
                <w:sz w:val="20"/>
                <w:szCs w:val="20"/>
                <w:lang w:val="en-US"/>
              </w:rPr>
            </w:pPr>
            <w:r w:rsidRPr="00620506">
              <w:rPr>
                <w:rFonts w:ascii="Times New Roman" w:hAnsi="Times New Roman" w:cs="Times New Roman"/>
                <w:b/>
                <w:sz w:val="20"/>
                <w:szCs w:val="20"/>
              </w:rPr>
              <w:t>-1</w:t>
            </w:r>
          </w:p>
        </w:tc>
        <w:tc>
          <w:tcPr>
            <w:tcW w:w="579" w:type="pct"/>
            <w:shd w:val="clear" w:color="auto" w:fill="DEEAF6" w:themeFill="accent1" w:themeFillTint="33"/>
            <w:noWrap/>
            <w:hideMark/>
          </w:tcPr>
          <w:p w14:paraId="05BD0331" w14:textId="77777777" w:rsidR="00085F16" w:rsidRPr="00620506" w:rsidRDefault="00085F16" w:rsidP="00620506">
            <w:pPr>
              <w:spacing w:after="0" w:line="240" w:lineRule="auto"/>
              <w:jc w:val="right"/>
              <w:rPr>
                <w:rFonts w:ascii="Times New Roman" w:hAnsi="Times New Roman" w:cs="Times New Roman"/>
                <w:b/>
                <w:bCs/>
                <w:sz w:val="20"/>
                <w:szCs w:val="20"/>
                <w:lang w:val="en-US"/>
              </w:rPr>
            </w:pPr>
            <w:r w:rsidRPr="00620506">
              <w:rPr>
                <w:rFonts w:ascii="Times New Roman" w:hAnsi="Times New Roman" w:cs="Times New Roman"/>
                <w:b/>
                <w:sz w:val="20"/>
                <w:szCs w:val="20"/>
              </w:rPr>
              <w:t>26</w:t>
            </w:r>
          </w:p>
        </w:tc>
        <w:tc>
          <w:tcPr>
            <w:tcW w:w="772" w:type="pct"/>
            <w:tcBorders>
              <w:top w:val="nil"/>
              <w:left w:val="nil"/>
              <w:bottom w:val="nil"/>
              <w:right w:val="single" w:sz="4" w:space="0" w:color="auto"/>
            </w:tcBorders>
            <w:shd w:val="clear" w:color="auto" w:fill="DEEAF6" w:themeFill="accent1" w:themeFillTint="33"/>
            <w:noWrap/>
            <w:hideMark/>
          </w:tcPr>
          <w:p w14:paraId="3F301923" w14:textId="77777777" w:rsidR="00085F16" w:rsidRPr="00620506" w:rsidRDefault="00085F16" w:rsidP="00620506">
            <w:pPr>
              <w:spacing w:after="0" w:line="240" w:lineRule="auto"/>
              <w:jc w:val="right"/>
              <w:rPr>
                <w:rFonts w:ascii="Times New Roman" w:hAnsi="Times New Roman" w:cs="Times New Roman"/>
                <w:b/>
                <w:sz w:val="20"/>
                <w:szCs w:val="20"/>
              </w:rPr>
            </w:pPr>
            <w:r w:rsidRPr="00620506">
              <w:rPr>
                <w:rFonts w:ascii="Times New Roman" w:hAnsi="Times New Roman" w:cs="Times New Roman"/>
                <w:b/>
                <w:sz w:val="20"/>
                <w:szCs w:val="20"/>
              </w:rPr>
              <w:t>269</w:t>
            </w:r>
          </w:p>
        </w:tc>
      </w:tr>
      <w:tr w:rsidR="00085F16" w:rsidRPr="00620506" w14:paraId="2E5F7E57" w14:textId="77777777" w:rsidTr="00085F16">
        <w:trPr>
          <w:trHeight w:val="92"/>
        </w:trPr>
        <w:tc>
          <w:tcPr>
            <w:tcW w:w="2909" w:type="pct"/>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64586AF5" w14:textId="77777777" w:rsidR="00085F16" w:rsidRPr="00620506" w:rsidRDefault="00085F16" w:rsidP="00620506">
            <w:pPr>
              <w:spacing w:after="0" w:line="240" w:lineRule="auto"/>
              <w:rPr>
                <w:rFonts w:ascii="Times New Roman" w:hAnsi="Times New Roman" w:cs="Times New Roman"/>
                <w:b/>
                <w:bCs/>
                <w:sz w:val="20"/>
                <w:szCs w:val="20"/>
              </w:rPr>
            </w:pPr>
            <w:r w:rsidRPr="00620506">
              <w:rPr>
                <w:rFonts w:ascii="Times New Roman" w:hAnsi="Times New Roman" w:cs="Times New Roman"/>
                <w:b/>
                <w:bCs/>
                <w:sz w:val="20"/>
                <w:szCs w:val="20"/>
              </w:rPr>
              <w:t>C. Stoku i bilancit bankar të pashpërndarë</w:t>
            </w:r>
          </w:p>
        </w:tc>
        <w:tc>
          <w:tcPr>
            <w:tcW w:w="740" w:type="pct"/>
            <w:tcBorders>
              <w:top w:val="nil"/>
              <w:left w:val="nil"/>
              <w:bottom w:val="single" w:sz="4" w:space="0" w:color="auto"/>
              <w:right w:val="nil"/>
            </w:tcBorders>
            <w:shd w:val="clear" w:color="auto" w:fill="DEEAF6" w:themeFill="accent1" w:themeFillTint="33"/>
            <w:noWrap/>
            <w:hideMark/>
          </w:tcPr>
          <w:p w14:paraId="2F0C2640" w14:textId="77777777" w:rsidR="00085F16" w:rsidRPr="00620506" w:rsidRDefault="00085F16" w:rsidP="00620506">
            <w:pPr>
              <w:spacing w:after="0" w:line="240" w:lineRule="auto"/>
              <w:jc w:val="right"/>
              <w:rPr>
                <w:rFonts w:ascii="Times New Roman" w:hAnsi="Times New Roman" w:cs="Times New Roman"/>
                <w:b/>
                <w:bCs/>
                <w:sz w:val="20"/>
                <w:szCs w:val="20"/>
                <w:lang w:val="en-US"/>
              </w:rPr>
            </w:pPr>
            <w:r w:rsidRPr="00620506">
              <w:rPr>
                <w:rFonts w:ascii="Times New Roman" w:hAnsi="Times New Roman" w:cs="Times New Roman"/>
                <w:b/>
                <w:sz w:val="20"/>
                <w:szCs w:val="20"/>
              </w:rPr>
              <w:t>302</w:t>
            </w:r>
          </w:p>
        </w:tc>
        <w:tc>
          <w:tcPr>
            <w:tcW w:w="579" w:type="pct"/>
            <w:tcBorders>
              <w:top w:val="nil"/>
              <w:left w:val="nil"/>
              <w:bottom w:val="single" w:sz="4" w:space="0" w:color="auto"/>
              <w:right w:val="nil"/>
            </w:tcBorders>
            <w:shd w:val="clear" w:color="auto" w:fill="DEEAF6" w:themeFill="accent1" w:themeFillTint="33"/>
            <w:noWrap/>
            <w:hideMark/>
          </w:tcPr>
          <w:p w14:paraId="002438A6" w14:textId="77777777" w:rsidR="00085F16" w:rsidRPr="00620506" w:rsidRDefault="00085F16" w:rsidP="00620506">
            <w:pPr>
              <w:spacing w:after="0" w:line="240" w:lineRule="auto"/>
              <w:jc w:val="right"/>
              <w:rPr>
                <w:rFonts w:ascii="Times New Roman" w:hAnsi="Times New Roman" w:cs="Times New Roman"/>
                <w:b/>
                <w:bCs/>
                <w:sz w:val="20"/>
                <w:szCs w:val="20"/>
                <w:lang w:val="en-US"/>
              </w:rPr>
            </w:pPr>
            <w:r w:rsidRPr="00620506">
              <w:rPr>
                <w:rFonts w:ascii="Times New Roman" w:hAnsi="Times New Roman" w:cs="Times New Roman"/>
                <w:b/>
                <w:sz w:val="20"/>
                <w:szCs w:val="20"/>
              </w:rPr>
              <w:t>340</w:t>
            </w:r>
          </w:p>
        </w:tc>
        <w:tc>
          <w:tcPr>
            <w:tcW w:w="772" w:type="pct"/>
            <w:tcBorders>
              <w:top w:val="nil"/>
              <w:left w:val="nil"/>
              <w:bottom w:val="single" w:sz="4" w:space="0" w:color="auto"/>
              <w:right w:val="single" w:sz="4" w:space="0" w:color="auto"/>
            </w:tcBorders>
            <w:shd w:val="clear" w:color="auto" w:fill="DEEAF6" w:themeFill="accent1" w:themeFillTint="33"/>
            <w:noWrap/>
            <w:hideMark/>
          </w:tcPr>
          <w:p w14:paraId="089DF227" w14:textId="77777777" w:rsidR="00085F16" w:rsidRPr="00620506" w:rsidRDefault="00085F16" w:rsidP="00620506">
            <w:pPr>
              <w:spacing w:after="0" w:line="240" w:lineRule="auto"/>
              <w:jc w:val="right"/>
              <w:rPr>
                <w:rFonts w:ascii="Times New Roman" w:hAnsi="Times New Roman" w:cs="Times New Roman"/>
                <w:b/>
                <w:sz w:val="20"/>
                <w:szCs w:val="20"/>
              </w:rPr>
            </w:pPr>
            <w:r w:rsidRPr="00620506">
              <w:rPr>
                <w:rFonts w:ascii="Times New Roman" w:hAnsi="Times New Roman" w:cs="Times New Roman"/>
                <w:b/>
                <w:sz w:val="20"/>
                <w:szCs w:val="20"/>
              </w:rPr>
              <w:t>657</w:t>
            </w:r>
          </w:p>
        </w:tc>
      </w:tr>
    </w:tbl>
    <w:p w14:paraId="207E8BFE" w14:textId="77777777" w:rsidR="00085F16" w:rsidRPr="003D7533" w:rsidRDefault="00085F16" w:rsidP="00802FB3">
      <w:pPr>
        <w:keepNext/>
        <w:numPr>
          <w:ilvl w:val="1"/>
          <w:numId w:val="87"/>
        </w:numPr>
        <w:spacing w:before="180" w:after="120" w:line="240" w:lineRule="auto"/>
        <w:ind w:hanging="540"/>
        <w:jc w:val="both"/>
        <w:outlineLvl w:val="0"/>
        <w:rPr>
          <w:b/>
          <w:kern w:val="28"/>
        </w:rPr>
      </w:pPr>
      <w:r w:rsidRPr="003D7533">
        <w:rPr>
          <w:b/>
          <w:kern w:val="28"/>
        </w:rPr>
        <w:t xml:space="preserve"> </w:t>
      </w:r>
      <w:bookmarkStart w:id="132" w:name="_Toc531360995"/>
      <w:bookmarkStart w:id="133" w:name="_Toc536429083"/>
      <w:bookmarkStart w:id="134" w:name="_Toc25873732"/>
      <w:r w:rsidRPr="003D7533">
        <w:rPr>
          <w:b/>
          <w:kern w:val="28"/>
        </w:rPr>
        <w:t>Parashikimet afatmesme buxhetore</w:t>
      </w:r>
      <w:bookmarkEnd w:id="129"/>
      <w:bookmarkEnd w:id="130"/>
      <w:bookmarkEnd w:id="131"/>
      <w:bookmarkEnd w:id="132"/>
      <w:bookmarkEnd w:id="133"/>
      <w:bookmarkEnd w:id="134"/>
    </w:p>
    <w:p w14:paraId="31CD42F0" w14:textId="77777777" w:rsidR="00085F16" w:rsidRPr="00620506" w:rsidRDefault="00085F16" w:rsidP="00085F16">
      <w:pPr>
        <w:spacing w:after="120" w:line="276" w:lineRule="auto"/>
        <w:jc w:val="both"/>
        <w:rPr>
          <w:rFonts w:ascii="Times New Roman" w:hAnsi="Times New Roman" w:cs="Times New Roman"/>
          <w:sz w:val="24"/>
          <w:szCs w:val="24"/>
        </w:rPr>
      </w:pPr>
      <w:r w:rsidRPr="00620506">
        <w:rPr>
          <w:rFonts w:ascii="Times New Roman" w:hAnsi="Times New Roman" w:cs="Times New Roman"/>
          <w:sz w:val="24"/>
          <w:szCs w:val="24"/>
        </w:rPr>
        <w:t xml:space="preserve">Parashikimet fiskale për periudhën afatmesme përafërsisht pritet të rriten në linjë me rritjen nominale ekonomike. </w:t>
      </w:r>
    </w:p>
    <w:p w14:paraId="2A8DC11A" w14:textId="77777777" w:rsidR="00085F16" w:rsidRPr="00620506" w:rsidRDefault="00085F16" w:rsidP="00085F16">
      <w:pPr>
        <w:spacing w:after="120" w:line="276" w:lineRule="auto"/>
        <w:jc w:val="both"/>
        <w:rPr>
          <w:rFonts w:ascii="Times New Roman" w:hAnsi="Times New Roman" w:cs="Times New Roman"/>
          <w:sz w:val="24"/>
          <w:szCs w:val="24"/>
        </w:rPr>
      </w:pPr>
      <w:r w:rsidRPr="00620506">
        <w:rPr>
          <w:rFonts w:ascii="Times New Roman" w:hAnsi="Times New Roman" w:cs="Times New Roman"/>
          <w:sz w:val="24"/>
          <w:szCs w:val="24"/>
        </w:rPr>
        <w:t>Të hyrat buxhetore për periudhën afatmesme 2020-2022 janë projektuar bazuar në projeksionet makroekonomike, uljen e stokut të borxhit tatimor dhe efektet e politikave fiskale. Total të hyrat buxhetore parashihet të rriten rreth 5% përgjatë periudhës afatmesme.</w:t>
      </w:r>
    </w:p>
    <w:p w14:paraId="1B35BE5A" w14:textId="77777777" w:rsidR="00085F16" w:rsidRPr="00620506" w:rsidRDefault="00085F16" w:rsidP="00085F16">
      <w:pPr>
        <w:spacing w:after="120" w:line="276" w:lineRule="auto"/>
        <w:jc w:val="both"/>
        <w:rPr>
          <w:rFonts w:ascii="Times New Roman" w:hAnsi="Times New Roman" w:cs="Times New Roman"/>
          <w:sz w:val="24"/>
          <w:szCs w:val="24"/>
        </w:rPr>
      </w:pPr>
      <w:r w:rsidRPr="00620506">
        <w:rPr>
          <w:rFonts w:ascii="Times New Roman" w:hAnsi="Times New Roman" w:cs="Times New Roman"/>
          <w:sz w:val="24"/>
          <w:szCs w:val="24"/>
        </w:rPr>
        <w:t>Nga gjithsej të hyrat buxhetore, të hyrat tatimore janë projektuar të rriten mesatarisht prej 4.9% në vit, duke arritur në 24 % të BPV-së në 2020, ndërsa mesatarisht pritet të jenë rreth 24% të BPV-së përgjatë periudhës afatmesme. Kjo rritje e projektuar, pritet të vie kryesisht nga të hyrat indirekte, specifikisht nga TVSH-ja, ndërsa të hyrat nga detyrimi doganor pritet të stabilizohen si rezultat i zvogëlimit të efektit të marrëveshjeve për tregti të lirë tregtare me vendet e BE-së (MSA). Në anën tjetër të hyrat jo-tatimore pritet të rriten me një normë konstante prej 4.1% përgjatë periudhës afatmesme, duke arritur në 234 milionë në vitin 2022.</w:t>
      </w:r>
    </w:p>
    <w:p w14:paraId="77D451DB" w14:textId="77777777" w:rsidR="00085F16" w:rsidRPr="00620506" w:rsidRDefault="00085F16" w:rsidP="00085F16">
      <w:pPr>
        <w:spacing w:after="120" w:line="276" w:lineRule="auto"/>
        <w:jc w:val="both"/>
        <w:rPr>
          <w:rFonts w:ascii="Times New Roman" w:hAnsi="Times New Roman" w:cs="Times New Roman"/>
          <w:sz w:val="24"/>
          <w:szCs w:val="24"/>
        </w:rPr>
      </w:pPr>
      <w:r w:rsidRPr="00620506">
        <w:rPr>
          <w:rFonts w:ascii="Times New Roman" w:hAnsi="Times New Roman" w:cs="Times New Roman"/>
          <w:sz w:val="24"/>
          <w:szCs w:val="24"/>
        </w:rPr>
        <w:t>Planifikimi dhe ekzekutimi i shpenzimeve për vitin 2020 është bërë në linjë me rregullën fiskale të përcaktuar me Ligjin për Menaxhimin e Financave Publike dhe Përgjegjësitë, e cila kufizon deficitin buxhetor në 2% të BPV. Qeveria vazhdon të ketë si prioritet ruajtjen e stabilitetit makro-fiskal dhe të menaxhojë përgjegjshëm financat publike.</w:t>
      </w:r>
    </w:p>
    <w:p w14:paraId="275527DF" w14:textId="77777777" w:rsidR="00085F16" w:rsidRPr="00620506" w:rsidRDefault="00085F16" w:rsidP="00085F16">
      <w:pPr>
        <w:spacing w:after="120" w:line="276" w:lineRule="auto"/>
        <w:jc w:val="both"/>
        <w:rPr>
          <w:rFonts w:ascii="Times New Roman" w:hAnsi="Times New Roman" w:cs="Times New Roman"/>
          <w:sz w:val="24"/>
          <w:szCs w:val="24"/>
        </w:rPr>
      </w:pPr>
      <w:r w:rsidRPr="00620506">
        <w:rPr>
          <w:rFonts w:ascii="Times New Roman" w:hAnsi="Times New Roman" w:cs="Times New Roman"/>
          <w:sz w:val="24"/>
          <w:szCs w:val="24"/>
        </w:rPr>
        <w:t xml:space="preserve">Shpenzimet e planifikuara buxhetore reflektojnë prioritetet kyçe të qeverisë, duke u bazuar në tri parime: </w:t>
      </w:r>
    </w:p>
    <w:p w14:paraId="08E76810" w14:textId="77777777" w:rsidR="00085F16" w:rsidRPr="00620506" w:rsidRDefault="00085F16" w:rsidP="00802FB3">
      <w:pPr>
        <w:numPr>
          <w:ilvl w:val="0"/>
          <w:numId w:val="83"/>
        </w:numPr>
        <w:spacing w:after="120" w:line="276" w:lineRule="auto"/>
        <w:contextualSpacing/>
        <w:jc w:val="both"/>
        <w:rPr>
          <w:rFonts w:ascii="Times New Roman" w:hAnsi="Times New Roman" w:cs="Times New Roman"/>
          <w:sz w:val="24"/>
          <w:szCs w:val="24"/>
        </w:rPr>
      </w:pPr>
      <w:r w:rsidRPr="00620506">
        <w:rPr>
          <w:rFonts w:ascii="Times New Roman" w:hAnsi="Times New Roman" w:cs="Times New Roman"/>
          <w:sz w:val="24"/>
          <w:szCs w:val="24"/>
        </w:rPr>
        <w:t xml:space="preserve">në përshtatjen e nivelit të shpenzimeve rrjedhëse - që punët të vazhdojnë të pa-penguara për ofrimin e shërbimeve publike, dhe duke e parandaluar akumulimin e pagesave të vonuara </w:t>
      </w:r>
    </w:p>
    <w:p w14:paraId="308FDD51" w14:textId="77777777" w:rsidR="00085F16" w:rsidRPr="00620506" w:rsidRDefault="00085F16" w:rsidP="00802FB3">
      <w:pPr>
        <w:numPr>
          <w:ilvl w:val="0"/>
          <w:numId w:val="83"/>
        </w:numPr>
        <w:spacing w:after="120" w:line="276" w:lineRule="auto"/>
        <w:contextualSpacing/>
        <w:jc w:val="both"/>
        <w:rPr>
          <w:rFonts w:ascii="Times New Roman" w:hAnsi="Times New Roman" w:cs="Times New Roman"/>
          <w:sz w:val="24"/>
          <w:szCs w:val="24"/>
        </w:rPr>
      </w:pPr>
      <w:r w:rsidRPr="00620506">
        <w:rPr>
          <w:rFonts w:ascii="Times New Roman" w:hAnsi="Times New Roman" w:cs="Times New Roman"/>
          <w:sz w:val="24"/>
          <w:szCs w:val="24"/>
        </w:rPr>
        <w:t>në ofrimin e financimit shtesë për prioritetet e Qeverisë</w:t>
      </w:r>
    </w:p>
    <w:p w14:paraId="1A2A4C69" w14:textId="77777777" w:rsidR="00085F16" w:rsidRPr="00620506" w:rsidRDefault="00085F16" w:rsidP="00802FB3">
      <w:pPr>
        <w:numPr>
          <w:ilvl w:val="0"/>
          <w:numId w:val="83"/>
        </w:numPr>
        <w:spacing w:after="0" w:line="276" w:lineRule="auto"/>
        <w:contextualSpacing/>
        <w:jc w:val="both"/>
        <w:rPr>
          <w:rFonts w:ascii="Times New Roman" w:hAnsi="Times New Roman" w:cs="Times New Roman"/>
          <w:sz w:val="24"/>
          <w:szCs w:val="24"/>
        </w:rPr>
      </w:pPr>
      <w:r w:rsidRPr="00620506">
        <w:rPr>
          <w:rFonts w:ascii="Times New Roman" w:hAnsi="Times New Roman" w:cs="Times New Roman"/>
          <w:sz w:val="24"/>
          <w:szCs w:val="24"/>
        </w:rPr>
        <w:t>strukturimin e financimit të buxhetit për t’i dhënë shtytje ekonomisë përmes përfshirjes në qarkullim të brendshëm të fondeve nga jashtë përmes projekteve kapitale.</w:t>
      </w:r>
    </w:p>
    <w:p w14:paraId="63C225C5" w14:textId="77777777" w:rsidR="00085F16" w:rsidRPr="00620506" w:rsidRDefault="00085F16" w:rsidP="00085F16">
      <w:pPr>
        <w:spacing w:line="276" w:lineRule="auto"/>
        <w:jc w:val="both"/>
        <w:rPr>
          <w:rFonts w:ascii="Times New Roman" w:hAnsi="Times New Roman" w:cs="Times New Roman"/>
          <w:sz w:val="24"/>
          <w:szCs w:val="24"/>
        </w:rPr>
      </w:pPr>
      <w:r w:rsidRPr="00620506">
        <w:rPr>
          <w:rFonts w:ascii="Times New Roman" w:hAnsi="Times New Roman" w:cs="Times New Roman"/>
          <w:sz w:val="24"/>
          <w:szCs w:val="24"/>
        </w:rPr>
        <w:t>Në periudhën afatmesme shpenzimet e përgjithme pritet të rriten mesatarisht me 3.2%. Shpenzimet rrjedhëse parashihet të kenë rritje mesatare prej 3.4% ndërsa ato kapitale prej rreth 2.4%.</w:t>
      </w:r>
    </w:p>
    <w:p w14:paraId="2A2FD74D" w14:textId="77777777" w:rsidR="00085F16" w:rsidRPr="00620506" w:rsidRDefault="00085F16" w:rsidP="00085F16">
      <w:pPr>
        <w:spacing w:after="120" w:line="276" w:lineRule="auto"/>
        <w:jc w:val="both"/>
        <w:rPr>
          <w:rFonts w:ascii="Times New Roman" w:hAnsi="Times New Roman" w:cs="Times New Roman"/>
          <w:sz w:val="24"/>
          <w:szCs w:val="24"/>
        </w:rPr>
      </w:pPr>
      <w:r w:rsidRPr="00620506">
        <w:rPr>
          <w:rFonts w:ascii="Times New Roman" w:hAnsi="Times New Roman" w:cs="Times New Roman"/>
          <w:sz w:val="24"/>
          <w:szCs w:val="24"/>
        </w:rPr>
        <w:t>Sa i përket deficitit buxhetor sipas rregullës fiskale, ai pritet të jetë më pak së 2% e BPV-së edhe në periudhën afatmesme të projektuar.</w:t>
      </w:r>
    </w:p>
    <w:p w14:paraId="08636B8F" w14:textId="77777777" w:rsidR="00085F16" w:rsidRPr="00620506" w:rsidRDefault="00085F16" w:rsidP="00802FB3">
      <w:pPr>
        <w:keepNext/>
        <w:numPr>
          <w:ilvl w:val="2"/>
          <w:numId w:val="87"/>
        </w:numPr>
        <w:spacing w:before="100" w:after="100" w:line="240" w:lineRule="auto"/>
        <w:ind w:left="630" w:hanging="630"/>
        <w:jc w:val="both"/>
        <w:outlineLvl w:val="0"/>
        <w:rPr>
          <w:rFonts w:ascii="Times New Roman" w:hAnsi="Times New Roman" w:cs="Times New Roman"/>
          <w:b/>
          <w:iCs/>
          <w:kern w:val="28"/>
          <w:sz w:val="24"/>
          <w:szCs w:val="24"/>
        </w:rPr>
      </w:pPr>
      <w:bookmarkStart w:id="135" w:name="_Toc530991027"/>
      <w:bookmarkStart w:id="136" w:name="_Toc530991028"/>
      <w:bookmarkStart w:id="137" w:name="_Toc530991030"/>
      <w:bookmarkStart w:id="138" w:name="_Toc504051219"/>
      <w:bookmarkStart w:id="139" w:name="_Toc504051416"/>
      <w:bookmarkStart w:id="140" w:name="_Toc504338921"/>
      <w:bookmarkStart w:id="141" w:name="_Toc531360996"/>
      <w:bookmarkStart w:id="142" w:name="_Toc536429084"/>
      <w:bookmarkStart w:id="143" w:name="_Toc25873733"/>
      <w:bookmarkEnd w:id="135"/>
      <w:bookmarkEnd w:id="136"/>
      <w:bookmarkEnd w:id="137"/>
      <w:r w:rsidRPr="00620506">
        <w:rPr>
          <w:rFonts w:ascii="Times New Roman" w:hAnsi="Times New Roman" w:cs="Times New Roman"/>
          <w:b/>
          <w:iCs/>
          <w:kern w:val="28"/>
          <w:sz w:val="24"/>
          <w:szCs w:val="24"/>
        </w:rPr>
        <w:t>Parashikimi i të hyrave buxhetore</w:t>
      </w:r>
      <w:bookmarkEnd w:id="138"/>
      <w:bookmarkEnd w:id="139"/>
      <w:bookmarkEnd w:id="140"/>
      <w:bookmarkEnd w:id="141"/>
      <w:bookmarkEnd w:id="142"/>
      <w:bookmarkEnd w:id="143"/>
    </w:p>
    <w:p w14:paraId="69220478" w14:textId="77777777" w:rsidR="00085F16" w:rsidRPr="00620506" w:rsidRDefault="00085F16" w:rsidP="00085F16">
      <w:pPr>
        <w:spacing w:after="120" w:line="276" w:lineRule="auto"/>
        <w:jc w:val="both"/>
        <w:rPr>
          <w:rFonts w:ascii="Times New Roman" w:hAnsi="Times New Roman" w:cs="Times New Roman"/>
          <w:sz w:val="24"/>
          <w:szCs w:val="24"/>
        </w:rPr>
      </w:pPr>
      <w:bookmarkStart w:id="144" w:name="_Toc528657892"/>
      <w:r w:rsidRPr="00620506">
        <w:rPr>
          <w:rFonts w:ascii="Times New Roman" w:hAnsi="Times New Roman" w:cs="Times New Roman"/>
          <w:sz w:val="24"/>
          <w:szCs w:val="24"/>
        </w:rPr>
        <w:t xml:space="preserve">Për periudhën afatmesme 2020– 2022, parashikimet për të hyrat janë të bazuara në parashikimet e përgjithshme për zhvillimet ekonomike në vend, si dhe ndikimi i tyre në baza respektive tatimore. Për më tepër, efekti nga masat e reja për përmirësimin e ambientit të të bërit biznes, lehtësimet në rastin e importeve për sektorin e prodhimit, lirimi nga tatimet doganore në rastin e importeve të pajisjeve teknologjike, planet për ngushtimin e hendekut tatimor dhe ekonomisë jo-formale, masat për avancimin në efikasitetin e mbledhjes së të hyrave nga agjencitë mbledhëse, me një fokus të veçantë në zvogëlimin e stokut të borxhit, etj. konsiderohen si potencial për rritjen e nivelin të të hyrave mbi këto parashikime. </w:t>
      </w:r>
    </w:p>
    <w:p w14:paraId="59126049" w14:textId="77777777" w:rsidR="00085F16" w:rsidRPr="00620506" w:rsidRDefault="00085F16" w:rsidP="00085F16">
      <w:pPr>
        <w:spacing w:after="120" w:line="276" w:lineRule="auto"/>
        <w:jc w:val="both"/>
        <w:rPr>
          <w:rFonts w:ascii="Times New Roman" w:hAnsi="Times New Roman" w:cs="Times New Roman"/>
          <w:sz w:val="24"/>
          <w:szCs w:val="24"/>
        </w:rPr>
      </w:pPr>
      <w:bookmarkStart w:id="145" w:name="_Toc528657893"/>
      <w:bookmarkEnd w:id="144"/>
      <w:r w:rsidRPr="00620506">
        <w:rPr>
          <w:rFonts w:ascii="Times New Roman" w:hAnsi="Times New Roman" w:cs="Times New Roman"/>
          <w:sz w:val="24"/>
          <w:szCs w:val="24"/>
        </w:rPr>
        <w:t xml:space="preserve">Sa i përket </w:t>
      </w:r>
      <w:r w:rsidRPr="00620506">
        <w:rPr>
          <w:rFonts w:ascii="Times New Roman" w:hAnsi="Times New Roman" w:cs="Times New Roman"/>
          <w:b/>
          <w:sz w:val="24"/>
          <w:szCs w:val="24"/>
        </w:rPr>
        <w:t>Administratës Tatimore të Kosovës</w:t>
      </w:r>
      <w:r w:rsidRPr="00620506">
        <w:rPr>
          <w:rFonts w:ascii="Times New Roman" w:hAnsi="Times New Roman" w:cs="Times New Roman"/>
          <w:sz w:val="24"/>
          <w:szCs w:val="24"/>
        </w:rPr>
        <w:t>, ajo pritet që në vitin 2020 të arkëtojë rreth 542 milionë EUR, duke i përfshirë të hyrat e njëhershme nga arkëtimi i borxhit tatimor. Norma mesatare e rritjes në periudhë afatmesme pritet të jetë 4.5%. Specifikisht, të hyrat e arkëtuara nga ATK-ja, të ndara nëpër kategori pritet të realizohen si në vijim:</w:t>
      </w:r>
    </w:p>
    <w:p w14:paraId="3104B18E" w14:textId="77777777" w:rsidR="00085F16" w:rsidRPr="00620506" w:rsidRDefault="00085F16" w:rsidP="00085F16">
      <w:pPr>
        <w:spacing w:after="120" w:line="276" w:lineRule="auto"/>
        <w:contextualSpacing/>
        <w:jc w:val="both"/>
        <w:rPr>
          <w:rFonts w:ascii="Times New Roman" w:hAnsi="Times New Roman" w:cs="Times New Roman"/>
          <w:sz w:val="24"/>
          <w:szCs w:val="24"/>
        </w:rPr>
      </w:pPr>
      <w:r w:rsidRPr="00620506">
        <w:rPr>
          <w:rFonts w:ascii="Times New Roman" w:hAnsi="Times New Roman" w:cs="Times New Roman"/>
          <w:i/>
          <w:sz w:val="24"/>
          <w:szCs w:val="24"/>
          <w:u w:val="single"/>
        </w:rPr>
        <w:t>Tatimi në të ardhurat e korporatave</w:t>
      </w:r>
      <w:r w:rsidRPr="00620506">
        <w:rPr>
          <w:rFonts w:ascii="Times New Roman" w:hAnsi="Times New Roman" w:cs="Times New Roman"/>
          <w:sz w:val="24"/>
          <w:szCs w:val="24"/>
        </w:rPr>
        <w:t>: parashihet që të rritet mesatarisht për periudhën afatmesme për 6.6%, duke arritur kështu shumën prej 111 milionë EUR në vitin 2022. Për vitin 2020 projeksionet buxhetore parashohin rritje prej 10.1% krahasuar me buxhetin e vitit 2019.</w:t>
      </w:r>
    </w:p>
    <w:p w14:paraId="1C1C50AE" w14:textId="77777777" w:rsidR="00085F16" w:rsidRPr="00620506" w:rsidRDefault="00085F16" w:rsidP="00085F16">
      <w:pPr>
        <w:spacing w:after="120" w:line="276" w:lineRule="auto"/>
        <w:jc w:val="both"/>
        <w:rPr>
          <w:rFonts w:ascii="Times New Roman" w:hAnsi="Times New Roman" w:cs="Times New Roman"/>
          <w:sz w:val="24"/>
          <w:szCs w:val="24"/>
        </w:rPr>
      </w:pPr>
      <w:r w:rsidRPr="00620506">
        <w:rPr>
          <w:rFonts w:ascii="Times New Roman" w:hAnsi="Times New Roman" w:cs="Times New Roman"/>
          <w:i/>
          <w:sz w:val="24"/>
          <w:szCs w:val="24"/>
          <w:u w:val="single"/>
        </w:rPr>
        <w:t>TVSH – arkëtimi në vend</w:t>
      </w:r>
      <w:r w:rsidRPr="00620506">
        <w:rPr>
          <w:rFonts w:ascii="Times New Roman" w:hAnsi="Times New Roman" w:cs="Times New Roman"/>
          <w:sz w:val="24"/>
          <w:szCs w:val="24"/>
        </w:rPr>
        <w:t xml:space="preserve">: parashihet të rritet mesatarisht me 3.0% në periudhën afatmesme ndërsa në 2020 në raport me vitin 2019 rritje prej 2.0% apo në vlerë nominale do të arrijë shumën prej 263 milionë EUR. Kjo ngritje në planifikim, vjen si rezultat nga rritja e konsumit të përgjithshëm si dhe masave fiskale që kanë mundësuar zhvendosjen e TVSH nga kufiri në vend. </w:t>
      </w:r>
    </w:p>
    <w:p w14:paraId="054FF09E" w14:textId="77777777" w:rsidR="00085F16" w:rsidRPr="00620506" w:rsidRDefault="00085F16" w:rsidP="00085F16">
      <w:pPr>
        <w:spacing w:line="276" w:lineRule="auto"/>
        <w:jc w:val="both"/>
        <w:rPr>
          <w:rFonts w:ascii="Times New Roman" w:hAnsi="Times New Roman" w:cs="Times New Roman"/>
          <w:color w:val="000000" w:themeColor="text1"/>
          <w:sz w:val="24"/>
          <w:szCs w:val="24"/>
        </w:rPr>
      </w:pPr>
      <w:r w:rsidRPr="00620506">
        <w:rPr>
          <w:rFonts w:ascii="Times New Roman" w:hAnsi="Times New Roman" w:cs="Times New Roman"/>
          <w:i/>
          <w:sz w:val="24"/>
          <w:szCs w:val="24"/>
          <w:u w:val="single"/>
        </w:rPr>
        <w:t>Tatimi në të ardhurat personale</w:t>
      </w:r>
      <w:r w:rsidRPr="00620506">
        <w:rPr>
          <w:rFonts w:ascii="Times New Roman" w:hAnsi="Times New Roman" w:cs="Times New Roman"/>
          <w:i/>
          <w:sz w:val="24"/>
          <w:szCs w:val="24"/>
          <w:u w:val="single"/>
          <w:vertAlign w:val="superscript"/>
        </w:rPr>
        <w:footnoteReference w:id="14"/>
      </w:r>
      <w:r w:rsidRPr="00620506">
        <w:rPr>
          <w:rFonts w:ascii="Times New Roman" w:hAnsi="Times New Roman" w:cs="Times New Roman"/>
          <w:sz w:val="24"/>
          <w:szCs w:val="24"/>
        </w:rPr>
        <w:t xml:space="preserve">: parashihet të rritet mesatarisht me 5.7% në periudhën afatmesme. Në vitin 2020 pritet të shënoi rritje prej 7.2% dhe si rezultat të arrijë në shumën prej 175 milionë EUR. </w:t>
      </w:r>
      <w:r w:rsidRPr="00620506">
        <w:rPr>
          <w:rFonts w:ascii="Times New Roman" w:hAnsi="Times New Roman" w:cs="Times New Roman"/>
          <w:color w:val="000000" w:themeColor="text1"/>
          <w:sz w:val="24"/>
          <w:szCs w:val="24"/>
        </w:rPr>
        <w:t>Kjo rritje është shtyrë kryesisht nga zhvillimet ekonomike dhe nga ulja e stokut të borxhit tatimor. Shtytës tjetër që mund të qojë në një rritje më të lartë të tatimeve direkte në periudhën afatmesme përfshin deklarimin e një fitimi më të lartë si rezultat i lirimeve nga Qeveria të detyrimeve doganore dhe akcizës për inputet e prodhimit dhe pajisjet e teknologjisë informative.</w:t>
      </w:r>
    </w:p>
    <w:p w14:paraId="66CE82DC" w14:textId="77777777" w:rsidR="00085F16" w:rsidRPr="00620506" w:rsidRDefault="00085F16" w:rsidP="00085F16">
      <w:pPr>
        <w:spacing w:after="120" w:line="276" w:lineRule="auto"/>
        <w:jc w:val="both"/>
        <w:rPr>
          <w:rFonts w:ascii="Times New Roman" w:hAnsi="Times New Roman" w:cs="Times New Roman"/>
          <w:color w:val="000000" w:themeColor="text1"/>
          <w:sz w:val="24"/>
          <w:szCs w:val="24"/>
        </w:rPr>
      </w:pPr>
      <w:r w:rsidRPr="00620506">
        <w:rPr>
          <w:rFonts w:ascii="Times New Roman" w:hAnsi="Times New Roman" w:cs="Times New Roman"/>
          <w:color w:val="000000" w:themeColor="text1"/>
          <w:sz w:val="24"/>
          <w:szCs w:val="24"/>
        </w:rPr>
        <w:t xml:space="preserve">Për më tepër, përmes thjeshtësimit të sistemit tatimor dhe doganor, ngritjes së cilësisë së shërbimeve ndaj tatimpaguesve, vazhdimit të digjitalizimit të plotë të shërbimeve për tatimpaguesin, presim rritje të efikasitetit të administrimit tatimor dhe rritje të përmbushjes vullnetare të detyrimeve tatimore, që rrjedhimisht do të reflektohen pozitivisht </w:t>
      </w:r>
      <w:r w:rsidRPr="00620506">
        <w:rPr>
          <w:rFonts w:ascii="Times New Roman" w:hAnsi="Times New Roman" w:cs="Times New Roman"/>
          <w:sz w:val="24"/>
          <w:szCs w:val="24"/>
        </w:rPr>
        <w:t>tek të hyrat tatimore të arkëtuara në vend.</w:t>
      </w:r>
      <w:bookmarkStart w:id="146" w:name="_Toc531341606"/>
      <w:bookmarkEnd w:id="145"/>
    </w:p>
    <w:p w14:paraId="1B7F2B3C" w14:textId="77777777" w:rsidR="00085F16" w:rsidRPr="00620506" w:rsidRDefault="00085F16" w:rsidP="00085F16">
      <w:pPr>
        <w:spacing w:after="120" w:line="276" w:lineRule="auto"/>
        <w:jc w:val="both"/>
        <w:rPr>
          <w:rFonts w:ascii="Times New Roman" w:hAnsi="Times New Roman" w:cs="Times New Roman"/>
          <w:sz w:val="24"/>
          <w:szCs w:val="24"/>
        </w:rPr>
      </w:pPr>
      <w:r w:rsidRPr="00620506">
        <w:rPr>
          <w:rFonts w:ascii="Times New Roman" w:hAnsi="Times New Roman" w:cs="Times New Roman"/>
          <w:b/>
          <w:sz w:val="24"/>
          <w:szCs w:val="24"/>
        </w:rPr>
        <w:t>Dogana e Kosovës</w:t>
      </w:r>
      <w:r w:rsidRPr="00620506">
        <w:rPr>
          <w:rFonts w:ascii="Times New Roman" w:hAnsi="Times New Roman" w:cs="Times New Roman"/>
          <w:sz w:val="24"/>
          <w:szCs w:val="24"/>
        </w:rPr>
        <w:t xml:space="preserve"> pritet të arkëtojë rreth 4.8% më shumë të hyra në periudhën e parashikuar afat-mesme.</w:t>
      </w:r>
    </w:p>
    <w:p w14:paraId="78AA5331" w14:textId="77777777" w:rsidR="00085F16" w:rsidRPr="00620506" w:rsidRDefault="00085F16" w:rsidP="00085F16">
      <w:pPr>
        <w:spacing w:after="120" w:line="276" w:lineRule="auto"/>
        <w:jc w:val="both"/>
        <w:rPr>
          <w:rFonts w:ascii="Times New Roman" w:hAnsi="Times New Roman" w:cs="Times New Roman"/>
          <w:sz w:val="24"/>
          <w:szCs w:val="24"/>
        </w:rPr>
      </w:pPr>
      <w:r w:rsidRPr="00620506">
        <w:rPr>
          <w:rFonts w:ascii="Times New Roman" w:hAnsi="Times New Roman" w:cs="Times New Roman"/>
          <w:i/>
          <w:sz w:val="24"/>
          <w:szCs w:val="24"/>
          <w:u w:val="single"/>
        </w:rPr>
        <w:t>TVSH-në kufi</w:t>
      </w:r>
      <w:r w:rsidRPr="00620506">
        <w:rPr>
          <w:rFonts w:ascii="Times New Roman" w:hAnsi="Times New Roman" w:cs="Times New Roman"/>
          <w:i/>
          <w:sz w:val="24"/>
          <w:szCs w:val="24"/>
        </w:rPr>
        <w:t>:</w:t>
      </w:r>
      <w:r w:rsidRPr="00620506">
        <w:rPr>
          <w:rFonts w:ascii="Times New Roman" w:hAnsi="Times New Roman" w:cs="Times New Roman"/>
          <w:sz w:val="24"/>
          <w:szCs w:val="24"/>
        </w:rPr>
        <w:t xml:space="preserve"> në vitin 2020, arkëtimi në kufi i TVSH-së vazhdon të jetë kontribuesi kryesor i të hyrave doganore duke përbërë mbi 52.8% të tyre apo 678 milionë EUR, duke shënuar një rritje prej 4.7% në raport me buxhetin e planifikuar për vitin 2019. Kjo ngritje e planifikuar për të hyrat nga TVSH-ja është kryesisht si rezultat i pritjes për rritje të importit si dhe ndikimit të MSA-së në këto të hyra por edhe si rezultat i monitorimit më të mirë doganor. Në periudhën afat-mesme pritet të ketë rritje në mesatare prej 5.7%.</w:t>
      </w:r>
    </w:p>
    <w:p w14:paraId="39467A0F" w14:textId="77777777" w:rsidR="00085F16" w:rsidRPr="00620506" w:rsidRDefault="00085F16" w:rsidP="00085F16">
      <w:pPr>
        <w:spacing w:after="120" w:line="276" w:lineRule="auto"/>
        <w:jc w:val="both"/>
        <w:rPr>
          <w:rFonts w:ascii="Times New Roman" w:hAnsi="Times New Roman" w:cs="Times New Roman"/>
          <w:sz w:val="24"/>
          <w:szCs w:val="24"/>
        </w:rPr>
      </w:pPr>
      <w:r w:rsidRPr="00620506">
        <w:rPr>
          <w:rFonts w:ascii="Times New Roman" w:hAnsi="Times New Roman" w:cs="Times New Roman"/>
          <w:i/>
          <w:sz w:val="24"/>
          <w:szCs w:val="24"/>
          <w:u w:val="single"/>
        </w:rPr>
        <w:t>Të hyrat nga Akcizat</w:t>
      </w:r>
      <w:r w:rsidRPr="00620506">
        <w:rPr>
          <w:rFonts w:ascii="Times New Roman" w:hAnsi="Times New Roman" w:cs="Times New Roman"/>
          <w:i/>
          <w:sz w:val="24"/>
          <w:szCs w:val="24"/>
        </w:rPr>
        <w:t>:</w:t>
      </w:r>
      <w:r w:rsidRPr="00620506">
        <w:rPr>
          <w:rFonts w:ascii="Times New Roman" w:hAnsi="Times New Roman" w:cs="Times New Roman"/>
          <w:sz w:val="24"/>
          <w:szCs w:val="24"/>
        </w:rPr>
        <w:t xml:space="preserve"> - në raport me buxhetin e vitit 2019, planifikohet të rriten për 0.6% duke arritur në 468 milionë EUR në 2020. Kjo rritje relativisht e ulët vjen si rezultat i një nën performance në 2019  e te hyrave nga akciza për shkak të ligjit të aprovuar në Mars 2019, i cili ndaloj aktivitetin e lojërave të fatit. Të hyrat nga akciza mesatarisht pritet të rriten për 2.5% përgjatë periudhës afatmesme. Ky planifikim merr për bazë rritjen në normën e akcizës për produktet e duhanit sipas kalendarit të akcizës. Gjithashtu, politikat evropiane për ndalimin e qarkullimit të veturave me naftë do të ndikojnë në rënien e çmimit të tyre dhe rrjedhimisht rritjen e importit të këtyre makinave.  Për më tepër, rritja e sasisë së importuar të naftës ka vazhduar përgjatë tërë vitit 2019 duke ndikuar në rritjen e të hyrave nga akciza, përkundër rritjes së çmimeve në tregjet ndërkombëtare.</w:t>
      </w:r>
    </w:p>
    <w:p w14:paraId="5FC563A5" w14:textId="77777777" w:rsidR="00085F16" w:rsidRPr="00620506" w:rsidRDefault="00085F16" w:rsidP="00085F16">
      <w:pPr>
        <w:spacing w:after="120" w:line="276" w:lineRule="auto"/>
        <w:jc w:val="both"/>
        <w:rPr>
          <w:rFonts w:ascii="Times New Roman" w:hAnsi="Times New Roman" w:cs="Times New Roman"/>
          <w:sz w:val="24"/>
          <w:szCs w:val="24"/>
        </w:rPr>
      </w:pPr>
      <w:r w:rsidRPr="00620506">
        <w:rPr>
          <w:rFonts w:ascii="Times New Roman" w:hAnsi="Times New Roman" w:cs="Times New Roman"/>
          <w:i/>
          <w:sz w:val="24"/>
          <w:szCs w:val="24"/>
          <w:u w:val="single"/>
        </w:rPr>
        <w:t>Detyrimet Doganore</w:t>
      </w:r>
      <w:r w:rsidRPr="00620506">
        <w:rPr>
          <w:rFonts w:ascii="Times New Roman" w:hAnsi="Times New Roman" w:cs="Times New Roman"/>
          <w:sz w:val="24"/>
          <w:szCs w:val="24"/>
        </w:rPr>
        <w:t>: gjithashtu pritet të shënojnë rritje duke arritur në 8.2% mesatarisht në periudhën afatmesme. Ndërsa, në buxhetin e vitit 2020, priten të arrijnë në 135 milionë EUR apo 12.4% rritje në krahasim me vitin 2019. Këto të hyra pritet të vijnë si rezultat i rritjes së bazës tatimore edhe merret parasysh efekti negative i MSA-së në periudhën afatmesme.</w:t>
      </w:r>
    </w:p>
    <w:p w14:paraId="328C94BF" w14:textId="77777777" w:rsidR="00085F16" w:rsidRPr="00620506" w:rsidRDefault="00085F16" w:rsidP="00085F16">
      <w:pPr>
        <w:spacing w:line="276" w:lineRule="auto"/>
        <w:jc w:val="both"/>
        <w:rPr>
          <w:rFonts w:ascii="Times New Roman" w:hAnsi="Times New Roman" w:cs="Times New Roman"/>
          <w:noProof/>
          <w:sz w:val="24"/>
          <w:szCs w:val="24"/>
        </w:rPr>
      </w:pPr>
      <w:r w:rsidRPr="00620506">
        <w:rPr>
          <w:rFonts w:ascii="Times New Roman" w:hAnsi="Times New Roman" w:cs="Times New Roman"/>
          <w:sz w:val="24"/>
          <w:szCs w:val="24"/>
        </w:rPr>
        <w:t xml:space="preserve">Sa i përket të </w:t>
      </w:r>
      <w:r w:rsidRPr="00620506">
        <w:rPr>
          <w:rFonts w:ascii="Times New Roman" w:hAnsi="Times New Roman" w:cs="Times New Roman"/>
          <w:b/>
          <w:sz w:val="24"/>
          <w:szCs w:val="24"/>
        </w:rPr>
        <w:t>hyrave jo-tatimore</w:t>
      </w:r>
      <w:r w:rsidRPr="00620506">
        <w:rPr>
          <w:rFonts w:ascii="Times New Roman" w:hAnsi="Times New Roman" w:cs="Times New Roman"/>
          <w:sz w:val="24"/>
          <w:szCs w:val="24"/>
        </w:rPr>
        <w:t>, për vitin 2020 parashihet një rritje prej 8.8% e cila është në linjë me ecurinë e deritanishme e këtyre të hyrave vit për vit. Megjithatë, gjatë vitit 2020, të hyrat e nivelit lokal parashihet të kenë një rënie prej 12.3% krahasuar me buxhetin 2019. Kjo rënie vjen nga riklasifikimi i disa taksave lokale, të cilat tani janë të reflektuara në të hyrat nga niveli qendror. Në të njëjtën kohë, të hyrat nga niveli qendror pritet të rriten me 22.5% kryesisht si rrjedhojë e një planifikimi për të hyra shtesë nga ARKEP</w:t>
      </w:r>
      <w:r w:rsidRPr="00620506">
        <w:rPr>
          <w:rStyle w:val="FootnoteReference"/>
          <w:rFonts w:ascii="Times New Roman" w:hAnsi="Times New Roman" w:cs="Times New Roman"/>
          <w:sz w:val="24"/>
          <w:szCs w:val="24"/>
        </w:rPr>
        <w:footnoteReference w:id="15"/>
      </w:r>
      <w:r w:rsidRPr="00620506">
        <w:rPr>
          <w:rFonts w:ascii="Times New Roman" w:hAnsi="Times New Roman" w:cs="Times New Roman"/>
          <w:sz w:val="24"/>
          <w:szCs w:val="24"/>
        </w:rPr>
        <w:t xml:space="preserve"> për 10 milionë dhe të hyra të bartura nga niveli lokal. E njëjta ecuri pritet të vazhdojë edhe në vitet 2021-2022. Arkëtimi nga taksa koncesionare vazhdon të mbajë trend të ngjashëm edhe gjatë vitit 2020, duke shënuar një rritje prej 2 milionë euro nga buxheti 2019. Ndërsa renta minerare bazuar në ecurinë e këtyre të hyrave dhe planifikimin nga Komisioni i Pavarur për Miniera dhe Minerale pritet të mos ketë ndryshim nga planifikimi në buxhetin 2019 dhe të arrijë vlerën prej 33 milionë euro në 2020.</w:t>
      </w:r>
      <w:r w:rsidRPr="00620506">
        <w:rPr>
          <w:rFonts w:ascii="Times New Roman" w:hAnsi="Times New Roman" w:cs="Times New Roman"/>
          <w:noProof/>
          <w:sz w:val="24"/>
          <w:szCs w:val="24"/>
        </w:rPr>
        <w:t xml:space="preserve"> </w:t>
      </w:r>
    </w:p>
    <w:p w14:paraId="56333B20" w14:textId="77777777" w:rsidR="00085F16" w:rsidRPr="00FC648F" w:rsidRDefault="00085F16" w:rsidP="00085F16">
      <w:pPr>
        <w:spacing w:line="276" w:lineRule="auto"/>
        <w:jc w:val="both"/>
        <w:rPr>
          <w:rFonts w:ascii="Times New Roman" w:hAnsi="Times New Roman" w:cs="Times New Roman"/>
          <w:sz w:val="24"/>
          <w:szCs w:val="24"/>
        </w:rPr>
      </w:pPr>
      <w:r w:rsidRPr="00620506">
        <w:rPr>
          <w:rFonts w:ascii="Times New Roman" w:hAnsi="Times New Roman" w:cs="Times New Roman"/>
          <w:color w:val="222222"/>
          <w:sz w:val="24"/>
          <w:szCs w:val="24"/>
        </w:rPr>
        <w:t>Gjatë periudhës afatmesme, të ardhurat jo-tatimore parashikohet të rriten mesatarisht me 4.1% përgjatë periudhës 2020-2022, megjithatë, ato parashikohet të kenë një rënie si përqindje e BPV-së nga 3.0% në vitin 2020 në 2.8% në fund të periudhës afatmesme</w:t>
      </w:r>
      <w:r w:rsidRPr="00FC648F">
        <w:rPr>
          <w:rFonts w:ascii="Times New Roman" w:hAnsi="Times New Roman" w:cs="Times New Roman"/>
          <w:sz w:val="24"/>
          <w:szCs w:val="24"/>
        </w:rPr>
        <w:t>. Parashikimi pasqyron qëndrimin e politikave të Qeverisë për të shmangur mbështetjen në të hyrat jo-tatimore dhe për të krijuar stimuj për riorganizimin e tarifave administrative në përputhje me parimin e bazimit në kosto të shërbimit dhe në pajtim me reformat e legjislacionit për lejet dhe licencat.</w:t>
      </w:r>
    </w:p>
    <w:p w14:paraId="06702F5E" w14:textId="77777777" w:rsidR="00085F16" w:rsidRPr="00FC648F" w:rsidRDefault="00085F16" w:rsidP="00085F16">
      <w:pPr>
        <w:pStyle w:val="Caption"/>
        <w:keepNext/>
        <w:spacing w:before="240" w:after="0"/>
        <w:rPr>
          <w:rFonts w:ascii="Times New Roman" w:hAnsi="Times New Roman"/>
          <w:b/>
          <w:i w:val="0"/>
          <w:color w:val="auto"/>
          <w:lang w:val="fr-BE"/>
        </w:rPr>
      </w:pPr>
      <w:bookmarkStart w:id="147" w:name="_Toc25673465"/>
      <w:bookmarkEnd w:id="146"/>
      <w:r w:rsidRPr="00FC648F">
        <w:rPr>
          <w:rFonts w:ascii="Times New Roman" w:hAnsi="Times New Roman"/>
          <w:b/>
          <w:i w:val="0"/>
          <w:color w:val="auto"/>
          <w:lang w:val="fr-BE"/>
        </w:rPr>
        <w:t xml:space="preserve">Grafiku </w:t>
      </w:r>
      <w:r w:rsidRPr="00847CB1">
        <w:rPr>
          <w:rFonts w:ascii="Times New Roman" w:hAnsi="Times New Roman"/>
          <w:b/>
          <w:i w:val="0"/>
          <w:color w:val="auto"/>
        </w:rPr>
        <w:fldChar w:fldCharType="begin"/>
      </w:r>
      <w:r w:rsidRPr="00FC648F">
        <w:rPr>
          <w:rFonts w:ascii="Times New Roman" w:hAnsi="Times New Roman"/>
          <w:b/>
          <w:i w:val="0"/>
          <w:color w:val="auto"/>
          <w:lang w:val="fr-BE"/>
        </w:rPr>
        <w:instrText xml:space="preserve"> SEQ Grafiku \* ARABIC </w:instrText>
      </w:r>
      <w:r w:rsidRPr="00847CB1">
        <w:rPr>
          <w:rFonts w:ascii="Times New Roman" w:hAnsi="Times New Roman"/>
          <w:b/>
          <w:i w:val="0"/>
          <w:color w:val="auto"/>
        </w:rPr>
        <w:fldChar w:fldCharType="separate"/>
      </w:r>
      <w:r w:rsidRPr="00FC648F">
        <w:rPr>
          <w:rFonts w:ascii="Times New Roman" w:hAnsi="Times New Roman"/>
          <w:b/>
          <w:i w:val="0"/>
          <w:noProof/>
          <w:color w:val="auto"/>
          <w:lang w:val="fr-BE"/>
        </w:rPr>
        <w:t>13</w:t>
      </w:r>
      <w:r w:rsidRPr="00847CB1">
        <w:rPr>
          <w:rFonts w:ascii="Times New Roman" w:hAnsi="Times New Roman"/>
          <w:b/>
          <w:i w:val="0"/>
          <w:color w:val="auto"/>
        </w:rPr>
        <w:fldChar w:fldCharType="end"/>
      </w:r>
      <w:r w:rsidRPr="00FC648F">
        <w:rPr>
          <w:rFonts w:ascii="Times New Roman" w:hAnsi="Times New Roman"/>
          <w:b/>
          <w:i w:val="0"/>
          <w:color w:val="auto"/>
          <w:lang w:val="fr-BE"/>
        </w:rPr>
        <w:t xml:space="preserve"> Struktura e të hyrave 2017-2022</w:t>
      </w:r>
      <w:bookmarkEnd w:id="147"/>
    </w:p>
    <w:p w14:paraId="18D5DC7A" w14:textId="77777777" w:rsidR="00085F16" w:rsidRPr="00983BB4" w:rsidRDefault="00085F16" w:rsidP="00085F16">
      <w:pPr>
        <w:spacing w:after="200"/>
        <w:rPr>
          <w:rFonts w:eastAsia="Cambria"/>
          <w:b/>
          <w:iCs/>
          <w:sz w:val="20"/>
          <w:szCs w:val="20"/>
        </w:rPr>
      </w:pPr>
      <w:r>
        <w:rPr>
          <w:noProof/>
          <w:lang w:val="en-US"/>
        </w:rPr>
        <w:drawing>
          <wp:inline distT="0" distB="0" distL="0" distR="0" wp14:anchorId="5A276926" wp14:editId="34F9C83F">
            <wp:extent cx="5742000" cy="2430000"/>
            <wp:effectExtent l="0" t="0" r="11430" b="889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2B4F5E">
        <w:rPr>
          <w:i/>
          <w:sz w:val="16"/>
          <w:szCs w:val="16"/>
        </w:rPr>
        <w:t>Burimi: Thesari dhe vlerësimet e Njësisë së Makroekonomisë, MF</w:t>
      </w:r>
    </w:p>
    <w:p w14:paraId="5F77F80E" w14:textId="77777777" w:rsidR="00085F16" w:rsidRPr="00591E18" w:rsidRDefault="00085F16" w:rsidP="00802FB3">
      <w:pPr>
        <w:keepNext/>
        <w:numPr>
          <w:ilvl w:val="2"/>
          <w:numId w:val="87"/>
        </w:numPr>
        <w:spacing w:before="100" w:after="100" w:line="240" w:lineRule="auto"/>
        <w:ind w:left="709"/>
        <w:jc w:val="both"/>
        <w:outlineLvl w:val="0"/>
        <w:rPr>
          <w:b/>
          <w:iCs/>
          <w:kern w:val="28"/>
        </w:rPr>
      </w:pPr>
      <w:bookmarkStart w:id="148" w:name="_Toc504508309"/>
      <w:bookmarkStart w:id="149" w:name="_Toc531360997"/>
      <w:bookmarkStart w:id="150" w:name="_Toc536429085"/>
      <w:bookmarkStart w:id="151" w:name="_Toc25873734"/>
      <w:r w:rsidRPr="00591E18">
        <w:rPr>
          <w:b/>
          <w:iCs/>
          <w:kern w:val="28"/>
        </w:rPr>
        <w:t>Parashikimet e shpenzimeve buxhetore</w:t>
      </w:r>
      <w:bookmarkEnd w:id="148"/>
      <w:bookmarkEnd w:id="149"/>
      <w:bookmarkEnd w:id="150"/>
      <w:bookmarkEnd w:id="151"/>
    </w:p>
    <w:p w14:paraId="187412B8" w14:textId="77777777" w:rsidR="00085F16" w:rsidRPr="00620506" w:rsidRDefault="00085F16" w:rsidP="00085F16">
      <w:pPr>
        <w:spacing w:before="240" w:after="120" w:line="276" w:lineRule="auto"/>
        <w:jc w:val="both"/>
        <w:rPr>
          <w:rFonts w:ascii="Times New Roman" w:hAnsi="Times New Roman" w:cs="Times New Roman"/>
          <w:sz w:val="24"/>
          <w:szCs w:val="24"/>
        </w:rPr>
      </w:pPr>
      <w:r w:rsidRPr="00620506">
        <w:rPr>
          <w:rFonts w:ascii="Times New Roman" w:hAnsi="Times New Roman" w:cs="Times New Roman"/>
          <w:sz w:val="24"/>
          <w:szCs w:val="24"/>
        </w:rPr>
        <w:t>Shpenzimet e përgjithshme buxhetore në vitin 2020 parashihet të rriten me 3.7% krahasuar me buxhetin për vitin 2019. Rritja e shpenzimeve parashihet të ngadalësohet në 3.1% dhe 2.8% gjatë viteve 2021 dhe 2022. Kjo rritje e shpenzimeve në vitin 2020 i atribuohet rritjes së projekteve kapitale të financuara përmes huamarrjes nga Institucionet Financiare Ndërkombëtare dhe përmes të ardhurave nga likuidimi i aseteve të NSH-ve.</w:t>
      </w:r>
    </w:p>
    <w:p w14:paraId="37FEEA52" w14:textId="77777777" w:rsidR="00085F16" w:rsidRPr="00620506" w:rsidRDefault="00085F16" w:rsidP="00085F16">
      <w:pPr>
        <w:spacing w:after="120" w:line="276" w:lineRule="auto"/>
        <w:jc w:val="both"/>
        <w:rPr>
          <w:rFonts w:ascii="Times New Roman" w:hAnsi="Times New Roman" w:cs="Times New Roman"/>
          <w:sz w:val="24"/>
          <w:szCs w:val="24"/>
        </w:rPr>
      </w:pPr>
      <w:r w:rsidRPr="00620506">
        <w:rPr>
          <w:rFonts w:ascii="Times New Roman" w:hAnsi="Times New Roman" w:cs="Times New Roman"/>
          <w:sz w:val="24"/>
          <w:szCs w:val="24"/>
        </w:rPr>
        <w:t>Shpenzimet rrjedhëse për vitin 2020 parashihet të rriten me 5.2% krahasuar me buxhetin e vitit 2019. Për vitet 2021 dhe 2022, kjo rritje parashihet të ngadalësohet në 2.4% dhe 2.7% respektivisht. Një nga nxitësit kryesor të rritjes së shpenzimeve rrjedhëse në vitin 2020 është kategoria e mallrave dhe shërbimeve, kjo si rrjedhojë e riklasifikimit prej shpenzimeve kapitale në këtë kategori të a) mirëmbajtjes së pajisjeve medicinale; b) mirëmbajtjes së komplekseve memoriale; c) pajisjeve për policinë e Kosovës, etj. Gjithashtu, një rritje në kategorinë e subvencioneve dhe transfereve parashihet në vitin 2020 si rezultat i skemave sociale dhe rritjes natyrore të numrit të përfituesve së pensioneve bazike dhe kontributdhënëse.</w:t>
      </w:r>
    </w:p>
    <w:p w14:paraId="49701E96" w14:textId="77777777" w:rsidR="00085F16" w:rsidRPr="00620506" w:rsidRDefault="00085F16" w:rsidP="00085F16">
      <w:pPr>
        <w:spacing w:after="120" w:line="276" w:lineRule="auto"/>
        <w:jc w:val="both"/>
        <w:rPr>
          <w:rFonts w:ascii="Times New Roman" w:hAnsi="Times New Roman" w:cs="Times New Roman"/>
          <w:sz w:val="24"/>
          <w:szCs w:val="24"/>
        </w:rPr>
      </w:pPr>
      <w:r w:rsidRPr="00620506">
        <w:rPr>
          <w:rFonts w:ascii="Times New Roman" w:hAnsi="Times New Roman" w:cs="Times New Roman"/>
          <w:sz w:val="24"/>
          <w:szCs w:val="24"/>
        </w:rPr>
        <w:t>Shpenzimet kapitale janë projektuar të rriten me 0.6% në vitin 2020 krahasuar me buxhetin e vitit 2019. Kjo rritje parashihet të jetë 4.0 % dhe 2.6% në 2021 dhe 2022. Kjo rritje përfshin shpenzimet kapitale me karakter strategjik, të financuara nga Institucionet Financiare Ndërkombëtare dhe nga likuidimi i aseteve të NSH-ve. Këto shpenzime janë të përjashtuara nga llogaritja e limitit ligjor të deficitit fiskal sipas rregullës fiskale dhe janë të parapara për projekte strategjike zhvillimore.  Një pjesë e rëndësishme e investimeve kapitale do të jetë fillimi i projektit rrugor Kijevë- Zahaq, vazhdimi i projektit M2 për Mitrovicë, dhe investimet tjera për të përmirësuar infrastrukturën fizike, infrastrukturën arsimore, dhe digjitalizimin.</w:t>
      </w:r>
    </w:p>
    <w:p w14:paraId="6D522F50" w14:textId="77777777" w:rsidR="00085F16" w:rsidRPr="00620506" w:rsidRDefault="00085F16" w:rsidP="00085F16">
      <w:pPr>
        <w:pStyle w:val="HTMLPreformatted"/>
        <w:shd w:val="clear" w:color="auto" w:fill="F8F9FA"/>
        <w:spacing w:line="276" w:lineRule="auto"/>
        <w:jc w:val="both"/>
        <w:rPr>
          <w:rFonts w:ascii="Times New Roman" w:hAnsi="Times New Roman" w:cs="Times New Roman"/>
          <w:color w:val="222222"/>
          <w:sz w:val="24"/>
          <w:szCs w:val="24"/>
          <w:lang w:val="sq-AL"/>
        </w:rPr>
      </w:pPr>
      <w:r w:rsidRPr="00FC648F">
        <w:rPr>
          <w:rFonts w:ascii="Times New Roman" w:hAnsi="Times New Roman" w:cs="Times New Roman"/>
          <w:sz w:val="24"/>
          <w:szCs w:val="24"/>
          <w:lang w:val="sq-AL"/>
        </w:rPr>
        <w:t xml:space="preserve">Në vitin 2020, </w:t>
      </w:r>
      <w:r w:rsidRPr="00FC648F">
        <w:rPr>
          <w:rFonts w:ascii="Times New Roman" w:hAnsi="Times New Roman" w:cs="Times New Roman"/>
          <w:b/>
          <w:sz w:val="24"/>
          <w:szCs w:val="24"/>
          <w:lang w:val="sq-AL"/>
        </w:rPr>
        <w:t xml:space="preserve">buxheti komunal </w:t>
      </w:r>
      <w:r w:rsidRPr="00FC648F">
        <w:rPr>
          <w:rFonts w:ascii="Times New Roman" w:hAnsi="Times New Roman" w:cs="Times New Roman"/>
          <w:sz w:val="24"/>
          <w:szCs w:val="24"/>
          <w:lang w:val="sq-AL"/>
        </w:rPr>
        <w:t xml:space="preserve">është rritur për 25.7 milionë euro krahasuar me buxhetin 2019. </w:t>
      </w:r>
      <w:r w:rsidRPr="00620506">
        <w:rPr>
          <w:rFonts w:ascii="Times New Roman" w:hAnsi="Times New Roman" w:cs="Times New Roman"/>
          <w:color w:val="222222"/>
          <w:sz w:val="24"/>
          <w:szCs w:val="24"/>
          <w:lang w:val="sq-AL"/>
        </w:rPr>
        <w:t>Në total, buxheti i planifikuar për nivelin lokal arrin 579.7 milionë euro, duke siguruar një mbështetje të rëndësishme për ofrimin e shërbimeve më cilësore komunale. Gjatë periudhës afatmesme këto të hyra parashikohen të arrijnë në 587.2 dhe 607.8 milionë në 2021 dhe 2022 respektivisht, të cilat shuma përfaqësojnë rritje në mesatare me rreth 3.1%.</w:t>
      </w:r>
    </w:p>
    <w:p w14:paraId="04EE1391" w14:textId="77777777" w:rsidR="00085F16" w:rsidRPr="00620506" w:rsidRDefault="00085F16" w:rsidP="00085F16">
      <w:pPr>
        <w:pStyle w:val="HTMLPreformatted"/>
        <w:shd w:val="clear" w:color="auto" w:fill="F8F9FA"/>
        <w:spacing w:line="276" w:lineRule="auto"/>
        <w:jc w:val="both"/>
        <w:rPr>
          <w:rFonts w:ascii="Times New Roman" w:hAnsi="Times New Roman" w:cs="Times New Roman"/>
          <w:color w:val="222222"/>
          <w:sz w:val="24"/>
          <w:szCs w:val="24"/>
          <w:lang w:val="sq-AL"/>
        </w:rPr>
      </w:pPr>
    </w:p>
    <w:p w14:paraId="3C714CC3" w14:textId="77777777" w:rsidR="00085F16" w:rsidRPr="00620506" w:rsidRDefault="00085F16" w:rsidP="00085F16">
      <w:pPr>
        <w:spacing w:after="120" w:line="276" w:lineRule="auto"/>
        <w:jc w:val="both"/>
        <w:rPr>
          <w:rFonts w:ascii="Times New Roman" w:hAnsi="Times New Roman" w:cs="Times New Roman"/>
          <w:sz w:val="24"/>
          <w:szCs w:val="24"/>
        </w:rPr>
      </w:pPr>
      <w:r w:rsidRPr="00620506">
        <w:rPr>
          <w:rFonts w:ascii="Times New Roman" w:hAnsi="Times New Roman" w:cs="Times New Roman"/>
          <w:sz w:val="24"/>
          <w:szCs w:val="24"/>
        </w:rPr>
        <w:t>Për më shumë, zhvillimi ekonomik lokal do vazhdojë të përkrahet edhe me operacione financiare jashtë-buxhetore, gjegjësisht përmes ofrimit të garancive shtetërore për përmirësimin e infrastrukturës ekonomike dhe përmes ndihmës në strukturimin e partneriteteve publiko-private.</w:t>
      </w:r>
    </w:p>
    <w:p w14:paraId="619A9953" w14:textId="77777777" w:rsidR="00085F16" w:rsidRPr="00FC648F" w:rsidRDefault="00085F16" w:rsidP="00085F16">
      <w:pPr>
        <w:pStyle w:val="HTMLPreformatted"/>
        <w:shd w:val="clear" w:color="auto" w:fill="F8F9FA"/>
        <w:spacing w:line="276" w:lineRule="auto"/>
        <w:jc w:val="both"/>
        <w:rPr>
          <w:rFonts w:ascii="Times New Roman" w:hAnsi="Times New Roman" w:cs="Times New Roman"/>
          <w:sz w:val="24"/>
          <w:szCs w:val="24"/>
          <w:lang w:val="sq-AL"/>
        </w:rPr>
      </w:pPr>
      <w:r w:rsidRPr="00FC648F">
        <w:rPr>
          <w:rFonts w:ascii="Times New Roman" w:hAnsi="Times New Roman" w:cs="Times New Roman"/>
          <w:sz w:val="24"/>
          <w:szCs w:val="24"/>
          <w:lang w:val="sq-AL"/>
        </w:rPr>
        <w:t xml:space="preserve">Kjo rritje prej 4.6% në financimin e buxhetit komunal pasqyron rritjen e grantit të përgjithshëm (për 15.6 milionë, në 196.3 milionë) krahasuar me vitin 2019, si rezultat i rritjes së të hyrave të përgjithshme. Përgjatë periudhës afatmesme pritet të rriten këto të hyra mesatarisht për 6.7%. </w:t>
      </w:r>
      <w:r w:rsidRPr="00FC648F">
        <w:rPr>
          <w:rFonts w:ascii="Times New Roman" w:hAnsi="Times New Roman" w:cs="Times New Roman"/>
          <w:sz w:val="24"/>
          <w:szCs w:val="24"/>
          <w:u w:val="single"/>
          <w:lang w:val="sq-AL"/>
        </w:rPr>
        <w:t>Granti specifik për arsimin</w:t>
      </w:r>
      <w:r w:rsidRPr="00FC648F">
        <w:rPr>
          <w:rFonts w:ascii="Times New Roman" w:hAnsi="Times New Roman" w:cs="Times New Roman"/>
          <w:sz w:val="24"/>
          <w:szCs w:val="24"/>
          <w:lang w:val="sq-AL"/>
        </w:rPr>
        <w:t xml:space="preserve"> është aprovuar të jetë 205.6 milionë për vitin 2020 apo 20.6 milionë më shumë se viti 2019. Në periudhën afatmesme parashihet të kenë rritje prej 1 milion euro në vit. Rritja në grantin e arsimit vjen kryesisht si rrjedhojë e politikave të reja që parashohin punësimin e asistentëve të rinjë për fëmijët me nevoja të veçanta prej rreth 0.78 milionë euro si dhe nga praktika profesionale e cila ka një kosto prej rreth 1.4 milionë euro. </w:t>
      </w:r>
      <w:r w:rsidRPr="00FC648F">
        <w:rPr>
          <w:rFonts w:ascii="Times New Roman" w:hAnsi="Times New Roman" w:cs="Times New Roman"/>
          <w:sz w:val="24"/>
          <w:szCs w:val="24"/>
          <w:u w:val="single"/>
          <w:lang w:val="sq-AL"/>
        </w:rPr>
        <w:t>Granti specifik për shëndetësinë primare</w:t>
      </w:r>
      <w:r w:rsidRPr="00FC648F">
        <w:rPr>
          <w:rFonts w:ascii="Times New Roman" w:hAnsi="Times New Roman" w:cs="Times New Roman"/>
          <w:sz w:val="24"/>
          <w:szCs w:val="24"/>
          <w:lang w:val="sq-AL"/>
        </w:rPr>
        <w:t xml:space="preserve"> në 2020 është 8.3 milionë më i larte si vlerë, krahasuar me vitin e kaluar, duke arritur kështu </w:t>
      </w:r>
      <w:r w:rsidRPr="00620506">
        <w:rPr>
          <w:rFonts w:ascii="Times New Roman" w:hAnsi="Times New Roman" w:cs="Times New Roman"/>
          <w:sz w:val="24"/>
          <w:szCs w:val="24"/>
          <w:lang w:val="sq-AL"/>
        </w:rPr>
        <w:t>shumën</w:t>
      </w:r>
      <w:r w:rsidRPr="00FC648F">
        <w:rPr>
          <w:rFonts w:ascii="Times New Roman" w:hAnsi="Times New Roman" w:cs="Times New Roman"/>
          <w:sz w:val="24"/>
          <w:szCs w:val="24"/>
          <w:lang w:val="sq-AL"/>
        </w:rPr>
        <w:t xml:space="preserve"> prej 61.7 milionë. Në periudhën afatmesme parashihet të kenë rritje prej 2.5 milionë euro për vit. Ndërsa </w:t>
      </w:r>
      <w:r w:rsidRPr="00FC648F">
        <w:rPr>
          <w:rFonts w:ascii="Times New Roman" w:hAnsi="Times New Roman" w:cs="Times New Roman"/>
          <w:sz w:val="24"/>
          <w:szCs w:val="24"/>
          <w:u w:val="single"/>
          <w:lang w:val="sq-AL"/>
        </w:rPr>
        <w:t>fondi për shëndetësinë sekondare</w:t>
      </w:r>
      <w:r w:rsidRPr="00FC648F">
        <w:rPr>
          <w:rFonts w:ascii="Times New Roman" w:hAnsi="Times New Roman" w:cs="Times New Roman"/>
          <w:sz w:val="24"/>
          <w:szCs w:val="24"/>
          <w:lang w:val="sq-AL"/>
        </w:rPr>
        <w:t xml:space="preserve"> në 2019 është i ngjashëm me atë të viteve paraprake (2.6 milionë për çdo vit përgjatë periudhës raportuese), Ndërsa </w:t>
      </w:r>
      <w:r w:rsidRPr="00FC648F">
        <w:rPr>
          <w:rFonts w:ascii="Times New Roman" w:hAnsi="Times New Roman" w:cs="Times New Roman"/>
          <w:sz w:val="24"/>
          <w:szCs w:val="24"/>
          <w:u w:val="single"/>
          <w:lang w:val="sq-AL"/>
        </w:rPr>
        <w:t xml:space="preserve">fondi për shërbimet publike </w:t>
      </w:r>
      <w:r w:rsidRPr="00FC648F">
        <w:rPr>
          <w:rFonts w:ascii="Times New Roman" w:hAnsi="Times New Roman" w:cs="Times New Roman"/>
          <w:sz w:val="24"/>
          <w:szCs w:val="24"/>
          <w:lang w:val="sq-AL"/>
        </w:rPr>
        <w:t>regjistron një rritje prej 0.44 milion euro, duke arritur kështu vlerën prej 2 milionë euro dhe pritet ta mbajë po të njejtin nivel edhe gjatë periudhës afat-mesme 2020-2022.</w:t>
      </w:r>
    </w:p>
    <w:p w14:paraId="02F8DFBF" w14:textId="77777777" w:rsidR="00085F16" w:rsidRPr="00620506" w:rsidRDefault="00085F16" w:rsidP="00085F16">
      <w:pPr>
        <w:spacing w:before="240" w:after="120" w:line="276" w:lineRule="auto"/>
        <w:jc w:val="both"/>
        <w:rPr>
          <w:rFonts w:ascii="Times New Roman" w:hAnsi="Times New Roman" w:cs="Times New Roman"/>
          <w:sz w:val="24"/>
          <w:szCs w:val="24"/>
        </w:rPr>
      </w:pPr>
      <w:r w:rsidRPr="00620506">
        <w:rPr>
          <w:rFonts w:ascii="Times New Roman" w:hAnsi="Times New Roman" w:cs="Times New Roman"/>
          <w:sz w:val="24"/>
          <w:szCs w:val="24"/>
        </w:rPr>
        <w:t>Shpërndarja e rritjes së shpenzimeve të nivelit lokal në 2020 konsiston në: a) një rritje në kategorinë e pagave dhe mëditjeve me 36.1 milionë dhe b) rritje të shpenzimeve për mallra dhe shërbimeve me 6 milionë. Mirëpo, shpenzimet kapitale kanë një rënie prej rreth 17 milionë euro, e në periudhën afat-mesme, ato pritet të kenë rritje në mesatare prej 3.1%.</w:t>
      </w:r>
    </w:p>
    <w:p w14:paraId="20AC46A7" w14:textId="77777777" w:rsidR="00085F16" w:rsidRPr="00847CB1" w:rsidRDefault="00085F16" w:rsidP="00085F16">
      <w:pPr>
        <w:pStyle w:val="Caption"/>
        <w:keepNext/>
        <w:spacing w:after="0"/>
        <w:rPr>
          <w:rFonts w:ascii="Times New Roman" w:hAnsi="Times New Roman"/>
          <w:b/>
          <w:i w:val="0"/>
          <w:color w:val="auto"/>
        </w:rPr>
      </w:pPr>
      <w:bookmarkStart w:id="152" w:name="_Toc25673446"/>
      <w:r w:rsidRPr="00847CB1">
        <w:rPr>
          <w:rFonts w:ascii="Times New Roman" w:hAnsi="Times New Roman"/>
          <w:b/>
          <w:i w:val="0"/>
          <w:color w:val="auto"/>
        </w:rPr>
        <w:t xml:space="preserve">Tabela </w:t>
      </w:r>
      <w:r w:rsidRPr="00847CB1">
        <w:rPr>
          <w:rFonts w:ascii="Times New Roman" w:hAnsi="Times New Roman"/>
          <w:b/>
          <w:i w:val="0"/>
          <w:color w:val="auto"/>
        </w:rPr>
        <w:fldChar w:fldCharType="begin"/>
      </w:r>
      <w:r w:rsidRPr="00847CB1">
        <w:rPr>
          <w:rFonts w:ascii="Times New Roman" w:hAnsi="Times New Roman"/>
          <w:b/>
          <w:i w:val="0"/>
          <w:color w:val="auto"/>
        </w:rPr>
        <w:instrText xml:space="preserve"> SEQ Tabela \* ARABIC </w:instrText>
      </w:r>
      <w:r w:rsidRPr="00847CB1">
        <w:rPr>
          <w:rFonts w:ascii="Times New Roman" w:hAnsi="Times New Roman"/>
          <w:b/>
          <w:i w:val="0"/>
          <w:color w:val="auto"/>
        </w:rPr>
        <w:fldChar w:fldCharType="separate"/>
      </w:r>
      <w:r>
        <w:rPr>
          <w:rFonts w:ascii="Times New Roman" w:hAnsi="Times New Roman"/>
          <w:b/>
          <w:i w:val="0"/>
          <w:noProof/>
          <w:color w:val="auto"/>
        </w:rPr>
        <w:t>8</w:t>
      </w:r>
      <w:r w:rsidRPr="00847CB1">
        <w:rPr>
          <w:rFonts w:ascii="Times New Roman" w:hAnsi="Times New Roman"/>
          <w:b/>
          <w:i w:val="0"/>
          <w:color w:val="auto"/>
        </w:rPr>
        <w:fldChar w:fldCharType="end"/>
      </w:r>
      <w:r w:rsidRPr="00847CB1">
        <w:rPr>
          <w:rFonts w:ascii="Times New Roman" w:hAnsi="Times New Roman"/>
          <w:b/>
          <w:i w:val="0"/>
          <w:color w:val="auto"/>
        </w:rPr>
        <w:t xml:space="preserve"> Shpenzimet në nivelin lokal</w:t>
      </w:r>
      <w:bookmarkEnd w:id="152"/>
    </w:p>
    <w:tbl>
      <w:tblPr>
        <w:tblW w:w="5000" w:type="pct"/>
        <w:shd w:val="clear" w:color="auto" w:fill="DEEAF6" w:themeFill="accent1" w:themeFillTint="33"/>
        <w:tblLook w:val="04A0" w:firstRow="1" w:lastRow="0" w:firstColumn="1" w:lastColumn="0" w:noHBand="0" w:noVBand="1"/>
      </w:tblPr>
      <w:tblGrid>
        <w:gridCol w:w="2918"/>
        <w:gridCol w:w="1608"/>
        <w:gridCol w:w="1608"/>
        <w:gridCol w:w="1604"/>
        <w:gridCol w:w="1612"/>
      </w:tblGrid>
      <w:tr w:rsidR="00085F16" w:rsidRPr="00EB1D25" w14:paraId="73A9E1C1" w14:textId="77777777" w:rsidTr="00085F16">
        <w:trPr>
          <w:trHeight w:val="188"/>
        </w:trPr>
        <w:tc>
          <w:tcPr>
            <w:tcW w:w="1560"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0C1F4B37" w14:textId="77777777" w:rsidR="00085F16" w:rsidRPr="00EB1D25" w:rsidRDefault="00085F16" w:rsidP="00085F16">
            <w:pPr>
              <w:jc w:val="both"/>
              <w:rPr>
                <w:sz w:val="20"/>
                <w:lang w:eastAsia="ja-JP"/>
              </w:rPr>
            </w:pPr>
            <w:bookmarkStart w:id="153" w:name="OLE_LINK1"/>
            <w:r w:rsidRPr="00EB1D25">
              <w:rPr>
                <w:sz w:val="20"/>
                <w:lang w:eastAsia="ja-JP"/>
              </w:rPr>
              <w:t>(mil Eur)</w:t>
            </w:r>
          </w:p>
        </w:tc>
        <w:tc>
          <w:tcPr>
            <w:tcW w:w="860"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27953F98" w14:textId="77777777" w:rsidR="00085F16" w:rsidRPr="00EB1D25" w:rsidRDefault="00085F16" w:rsidP="00085F16">
            <w:pPr>
              <w:jc w:val="both"/>
              <w:rPr>
                <w:b/>
                <w:bCs/>
                <w:sz w:val="20"/>
                <w:lang w:eastAsia="ja-JP"/>
              </w:rPr>
            </w:pPr>
            <w:r w:rsidRPr="00EB1D25">
              <w:rPr>
                <w:b/>
                <w:bCs/>
                <w:sz w:val="20"/>
                <w:lang w:eastAsia="ja-JP"/>
              </w:rPr>
              <w:t>2019</w:t>
            </w:r>
          </w:p>
        </w:tc>
        <w:tc>
          <w:tcPr>
            <w:tcW w:w="860"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23B5700E" w14:textId="77777777" w:rsidR="00085F16" w:rsidRPr="00EB1D25" w:rsidRDefault="00085F16" w:rsidP="00085F16">
            <w:pPr>
              <w:jc w:val="both"/>
              <w:rPr>
                <w:b/>
                <w:bCs/>
                <w:sz w:val="20"/>
                <w:lang w:eastAsia="ja-JP"/>
              </w:rPr>
            </w:pPr>
            <w:r w:rsidRPr="00EB1D25">
              <w:rPr>
                <w:b/>
                <w:bCs/>
                <w:sz w:val="20"/>
                <w:lang w:eastAsia="ja-JP"/>
              </w:rPr>
              <w:t>2020</w:t>
            </w:r>
          </w:p>
        </w:tc>
        <w:tc>
          <w:tcPr>
            <w:tcW w:w="858"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029887A8" w14:textId="77777777" w:rsidR="00085F16" w:rsidRPr="00EB1D25" w:rsidRDefault="00085F16" w:rsidP="00085F16">
            <w:pPr>
              <w:jc w:val="both"/>
              <w:rPr>
                <w:b/>
                <w:bCs/>
                <w:sz w:val="20"/>
                <w:lang w:eastAsia="ja-JP"/>
              </w:rPr>
            </w:pPr>
            <w:r w:rsidRPr="00EB1D25">
              <w:rPr>
                <w:b/>
                <w:bCs/>
                <w:sz w:val="20"/>
                <w:lang w:eastAsia="ja-JP"/>
              </w:rPr>
              <w:t>2021</w:t>
            </w:r>
          </w:p>
        </w:tc>
        <w:tc>
          <w:tcPr>
            <w:tcW w:w="862"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3098DED8" w14:textId="77777777" w:rsidR="00085F16" w:rsidRPr="00EB1D25" w:rsidRDefault="00085F16" w:rsidP="00085F16">
            <w:pPr>
              <w:jc w:val="both"/>
              <w:rPr>
                <w:b/>
                <w:bCs/>
                <w:sz w:val="20"/>
                <w:lang w:eastAsia="ja-JP"/>
              </w:rPr>
            </w:pPr>
            <w:r w:rsidRPr="00EB1D25">
              <w:rPr>
                <w:b/>
                <w:bCs/>
                <w:sz w:val="20"/>
                <w:lang w:eastAsia="ja-JP"/>
              </w:rPr>
              <w:t>2022</w:t>
            </w:r>
          </w:p>
        </w:tc>
      </w:tr>
      <w:tr w:rsidR="00085F16" w:rsidRPr="00EB1D25" w14:paraId="661288B6" w14:textId="77777777" w:rsidTr="00085F16">
        <w:trPr>
          <w:trHeight w:val="20"/>
        </w:trPr>
        <w:tc>
          <w:tcPr>
            <w:tcW w:w="1560" w:type="pct"/>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57469F6D" w14:textId="77777777" w:rsidR="00085F16" w:rsidRPr="00EB1D25" w:rsidRDefault="00085F16" w:rsidP="00085F16">
            <w:pPr>
              <w:jc w:val="both"/>
              <w:rPr>
                <w:b/>
                <w:bCs/>
                <w:sz w:val="20"/>
                <w:lang w:eastAsia="ja-JP"/>
              </w:rPr>
            </w:pPr>
            <w:r>
              <w:rPr>
                <w:b/>
                <w:bCs/>
                <w:sz w:val="20"/>
                <w:lang w:eastAsia="ja-JP"/>
              </w:rPr>
              <w:t>Paga dhe Mëditje</w:t>
            </w:r>
            <w:r w:rsidRPr="00EB1D25">
              <w:rPr>
                <w:b/>
                <w:bCs/>
                <w:sz w:val="20"/>
                <w:lang w:eastAsia="ja-JP"/>
              </w:rPr>
              <w:t xml:space="preserve">  </w:t>
            </w:r>
          </w:p>
        </w:tc>
        <w:tc>
          <w:tcPr>
            <w:tcW w:w="860" w:type="pct"/>
            <w:tcBorders>
              <w:top w:val="nil"/>
              <w:left w:val="nil"/>
              <w:bottom w:val="single" w:sz="4" w:space="0" w:color="auto"/>
              <w:right w:val="single" w:sz="4" w:space="0" w:color="auto"/>
            </w:tcBorders>
            <w:shd w:val="clear" w:color="auto" w:fill="DEEAF6" w:themeFill="accent1" w:themeFillTint="33"/>
            <w:noWrap/>
            <w:vAlign w:val="bottom"/>
          </w:tcPr>
          <w:p w14:paraId="4B5EEB3E" w14:textId="77777777" w:rsidR="00085F16" w:rsidRPr="00EB1D25" w:rsidRDefault="00085F16" w:rsidP="00085F16">
            <w:pPr>
              <w:jc w:val="both"/>
              <w:rPr>
                <w:sz w:val="20"/>
                <w:lang w:eastAsia="ja-JP"/>
              </w:rPr>
            </w:pPr>
            <w:r w:rsidRPr="00EB1D25">
              <w:rPr>
                <w:sz w:val="20"/>
                <w:lang w:eastAsia="ja-JP"/>
              </w:rPr>
              <w:t>272,1</w:t>
            </w:r>
          </w:p>
        </w:tc>
        <w:tc>
          <w:tcPr>
            <w:tcW w:w="860" w:type="pct"/>
            <w:tcBorders>
              <w:top w:val="nil"/>
              <w:left w:val="nil"/>
              <w:bottom w:val="single" w:sz="8" w:space="0" w:color="auto"/>
              <w:right w:val="single" w:sz="8" w:space="0" w:color="auto"/>
            </w:tcBorders>
            <w:shd w:val="clear" w:color="auto" w:fill="DEEAF6" w:themeFill="accent1" w:themeFillTint="33"/>
            <w:noWrap/>
            <w:vAlign w:val="center"/>
          </w:tcPr>
          <w:p w14:paraId="137390C7" w14:textId="77777777" w:rsidR="00085F16" w:rsidRPr="00EB1D25" w:rsidRDefault="00085F16" w:rsidP="00085F16">
            <w:pPr>
              <w:jc w:val="both"/>
              <w:rPr>
                <w:sz w:val="20"/>
                <w:lang w:eastAsia="ja-JP"/>
              </w:rPr>
            </w:pPr>
            <w:r w:rsidRPr="00EB1D25">
              <w:rPr>
                <w:sz w:val="20"/>
                <w:lang w:eastAsia="ja-JP"/>
              </w:rPr>
              <w:t>308,1</w:t>
            </w:r>
          </w:p>
        </w:tc>
        <w:tc>
          <w:tcPr>
            <w:tcW w:w="858" w:type="pct"/>
            <w:tcBorders>
              <w:top w:val="nil"/>
              <w:left w:val="nil"/>
              <w:bottom w:val="single" w:sz="4" w:space="0" w:color="auto"/>
              <w:right w:val="single" w:sz="4" w:space="0" w:color="auto"/>
            </w:tcBorders>
            <w:shd w:val="clear" w:color="auto" w:fill="DEEAF6" w:themeFill="accent1" w:themeFillTint="33"/>
            <w:noWrap/>
            <w:vAlign w:val="bottom"/>
          </w:tcPr>
          <w:p w14:paraId="5385E14F" w14:textId="77777777" w:rsidR="00085F16" w:rsidRPr="00EB1D25" w:rsidRDefault="00085F16" w:rsidP="00085F16">
            <w:pPr>
              <w:jc w:val="both"/>
              <w:rPr>
                <w:sz w:val="20"/>
                <w:lang w:eastAsia="ja-JP"/>
              </w:rPr>
            </w:pPr>
            <w:r w:rsidRPr="00EB1D25">
              <w:rPr>
                <w:sz w:val="20"/>
                <w:lang w:eastAsia="ja-JP"/>
              </w:rPr>
              <w:t>325,0</w:t>
            </w:r>
          </w:p>
        </w:tc>
        <w:tc>
          <w:tcPr>
            <w:tcW w:w="862" w:type="pct"/>
            <w:tcBorders>
              <w:top w:val="nil"/>
              <w:left w:val="nil"/>
              <w:bottom w:val="single" w:sz="4" w:space="0" w:color="auto"/>
              <w:right w:val="single" w:sz="4" w:space="0" w:color="auto"/>
            </w:tcBorders>
            <w:shd w:val="clear" w:color="auto" w:fill="DEEAF6" w:themeFill="accent1" w:themeFillTint="33"/>
            <w:noWrap/>
            <w:vAlign w:val="bottom"/>
          </w:tcPr>
          <w:p w14:paraId="52216452" w14:textId="77777777" w:rsidR="00085F16" w:rsidRPr="00EB1D25" w:rsidRDefault="00085F16" w:rsidP="00085F16">
            <w:pPr>
              <w:jc w:val="both"/>
              <w:rPr>
                <w:sz w:val="20"/>
                <w:lang w:eastAsia="ja-JP"/>
              </w:rPr>
            </w:pPr>
            <w:r w:rsidRPr="00EB1D25">
              <w:rPr>
                <w:sz w:val="20"/>
                <w:lang w:eastAsia="ja-JP"/>
              </w:rPr>
              <w:t>339,0</w:t>
            </w:r>
          </w:p>
        </w:tc>
      </w:tr>
      <w:tr w:rsidR="00085F16" w:rsidRPr="00EB1D25" w14:paraId="393FFA63" w14:textId="77777777" w:rsidTr="00085F16">
        <w:trPr>
          <w:trHeight w:val="20"/>
        </w:trPr>
        <w:tc>
          <w:tcPr>
            <w:tcW w:w="1560" w:type="pct"/>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70138FAC" w14:textId="77777777" w:rsidR="00085F16" w:rsidRPr="00EB1D25" w:rsidRDefault="00085F16" w:rsidP="00085F16">
            <w:pPr>
              <w:jc w:val="both"/>
              <w:rPr>
                <w:b/>
                <w:bCs/>
                <w:sz w:val="20"/>
                <w:lang w:eastAsia="ja-JP"/>
              </w:rPr>
            </w:pPr>
            <w:r>
              <w:rPr>
                <w:b/>
                <w:bCs/>
                <w:sz w:val="20"/>
                <w:lang w:eastAsia="ja-JP"/>
              </w:rPr>
              <w:t>Mallra dhe Shërbime</w:t>
            </w:r>
            <w:r w:rsidRPr="00EB1D25">
              <w:rPr>
                <w:b/>
                <w:bCs/>
                <w:sz w:val="20"/>
                <w:lang w:eastAsia="ja-JP"/>
              </w:rPr>
              <w:t xml:space="preserve"> </w:t>
            </w:r>
          </w:p>
        </w:tc>
        <w:tc>
          <w:tcPr>
            <w:tcW w:w="860" w:type="pct"/>
            <w:tcBorders>
              <w:top w:val="nil"/>
              <w:left w:val="nil"/>
              <w:bottom w:val="single" w:sz="4" w:space="0" w:color="auto"/>
              <w:right w:val="single" w:sz="4" w:space="0" w:color="auto"/>
            </w:tcBorders>
            <w:shd w:val="clear" w:color="auto" w:fill="DEEAF6" w:themeFill="accent1" w:themeFillTint="33"/>
            <w:noWrap/>
            <w:vAlign w:val="bottom"/>
          </w:tcPr>
          <w:p w14:paraId="397BA65B" w14:textId="77777777" w:rsidR="00085F16" w:rsidRPr="00EB1D25" w:rsidRDefault="00085F16" w:rsidP="00085F16">
            <w:pPr>
              <w:jc w:val="both"/>
              <w:rPr>
                <w:sz w:val="20"/>
                <w:lang w:eastAsia="ja-JP"/>
              </w:rPr>
            </w:pPr>
            <w:r w:rsidRPr="00EB1D25">
              <w:rPr>
                <w:sz w:val="20"/>
                <w:lang w:eastAsia="ja-JP"/>
              </w:rPr>
              <w:t>70,9</w:t>
            </w:r>
          </w:p>
        </w:tc>
        <w:tc>
          <w:tcPr>
            <w:tcW w:w="860" w:type="pct"/>
            <w:tcBorders>
              <w:top w:val="nil"/>
              <w:left w:val="nil"/>
              <w:bottom w:val="single" w:sz="8" w:space="0" w:color="auto"/>
              <w:right w:val="single" w:sz="8" w:space="0" w:color="auto"/>
            </w:tcBorders>
            <w:shd w:val="clear" w:color="auto" w:fill="DEEAF6" w:themeFill="accent1" w:themeFillTint="33"/>
            <w:noWrap/>
            <w:vAlign w:val="center"/>
          </w:tcPr>
          <w:p w14:paraId="57A9C80D" w14:textId="77777777" w:rsidR="00085F16" w:rsidRPr="00EB1D25" w:rsidRDefault="00085F16" w:rsidP="00085F16">
            <w:pPr>
              <w:jc w:val="both"/>
              <w:rPr>
                <w:sz w:val="20"/>
                <w:lang w:eastAsia="ja-JP"/>
              </w:rPr>
            </w:pPr>
            <w:r w:rsidRPr="00EB1D25">
              <w:rPr>
                <w:sz w:val="20"/>
                <w:lang w:eastAsia="ja-JP"/>
              </w:rPr>
              <w:t>75,7</w:t>
            </w:r>
          </w:p>
        </w:tc>
        <w:tc>
          <w:tcPr>
            <w:tcW w:w="858" w:type="pct"/>
            <w:tcBorders>
              <w:top w:val="nil"/>
              <w:left w:val="nil"/>
              <w:bottom w:val="single" w:sz="4" w:space="0" w:color="auto"/>
              <w:right w:val="single" w:sz="4" w:space="0" w:color="auto"/>
            </w:tcBorders>
            <w:shd w:val="clear" w:color="auto" w:fill="DEEAF6" w:themeFill="accent1" w:themeFillTint="33"/>
            <w:noWrap/>
            <w:vAlign w:val="bottom"/>
          </w:tcPr>
          <w:p w14:paraId="276C7025" w14:textId="77777777" w:rsidR="00085F16" w:rsidRPr="00EB1D25" w:rsidRDefault="00085F16" w:rsidP="00085F16">
            <w:pPr>
              <w:jc w:val="both"/>
              <w:rPr>
                <w:sz w:val="20"/>
                <w:lang w:eastAsia="ja-JP"/>
              </w:rPr>
            </w:pPr>
            <w:r w:rsidRPr="00EB1D25">
              <w:rPr>
                <w:sz w:val="20"/>
                <w:lang w:eastAsia="ja-JP"/>
              </w:rPr>
              <w:t>75,7</w:t>
            </w:r>
          </w:p>
        </w:tc>
        <w:tc>
          <w:tcPr>
            <w:tcW w:w="862" w:type="pct"/>
            <w:tcBorders>
              <w:top w:val="nil"/>
              <w:left w:val="nil"/>
              <w:bottom w:val="single" w:sz="4" w:space="0" w:color="auto"/>
              <w:right w:val="single" w:sz="4" w:space="0" w:color="auto"/>
            </w:tcBorders>
            <w:shd w:val="clear" w:color="auto" w:fill="DEEAF6" w:themeFill="accent1" w:themeFillTint="33"/>
            <w:noWrap/>
            <w:vAlign w:val="bottom"/>
          </w:tcPr>
          <w:p w14:paraId="0616F19E" w14:textId="77777777" w:rsidR="00085F16" w:rsidRPr="00EB1D25" w:rsidRDefault="00085F16" w:rsidP="00085F16">
            <w:pPr>
              <w:jc w:val="both"/>
              <w:rPr>
                <w:sz w:val="20"/>
                <w:lang w:eastAsia="ja-JP"/>
              </w:rPr>
            </w:pPr>
            <w:r w:rsidRPr="00EB1D25">
              <w:rPr>
                <w:sz w:val="20"/>
                <w:lang w:eastAsia="ja-JP"/>
              </w:rPr>
              <w:t>75,7</w:t>
            </w:r>
          </w:p>
        </w:tc>
      </w:tr>
      <w:tr w:rsidR="00085F16" w:rsidRPr="00EB1D25" w14:paraId="14409CEB" w14:textId="77777777" w:rsidTr="00085F16">
        <w:trPr>
          <w:trHeight w:val="20"/>
        </w:trPr>
        <w:tc>
          <w:tcPr>
            <w:tcW w:w="1560" w:type="pct"/>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66758673" w14:textId="77777777" w:rsidR="00085F16" w:rsidRPr="00EB1D25" w:rsidRDefault="00085F16" w:rsidP="00085F16">
            <w:pPr>
              <w:jc w:val="both"/>
              <w:rPr>
                <w:b/>
                <w:bCs/>
                <w:sz w:val="20"/>
                <w:lang w:eastAsia="ja-JP"/>
              </w:rPr>
            </w:pPr>
            <w:r w:rsidRPr="000327B3">
              <w:rPr>
                <w:b/>
                <w:bCs/>
                <w:sz w:val="20"/>
                <w:lang w:val="en-US" w:eastAsia="ja-JP"/>
              </w:rPr>
              <w:t xml:space="preserve">Shpenzimet  Komunale  </w:t>
            </w:r>
          </w:p>
        </w:tc>
        <w:tc>
          <w:tcPr>
            <w:tcW w:w="860" w:type="pct"/>
            <w:tcBorders>
              <w:top w:val="nil"/>
              <w:left w:val="nil"/>
              <w:bottom w:val="single" w:sz="4" w:space="0" w:color="auto"/>
              <w:right w:val="single" w:sz="4" w:space="0" w:color="auto"/>
            </w:tcBorders>
            <w:shd w:val="clear" w:color="auto" w:fill="DEEAF6" w:themeFill="accent1" w:themeFillTint="33"/>
            <w:noWrap/>
            <w:vAlign w:val="bottom"/>
          </w:tcPr>
          <w:p w14:paraId="45B3C57D" w14:textId="77777777" w:rsidR="00085F16" w:rsidRPr="00EB1D25" w:rsidRDefault="00085F16" w:rsidP="00085F16">
            <w:pPr>
              <w:jc w:val="both"/>
              <w:rPr>
                <w:sz w:val="20"/>
                <w:lang w:eastAsia="ja-JP"/>
              </w:rPr>
            </w:pPr>
            <w:r w:rsidRPr="00EB1D25">
              <w:rPr>
                <w:sz w:val="20"/>
                <w:lang w:eastAsia="ja-JP"/>
              </w:rPr>
              <w:t>11,2</w:t>
            </w:r>
          </w:p>
        </w:tc>
        <w:tc>
          <w:tcPr>
            <w:tcW w:w="860" w:type="pct"/>
            <w:tcBorders>
              <w:top w:val="nil"/>
              <w:left w:val="nil"/>
              <w:bottom w:val="single" w:sz="8" w:space="0" w:color="auto"/>
              <w:right w:val="single" w:sz="8" w:space="0" w:color="auto"/>
            </w:tcBorders>
            <w:shd w:val="clear" w:color="auto" w:fill="DEEAF6" w:themeFill="accent1" w:themeFillTint="33"/>
            <w:noWrap/>
            <w:vAlign w:val="center"/>
          </w:tcPr>
          <w:p w14:paraId="1CAC32D7" w14:textId="77777777" w:rsidR="00085F16" w:rsidRPr="00EB1D25" w:rsidRDefault="00085F16" w:rsidP="00085F16">
            <w:pPr>
              <w:jc w:val="both"/>
              <w:rPr>
                <w:sz w:val="20"/>
                <w:lang w:eastAsia="ja-JP"/>
              </w:rPr>
            </w:pPr>
            <w:r w:rsidRPr="00EB1D25">
              <w:rPr>
                <w:sz w:val="20"/>
                <w:lang w:eastAsia="ja-JP"/>
              </w:rPr>
              <w:t>11,5</w:t>
            </w:r>
          </w:p>
        </w:tc>
        <w:tc>
          <w:tcPr>
            <w:tcW w:w="858" w:type="pct"/>
            <w:tcBorders>
              <w:top w:val="nil"/>
              <w:left w:val="nil"/>
              <w:bottom w:val="single" w:sz="4" w:space="0" w:color="auto"/>
              <w:right w:val="single" w:sz="4" w:space="0" w:color="auto"/>
            </w:tcBorders>
            <w:shd w:val="clear" w:color="auto" w:fill="DEEAF6" w:themeFill="accent1" w:themeFillTint="33"/>
            <w:noWrap/>
            <w:vAlign w:val="bottom"/>
          </w:tcPr>
          <w:p w14:paraId="15272133" w14:textId="77777777" w:rsidR="00085F16" w:rsidRPr="00EB1D25" w:rsidRDefault="00085F16" w:rsidP="00085F16">
            <w:pPr>
              <w:jc w:val="both"/>
              <w:rPr>
                <w:sz w:val="20"/>
                <w:lang w:eastAsia="ja-JP"/>
              </w:rPr>
            </w:pPr>
            <w:r w:rsidRPr="00EB1D25">
              <w:rPr>
                <w:sz w:val="20"/>
                <w:lang w:eastAsia="ja-JP"/>
              </w:rPr>
              <w:t>11,5</w:t>
            </w:r>
          </w:p>
        </w:tc>
        <w:tc>
          <w:tcPr>
            <w:tcW w:w="862" w:type="pct"/>
            <w:tcBorders>
              <w:top w:val="nil"/>
              <w:left w:val="nil"/>
              <w:bottom w:val="single" w:sz="4" w:space="0" w:color="auto"/>
              <w:right w:val="single" w:sz="4" w:space="0" w:color="auto"/>
            </w:tcBorders>
            <w:shd w:val="clear" w:color="auto" w:fill="DEEAF6" w:themeFill="accent1" w:themeFillTint="33"/>
            <w:noWrap/>
            <w:vAlign w:val="bottom"/>
          </w:tcPr>
          <w:p w14:paraId="193152C2" w14:textId="77777777" w:rsidR="00085F16" w:rsidRPr="00EB1D25" w:rsidRDefault="00085F16" w:rsidP="00085F16">
            <w:pPr>
              <w:jc w:val="both"/>
              <w:rPr>
                <w:sz w:val="20"/>
                <w:lang w:eastAsia="ja-JP"/>
              </w:rPr>
            </w:pPr>
            <w:r w:rsidRPr="00EB1D25">
              <w:rPr>
                <w:sz w:val="20"/>
                <w:lang w:eastAsia="ja-JP"/>
              </w:rPr>
              <w:t>11,5</w:t>
            </w:r>
          </w:p>
        </w:tc>
      </w:tr>
      <w:tr w:rsidR="00085F16" w:rsidRPr="00EB1D25" w14:paraId="01E131E0" w14:textId="77777777" w:rsidTr="00085F16">
        <w:trPr>
          <w:trHeight w:val="325"/>
        </w:trPr>
        <w:tc>
          <w:tcPr>
            <w:tcW w:w="1560" w:type="pct"/>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0DD09EF1" w14:textId="77777777" w:rsidR="00085F16" w:rsidRPr="007E10E6" w:rsidRDefault="00085F16" w:rsidP="00085F16">
            <w:pPr>
              <w:pStyle w:val="NoSpacing"/>
              <w:jc w:val="both"/>
              <w:rPr>
                <w:rFonts w:ascii="Times New Roman" w:hAnsi="Times New Roman"/>
                <w:b/>
                <w:bCs/>
                <w:sz w:val="20"/>
                <w:szCs w:val="24"/>
              </w:rPr>
            </w:pPr>
            <w:r w:rsidRPr="007E10E6">
              <w:rPr>
                <w:rFonts w:ascii="Times New Roman" w:hAnsi="Times New Roman"/>
                <w:b/>
                <w:bCs/>
                <w:sz w:val="20"/>
                <w:szCs w:val="24"/>
              </w:rPr>
              <w:t xml:space="preserve">Subvencione dhe Transfere </w:t>
            </w:r>
          </w:p>
        </w:tc>
        <w:tc>
          <w:tcPr>
            <w:tcW w:w="860" w:type="pct"/>
            <w:tcBorders>
              <w:top w:val="nil"/>
              <w:left w:val="nil"/>
              <w:bottom w:val="single" w:sz="4" w:space="0" w:color="auto"/>
              <w:right w:val="single" w:sz="4" w:space="0" w:color="auto"/>
            </w:tcBorders>
            <w:shd w:val="clear" w:color="auto" w:fill="DEEAF6" w:themeFill="accent1" w:themeFillTint="33"/>
            <w:noWrap/>
            <w:vAlign w:val="bottom"/>
          </w:tcPr>
          <w:p w14:paraId="176E468A" w14:textId="77777777" w:rsidR="00085F16" w:rsidRPr="00EB1D25" w:rsidRDefault="00085F16" w:rsidP="00085F16">
            <w:pPr>
              <w:jc w:val="both"/>
              <w:rPr>
                <w:sz w:val="20"/>
                <w:lang w:eastAsia="ja-JP"/>
              </w:rPr>
            </w:pPr>
            <w:r w:rsidRPr="00EB1D25">
              <w:rPr>
                <w:sz w:val="20"/>
                <w:lang w:eastAsia="ja-JP"/>
              </w:rPr>
              <w:t>12,4</w:t>
            </w:r>
          </w:p>
        </w:tc>
        <w:tc>
          <w:tcPr>
            <w:tcW w:w="860" w:type="pct"/>
            <w:tcBorders>
              <w:top w:val="nil"/>
              <w:left w:val="nil"/>
              <w:bottom w:val="single" w:sz="8" w:space="0" w:color="auto"/>
              <w:right w:val="single" w:sz="8" w:space="0" w:color="auto"/>
            </w:tcBorders>
            <w:shd w:val="clear" w:color="auto" w:fill="DEEAF6" w:themeFill="accent1" w:themeFillTint="33"/>
            <w:noWrap/>
            <w:vAlign w:val="center"/>
          </w:tcPr>
          <w:p w14:paraId="7C94DE71" w14:textId="77777777" w:rsidR="00085F16" w:rsidRPr="00EB1D25" w:rsidRDefault="00085F16" w:rsidP="00085F16">
            <w:pPr>
              <w:jc w:val="both"/>
              <w:rPr>
                <w:sz w:val="20"/>
                <w:lang w:eastAsia="ja-JP"/>
              </w:rPr>
            </w:pPr>
            <w:r w:rsidRPr="00EB1D25">
              <w:rPr>
                <w:sz w:val="20"/>
                <w:lang w:eastAsia="ja-JP"/>
              </w:rPr>
              <w:t>13,5</w:t>
            </w:r>
          </w:p>
        </w:tc>
        <w:tc>
          <w:tcPr>
            <w:tcW w:w="858" w:type="pct"/>
            <w:tcBorders>
              <w:top w:val="nil"/>
              <w:left w:val="nil"/>
              <w:bottom w:val="single" w:sz="4" w:space="0" w:color="auto"/>
              <w:right w:val="single" w:sz="4" w:space="0" w:color="auto"/>
            </w:tcBorders>
            <w:shd w:val="clear" w:color="auto" w:fill="DEEAF6" w:themeFill="accent1" w:themeFillTint="33"/>
            <w:noWrap/>
            <w:vAlign w:val="bottom"/>
          </w:tcPr>
          <w:p w14:paraId="76268BBC" w14:textId="77777777" w:rsidR="00085F16" w:rsidRPr="00EB1D25" w:rsidRDefault="00085F16" w:rsidP="00085F16">
            <w:pPr>
              <w:jc w:val="both"/>
              <w:rPr>
                <w:sz w:val="20"/>
                <w:lang w:eastAsia="ja-JP"/>
              </w:rPr>
            </w:pPr>
            <w:r w:rsidRPr="00EB1D25">
              <w:rPr>
                <w:sz w:val="20"/>
                <w:lang w:eastAsia="ja-JP"/>
              </w:rPr>
              <w:t>13,5</w:t>
            </w:r>
          </w:p>
        </w:tc>
        <w:tc>
          <w:tcPr>
            <w:tcW w:w="862" w:type="pct"/>
            <w:tcBorders>
              <w:top w:val="nil"/>
              <w:left w:val="nil"/>
              <w:bottom w:val="single" w:sz="4" w:space="0" w:color="auto"/>
              <w:right w:val="single" w:sz="4" w:space="0" w:color="auto"/>
            </w:tcBorders>
            <w:shd w:val="clear" w:color="auto" w:fill="DEEAF6" w:themeFill="accent1" w:themeFillTint="33"/>
            <w:noWrap/>
            <w:vAlign w:val="bottom"/>
          </w:tcPr>
          <w:p w14:paraId="3FCBA0B6" w14:textId="77777777" w:rsidR="00085F16" w:rsidRPr="00EB1D25" w:rsidRDefault="00085F16" w:rsidP="00085F16">
            <w:pPr>
              <w:jc w:val="both"/>
              <w:rPr>
                <w:sz w:val="20"/>
                <w:lang w:eastAsia="ja-JP"/>
              </w:rPr>
            </w:pPr>
            <w:r w:rsidRPr="00EB1D25">
              <w:rPr>
                <w:sz w:val="20"/>
                <w:lang w:eastAsia="ja-JP"/>
              </w:rPr>
              <w:t>13,6</w:t>
            </w:r>
          </w:p>
        </w:tc>
      </w:tr>
      <w:tr w:rsidR="00085F16" w:rsidRPr="00EB1D25" w14:paraId="66596861" w14:textId="77777777" w:rsidTr="00085F16">
        <w:trPr>
          <w:trHeight w:val="20"/>
        </w:trPr>
        <w:tc>
          <w:tcPr>
            <w:tcW w:w="1560" w:type="pct"/>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374303FD" w14:textId="77777777" w:rsidR="00085F16" w:rsidRPr="007E10E6" w:rsidRDefault="00085F16" w:rsidP="00085F16">
            <w:pPr>
              <w:pStyle w:val="NoSpacing"/>
              <w:jc w:val="both"/>
              <w:rPr>
                <w:rFonts w:ascii="Times New Roman" w:hAnsi="Times New Roman"/>
                <w:b/>
                <w:bCs/>
                <w:sz w:val="20"/>
                <w:szCs w:val="24"/>
              </w:rPr>
            </w:pPr>
            <w:r w:rsidRPr="007E10E6">
              <w:rPr>
                <w:rFonts w:ascii="Times New Roman" w:hAnsi="Times New Roman"/>
                <w:b/>
                <w:bCs/>
                <w:sz w:val="20"/>
                <w:szCs w:val="24"/>
              </w:rPr>
              <w:t xml:space="preserve">Shpenzimet Kapitale  </w:t>
            </w:r>
          </w:p>
        </w:tc>
        <w:tc>
          <w:tcPr>
            <w:tcW w:w="860" w:type="pct"/>
            <w:tcBorders>
              <w:top w:val="nil"/>
              <w:left w:val="nil"/>
              <w:bottom w:val="single" w:sz="4" w:space="0" w:color="auto"/>
              <w:right w:val="single" w:sz="4" w:space="0" w:color="auto"/>
            </w:tcBorders>
            <w:shd w:val="clear" w:color="auto" w:fill="DEEAF6" w:themeFill="accent1" w:themeFillTint="33"/>
            <w:noWrap/>
            <w:vAlign w:val="bottom"/>
          </w:tcPr>
          <w:p w14:paraId="20FCE1CC" w14:textId="77777777" w:rsidR="00085F16" w:rsidRPr="00EB1D25" w:rsidRDefault="00085F16" w:rsidP="00085F16">
            <w:pPr>
              <w:jc w:val="both"/>
              <w:rPr>
                <w:sz w:val="20"/>
                <w:lang w:eastAsia="ja-JP"/>
              </w:rPr>
            </w:pPr>
            <w:r w:rsidRPr="00EB1D25">
              <w:rPr>
                <w:sz w:val="20"/>
                <w:lang w:eastAsia="ja-JP"/>
              </w:rPr>
              <w:t>187,9</w:t>
            </w:r>
          </w:p>
        </w:tc>
        <w:tc>
          <w:tcPr>
            <w:tcW w:w="860" w:type="pct"/>
            <w:tcBorders>
              <w:top w:val="nil"/>
              <w:left w:val="nil"/>
              <w:bottom w:val="single" w:sz="8" w:space="0" w:color="auto"/>
              <w:right w:val="single" w:sz="8" w:space="0" w:color="auto"/>
            </w:tcBorders>
            <w:shd w:val="clear" w:color="auto" w:fill="DEEAF6" w:themeFill="accent1" w:themeFillTint="33"/>
            <w:noWrap/>
            <w:vAlign w:val="center"/>
          </w:tcPr>
          <w:p w14:paraId="206F1445" w14:textId="77777777" w:rsidR="00085F16" w:rsidRPr="00EB1D25" w:rsidRDefault="00085F16" w:rsidP="00085F16">
            <w:pPr>
              <w:jc w:val="both"/>
              <w:rPr>
                <w:sz w:val="20"/>
                <w:lang w:eastAsia="ja-JP"/>
              </w:rPr>
            </w:pPr>
            <w:r w:rsidRPr="00EB1D25">
              <w:rPr>
                <w:sz w:val="20"/>
                <w:lang w:eastAsia="ja-JP"/>
              </w:rPr>
              <w:t>170,8</w:t>
            </w:r>
          </w:p>
        </w:tc>
        <w:tc>
          <w:tcPr>
            <w:tcW w:w="858" w:type="pct"/>
            <w:tcBorders>
              <w:top w:val="nil"/>
              <w:left w:val="nil"/>
              <w:bottom w:val="single" w:sz="4" w:space="0" w:color="auto"/>
              <w:right w:val="single" w:sz="4" w:space="0" w:color="auto"/>
            </w:tcBorders>
            <w:shd w:val="clear" w:color="auto" w:fill="DEEAF6" w:themeFill="accent1" w:themeFillTint="33"/>
            <w:noWrap/>
            <w:vAlign w:val="bottom"/>
          </w:tcPr>
          <w:p w14:paraId="606967A4" w14:textId="77777777" w:rsidR="00085F16" w:rsidRPr="00EB1D25" w:rsidRDefault="00085F16" w:rsidP="00085F16">
            <w:pPr>
              <w:jc w:val="both"/>
              <w:rPr>
                <w:sz w:val="20"/>
                <w:lang w:eastAsia="ja-JP"/>
              </w:rPr>
            </w:pPr>
            <w:r w:rsidRPr="00EB1D25">
              <w:rPr>
                <w:sz w:val="20"/>
                <w:lang w:eastAsia="ja-JP"/>
              </w:rPr>
              <w:t>161,4</w:t>
            </w:r>
          </w:p>
        </w:tc>
        <w:tc>
          <w:tcPr>
            <w:tcW w:w="862" w:type="pct"/>
            <w:tcBorders>
              <w:top w:val="nil"/>
              <w:left w:val="nil"/>
              <w:bottom w:val="single" w:sz="4" w:space="0" w:color="auto"/>
              <w:right w:val="single" w:sz="4" w:space="0" w:color="auto"/>
            </w:tcBorders>
            <w:shd w:val="clear" w:color="auto" w:fill="DEEAF6" w:themeFill="accent1" w:themeFillTint="33"/>
            <w:noWrap/>
            <w:vAlign w:val="bottom"/>
          </w:tcPr>
          <w:p w14:paraId="46B9F0D8" w14:textId="77777777" w:rsidR="00085F16" w:rsidRPr="00EB1D25" w:rsidRDefault="00085F16" w:rsidP="00085F16">
            <w:pPr>
              <w:jc w:val="both"/>
              <w:rPr>
                <w:sz w:val="20"/>
                <w:lang w:eastAsia="ja-JP"/>
              </w:rPr>
            </w:pPr>
            <w:r w:rsidRPr="00EB1D25">
              <w:rPr>
                <w:sz w:val="20"/>
                <w:lang w:eastAsia="ja-JP"/>
              </w:rPr>
              <w:t>167,9</w:t>
            </w:r>
          </w:p>
        </w:tc>
      </w:tr>
      <w:tr w:rsidR="00085F16" w:rsidRPr="00EB1D25" w14:paraId="71960F48" w14:textId="77777777" w:rsidTr="00085F16">
        <w:trPr>
          <w:trHeight w:val="20"/>
        </w:trPr>
        <w:tc>
          <w:tcPr>
            <w:tcW w:w="1560" w:type="pct"/>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0F06503F" w14:textId="77777777" w:rsidR="00085F16" w:rsidRPr="007E10E6" w:rsidRDefault="00085F16" w:rsidP="00085F16">
            <w:pPr>
              <w:pStyle w:val="NoSpacing"/>
              <w:jc w:val="both"/>
              <w:rPr>
                <w:rFonts w:ascii="Times New Roman" w:hAnsi="Times New Roman"/>
                <w:b/>
                <w:bCs/>
                <w:sz w:val="20"/>
                <w:szCs w:val="24"/>
              </w:rPr>
            </w:pPr>
            <w:r w:rsidRPr="007E10E6">
              <w:rPr>
                <w:rFonts w:ascii="Times New Roman" w:hAnsi="Times New Roman"/>
                <w:b/>
                <w:bCs/>
                <w:sz w:val="20"/>
                <w:szCs w:val="24"/>
              </w:rPr>
              <w:t xml:space="preserve">Total </w:t>
            </w:r>
          </w:p>
        </w:tc>
        <w:tc>
          <w:tcPr>
            <w:tcW w:w="860" w:type="pct"/>
            <w:tcBorders>
              <w:top w:val="nil"/>
              <w:left w:val="nil"/>
              <w:bottom w:val="single" w:sz="4" w:space="0" w:color="auto"/>
              <w:right w:val="single" w:sz="4" w:space="0" w:color="auto"/>
            </w:tcBorders>
            <w:shd w:val="clear" w:color="auto" w:fill="DEEAF6" w:themeFill="accent1" w:themeFillTint="33"/>
            <w:noWrap/>
            <w:vAlign w:val="bottom"/>
          </w:tcPr>
          <w:p w14:paraId="00412FCC" w14:textId="77777777" w:rsidR="00085F16" w:rsidRPr="00DB2AE7" w:rsidRDefault="00085F16" w:rsidP="00085F16">
            <w:pPr>
              <w:jc w:val="both"/>
              <w:rPr>
                <w:b/>
                <w:sz w:val="20"/>
                <w:lang w:eastAsia="ja-JP"/>
              </w:rPr>
            </w:pPr>
            <w:r w:rsidRPr="00DB2AE7">
              <w:rPr>
                <w:b/>
                <w:sz w:val="20"/>
                <w:lang w:eastAsia="ja-JP"/>
              </w:rPr>
              <w:t>554,7</w:t>
            </w:r>
          </w:p>
        </w:tc>
        <w:tc>
          <w:tcPr>
            <w:tcW w:w="860" w:type="pct"/>
            <w:tcBorders>
              <w:top w:val="nil"/>
              <w:left w:val="nil"/>
              <w:bottom w:val="single" w:sz="8" w:space="0" w:color="auto"/>
              <w:right w:val="single" w:sz="8" w:space="0" w:color="auto"/>
            </w:tcBorders>
            <w:shd w:val="clear" w:color="auto" w:fill="DEEAF6" w:themeFill="accent1" w:themeFillTint="33"/>
            <w:noWrap/>
            <w:vAlign w:val="center"/>
          </w:tcPr>
          <w:p w14:paraId="5FD34D58" w14:textId="77777777" w:rsidR="00085F16" w:rsidRPr="00DB2AE7" w:rsidRDefault="00085F16" w:rsidP="00085F16">
            <w:pPr>
              <w:jc w:val="both"/>
              <w:rPr>
                <w:b/>
                <w:sz w:val="20"/>
                <w:lang w:eastAsia="ja-JP"/>
              </w:rPr>
            </w:pPr>
            <w:r w:rsidRPr="00DB2AE7">
              <w:rPr>
                <w:b/>
                <w:sz w:val="20"/>
                <w:lang w:eastAsia="ja-JP"/>
              </w:rPr>
              <w:t>579,7</w:t>
            </w:r>
          </w:p>
        </w:tc>
        <w:tc>
          <w:tcPr>
            <w:tcW w:w="858" w:type="pct"/>
            <w:tcBorders>
              <w:top w:val="nil"/>
              <w:left w:val="nil"/>
              <w:bottom w:val="single" w:sz="4" w:space="0" w:color="auto"/>
              <w:right w:val="single" w:sz="4" w:space="0" w:color="auto"/>
            </w:tcBorders>
            <w:shd w:val="clear" w:color="auto" w:fill="DEEAF6" w:themeFill="accent1" w:themeFillTint="33"/>
            <w:noWrap/>
            <w:vAlign w:val="bottom"/>
          </w:tcPr>
          <w:p w14:paraId="484B1790" w14:textId="77777777" w:rsidR="00085F16" w:rsidRPr="00DB2AE7" w:rsidRDefault="00085F16" w:rsidP="00085F16">
            <w:pPr>
              <w:jc w:val="both"/>
              <w:rPr>
                <w:b/>
                <w:sz w:val="20"/>
                <w:lang w:eastAsia="ja-JP"/>
              </w:rPr>
            </w:pPr>
            <w:r w:rsidRPr="00DB2AE7">
              <w:rPr>
                <w:b/>
                <w:sz w:val="20"/>
                <w:lang w:eastAsia="ja-JP"/>
              </w:rPr>
              <w:t>587,2</w:t>
            </w:r>
          </w:p>
        </w:tc>
        <w:tc>
          <w:tcPr>
            <w:tcW w:w="862" w:type="pct"/>
            <w:tcBorders>
              <w:top w:val="nil"/>
              <w:left w:val="nil"/>
              <w:bottom w:val="single" w:sz="4" w:space="0" w:color="auto"/>
              <w:right w:val="single" w:sz="4" w:space="0" w:color="auto"/>
            </w:tcBorders>
            <w:shd w:val="clear" w:color="auto" w:fill="DEEAF6" w:themeFill="accent1" w:themeFillTint="33"/>
            <w:noWrap/>
            <w:vAlign w:val="bottom"/>
          </w:tcPr>
          <w:p w14:paraId="03D3DB70" w14:textId="77777777" w:rsidR="00085F16" w:rsidRPr="00DB2AE7" w:rsidRDefault="00085F16" w:rsidP="00085F16">
            <w:pPr>
              <w:jc w:val="both"/>
              <w:rPr>
                <w:b/>
                <w:sz w:val="20"/>
                <w:lang w:eastAsia="ja-JP"/>
              </w:rPr>
            </w:pPr>
            <w:r w:rsidRPr="00DB2AE7">
              <w:rPr>
                <w:b/>
                <w:sz w:val="20"/>
                <w:lang w:eastAsia="ja-JP"/>
              </w:rPr>
              <w:t>607,8</w:t>
            </w:r>
          </w:p>
        </w:tc>
      </w:tr>
    </w:tbl>
    <w:bookmarkEnd w:id="153"/>
    <w:p w14:paraId="24D534D2" w14:textId="77777777" w:rsidR="00085F16" w:rsidRPr="00620506" w:rsidRDefault="00085F16" w:rsidP="00085F16">
      <w:pPr>
        <w:spacing w:before="240" w:after="120" w:line="276" w:lineRule="auto"/>
        <w:jc w:val="both"/>
        <w:rPr>
          <w:rFonts w:ascii="Times New Roman" w:hAnsi="Times New Roman" w:cs="Times New Roman"/>
          <w:sz w:val="24"/>
          <w:szCs w:val="24"/>
        </w:rPr>
      </w:pPr>
      <w:r w:rsidRPr="00620506">
        <w:rPr>
          <w:rFonts w:ascii="Times New Roman" w:hAnsi="Times New Roman" w:cs="Times New Roman"/>
          <w:sz w:val="24"/>
          <w:szCs w:val="24"/>
        </w:rPr>
        <w:t>Buxheti për</w:t>
      </w:r>
      <w:r w:rsidRPr="00620506">
        <w:rPr>
          <w:rFonts w:ascii="Times New Roman" w:hAnsi="Times New Roman" w:cs="Times New Roman"/>
          <w:b/>
          <w:sz w:val="24"/>
          <w:szCs w:val="24"/>
        </w:rPr>
        <w:t xml:space="preserve"> nivelin qendror </w:t>
      </w:r>
      <w:r w:rsidRPr="00620506">
        <w:rPr>
          <w:rFonts w:ascii="Times New Roman" w:hAnsi="Times New Roman" w:cs="Times New Roman"/>
          <w:sz w:val="24"/>
          <w:szCs w:val="24"/>
        </w:rPr>
        <w:t>për vitin 2020 është rritur me 3.4% dhe përfshin 61.3 milionë EUR më shumë krahasuar me buxhetin e vitit 2019. Ndërsa në periudhën afat-mesme, ato pritet të kenë rritje në mesatare prej 3.1%. Në përputhje me prioritetet e Qeverisë, kjo hapësirë shtesë e shpenzimeve është ndarë për rritjen e buxhetit në fushat me prioritet.</w:t>
      </w:r>
      <w:bookmarkStart w:id="154" w:name="_Toc531360998"/>
    </w:p>
    <w:p w14:paraId="225812EA" w14:textId="77777777" w:rsidR="00085F16" w:rsidRPr="007E10E6" w:rsidRDefault="00085F16" w:rsidP="00085F16">
      <w:pPr>
        <w:spacing w:before="240" w:after="120" w:line="276" w:lineRule="auto"/>
        <w:jc w:val="both"/>
      </w:pPr>
      <w:r w:rsidRPr="00620506">
        <w:rPr>
          <w:rFonts w:ascii="Times New Roman" w:hAnsi="Times New Roman" w:cs="Times New Roman"/>
          <w:sz w:val="24"/>
          <w:szCs w:val="24"/>
        </w:rPr>
        <w:t>Në këtë strukturë të rritjes kategoria e ‘Mallrave dhe Shërbimeve’ është rritur për 4.2% ( 2.3% rritje e parashikuar në periudhën afat-mesme); kategoria e ‘Subvencioneve dhe Transfereve’ për 5.3%( 1.9% rritje e parashikuar në periudhën afat-mesme); dhe kategoria e shpenzimeve kapitale për 3.6%( 4.1% rritje e parashikuar në periudhën afat-mesme). Sa i përket burimeve të financimit për shpenzimet kapitale, 355 milionë vijnë nga granti qeveritar dhe 267.3 milionë Euro nga projekte zhvillimore kapitale: a) me financim nga huamarrja koncesionare (29.7 milionë në projekt-kreditë dhe 177.6 milionë nga huamarrja sipas “klauzolës së investimeve”), si dhe b) fondet e likuidimit të NSH-ve (60 milionë Euro). Përmes kësaj rritjeje, por edhe përmes ri-orientimit të portofolios të shpenzimeve, janë reflektuar prioritetet kryesore të programit qeveritar.</w:t>
      </w:r>
      <w:r w:rsidRPr="007E10E6">
        <w:t xml:space="preserve"> </w:t>
      </w:r>
    </w:p>
    <w:p w14:paraId="27DA5E72" w14:textId="77777777" w:rsidR="00085F16" w:rsidRPr="008473A3" w:rsidRDefault="00085F16" w:rsidP="00085F16">
      <w:pPr>
        <w:pStyle w:val="Caption"/>
        <w:keepNext/>
        <w:spacing w:after="0"/>
        <w:rPr>
          <w:rFonts w:ascii="Times New Roman" w:hAnsi="Times New Roman"/>
          <w:b/>
          <w:i w:val="0"/>
          <w:color w:val="auto"/>
        </w:rPr>
      </w:pPr>
      <w:bookmarkStart w:id="155" w:name="_Toc25673447"/>
      <w:r w:rsidRPr="008473A3">
        <w:rPr>
          <w:rFonts w:ascii="Times New Roman" w:hAnsi="Times New Roman"/>
          <w:b/>
          <w:i w:val="0"/>
          <w:color w:val="auto"/>
        </w:rPr>
        <w:t xml:space="preserve">Tabela </w:t>
      </w:r>
      <w:r w:rsidRPr="008473A3">
        <w:rPr>
          <w:rFonts w:ascii="Times New Roman" w:hAnsi="Times New Roman"/>
          <w:b/>
          <w:i w:val="0"/>
          <w:color w:val="auto"/>
        </w:rPr>
        <w:fldChar w:fldCharType="begin"/>
      </w:r>
      <w:r w:rsidRPr="008473A3">
        <w:rPr>
          <w:rFonts w:ascii="Times New Roman" w:hAnsi="Times New Roman"/>
          <w:b/>
          <w:i w:val="0"/>
          <w:color w:val="auto"/>
        </w:rPr>
        <w:instrText xml:space="preserve"> SEQ Tabela \* ARABIC </w:instrText>
      </w:r>
      <w:r w:rsidRPr="008473A3">
        <w:rPr>
          <w:rFonts w:ascii="Times New Roman" w:hAnsi="Times New Roman"/>
          <w:b/>
          <w:i w:val="0"/>
          <w:color w:val="auto"/>
        </w:rPr>
        <w:fldChar w:fldCharType="separate"/>
      </w:r>
      <w:r>
        <w:rPr>
          <w:rFonts w:ascii="Times New Roman" w:hAnsi="Times New Roman"/>
          <w:b/>
          <w:i w:val="0"/>
          <w:noProof/>
          <w:color w:val="auto"/>
        </w:rPr>
        <w:t>9</w:t>
      </w:r>
      <w:r w:rsidRPr="008473A3">
        <w:rPr>
          <w:rFonts w:ascii="Times New Roman" w:hAnsi="Times New Roman"/>
          <w:b/>
          <w:i w:val="0"/>
          <w:color w:val="auto"/>
        </w:rPr>
        <w:fldChar w:fldCharType="end"/>
      </w:r>
      <w:r w:rsidRPr="008473A3">
        <w:rPr>
          <w:rFonts w:ascii="Times New Roman" w:hAnsi="Times New Roman"/>
          <w:b/>
          <w:i w:val="0"/>
          <w:color w:val="auto"/>
        </w:rPr>
        <w:t xml:space="preserve"> Shpenzimet në nivelin qendror</w:t>
      </w:r>
      <w:bookmarkEnd w:id="155"/>
    </w:p>
    <w:tbl>
      <w:tblPr>
        <w:tblW w:w="5000" w:type="pct"/>
        <w:shd w:val="clear" w:color="auto" w:fill="DEEAF6" w:themeFill="accent1" w:themeFillTint="33"/>
        <w:tblLook w:val="04A0" w:firstRow="1" w:lastRow="0" w:firstColumn="1" w:lastColumn="0" w:noHBand="0" w:noVBand="1"/>
      </w:tblPr>
      <w:tblGrid>
        <w:gridCol w:w="2705"/>
        <w:gridCol w:w="1812"/>
        <w:gridCol w:w="1691"/>
        <w:gridCol w:w="1571"/>
        <w:gridCol w:w="1571"/>
      </w:tblGrid>
      <w:tr w:rsidR="00085F16" w:rsidRPr="007E10E6" w14:paraId="7531F3A8" w14:textId="77777777" w:rsidTr="00085F16">
        <w:trPr>
          <w:trHeight w:val="379"/>
        </w:trPr>
        <w:tc>
          <w:tcPr>
            <w:tcW w:w="1449"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7F66012B" w14:textId="77777777" w:rsidR="00085F16" w:rsidRPr="00BF74A5" w:rsidRDefault="00085F16" w:rsidP="00085F16">
            <w:pPr>
              <w:jc w:val="both"/>
              <w:rPr>
                <w:sz w:val="20"/>
                <w:lang w:eastAsia="ja-JP"/>
              </w:rPr>
            </w:pPr>
            <w:r w:rsidRPr="00BF74A5">
              <w:rPr>
                <w:sz w:val="20"/>
                <w:lang w:eastAsia="ja-JP"/>
              </w:rPr>
              <w:t>(mil Eur)</w:t>
            </w:r>
          </w:p>
        </w:tc>
        <w:tc>
          <w:tcPr>
            <w:tcW w:w="971"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0747D2F3" w14:textId="77777777" w:rsidR="00085F16" w:rsidRPr="00BF74A5" w:rsidRDefault="00085F16" w:rsidP="00085F16">
            <w:pPr>
              <w:jc w:val="center"/>
              <w:rPr>
                <w:b/>
                <w:sz w:val="20"/>
                <w:lang w:eastAsia="ja-JP"/>
              </w:rPr>
            </w:pPr>
            <w:r w:rsidRPr="00BF74A5">
              <w:rPr>
                <w:b/>
                <w:sz w:val="20"/>
                <w:lang w:eastAsia="ja-JP"/>
              </w:rPr>
              <w:t>2019 Buxhet</w:t>
            </w:r>
          </w:p>
        </w:tc>
        <w:tc>
          <w:tcPr>
            <w:tcW w:w="895"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69745F5C" w14:textId="77777777" w:rsidR="00085F16" w:rsidRPr="00BF74A5" w:rsidRDefault="00085F16" w:rsidP="00085F16">
            <w:pPr>
              <w:jc w:val="center"/>
              <w:rPr>
                <w:b/>
                <w:sz w:val="20"/>
                <w:lang w:eastAsia="ja-JP"/>
              </w:rPr>
            </w:pPr>
            <w:r>
              <w:rPr>
                <w:b/>
                <w:sz w:val="20"/>
                <w:lang w:eastAsia="ja-JP"/>
              </w:rPr>
              <w:t>2020 Proj.</w:t>
            </w:r>
            <w:r w:rsidRPr="00BF74A5">
              <w:rPr>
                <w:b/>
                <w:sz w:val="20"/>
                <w:lang w:eastAsia="ja-JP"/>
              </w:rPr>
              <w:t xml:space="preserve"> Buxhet</w:t>
            </w:r>
          </w:p>
        </w:tc>
        <w:tc>
          <w:tcPr>
            <w:tcW w:w="842"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307B3745" w14:textId="77777777" w:rsidR="00085F16" w:rsidRPr="00BF74A5" w:rsidRDefault="00085F16" w:rsidP="00085F16">
            <w:pPr>
              <w:jc w:val="center"/>
              <w:rPr>
                <w:b/>
                <w:sz w:val="20"/>
                <w:lang w:eastAsia="ja-JP"/>
              </w:rPr>
            </w:pPr>
            <w:r w:rsidRPr="00BF74A5">
              <w:rPr>
                <w:b/>
                <w:sz w:val="20"/>
                <w:lang w:eastAsia="ja-JP"/>
              </w:rPr>
              <w:t>2021</w:t>
            </w:r>
          </w:p>
        </w:tc>
        <w:tc>
          <w:tcPr>
            <w:tcW w:w="842"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02042CA9" w14:textId="77777777" w:rsidR="00085F16" w:rsidRPr="00BF74A5" w:rsidRDefault="00085F16" w:rsidP="00085F16">
            <w:pPr>
              <w:jc w:val="center"/>
              <w:rPr>
                <w:b/>
                <w:sz w:val="20"/>
                <w:lang w:eastAsia="ja-JP"/>
              </w:rPr>
            </w:pPr>
            <w:r w:rsidRPr="00BF74A5">
              <w:rPr>
                <w:b/>
                <w:sz w:val="20"/>
                <w:lang w:eastAsia="ja-JP"/>
              </w:rPr>
              <w:t>2022</w:t>
            </w:r>
          </w:p>
        </w:tc>
      </w:tr>
      <w:tr w:rsidR="00085F16" w:rsidRPr="007E10E6" w14:paraId="4B5366F3" w14:textId="77777777" w:rsidTr="00085F16">
        <w:trPr>
          <w:trHeight w:val="206"/>
        </w:trPr>
        <w:tc>
          <w:tcPr>
            <w:tcW w:w="1449" w:type="pct"/>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185D70F1" w14:textId="77777777" w:rsidR="00085F16" w:rsidRPr="00BF74A5" w:rsidRDefault="00085F16" w:rsidP="00085F16">
            <w:pPr>
              <w:jc w:val="both"/>
              <w:rPr>
                <w:b/>
                <w:sz w:val="20"/>
                <w:lang w:eastAsia="ja-JP"/>
              </w:rPr>
            </w:pPr>
            <w:r w:rsidRPr="00BF74A5">
              <w:rPr>
                <w:b/>
                <w:sz w:val="20"/>
                <w:lang w:eastAsia="ja-JP"/>
              </w:rPr>
              <w:t xml:space="preserve"> Paga dhe Mëditje  </w:t>
            </w:r>
          </w:p>
        </w:tc>
        <w:tc>
          <w:tcPr>
            <w:tcW w:w="971" w:type="pct"/>
            <w:tcBorders>
              <w:top w:val="nil"/>
              <w:left w:val="nil"/>
              <w:bottom w:val="single" w:sz="4" w:space="0" w:color="auto"/>
              <w:right w:val="single" w:sz="4" w:space="0" w:color="auto"/>
            </w:tcBorders>
            <w:shd w:val="clear" w:color="auto" w:fill="DEEAF6" w:themeFill="accent1" w:themeFillTint="33"/>
            <w:noWrap/>
            <w:vAlign w:val="center"/>
            <w:hideMark/>
          </w:tcPr>
          <w:p w14:paraId="53C29029" w14:textId="77777777" w:rsidR="00085F16" w:rsidRPr="00BF74A5" w:rsidRDefault="00085F16" w:rsidP="00085F16">
            <w:pPr>
              <w:jc w:val="both"/>
              <w:rPr>
                <w:sz w:val="20"/>
                <w:lang w:eastAsia="ja-JP"/>
              </w:rPr>
            </w:pPr>
            <w:r w:rsidRPr="00BF74A5">
              <w:rPr>
                <w:sz w:val="20"/>
                <w:lang w:eastAsia="ja-JP"/>
              </w:rPr>
              <w:t>347.9</w:t>
            </w:r>
          </w:p>
        </w:tc>
        <w:tc>
          <w:tcPr>
            <w:tcW w:w="895" w:type="pct"/>
            <w:tcBorders>
              <w:top w:val="nil"/>
              <w:left w:val="nil"/>
              <w:bottom w:val="single" w:sz="4" w:space="0" w:color="auto"/>
              <w:right w:val="single" w:sz="4" w:space="0" w:color="auto"/>
            </w:tcBorders>
            <w:shd w:val="clear" w:color="auto" w:fill="DEEAF6" w:themeFill="accent1" w:themeFillTint="33"/>
            <w:noWrap/>
            <w:vAlign w:val="center"/>
          </w:tcPr>
          <w:p w14:paraId="6A216117" w14:textId="77777777" w:rsidR="00085F16" w:rsidRPr="00BF74A5" w:rsidRDefault="00085F16" w:rsidP="00085F16">
            <w:pPr>
              <w:jc w:val="both"/>
              <w:rPr>
                <w:sz w:val="20"/>
                <w:lang w:eastAsia="ja-JP"/>
              </w:rPr>
            </w:pPr>
            <w:r w:rsidRPr="00BF74A5">
              <w:rPr>
                <w:sz w:val="20"/>
                <w:lang w:eastAsia="ja-JP"/>
              </w:rPr>
              <w:t>345.7</w:t>
            </w:r>
          </w:p>
        </w:tc>
        <w:tc>
          <w:tcPr>
            <w:tcW w:w="842" w:type="pct"/>
            <w:tcBorders>
              <w:top w:val="nil"/>
              <w:left w:val="nil"/>
              <w:bottom w:val="single" w:sz="4" w:space="0" w:color="auto"/>
              <w:right w:val="single" w:sz="4" w:space="0" w:color="auto"/>
            </w:tcBorders>
            <w:shd w:val="clear" w:color="auto" w:fill="DEEAF6" w:themeFill="accent1" w:themeFillTint="33"/>
            <w:noWrap/>
            <w:vAlign w:val="bottom"/>
          </w:tcPr>
          <w:p w14:paraId="1D969449" w14:textId="77777777" w:rsidR="00085F16" w:rsidRPr="00BF74A5" w:rsidRDefault="00085F16" w:rsidP="00085F16">
            <w:pPr>
              <w:jc w:val="both"/>
              <w:rPr>
                <w:sz w:val="20"/>
                <w:lang w:eastAsia="ja-JP"/>
              </w:rPr>
            </w:pPr>
            <w:r w:rsidRPr="00BF74A5">
              <w:rPr>
                <w:sz w:val="20"/>
                <w:lang w:eastAsia="ja-JP"/>
              </w:rPr>
              <w:t>366.0</w:t>
            </w:r>
          </w:p>
        </w:tc>
        <w:tc>
          <w:tcPr>
            <w:tcW w:w="842" w:type="pct"/>
            <w:tcBorders>
              <w:top w:val="nil"/>
              <w:left w:val="nil"/>
              <w:bottom w:val="single" w:sz="4" w:space="0" w:color="auto"/>
              <w:right w:val="single" w:sz="4" w:space="0" w:color="auto"/>
            </w:tcBorders>
            <w:shd w:val="clear" w:color="auto" w:fill="DEEAF6" w:themeFill="accent1" w:themeFillTint="33"/>
            <w:noWrap/>
            <w:vAlign w:val="bottom"/>
          </w:tcPr>
          <w:p w14:paraId="34C381B2" w14:textId="77777777" w:rsidR="00085F16" w:rsidRPr="00BF74A5" w:rsidRDefault="00085F16" w:rsidP="00085F16">
            <w:pPr>
              <w:jc w:val="both"/>
              <w:rPr>
                <w:sz w:val="20"/>
                <w:lang w:eastAsia="ja-JP"/>
              </w:rPr>
            </w:pPr>
            <w:r w:rsidRPr="00BF74A5">
              <w:rPr>
                <w:sz w:val="20"/>
                <w:lang w:eastAsia="ja-JP"/>
              </w:rPr>
              <w:t>390.9</w:t>
            </w:r>
          </w:p>
        </w:tc>
      </w:tr>
      <w:tr w:rsidR="00085F16" w:rsidRPr="007E10E6" w14:paraId="639016F2" w14:textId="77777777" w:rsidTr="00085F16">
        <w:trPr>
          <w:trHeight w:val="245"/>
        </w:trPr>
        <w:tc>
          <w:tcPr>
            <w:tcW w:w="1449" w:type="pct"/>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59A15796" w14:textId="77777777" w:rsidR="00085F16" w:rsidRPr="00BF74A5" w:rsidRDefault="00085F16" w:rsidP="00085F16">
            <w:pPr>
              <w:jc w:val="both"/>
              <w:rPr>
                <w:b/>
                <w:sz w:val="20"/>
                <w:lang w:eastAsia="ja-JP"/>
              </w:rPr>
            </w:pPr>
            <w:r w:rsidRPr="00BF74A5">
              <w:rPr>
                <w:b/>
                <w:sz w:val="20"/>
                <w:lang w:eastAsia="ja-JP"/>
              </w:rPr>
              <w:t xml:space="preserve"> Mallra dhe  Shërbime </w:t>
            </w:r>
          </w:p>
        </w:tc>
        <w:tc>
          <w:tcPr>
            <w:tcW w:w="971" w:type="pct"/>
            <w:tcBorders>
              <w:top w:val="nil"/>
              <w:left w:val="nil"/>
              <w:bottom w:val="single" w:sz="4" w:space="0" w:color="auto"/>
              <w:right w:val="single" w:sz="4" w:space="0" w:color="auto"/>
            </w:tcBorders>
            <w:shd w:val="clear" w:color="auto" w:fill="DEEAF6" w:themeFill="accent1" w:themeFillTint="33"/>
            <w:noWrap/>
            <w:vAlign w:val="center"/>
            <w:hideMark/>
          </w:tcPr>
          <w:p w14:paraId="1DA9F122" w14:textId="77777777" w:rsidR="00085F16" w:rsidRPr="00BF74A5" w:rsidRDefault="00085F16" w:rsidP="00085F16">
            <w:pPr>
              <w:jc w:val="both"/>
              <w:rPr>
                <w:sz w:val="20"/>
                <w:lang w:eastAsia="ja-JP"/>
              </w:rPr>
            </w:pPr>
            <w:r w:rsidRPr="00BF74A5">
              <w:rPr>
                <w:sz w:val="20"/>
                <w:lang w:eastAsia="ja-JP"/>
              </w:rPr>
              <w:t>236.1</w:t>
            </w:r>
          </w:p>
        </w:tc>
        <w:tc>
          <w:tcPr>
            <w:tcW w:w="895" w:type="pct"/>
            <w:tcBorders>
              <w:top w:val="nil"/>
              <w:left w:val="nil"/>
              <w:bottom w:val="single" w:sz="4" w:space="0" w:color="auto"/>
              <w:right w:val="single" w:sz="4" w:space="0" w:color="auto"/>
            </w:tcBorders>
            <w:shd w:val="clear" w:color="auto" w:fill="DEEAF6" w:themeFill="accent1" w:themeFillTint="33"/>
            <w:noWrap/>
            <w:vAlign w:val="center"/>
          </w:tcPr>
          <w:p w14:paraId="1B945E73" w14:textId="77777777" w:rsidR="00085F16" w:rsidRPr="00BF74A5" w:rsidRDefault="00085F16" w:rsidP="00085F16">
            <w:pPr>
              <w:jc w:val="both"/>
              <w:rPr>
                <w:sz w:val="20"/>
                <w:lang w:eastAsia="ja-JP"/>
              </w:rPr>
            </w:pPr>
            <w:r w:rsidRPr="00BF74A5">
              <w:rPr>
                <w:sz w:val="20"/>
                <w:lang w:eastAsia="ja-JP"/>
              </w:rPr>
              <w:t>246.0</w:t>
            </w:r>
          </w:p>
        </w:tc>
        <w:tc>
          <w:tcPr>
            <w:tcW w:w="842" w:type="pct"/>
            <w:tcBorders>
              <w:top w:val="nil"/>
              <w:left w:val="nil"/>
              <w:bottom w:val="single" w:sz="4" w:space="0" w:color="auto"/>
              <w:right w:val="single" w:sz="4" w:space="0" w:color="auto"/>
            </w:tcBorders>
            <w:shd w:val="clear" w:color="auto" w:fill="DEEAF6" w:themeFill="accent1" w:themeFillTint="33"/>
            <w:noWrap/>
            <w:vAlign w:val="bottom"/>
          </w:tcPr>
          <w:p w14:paraId="25F824FD" w14:textId="77777777" w:rsidR="00085F16" w:rsidRPr="00BF74A5" w:rsidRDefault="00085F16" w:rsidP="00085F16">
            <w:pPr>
              <w:jc w:val="both"/>
              <w:rPr>
                <w:sz w:val="20"/>
                <w:lang w:eastAsia="ja-JP"/>
              </w:rPr>
            </w:pPr>
            <w:r w:rsidRPr="00BF74A5">
              <w:rPr>
                <w:sz w:val="20"/>
                <w:lang w:eastAsia="ja-JP"/>
              </w:rPr>
              <w:t>249.9</w:t>
            </w:r>
          </w:p>
        </w:tc>
        <w:tc>
          <w:tcPr>
            <w:tcW w:w="842" w:type="pct"/>
            <w:tcBorders>
              <w:top w:val="nil"/>
              <w:left w:val="nil"/>
              <w:bottom w:val="single" w:sz="4" w:space="0" w:color="auto"/>
              <w:right w:val="single" w:sz="4" w:space="0" w:color="auto"/>
            </w:tcBorders>
            <w:shd w:val="clear" w:color="auto" w:fill="DEEAF6" w:themeFill="accent1" w:themeFillTint="33"/>
            <w:noWrap/>
            <w:vAlign w:val="bottom"/>
          </w:tcPr>
          <w:p w14:paraId="3BAFD521" w14:textId="77777777" w:rsidR="00085F16" w:rsidRPr="00BF74A5" w:rsidRDefault="00085F16" w:rsidP="00085F16">
            <w:pPr>
              <w:jc w:val="both"/>
              <w:rPr>
                <w:sz w:val="20"/>
                <w:lang w:eastAsia="ja-JP"/>
              </w:rPr>
            </w:pPr>
            <w:r w:rsidRPr="00BF74A5">
              <w:rPr>
                <w:sz w:val="20"/>
                <w:lang w:eastAsia="ja-JP"/>
              </w:rPr>
              <w:t>252.7</w:t>
            </w:r>
          </w:p>
        </w:tc>
      </w:tr>
      <w:tr w:rsidR="00085F16" w:rsidRPr="007E10E6" w14:paraId="5FCC7BD8" w14:textId="77777777" w:rsidTr="00085F16">
        <w:trPr>
          <w:trHeight w:val="160"/>
        </w:trPr>
        <w:tc>
          <w:tcPr>
            <w:tcW w:w="1449" w:type="pct"/>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29CD3874" w14:textId="77777777" w:rsidR="00085F16" w:rsidRPr="00BF74A5" w:rsidRDefault="00085F16" w:rsidP="00085F16">
            <w:pPr>
              <w:jc w:val="both"/>
              <w:rPr>
                <w:b/>
                <w:sz w:val="20"/>
                <w:lang w:eastAsia="ja-JP"/>
              </w:rPr>
            </w:pPr>
            <w:r w:rsidRPr="00BF74A5">
              <w:rPr>
                <w:b/>
                <w:sz w:val="20"/>
                <w:lang w:eastAsia="ja-JP"/>
              </w:rPr>
              <w:t xml:space="preserve">  Shpenzimet  Komunale  </w:t>
            </w:r>
          </w:p>
        </w:tc>
        <w:tc>
          <w:tcPr>
            <w:tcW w:w="971" w:type="pct"/>
            <w:tcBorders>
              <w:top w:val="nil"/>
              <w:left w:val="nil"/>
              <w:bottom w:val="single" w:sz="4" w:space="0" w:color="auto"/>
              <w:right w:val="single" w:sz="4" w:space="0" w:color="auto"/>
            </w:tcBorders>
            <w:shd w:val="clear" w:color="auto" w:fill="DEEAF6" w:themeFill="accent1" w:themeFillTint="33"/>
            <w:noWrap/>
            <w:vAlign w:val="center"/>
            <w:hideMark/>
          </w:tcPr>
          <w:p w14:paraId="40FB7B41" w14:textId="77777777" w:rsidR="00085F16" w:rsidRPr="00BF74A5" w:rsidRDefault="00085F16" w:rsidP="00085F16">
            <w:pPr>
              <w:jc w:val="both"/>
              <w:rPr>
                <w:sz w:val="20"/>
                <w:lang w:eastAsia="ja-JP"/>
              </w:rPr>
            </w:pPr>
            <w:r w:rsidRPr="00BF74A5">
              <w:rPr>
                <w:sz w:val="20"/>
                <w:lang w:eastAsia="ja-JP"/>
              </w:rPr>
              <w:t>18.2</w:t>
            </w:r>
          </w:p>
        </w:tc>
        <w:tc>
          <w:tcPr>
            <w:tcW w:w="895" w:type="pct"/>
            <w:tcBorders>
              <w:top w:val="nil"/>
              <w:left w:val="nil"/>
              <w:bottom w:val="single" w:sz="4" w:space="0" w:color="auto"/>
              <w:right w:val="single" w:sz="4" w:space="0" w:color="auto"/>
            </w:tcBorders>
            <w:shd w:val="clear" w:color="auto" w:fill="DEEAF6" w:themeFill="accent1" w:themeFillTint="33"/>
            <w:noWrap/>
            <w:vAlign w:val="center"/>
          </w:tcPr>
          <w:p w14:paraId="0AB44089" w14:textId="77777777" w:rsidR="00085F16" w:rsidRPr="00BF74A5" w:rsidRDefault="00085F16" w:rsidP="00085F16">
            <w:pPr>
              <w:jc w:val="both"/>
              <w:rPr>
                <w:sz w:val="20"/>
                <w:lang w:eastAsia="ja-JP"/>
              </w:rPr>
            </w:pPr>
            <w:r w:rsidRPr="00BF74A5">
              <w:rPr>
                <w:sz w:val="20"/>
                <w:lang w:eastAsia="ja-JP"/>
              </w:rPr>
              <w:t>19.1</w:t>
            </w:r>
          </w:p>
        </w:tc>
        <w:tc>
          <w:tcPr>
            <w:tcW w:w="842" w:type="pct"/>
            <w:tcBorders>
              <w:top w:val="nil"/>
              <w:left w:val="nil"/>
              <w:bottom w:val="single" w:sz="4" w:space="0" w:color="auto"/>
              <w:right w:val="single" w:sz="4" w:space="0" w:color="auto"/>
            </w:tcBorders>
            <w:shd w:val="clear" w:color="auto" w:fill="DEEAF6" w:themeFill="accent1" w:themeFillTint="33"/>
            <w:noWrap/>
            <w:vAlign w:val="bottom"/>
          </w:tcPr>
          <w:p w14:paraId="401C8C08" w14:textId="77777777" w:rsidR="00085F16" w:rsidRPr="00BF74A5" w:rsidRDefault="00085F16" w:rsidP="00085F16">
            <w:pPr>
              <w:jc w:val="both"/>
              <w:rPr>
                <w:sz w:val="20"/>
                <w:lang w:eastAsia="ja-JP"/>
              </w:rPr>
            </w:pPr>
            <w:r w:rsidRPr="00BF74A5">
              <w:rPr>
                <w:sz w:val="20"/>
                <w:lang w:eastAsia="ja-JP"/>
              </w:rPr>
              <w:t>18.5</w:t>
            </w:r>
          </w:p>
        </w:tc>
        <w:tc>
          <w:tcPr>
            <w:tcW w:w="842" w:type="pct"/>
            <w:tcBorders>
              <w:top w:val="nil"/>
              <w:left w:val="nil"/>
              <w:bottom w:val="single" w:sz="4" w:space="0" w:color="auto"/>
              <w:right w:val="single" w:sz="4" w:space="0" w:color="auto"/>
            </w:tcBorders>
            <w:shd w:val="clear" w:color="auto" w:fill="DEEAF6" w:themeFill="accent1" w:themeFillTint="33"/>
            <w:noWrap/>
            <w:vAlign w:val="bottom"/>
          </w:tcPr>
          <w:p w14:paraId="2234D497" w14:textId="77777777" w:rsidR="00085F16" w:rsidRPr="00BF74A5" w:rsidRDefault="00085F16" w:rsidP="00085F16">
            <w:pPr>
              <w:jc w:val="both"/>
              <w:rPr>
                <w:sz w:val="20"/>
                <w:lang w:eastAsia="ja-JP"/>
              </w:rPr>
            </w:pPr>
            <w:r w:rsidRPr="00BF74A5">
              <w:rPr>
                <w:sz w:val="20"/>
                <w:lang w:eastAsia="ja-JP"/>
              </w:rPr>
              <w:t>18.6</w:t>
            </w:r>
          </w:p>
        </w:tc>
      </w:tr>
      <w:tr w:rsidR="00085F16" w:rsidRPr="007E10E6" w14:paraId="132181C3" w14:textId="77777777" w:rsidTr="00085F16">
        <w:trPr>
          <w:trHeight w:val="179"/>
        </w:trPr>
        <w:tc>
          <w:tcPr>
            <w:tcW w:w="1449" w:type="pct"/>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42B80940" w14:textId="77777777" w:rsidR="00085F16" w:rsidRPr="00BF74A5" w:rsidRDefault="00085F16" w:rsidP="00085F16">
            <w:pPr>
              <w:jc w:val="both"/>
              <w:rPr>
                <w:b/>
                <w:sz w:val="20"/>
                <w:lang w:eastAsia="ja-JP"/>
              </w:rPr>
            </w:pPr>
            <w:r w:rsidRPr="00BF74A5">
              <w:rPr>
                <w:b/>
                <w:sz w:val="20"/>
                <w:lang w:eastAsia="ja-JP"/>
              </w:rPr>
              <w:t xml:space="preserve"> Subvencione dhe Transfere </w:t>
            </w:r>
          </w:p>
        </w:tc>
        <w:tc>
          <w:tcPr>
            <w:tcW w:w="971" w:type="pct"/>
            <w:tcBorders>
              <w:top w:val="nil"/>
              <w:left w:val="nil"/>
              <w:bottom w:val="single" w:sz="4" w:space="0" w:color="auto"/>
              <w:right w:val="single" w:sz="4" w:space="0" w:color="auto"/>
            </w:tcBorders>
            <w:shd w:val="clear" w:color="auto" w:fill="DEEAF6" w:themeFill="accent1" w:themeFillTint="33"/>
            <w:noWrap/>
            <w:vAlign w:val="center"/>
            <w:hideMark/>
          </w:tcPr>
          <w:p w14:paraId="2947B8CA" w14:textId="77777777" w:rsidR="00085F16" w:rsidRPr="00BF74A5" w:rsidRDefault="00085F16" w:rsidP="00085F16">
            <w:pPr>
              <w:jc w:val="both"/>
              <w:rPr>
                <w:sz w:val="20"/>
                <w:lang w:eastAsia="ja-JP"/>
              </w:rPr>
            </w:pPr>
            <w:r w:rsidRPr="00BF74A5">
              <w:rPr>
                <w:sz w:val="20"/>
                <w:lang w:eastAsia="ja-JP"/>
              </w:rPr>
              <w:t>587.6</w:t>
            </w:r>
          </w:p>
        </w:tc>
        <w:tc>
          <w:tcPr>
            <w:tcW w:w="895" w:type="pct"/>
            <w:tcBorders>
              <w:top w:val="nil"/>
              <w:left w:val="nil"/>
              <w:bottom w:val="single" w:sz="4" w:space="0" w:color="auto"/>
              <w:right w:val="single" w:sz="4" w:space="0" w:color="auto"/>
            </w:tcBorders>
            <w:shd w:val="clear" w:color="auto" w:fill="DEEAF6" w:themeFill="accent1" w:themeFillTint="33"/>
            <w:noWrap/>
            <w:vAlign w:val="center"/>
          </w:tcPr>
          <w:p w14:paraId="3F88DD5F" w14:textId="77777777" w:rsidR="00085F16" w:rsidRPr="00BF74A5" w:rsidRDefault="00085F16" w:rsidP="00085F16">
            <w:pPr>
              <w:jc w:val="both"/>
              <w:rPr>
                <w:sz w:val="20"/>
                <w:lang w:eastAsia="ja-JP"/>
              </w:rPr>
            </w:pPr>
            <w:r w:rsidRPr="00BF74A5">
              <w:rPr>
                <w:sz w:val="20"/>
                <w:lang w:eastAsia="ja-JP"/>
              </w:rPr>
              <w:t>618.7</w:t>
            </w:r>
          </w:p>
        </w:tc>
        <w:tc>
          <w:tcPr>
            <w:tcW w:w="842" w:type="pct"/>
            <w:tcBorders>
              <w:top w:val="nil"/>
              <w:left w:val="nil"/>
              <w:bottom w:val="single" w:sz="4" w:space="0" w:color="auto"/>
              <w:right w:val="single" w:sz="4" w:space="0" w:color="auto"/>
            </w:tcBorders>
            <w:shd w:val="clear" w:color="auto" w:fill="DEEAF6" w:themeFill="accent1" w:themeFillTint="33"/>
            <w:noWrap/>
            <w:vAlign w:val="bottom"/>
          </w:tcPr>
          <w:p w14:paraId="00A16400" w14:textId="77777777" w:rsidR="00085F16" w:rsidRPr="00BF74A5" w:rsidRDefault="00085F16" w:rsidP="00085F16">
            <w:pPr>
              <w:jc w:val="both"/>
              <w:rPr>
                <w:sz w:val="20"/>
                <w:lang w:eastAsia="ja-JP"/>
              </w:rPr>
            </w:pPr>
            <w:r w:rsidRPr="00BF74A5">
              <w:rPr>
                <w:sz w:val="20"/>
                <w:lang w:eastAsia="ja-JP"/>
              </w:rPr>
              <w:t>616.9</w:t>
            </w:r>
          </w:p>
        </w:tc>
        <w:tc>
          <w:tcPr>
            <w:tcW w:w="842" w:type="pct"/>
            <w:tcBorders>
              <w:top w:val="nil"/>
              <w:left w:val="nil"/>
              <w:bottom w:val="single" w:sz="4" w:space="0" w:color="auto"/>
              <w:right w:val="single" w:sz="4" w:space="0" w:color="auto"/>
            </w:tcBorders>
            <w:shd w:val="clear" w:color="auto" w:fill="DEEAF6" w:themeFill="accent1" w:themeFillTint="33"/>
            <w:noWrap/>
            <w:vAlign w:val="bottom"/>
          </w:tcPr>
          <w:p w14:paraId="4A860959" w14:textId="77777777" w:rsidR="00085F16" w:rsidRPr="00BF74A5" w:rsidRDefault="00085F16" w:rsidP="00085F16">
            <w:pPr>
              <w:jc w:val="both"/>
              <w:rPr>
                <w:sz w:val="20"/>
                <w:lang w:eastAsia="ja-JP"/>
              </w:rPr>
            </w:pPr>
            <w:r w:rsidRPr="00BF74A5">
              <w:rPr>
                <w:sz w:val="20"/>
                <w:lang w:eastAsia="ja-JP"/>
              </w:rPr>
              <w:t>620.6</w:t>
            </w:r>
          </w:p>
        </w:tc>
      </w:tr>
      <w:tr w:rsidR="00085F16" w:rsidRPr="007E10E6" w14:paraId="33E3502E" w14:textId="77777777" w:rsidTr="00085F16">
        <w:trPr>
          <w:trHeight w:val="301"/>
        </w:trPr>
        <w:tc>
          <w:tcPr>
            <w:tcW w:w="1449" w:type="pct"/>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077BE066" w14:textId="77777777" w:rsidR="00085F16" w:rsidRPr="00BF74A5" w:rsidRDefault="00085F16" w:rsidP="00085F16">
            <w:pPr>
              <w:jc w:val="both"/>
              <w:rPr>
                <w:b/>
                <w:sz w:val="20"/>
                <w:lang w:eastAsia="ja-JP"/>
              </w:rPr>
            </w:pPr>
            <w:r w:rsidRPr="00BF74A5">
              <w:rPr>
                <w:b/>
                <w:sz w:val="20"/>
                <w:lang w:eastAsia="ja-JP"/>
              </w:rPr>
              <w:t xml:space="preserve"> Shpenzimet Kapitale  </w:t>
            </w:r>
          </w:p>
        </w:tc>
        <w:tc>
          <w:tcPr>
            <w:tcW w:w="971" w:type="pct"/>
            <w:tcBorders>
              <w:top w:val="nil"/>
              <w:left w:val="nil"/>
              <w:bottom w:val="single" w:sz="4" w:space="0" w:color="auto"/>
              <w:right w:val="single" w:sz="4" w:space="0" w:color="auto"/>
            </w:tcBorders>
            <w:shd w:val="clear" w:color="auto" w:fill="DEEAF6" w:themeFill="accent1" w:themeFillTint="33"/>
            <w:noWrap/>
            <w:vAlign w:val="center"/>
            <w:hideMark/>
          </w:tcPr>
          <w:p w14:paraId="365C5244" w14:textId="77777777" w:rsidR="00085F16" w:rsidRPr="00BF74A5" w:rsidRDefault="00085F16" w:rsidP="00085F16">
            <w:pPr>
              <w:jc w:val="both"/>
              <w:rPr>
                <w:sz w:val="20"/>
                <w:lang w:eastAsia="ja-JP"/>
              </w:rPr>
            </w:pPr>
            <w:r w:rsidRPr="00BF74A5">
              <w:rPr>
                <w:sz w:val="20"/>
                <w:lang w:eastAsia="ja-JP"/>
              </w:rPr>
              <w:t>600.8</w:t>
            </w:r>
          </w:p>
        </w:tc>
        <w:tc>
          <w:tcPr>
            <w:tcW w:w="895" w:type="pct"/>
            <w:tcBorders>
              <w:top w:val="nil"/>
              <w:left w:val="nil"/>
              <w:bottom w:val="single" w:sz="4" w:space="0" w:color="auto"/>
              <w:right w:val="single" w:sz="4" w:space="0" w:color="auto"/>
            </w:tcBorders>
            <w:shd w:val="clear" w:color="auto" w:fill="DEEAF6" w:themeFill="accent1" w:themeFillTint="33"/>
            <w:noWrap/>
            <w:vAlign w:val="center"/>
          </w:tcPr>
          <w:p w14:paraId="0ECCD0CD" w14:textId="77777777" w:rsidR="00085F16" w:rsidRPr="00BF74A5" w:rsidRDefault="00085F16" w:rsidP="00085F16">
            <w:pPr>
              <w:jc w:val="both"/>
              <w:rPr>
                <w:sz w:val="20"/>
                <w:lang w:eastAsia="ja-JP"/>
              </w:rPr>
            </w:pPr>
            <w:r w:rsidRPr="00BF74A5">
              <w:rPr>
                <w:sz w:val="20"/>
                <w:lang w:eastAsia="ja-JP"/>
              </w:rPr>
              <w:t>622.6</w:t>
            </w:r>
          </w:p>
        </w:tc>
        <w:tc>
          <w:tcPr>
            <w:tcW w:w="842" w:type="pct"/>
            <w:tcBorders>
              <w:top w:val="nil"/>
              <w:left w:val="nil"/>
              <w:bottom w:val="single" w:sz="4" w:space="0" w:color="auto"/>
              <w:right w:val="single" w:sz="4" w:space="0" w:color="auto"/>
            </w:tcBorders>
            <w:shd w:val="clear" w:color="auto" w:fill="DEEAF6" w:themeFill="accent1" w:themeFillTint="33"/>
            <w:noWrap/>
            <w:vAlign w:val="bottom"/>
          </w:tcPr>
          <w:p w14:paraId="6272F0A2" w14:textId="77777777" w:rsidR="00085F16" w:rsidRPr="00BF74A5" w:rsidRDefault="00085F16" w:rsidP="00085F16">
            <w:pPr>
              <w:jc w:val="both"/>
              <w:rPr>
                <w:sz w:val="20"/>
                <w:lang w:eastAsia="ja-JP"/>
              </w:rPr>
            </w:pPr>
            <w:r w:rsidRPr="00BF74A5">
              <w:rPr>
                <w:sz w:val="20"/>
                <w:lang w:eastAsia="ja-JP"/>
              </w:rPr>
              <w:t>663.5</w:t>
            </w:r>
          </w:p>
        </w:tc>
        <w:tc>
          <w:tcPr>
            <w:tcW w:w="842" w:type="pct"/>
            <w:tcBorders>
              <w:top w:val="nil"/>
              <w:left w:val="nil"/>
              <w:bottom w:val="single" w:sz="4" w:space="0" w:color="auto"/>
              <w:right w:val="single" w:sz="4" w:space="0" w:color="auto"/>
            </w:tcBorders>
            <w:shd w:val="clear" w:color="auto" w:fill="DEEAF6" w:themeFill="accent1" w:themeFillTint="33"/>
            <w:noWrap/>
            <w:vAlign w:val="bottom"/>
          </w:tcPr>
          <w:p w14:paraId="6E865E7A" w14:textId="77777777" w:rsidR="00085F16" w:rsidRPr="00BF74A5" w:rsidRDefault="00085F16" w:rsidP="00085F16">
            <w:pPr>
              <w:jc w:val="both"/>
              <w:rPr>
                <w:sz w:val="20"/>
                <w:lang w:eastAsia="ja-JP"/>
              </w:rPr>
            </w:pPr>
            <w:r w:rsidRPr="00BF74A5">
              <w:rPr>
                <w:sz w:val="20"/>
                <w:lang w:eastAsia="ja-JP"/>
              </w:rPr>
              <w:t>677.9</w:t>
            </w:r>
          </w:p>
        </w:tc>
      </w:tr>
      <w:tr w:rsidR="00085F16" w:rsidRPr="007E10E6" w14:paraId="136C3A98" w14:textId="77777777" w:rsidTr="00085F16">
        <w:trPr>
          <w:trHeight w:val="153"/>
        </w:trPr>
        <w:tc>
          <w:tcPr>
            <w:tcW w:w="1449" w:type="pct"/>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3287B0E1" w14:textId="77777777" w:rsidR="00085F16" w:rsidRPr="00BF74A5" w:rsidRDefault="00085F16" w:rsidP="00085F16">
            <w:pPr>
              <w:jc w:val="both"/>
              <w:rPr>
                <w:b/>
                <w:sz w:val="20"/>
                <w:lang w:eastAsia="ja-JP"/>
              </w:rPr>
            </w:pPr>
            <w:r w:rsidRPr="00BF74A5">
              <w:rPr>
                <w:b/>
                <w:sz w:val="20"/>
                <w:lang w:eastAsia="ja-JP"/>
              </w:rPr>
              <w:t xml:space="preserve"> Rezerva  </w:t>
            </w:r>
          </w:p>
        </w:tc>
        <w:tc>
          <w:tcPr>
            <w:tcW w:w="971" w:type="pct"/>
            <w:tcBorders>
              <w:top w:val="nil"/>
              <w:left w:val="nil"/>
              <w:bottom w:val="single" w:sz="4" w:space="0" w:color="auto"/>
              <w:right w:val="single" w:sz="4" w:space="0" w:color="auto"/>
            </w:tcBorders>
            <w:shd w:val="clear" w:color="auto" w:fill="DEEAF6" w:themeFill="accent1" w:themeFillTint="33"/>
            <w:noWrap/>
            <w:vAlign w:val="center"/>
            <w:hideMark/>
          </w:tcPr>
          <w:p w14:paraId="1A997C1C" w14:textId="77777777" w:rsidR="00085F16" w:rsidRPr="00BF74A5" w:rsidRDefault="00085F16" w:rsidP="00085F16">
            <w:pPr>
              <w:jc w:val="both"/>
              <w:rPr>
                <w:sz w:val="20"/>
                <w:lang w:eastAsia="ja-JP"/>
              </w:rPr>
            </w:pPr>
            <w:r w:rsidRPr="00BF74A5">
              <w:rPr>
                <w:sz w:val="20"/>
                <w:lang w:eastAsia="ja-JP"/>
              </w:rPr>
              <w:t>4.8</w:t>
            </w:r>
          </w:p>
        </w:tc>
        <w:tc>
          <w:tcPr>
            <w:tcW w:w="895" w:type="pct"/>
            <w:tcBorders>
              <w:top w:val="nil"/>
              <w:left w:val="nil"/>
              <w:bottom w:val="single" w:sz="4" w:space="0" w:color="auto"/>
              <w:right w:val="single" w:sz="4" w:space="0" w:color="auto"/>
            </w:tcBorders>
            <w:shd w:val="clear" w:color="auto" w:fill="DEEAF6" w:themeFill="accent1" w:themeFillTint="33"/>
            <w:noWrap/>
            <w:vAlign w:val="center"/>
          </w:tcPr>
          <w:p w14:paraId="0D3B05E2" w14:textId="77777777" w:rsidR="00085F16" w:rsidRPr="00BF74A5" w:rsidRDefault="00085F16" w:rsidP="00085F16">
            <w:pPr>
              <w:jc w:val="both"/>
              <w:rPr>
                <w:sz w:val="20"/>
                <w:lang w:eastAsia="ja-JP"/>
              </w:rPr>
            </w:pPr>
            <w:r w:rsidRPr="00BF74A5">
              <w:rPr>
                <w:sz w:val="20"/>
                <w:lang w:eastAsia="ja-JP"/>
              </w:rPr>
              <w:t>4.8</w:t>
            </w:r>
          </w:p>
        </w:tc>
        <w:tc>
          <w:tcPr>
            <w:tcW w:w="842" w:type="pct"/>
            <w:tcBorders>
              <w:top w:val="nil"/>
              <w:left w:val="nil"/>
              <w:bottom w:val="single" w:sz="4" w:space="0" w:color="auto"/>
              <w:right w:val="single" w:sz="4" w:space="0" w:color="auto"/>
            </w:tcBorders>
            <w:shd w:val="clear" w:color="auto" w:fill="DEEAF6" w:themeFill="accent1" w:themeFillTint="33"/>
            <w:noWrap/>
            <w:vAlign w:val="bottom"/>
          </w:tcPr>
          <w:p w14:paraId="2C5D5C0F" w14:textId="77777777" w:rsidR="00085F16" w:rsidRPr="00BF74A5" w:rsidRDefault="00085F16" w:rsidP="00085F16">
            <w:pPr>
              <w:jc w:val="both"/>
              <w:rPr>
                <w:sz w:val="20"/>
                <w:lang w:eastAsia="ja-JP"/>
              </w:rPr>
            </w:pPr>
            <w:r w:rsidRPr="00BF74A5">
              <w:rPr>
                <w:sz w:val="20"/>
                <w:lang w:eastAsia="ja-JP"/>
              </w:rPr>
              <w:t>4.8</w:t>
            </w:r>
          </w:p>
        </w:tc>
        <w:tc>
          <w:tcPr>
            <w:tcW w:w="842" w:type="pct"/>
            <w:tcBorders>
              <w:top w:val="nil"/>
              <w:left w:val="nil"/>
              <w:bottom w:val="single" w:sz="4" w:space="0" w:color="auto"/>
              <w:right w:val="single" w:sz="4" w:space="0" w:color="auto"/>
            </w:tcBorders>
            <w:shd w:val="clear" w:color="auto" w:fill="DEEAF6" w:themeFill="accent1" w:themeFillTint="33"/>
            <w:noWrap/>
            <w:vAlign w:val="bottom"/>
          </w:tcPr>
          <w:p w14:paraId="14A184B1" w14:textId="77777777" w:rsidR="00085F16" w:rsidRPr="00BF74A5" w:rsidRDefault="00085F16" w:rsidP="00085F16">
            <w:pPr>
              <w:jc w:val="both"/>
              <w:rPr>
                <w:sz w:val="20"/>
                <w:lang w:eastAsia="ja-JP"/>
              </w:rPr>
            </w:pPr>
            <w:r w:rsidRPr="00BF74A5">
              <w:rPr>
                <w:sz w:val="20"/>
                <w:lang w:eastAsia="ja-JP"/>
              </w:rPr>
              <w:t>4.8</w:t>
            </w:r>
          </w:p>
        </w:tc>
      </w:tr>
      <w:tr w:rsidR="00085F16" w:rsidRPr="007E10E6" w14:paraId="09DA4AD6" w14:textId="77777777" w:rsidTr="00085F16">
        <w:trPr>
          <w:trHeight w:val="245"/>
        </w:trPr>
        <w:tc>
          <w:tcPr>
            <w:tcW w:w="1449" w:type="pct"/>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3A1086DA" w14:textId="77777777" w:rsidR="00085F16" w:rsidRPr="00BF74A5" w:rsidRDefault="00085F16" w:rsidP="00085F16">
            <w:pPr>
              <w:jc w:val="both"/>
              <w:rPr>
                <w:b/>
                <w:sz w:val="20"/>
                <w:lang w:eastAsia="ja-JP"/>
              </w:rPr>
            </w:pPr>
            <w:r w:rsidRPr="00BF74A5">
              <w:rPr>
                <w:b/>
                <w:sz w:val="20"/>
                <w:lang w:eastAsia="ja-JP"/>
              </w:rPr>
              <w:t xml:space="preserve"> Total </w:t>
            </w:r>
          </w:p>
        </w:tc>
        <w:tc>
          <w:tcPr>
            <w:tcW w:w="971" w:type="pct"/>
            <w:tcBorders>
              <w:top w:val="nil"/>
              <w:left w:val="nil"/>
              <w:bottom w:val="single" w:sz="4" w:space="0" w:color="auto"/>
              <w:right w:val="single" w:sz="4" w:space="0" w:color="auto"/>
            </w:tcBorders>
            <w:shd w:val="clear" w:color="auto" w:fill="DEEAF6" w:themeFill="accent1" w:themeFillTint="33"/>
            <w:noWrap/>
            <w:vAlign w:val="center"/>
            <w:hideMark/>
          </w:tcPr>
          <w:p w14:paraId="2712246D" w14:textId="77777777" w:rsidR="00085F16" w:rsidRPr="00BF74A5" w:rsidRDefault="00085F16" w:rsidP="00085F16">
            <w:pPr>
              <w:jc w:val="both"/>
              <w:rPr>
                <w:b/>
                <w:sz w:val="20"/>
                <w:lang w:eastAsia="ja-JP"/>
              </w:rPr>
            </w:pPr>
            <w:r w:rsidRPr="00BF74A5">
              <w:rPr>
                <w:b/>
                <w:sz w:val="20"/>
                <w:lang w:eastAsia="ja-JP"/>
              </w:rPr>
              <w:t>1,795.5</w:t>
            </w:r>
          </w:p>
        </w:tc>
        <w:tc>
          <w:tcPr>
            <w:tcW w:w="895" w:type="pct"/>
            <w:tcBorders>
              <w:top w:val="nil"/>
              <w:left w:val="nil"/>
              <w:bottom w:val="single" w:sz="4" w:space="0" w:color="auto"/>
              <w:right w:val="single" w:sz="4" w:space="0" w:color="auto"/>
            </w:tcBorders>
            <w:shd w:val="clear" w:color="auto" w:fill="DEEAF6" w:themeFill="accent1" w:themeFillTint="33"/>
            <w:noWrap/>
            <w:vAlign w:val="center"/>
          </w:tcPr>
          <w:p w14:paraId="7E0C2B28" w14:textId="77777777" w:rsidR="00085F16" w:rsidRPr="00BF74A5" w:rsidRDefault="00085F16" w:rsidP="00085F16">
            <w:pPr>
              <w:jc w:val="both"/>
              <w:rPr>
                <w:b/>
                <w:sz w:val="20"/>
                <w:lang w:eastAsia="ja-JP"/>
              </w:rPr>
            </w:pPr>
            <w:r w:rsidRPr="00BF74A5">
              <w:rPr>
                <w:b/>
                <w:sz w:val="20"/>
                <w:lang w:eastAsia="ja-JP"/>
              </w:rPr>
              <w:t>1,856.9</w:t>
            </w:r>
          </w:p>
        </w:tc>
        <w:tc>
          <w:tcPr>
            <w:tcW w:w="842" w:type="pct"/>
            <w:tcBorders>
              <w:top w:val="nil"/>
              <w:left w:val="nil"/>
              <w:bottom w:val="single" w:sz="4" w:space="0" w:color="auto"/>
              <w:right w:val="single" w:sz="4" w:space="0" w:color="auto"/>
            </w:tcBorders>
            <w:shd w:val="clear" w:color="auto" w:fill="DEEAF6" w:themeFill="accent1" w:themeFillTint="33"/>
            <w:noWrap/>
            <w:vAlign w:val="bottom"/>
          </w:tcPr>
          <w:p w14:paraId="33E09B43" w14:textId="77777777" w:rsidR="00085F16" w:rsidRPr="00BF74A5" w:rsidRDefault="00085F16" w:rsidP="00085F16">
            <w:pPr>
              <w:jc w:val="both"/>
              <w:rPr>
                <w:b/>
                <w:sz w:val="20"/>
                <w:lang w:eastAsia="ja-JP"/>
              </w:rPr>
            </w:pPr>
            <w:r w:rsidRPr="00BF74A5">
              <w:rPr>
                <w:b/>
                <w:sz w:val="20"/>
                <w:lang w:eastAsia="ja-JP"/>
              </w:rPr>
              <w:t>1,919.7</w:t>
            </w:r>
          </w:p>
        </w:tc>
        <w:tc>
          <w:tcPr>
            <w:tcW w:w="842" w:type="pct"/>
            <w:tcBorders>
              <w:top w:val="nil"/>
              <w:left w:val="nil"/>
              <w:bottom w:val="single" w:sz="4" w:space="0" w:color="auto"/>
              <w:right w:val="single" w:sz="4" w:space="0" w:color="auto"/>
            </w:tcBorders>
            <w:shd w:val="clear" w:color="auto" w:fill="DEEAF6" w:themeFill="accent1" w:themeFillTint="33"/>
            <w:noWrap/>
            <w:vAlign w:val="bottom"/>
          </w:tcPr>
          <w:p w14:paraId="4AB12B63" w14:textId="77777777" w:rsidR="00085F16" w:rsidRPr="00BF74A5" w:rsidRDefault="00085F16" w:rsidP="00085F16">
            <w:pPr>
              <w:jc w:val="both"/>
              <w:rPr>
                <w:b/>
                <w:sz w:val="20"/>
                <w:lang w:eastAsia="ja-JP"/>
              </w:rPr>
            </w:pPr>
            <w:r w:rsidRPr="00BF74A5">
              <w:rPr>
                <w:b/>
                <w:sz w:val="20"/>
                <w:lang w:eastAsia="ja-JP"/>
              </w:rPr>
              <w:t>1,965.4</w:t>
            </w:r>
          </w:p>
        </w:tc>
      </w:tr>
    </w:tbl>
    <w:p w14:paraId="1675AD5D" w14:textId="77777777" w:rsidR="00085F16" w:rsidRDefault="00085F16" w:rsidP="00085F16">
      <w:pPr>
        <w:spacing w:after="120"/>
        <w:jc w:val="both"/>
      </w:pPr>
    </w:p>
    <w:p w14:paraId="3B889669" w14:textId="77777777" w:rsidR="00085F16" w:rsidRPr="005E5D6B" w:rsidRDefault="00085F16" w:rsidP="00802FB3">
      <w:pPr>
        <w:keepNext/>
        <w:numPr>
          <w:ilvl w:val="2"/>
          <w:numId w:val="87"/>
        </w:numPr>
        <w:spacing w:after="120" w:line="240" w:lineRule="auto"/>
        <w:ind w:left="709"/>
        <w:jc w:val="both"/>
        <w:outlineLvl w:val="0"/>
        <w:rPr>
          <w:rFonts w:ascii="Times New Roman Bold" w:eastAsiaTheme="majorEastAsia" w:hAnsi="Times New Roman Bold"/>
          <w:bCs/>
          <w:iCs/>
          <w:kern w:val="28"/>
        </w:rPr>
      </w:pPr>
      <w:bookmarkStart w:id="156" w:name="_Toc25873735"/>
      <w:r w:rsidRPr="005E5D6B">
        <w:rPr>
          <w:rFonts w:ascii="Times New Roman Bold" w:eastAsiaTheme="majorEastAsia" w:hAnsi="Times New Roman Bold"/>
          <w:bCs/>
          <w:iCs/>
          <w:kern w:val="28"/>
        </w:rPr>
        <w:t>Parashikimet e shpenzimeve sipas kategorive ekonomike</w:t>
      </w:r>
      <w:bookmarkEnd w:id="156"/>
    </w:p>
    <w:p w14:paraId="01FF1AE2" w14:textId="77777777" w:rsidR="00085F16" w:rsidRPr="00620506" w:rsidRDefault="00085F16" w:rsidP="00085F16">
      <w:pPr>
        <w:spacing w:after="120" w:line="276" w:lineRule="auto"/>
        <w:jc w:val="both"/>
        <w:rPr>
          <w:rFonts w:ascii="Times New Roman" w:hAnsi="Times New Roman" w:cs="Times New Roman"/>
          <w:sz w:val="24"/>
          <w:szCs w:val="24"/>
        </w:rPr>
      </w:pPr>
      <w:r w:rsidRPr="00620506">
        <w:rPr>
          <w:rFonts w:ascii="Times New Roman" w:hAnsi="Times New Roman" w:cs="Times New Roman"/>
          <w:sz w:val="24"/>
          <w:szCs w:val="24"/>
        </w:rPr>
        <w:t>Shpenzimet e përgjithshme qeveritare në mesatare pritet të jenë më të larta për rreth 3.2% në periudhën afat mesme.</w:t>
      </w:r>
    </w:p>
    <w:p w14:paraId="32B6F052" w14:textId="77777777" w:rsidR="00085F16" w:rsidRPr="00620506" w:rsidRDefault="00085F16" w:rsidP="00085F16">
      <w:pPr>
        <w:spacing w:after="120" w:line="276" w:lineRule="auto"/>
        <w:jc w:val="both"/>
        <w:rPr>
          <w:rFonts w:ascii="Times New Roman" w:hAnsi="Times New Roman" w:cs="Times New Roman"/>
          <w:sz w:val="24"/>
          <w:szCs w:val="24"/>
        </w:rPr>
      </w:pPr>
      <w:r w:rsidRPr="00620506">
        <w:rPr>
          <w:rFonts w:ascii="Times New Roman" w:hAnsi="Times New Roman" w:cs="Times New Roman"/>
          <w:sz w:val="24"/>
          <w:szCs w:val="24"/>
        </w:rPr>
        <w:t xml:space="preserve">Shpenzimet rrjedhëse si pjesëmarrje në BPV gjatë vitit 2020  pritet të jenë 21.8% në BPV, përafërsisht njëjtë me vitin 2019. Kjo pjesëmarrje pritet të shënojë një rënie të lehtë përgjatë viteve 2021 dhe vitit 2022 në 21.2% dhe 20.7% respektivisht.  Shpenzimet kapitale janë planifikuar të qëndrojnë pothuajse rreth të njëjtit nivel të projektuar në buxhetin e vitit 2019 në raport me shpenzimet e përgjithshme buxhetore. Si pjesëmarrje në BPV, shpenzimet kapitale priten të kenë pjesëmarrje me rreth 10.5% në propozim buxhetin e vitit 2020. </w:t>
      </w:r>
    </w:p>
    <w:p w14:paraId="2F2E57AE" w14:textId="77777777" w:rsidR="00085F16" w:rsidRPr="00620506" w:rsidRDefault="00085F16" w:rsidP="00085F16">
      <w:pPr>
        <w:spacing w:after="120" w:line="276" w:lineRule="auto"/>
        <w:jc w:val="both"/>
        <w:rPr>
          <w:rFonts w:ascii="Times New Roman" w:hAnsi="Times New Roman" w:cs="Times New Roman"/>
          <w:sz w:val="24"/>
          <w:szCs w:val="24"/>
        </w:rPr>
      </w:pPr>
      <w:r w:rsidRPr="00620506">
        <w:rPr>
          <w:rFonts w:ascii="Times New Roman" w:hAnsi="Times New Roman" w:cs="Times New Roman"/>
          <w:sz w:val="24"/>
          <w:szCs w:val="24"/>
        </w:rPr>
        <w:t>Vlen të theksohet se shpenzimet kapitale e projektuara për vitin 2020 kanë inkuadruar edhe shpenzimet kapitale me karakter strategjik zhvillimor, të cilat pritet të financohen nga Institucionet Financiare Ndërkombëtare, dhe nga mjetet e likuidimit të ndërmarrjeve shoqërore. Këto shpenzime, sipas dispozitave ligjore përjashtohen nga kalkulimet e nivelit të përgjithshëm të deficitit sipas rregullës fiskale. Megjithatë, karakteri i këtyre shpenzimeve është detyrimisht i drejtuar në shpenzime kapitale për qëllime zhvillimore strategjike.</w:t>
      </w:r>
    </w:p>
    <w:p w14:paraId="1FE6692F" w14:textId="77777777" w:rsidR="00085F16" w:rsidRPr="008473A3" w:rsidRDefault="00085F16" w:rsidP="00085F16">
      <w:pPr>
        <w:pStyle w:val="Caption"/>
        <w:keepNext/>
        <w:spacing w:after="0"/>
        <w:jc w:val="both"/>
        <w:rPr>
          <w:rFonts w:ascii="Times New Roman" w:hAnsi="Times New Roman"/>
          <w:b/>
          <w:i w:val="0"/>
          <w:color w:val="auto"/>
        </w:rPr>
      </w:pPr>
      <w:bookmarkStart w:id="157" w:name="_Toc25673466"/>
      <w:r w:rsidRPr="008473A3">
        <w:rPr>
          <w:rFonts w:ascii="Times New Roman" w:hAnsi="Times New Roman"/>
          <w:b/>
          <w:i w:val="0"/>
          <w:color w:val="auto"/>
        </w:rPr>
        <w:t xml:space="preserve">Grafiku </w:t>
      </w:r>
      <w:r w:rsidRPr="008473A3">
        <w:rPr>
          <w:rFonts w:ascii="Times New Roman" w:hAnsi="Times New Roman"/>
          <w:b/>
          <w:i w:val="0"/>
          <w:color w:val="auto"/>
        </w:rPr>
        <w:fldChar w:fldCharType="begin"/>
      </w:r>
      <w:r w:rsidRPr="008473A3">
        <w:rPr>
          <w:rFonts w:ascii="Times New Roman" w:hAnsi="Times New Roman"/>
          <w:b/>
          <w:i w:val="0"/>
          <w:color w:val="auto"/>
        </w:rPr>
        <w:instrText xml:space="preserve"> SEQ Grafiku \* ARABIC </w:instrText>
      </w:r>
      <w:r w:rsidRPr="008473A3">
        <w:rPr>
          <w:rFonts w:ascii="Times New Roman" w:hAnsi="Times New Roman"/>
          <w:b/>
          <w:i w:val="0"/>
          <w:color w:val="auto"/>
        </w:rPr>
        <w:fldChar w:fldCharType="separate"/>
      </w:r>
      <w:r>
        <w:rPr>
          <w:rFonts w:ascii="Times New Roman" w:hAnsi="Times New Roman"/>
          <w:b/>
          <w:i w:val="0"/>
          <w:noProof/>
          <w:color w:val="auto"/>
        </w:rPr>
        <w:t>14</w:t>
      </w:r>
      <w:r w:rsidRPr="008473A3">
        <w:rPr>
          <w:rFonts w:ascii="Times New Roman" w:hAnsi="Times New Roman"/>
          <w:b/>
          <w:i w:val="0"/>
          <w:color w:val="auto"/>
        </w:rPr>
        <w:fldChar w:fldCharType="end"/>
      </w:r>
      <w:r w:rsidRPr="008473A3">
        <w:rPr>
          <w:rFonts w:ascii="Times New Roman" w:hAnsi="Times New Roman"/>
          <w:b/>
          <w:i w:val="0"/>
          <w:color w:val="auto"/>
        </w:rPr>
        <w:t xml:space="preserve"> Struktura e Shpenzimeve</w:t>
      </w:r>
      <w:bookmarkEnd w:id="157"/>
    </w:p>
    <w:p w14:paraId="655DE1AD" w14:textId="77777777" w:rsidR="00085F16" w:rsidRDefault="00085F16" w:rsidP="00085F16">
      <w:pPr>
        <w:spacing w:after="120"/>
        <w:jc w:val="both"/>
      </w:pPr>
      <w:r w:rsidRPr="007E10E6">
        <w:rPr>
          <w:noProof/>
          <w:lang w:val="en-US"/>
        </w:rPr>
        <w:drawing>
          <wp:inline distT="0" distB="0" distL="0" distR="0" wp14:anchorId="6D83F2E0" wp14:editId="7A095AFB">
            <wp:extent cx="5677469" cy="203835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DA78D20" w14:textId="77777777" w:rsidR="00085F16" w:rsidRPr="00620506" w:rsidRDefault="00085F16" w:rsidP="00085F16">
      <w:pPr>
        <w:spacing w:before="240" w:line="276" w:lineRule="auto"/>
        <w:jc w:val="both"/>
        <w:rPr>
          <w:rFonts w:ascii="Times New Roman" w:hAnsi="Times New Roman" w:cs="Times New Roman"/>
          <w:sz w:val="24"/>
          <w:szCs w:val="24"/>
        </w:rPr>
      </w:pPr>
      <w:r w:rsidRPr="00620506">
        <w:rPr>
          <w:rFonts w:ascii="Times New Roman" w:hAnsi="Times New Roman" w:cs="Times New Roman"/>
          <w:b/>
          <w:sz w:val="24"/>
          <w:szCs w:val="24"/>
        </w:rPr>
        <w:t>Shpenzimet për paga dhe mëditje</w:t>
      </w:r>
      <w:r w:rsidRPr="00620506">
        <w:rPr>
          <w:rFonts w:ascii="Times New Roman" w:hAnsi="Times New Roman" w:cs="Times New Roman"/>
          <w:sz w:val="24"/>
          <w:szCs w:val="24"/>
        </w:rPr>
        <w:t xml:space="preserve">: vazhdojnë të mbajnë një pjesëmarrje të konsiderueshme në shpenzimet e përgjithshme. Shpenzimet për kategorinë paga dhe mëditje për vitin 2020 janë paraparë të jenë 654 milionë EUR, një rritje prej rreth 5.5% në raport me shpenzimet e parashikuara për paga dhe mëditje me buxhetin për vitin 2019. Në anën tjetër, si pjesëmarrje e BPV-së kjo kategori e shpenzimeve në buxhetin e planifikuar për vitin 2020 (dhe për dy vitet pasardhëse) luhatet rreth nivelit të ngjashëm me atë të Buxhetit të vitit 2019, rreth 8.7%.  </w:t>
      </w:r>
    </w:p>
    <w:p w14:paraId="7FDDF850" w14:textId="77777777" w:rsidR="00085F16" w:rsidRPr="00620506" w:rsidRDefault="00085F16" w:rsidP="00085F16">
      <w:pPr>
        <w:spacing w:before="240" w:after="120" w:line="276" w:lineRule="auto"/>
        <w:jc w:val="both"/>
        <w:rPr>
          <w:rFonts w:ascii="Times New Roman" w:hAnsi="Times New Roman" w:cs="Times New Roman"/>
          <w:sz w:val="24"/>
          <w:szCs w:val="24"/>
        </w:rPr>
      </w:pPr>
      <w:r w:rsidRPr="00620506">
        <w:rPr>
          <w:rFonts w:ascii="Times New Roman" w:hAnsi="Times New Roman" w:cs="Times New Roman"/>
          <w:b/>
          <w:sz w:val="24"/>
          <w:szCs w:val="24"/>
        </w:rPr>
        <w:t>Subvencionet dhe transferet:</w:t>
      </w:r>
      <w:r w:rsidRPr="00620506">
        <w:rPr>
          <w:rFonts w:ascii="Times New Roman" w:hAnsi="Times New Roman" w:cs="Times New Roman"/>
          <w:sz w:val="24"/>
          <w:szCs w:val="24"/>
        </w:rPr>
        <w:t xml:space="preserve"> do të vazhdojnë ecurinë rritëse edhe gjatë vitit 2020. Kategoria e shpenzimeve ‘subvencione dhe transfere’ gjatë vitit 2020 pritet të arrijë vlerën prej 632 milionë EUR. Në raport me vlerën e buxhetuar për vitin 2019, shpenzimet e planifikuara për këtë kategori pritet të jenë më të larta për 5.4%, ndërsa në vitet vijuese 2021 dhe 2022 nuk presim një rritje të ndjeshme por vetëm rregullime brenda kësaj kategorie. Ndërsa, si pjesëmarrje në BPV, subvencionet dhe transferet në 2020 pritet të arrijnë nivelin prej 8.4%, me një tendencë rënëse në vitet vijuese (në 7.9% në 2021 dhe në 7.6% në 2022). Kjo rritje në subvencione transfere përfshin implementimin e Ligjit të Arsimtarëve dhe rritjen natyrore të numrit të përfituesve të pensioneve. </w:t>
      </w:r>
    </w:p>
    <w:p w14:paraId="018C004A" w14:textId="77777777" w:rsidR="00085F16" w:rsidRPr="00620506" w:rsidRDefault="00085F16" w:rsidP="00085F16">
      <w:pPr>
        <w:spacing w:before="240" w:after="120" w:line="276" w:lineRule="auto"/>
        <w:jc w:val="both"/>
        <w:rPr>
          <w:rFonts w:ascii="Times New Roman" w:hAnsi="Times New Roman" w:cs="Times New Roman"/>
          <w:sz w:val="24"/>
          <w:szCs w:val="24"/>
        </w:rPr>
      </w:pPr>
      <w:r w:rsidRPr="00620506">
        <w:rPr>
          <w:rFonts w:ascii="Times New Roman" w:hAnsi="Times New Roman" w:cs="Times New Roman"/>
          <w:b/>
          <w:sz w:val="24"/>
          <w:szCs w:val="24"/>
        </w:rPr>
        <w:t>Mallrat dhe shërbimet</w:t>
      </w:r>
      <w:r w:rsidRPr="00620506">
        <w:rPr>
          <w:rFonts w:ascii="Times New Roman" w:hAnsi="Times New Roman" w:cs="Times New Roman"/>
          <w:sz w:val="24"/>
          <w:szCs w:val="24"/>
        </w:rPr>
        <w:t>: Shpenzimet për këtë kategori, në vitin 2020 pritet të rriten në krahasim me vitin paraprak, duke arritur vlerën prej 352 milionë EUR, apo 4.7 % krahasuar me buxhetin e vitit paraprak për këtë kategori. Një prej faktorëve që ndikon në rritjen e kësaj kategori është riklasifikimi i shpenzimeve nga kategoria e shpenzimeve kapitale në kategorinë e mallrave dhe shërbimeve. Shpenzimet për mallra dhe shërbime si pjesëmarrje në BPV për vitin 2020 planifikohen të jenë rreth 4.7% dhe parashihen të bien në vitet vijuese (në 4.5% dhe 4.3% për vitin 2021 dhe vitin 2022, respektivisht), si rezultat i planeve për menaxhimin më të kujdesshëm të shpenzimeve te kjo kategori si në nivelin qendror ashtu dhe atë lokal.</w:t>
      </w:r>
    </w:p>
    <w:p w14:paraId="72F3C7A9" w14:textId="77777777" w:rsidR="00085F16" w:rsidRPr="00620506" w:rsidRDefault="00085F16" w:rsidP="00085F16">
      <w:pPr>
        <w:spacing w:before="240" w:after="120" w:line="276" w:lineRule="auto"/>
        <w:jc w:val="both"/>
        <w:rPr>
          <w:rFonts w:ascii="Times New Roman" w:hAnsi="Times New Roman" w:cs="Times New Roman"/>
          <w:sz w:val="24"/>
          <w:szCs w:val="24"/>
        </w:rPr>
      </w:pPr>
      <w:r w:rsidRPr="00620506">
        <w:rPr>
          <w:rFonts w:ascii="Times New Roman" w:hAnsi="Times New Roman" w:cs="Times New Roman"/>
          <w:b/>
          <w:sz w:val="24"/>
          <w:szCs w:val="24"/>
        </w:rPr>
        <w:t>Shpenzimet kapitale:</w:t>
      </w:r>
      <w:r w:rsidRPr="00620506">
        <w:rPr>
          <w:rFonts w:ascii="Times New Roman" w:hAnsi="Times New Roman" w:cs="Times New Roman"/>
          <w:sz w:val="24"/>
          <w:szCs w:val="24"/>
        </w:rPr>
        <w:t xml:space="preserve"> në propozim buxhetin e vitit 2020, shpenzimet për këtë kategori planifikohen të rriten lehtësisht për rreth 0.6% në raport me buxhetin për vitin 2019. Si pjesëmarrje e BPV-së, shpenzimet kapitale për vitin 2020 priten të luhaten rreth nivelit 10.5% dhe priten të  ruajnë nivelin mbi 10% në vitet vijuese. Pjesë e rëndësishme e investimeve kapitale do të jetë fillimi i projektit të rrugës Kijevë-Zahaq, vazhdimi i projektit M2 për Mitrovicë, dhe investimet tjera për përmirësimin e infrastrukturës lokale, sportive dhe arsimore, dhe projekte të cilat krahasuar me vitin e kaluar kanë shënuar rritje të ndjeshme.</w:t>
      </w:r>
    </w:p>
    <w:p w14:paraId="58618295" w14:textId="7C0EBB51" w:rsidR="00085F16" w:rsidRPr="00620506" w:rsidRDefault="00085F16" w:rsidP="00085F16">
      <w:pPr>
        <w:spacing w:line="276" w:lineRule="auto"/>
        <w:jc w:val="both"/>
        <w:rPr>
          <w:rFonts w:ascii="Times New Roman" w:hAnsi="Times New Roman" w:cs="Times New Roman"/>
          <w:sz w:val="24"/>
          <w:szCs w:val="24"/>
        </w:rPr>
      </w:pPr>
      <w:r w:rsidRPr="00620506">
        <w:rPr>
          <w:rFonts w:ascii="Times New Roman" w:hAnsi="Times New Roman" w:cs="Times New Roman"/>
          <w:b/>
          <w:sz w:val="24"/>
          <w:szCs w:val="24"/>
        </w:rPr>
        <w:t xml:space="preserve">Rikategorizimi i shpenzimeve: </w:t>
      </w:r>
      <w:r w:rsidRPr="00620506">
        <w:rPr>
          <w:rFonts w:ascii="Times New Roman" w:hAnsi="Times New Roman" w:cs="Times New Roman"/>
          <w:sz w:val="24"/>
          <w:szCs w:val="24"/>
        </w:rPr>
        <w:t>Me anë të buxhetit 2020, me qëllim të përshtatjes ndaj standardeve ndërkombëtare të raportimit financiar janë riklasifikuar shpenzimet kryesisht nga kapitalet në mallra si: a) mirëmbajtja e pajisjeve mjekësore; b) mirëmbajtja e komplekseve memoriale; c) pajisjet policore, etj.</w:t>
      </w:r>
    </w:p>
    <w:p w14:paraId="2FDB742F" w14:textId="77777777" w:rsidR="00085F16" w:rsidRPr="008473A3" w:rsidRDefault="00085F16" w:rsidP="00085F16">
      <w:pPr>
        <w:pStyle w:val="Caption"/>
        <w:keepNext/>
        <w:spacing w:after="0"/>
        <w:jc w:val="both"/>
        <w:rPr>
          <w:rFonts w:ascii="Times New Roman" w:hAnsi="Times New Roman"/>
          <w:b/>
          <w:i w:val="0"/>
          <w:color w:val="auto"/>
        </w:rPr>
      </w:pPr>
      <w:bookmarkStart w:id="158" w:name="_Toc25673448"/>
      <w:r w:rsidRPr="008473A3">
        <w:rPr>
          <w:rFonts w:ascii="Times New Roman" w:hAnsi="Times New Roman"/>
          <w:b/>
          <w:i w:val="0"/>
          <w:color w:val="auto"/>
        </w:rPr>
        <w:t xml:space="preserve">Tabela </w:t>
      </w:r>
      <w:r w:rsidRPr="008473A3">
        <w:rPr>
          <w:rFonts w:ascii="Times New Roman" w:hAnsi="Times New Roman"/>
          <w:b/>
          <w:i w:val="0"/>
          <w:color w:val="auto"/>
        </w:rPr>
        <w:fldChar w:fldCharType="begin"/>
      </w:r>
      <w:r w:rsidRPr="008473A3">
        <w:rPr>
          <w:rFonts w:ascii="Times New Roman" w:hAnsi="Times New Roman"/>
          <w:b/>
          <w:i w:val="0"/>
          <w:color w:val="auto"/>
        </w:rPr>
        <w:instrText xml:space="preserve"> SEQ Tabela \* ARABIC </w:instrText>
      </w:r>
      <w:r w:rsidRPr="008473A3">
        <w:rPr>
          <w:rFonts w:ascii="Times New Roman" w:hAnsi="Times New Roman"/>
          <w:b/>
          <w:i w:val="0"/>
          <w:color w:val="auto"/>
        </w:rPr>
        <w:fldChar w:fldCharType="separate"/>
      </w:r>
      <w:r>
        <w:rPr>
          <w:rFonts w:ascii="Times New Roman" w:hAnsi="Times New Roman"/>
          <w:b/>
          <w:i w:val="0"/>
          <w:noProof/>
          <w:color w:val="auto"/>
        </w:rPr>
        <w:t>10</w:t>
      </w:r>
      <w:r w:rsidRPr="008473A3">
        <w:rPr>
          <w:rFonts w:ascii="Times New Roman" w:hAnsi="Times New Roman"/>
          <w:b/>
          <w:i w:val="0"/>
          <w:color w:val="auto"/>
        </w:rPr>
        <w:fldChar w:fldCharType="end"/>
      </w:r>
      <w:r w:rsidRPr="008473A3">
        <w:rPr>
          <w:rFonts w:ascii="Times New Roman" w:hAnsi="Times New Roman"/>
          <w:b/>
          <w:i w:val="0"/>
          <w:color w:val="auto"/>
        </w:rPr>
        <w:t xml:space="preserve"> Shpenzimet buxhetore sipas kategorive ekonomike, 2017- 2022</w:t>
      </w:r>
      <w:bookmarkEnd w:id="1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1" w:themeFillTint="33"/>
        <w:tblLook w:val="04A0" w:firstRow="1" w:lastRow="0" w:firstColumn="1" w:lastColumn="0" w:noHBand="0" w:noVBand="1"/>
      </w:tblPr>
      <w:tblGrid>
        <w:gridCol w:w="4520"/>
        <w:gridCol w:w="735"/>
        <w:gridCol w:w="933"/>
        <w:gridCol w:w="872"/>
        <w:gridCol w:w="700"/>
        <w:gridCol w:w="829"/>
        <w:gridCol w:w="761"/>
      </w:tblGrid>
      <w:tr w:rsidR="00085F16" w:rsidRPr="00830EA4" w14:paraId="40E6BACC" w14:textId="77777777" w:rsidTr="00085F16">
        <w:trPr>
          <w:trHeight w:val="381"/>
        </w:trPr>
        <w:tc>
          <w:tcPr>
            <w:tcW w:w="2251" w:type="pct"/>
            <w:shd w:val="clear" w:color="auto" w:fill="DEEAF6" w:themeFill="accent1" w:themeFillTint="33"/>
            <w:noWrap/>
            <w:vAlign w:val="center"/>
            <w:hideMark/>
          </w:tcPr>
          <w:p w14:paraId="1104F1B0" w14:textId="77777777" w:rsidR="00085F16" w:rsidRPr="00830EA4" w:rsidRDefault="00085F16" w:rsidP="00085F16">
            <w:pPr>
              <w:jc w:val="both"/>
              <w:rPr>
                <w:b/>
                <w:sz w:val="20"/>
                <w:lang w:eastAsia="ja-JP"/>
              </w:rPr>
            </w:pPr>
            <w:r w:rsidRPr="00830EA4">
              <w:rPr>
                <w:b/>
                <w:sz w:val="20"/>
                <w:lang w:eastAsia="ja-JP"/>
              </w:rPr>
              <w:t>Përshkrimi</w:t>
            </w:r>
          </w:p>
        </w:tc>
        <w:tc>
          <w:tcPr>
            <w:tcW w:w="421" w:type="pct"/>
            <w:shd w:val="clear" w:color="auto" w:fill="DEEAF6" w:themeFill="accent1" w:themeFillTint="33"/>
            <w:vAlign w:val="center"/>
            <w:hideMark/>
          </w:tcPr>
          <w:p w14:paraId="05B8B2C6" w14:textId="77777777" w:rsidR="00085F16" w:rsidRPr="00830EA4" w:rsidRDefault="00085F16" w:rsidP="00085F16">
            <w:pPr>
              <w:jc w:val="both"/>
              <w:rPr>
                <w:b/>
                <w:sz w:val="20"/>
                <w:lang w:eastAsia="ja-JP"/>
              </w:rPr>
            </w:pPr>
            <w:r w:rsidRPr="00830EA4">
              <w:rPr>
                <w:b/>
                <w:sz w:val="20"/>
                <w:lang w:eastAsia="ja-JP"/>
              </w:rPr>
              <w:t>2017</w:t>
            </w:r>
          </w:p>
        </w:tc>
        <w:tc>
          <w:tcPr>
            <w:tcW w:w="527" w:type="pct"/>
            <w:shd w:val="clear" w:color="auto" w:fill="DEEAF6" w:themeFill="accent1" w:themeFillTint="33"/>
            <w:vAlign w:val="center"/>
            <w:hideMark/>
          </w:tcPr>
          <w:p w14:paraId="19AF147F" w14:textId="77777777" w:rsidR="00085F16" w:rsidRPr="00830EA4" w:rsidRDefault="00085F16" w:rsidP="00085F16">
            <w:pPr>
              <w:jc w:val="both"/>
              <w:rPr>
                <w:b/>
                <w:sz w:val="20"/>
                <w:lang w:eastAsia="ja-JP"/>
              </w:rPr>
            </w:pPr>
            <w:r w:rsidRPr="00830EA4">
              <w:rPr>
                <w:b/>
                <w:sz w:val="20"/>
                <w:lang w:eastAsia="ja-JP"/>
              </w:rPr>
              <w:t xml:space="preserve">2018 </w:t>
            </w:r>
          </w:p>
        </w:tc>
        <w:tc>
          <w:tcPr>
            <w:tcW w:w="494" w:type="pct"/>
            <w:shd w:val="clear" w:color="auto" w:fill="DEEAF6" w:themeFill="accent1" w:themeFillTint="33"/>
            <w:vAlign w:val="center"/>
            <w:hideMark/>
          </w:tcPr>
          <w:p w14:paraId="6CB2194F" w14:textId="77777777" w:rsidR="00085F16" w:rsidRPr="00830EA4" w:rsidRDefault="00085F16" w:rsidP="00085F16">
            <w:pPr>
              <w:jc w:val="both"/>
              <w:rPr>
                <w:b/>
                <w:sz w:val="20"/>
                <w:lang w:eastAsia="ja-JP"/>
              </w:rPr>
            </w:pPr>
            <w:r w:rsidRPr="00830EA4">
              <w:rPr>
                <w:b/>
                <w:sz w:val="20"/>
                <w:lang w:eastAsia="ja-JP"/>
              </w:rPr>
              <w:t xml:space="preserve">2019 </w:t>
            </w:r>
          </w:p>
          <w:p w14:paraId="0781EF5A" w14:textId="77777777" w:rsidR="00085F16" w:rsidRPr="00830EA4" w:rsidRDefault="00085F16" w:rsidP="00085F16">
            <w:pPr>
              <w:jc w:val="both"/>
              <w:rPr>
                <w:b/>
                <w:sz w:val="20"/>
                <w:lang w:eastAsia="ja-JP"/>
              </w:rPr>
            </w:pPr>
            <w:r w:rsidRPr="00830EA4">
              <w:rPr>
                <w:b/>
                <w:sz w:val="20"/>
                <w:lang w:eastAsia="ja-JP"/>
              </w:rPr>
              <w:t>Buxheti</w:t>
            </w:r>
          </w:p>
        </w:tc>
        <w:tc>
          <w:tcPr>
            <w:tcW w:w="402" w:type="pct"/>
            <w:shd w:val="clear" w:color="auto" w:fill="DEEAF6" w:themeFill="accent1" w:themeFillTint="33"/>
            <w:vAlign w:val="center"/>
            <w:hideMark/>
          </w:tcPr>
          <w:p w14:paraId="1EC808B8" w14:textId="77777777" w:rsidR="00085F16" w:rsidRPr="00830EA4" w:rsidRDefault="00085F16" w:rsidP="00085F16">
            <w:pPr>
              <w:jc w:val="both"/>
              <w:rPr>
                <w:b/>
                <w:sz w:val="20"/>
                <w:lang w:eastAsia="ja-JP"/>
              </w:rPr>
            </w:pPr>
            <w:r w:rsidRPr="00830EA4">
              <w:rPr>
                <w:b/>
                <w:sz w:val="20"/>
                <w:lang w:eastAsia="ja-JP"/>
              </w:rPr>
              <w:t>2020 Proj.</w:t>
            </w:r>
          </w:p>
        </w:tc>
        <w:tc>
          <w:tcPr>
            <w:tcW w:w="471" w:type="pct"/>
            <w:shd w:val="clear" w:color="auto" w:fill="DEEAF6" w:themeFill="accent1" w:themeFillTint="33"/>
          </w:tcPr>
          <w:p w14:paraId="7B033715" w14:textId="77777777" w:rsidR="00085F16" w:rsidRPr="00830EA4" w:rsidRDefault="00085F16" w:rsidP="00085F16">
            <w:pPr>
              <w:jc w:val="both"/>
              <w:rPr>
                <w:b/>
                <w:sz w:val="20"/>
                <w:lang w:eastAsia="ja-JP"/>
              </w:rPr>
            </w:pPr>
            <w:r w:rsidRPr="00830EA4">
              <w:rPr>
                <w:b/>
                <w:sz w:val="20"/>
                <w:lang w:eastAsia="ja-JP"/>
              </w:rPr>
              <w:t>2021 Proj.</w:t>
            </w:r>
          </w:p>
        </w:tc>
        <w:tc>
          <w:tcPr>
            <w:tcW w:w="434" w:type="pct"/>
            <w:shd w:val="clear" w:color="auto" w:fill="DEEAF6" w:themeFill="accent1" w:themeFillTint="33"/>
          </w:tcPr>
          <w:p w14:paraId="45652254" w14:textId="77777777" w:rsidR="00085F16" w:rsidRPr="00830EA4" w:rsidRDefault="00085F16" w:rsidP="00085F16">
            <w:pPr>
              <w:jc w:val="both"/>
              <w:rPr>
                <w:b/>
                <w:sz w:val="20"/>
                <w:lang w:eastAsia="ja-JP"/>
              </w:rPr>
            </w:pPr>
            <w:r w:rsidRPr="00830EA4">
              <w:rPr>
                <w:b/>
                <w:sz w:val="20"/>
                <w:lang w:eastAsia="ja-JP"/>
              </w:rPr>
              <w:t>2022</w:t>
            </w:r>
          </w:p>
          <w:p w14:paraId="53E2DA8A" w14:textId="77777777" w:rsidR="00085F16" w:rsidRPr="00830EA4" w:rsidRDefault="00085F16" w:rsidP="00085F16">
            <w:pPr>
              <w:jc w:val="both"/>
              <w:rPr>
                <w:b/>
                <w:sz w:val="20"/>
                <w:lang w:eastAsia="ja-JP"/>
              </w:rPr>
            </w:pPr>
            <w:r w:rsidRPr="00830EA4">
              <w:rPr>
                <w:b/>
                <w:sz w:val="20"/>
                <w:lang w:eastAsia="ja-JP"/>
              </w:rPr>
              <w:t xml:space="preserve">Proj. </w:t>
            </w:r>
          </w:p>
        </w:tc>
      </w:tr>
      <w:tr w:rsidR="00085F16" w:rsidRPr="00830EA4" w14:paraId="508BD95E" w14:textId="77777777" w:rsidTr="00085F16">
        <w:trPr>
          <w:trHeight w:val="71"/>
        </w:trPr>
        <w:tc>
          <w:tcPr>
            <w:tcW w:w="2251" w:type="pct"/>
            <w:shd w:val="clear" w:color="auto" w:fill="DEEAF6" w:themeFill="accent1" w:themeFillTint="33"/>
            <w:noWrap/>
            <w:vAlign w:val="bottom"/>
            <w:hideMark/>
          </w:tcPr>
          <w:p w14:paraId="6E98F5B4" w14:textId="77777777" w:rsidR="00085F16" w:rsidRPr="00830EA4" w:rsidRDefault="00085F16" w:rsidP="00085F16">
            <w:pPr>
              <w:jc w:val="both"/>
              <w:rPr>
                <w:b/>
                <w:sz w:val="20"/>
                <w:lang w:eastAsia="ja-JP"/>
              </w:rPr>
            </w:pPr>
            <w:r w:rsidRPr="00830EA4">
              <w:rPr>
                <w:b/>
                <w:sz w:val="20"/>
                <w:lang w:eastAsia="ja-JP"/>
              </w:rPr>
              <w:t>2. SHPENZIMET TOTALE</w:t>
            </w:r>
          </w:p>
        </w:tc>
        <w:tc>
          <w:tcPr>
            <w:tcW w:w="421" w:type="pct"/>
            <w:shd w:val="clear" w:color="auto" w:fill="DEEAF6" w:themeFill="accent1" w:themeFillTint="33"/>
            <w:noWrap/>
            <w:vAlign w:val="bottom"/>
            <w:hideMark/>
          </w:tcPr>
          <w:p w14:paraId="7D16F32C" w14:textId="77777777" w:rsidR="00085F16" w:rsidRPr="00830EA4" w:rsidRDefault="00085F16" w:rsidP="00085F16">
            <w:pPr>
              <w:jc w:val="both"/>
              <w:rPr>
                <w:b/>
                <w:sz w:val="20"/>
                <w:lang w:eastAsia="ja-JP"/>
              </w:rPr>
            </w:pPr>
            <w:r w:rsidRPr="00830EA4">
              <w:rPr>
                <w:b/>
                <w:sz w:val="20"/>
                <w:lang w:eastAsia="ja-JP"/>
              </w:rPr>
              <w:t>1,741</w:t>
            </w:r>
          </w:p>
        </w:tc>
        <w:tc>
          <w:tcPr>
            <w:tcW w:w="527" w:type="pct"/>
            <w:shd w:val="clear" w:color="auto" w:fill="DEEAF6" w:themeFill="accent1" w:themeFillTint="33"/>
            <w:noWrap/>
            <w:vAlign w:val="bottom"/>
          </w:tcPr>
          <w:p w14:paraId="747BD7B1" w14:textId="77777777" w:rsidR="00085F16" w:rsidRPr="00830EA4" w:rsidRDefault="00085F16" w:rsidP="00085F16">
            <w:pPr>
              <w:jc w:val="both"/>
              <w:rPr>
                <w:b/>
                <w:sz w:val="20"/>
                <w:lang w:eastAsia="ja-JP"/>
              </w:rPr>
            </w:pPr>
            <w:r w:rsidRPr="00830EA4">
              <w:rPr>
                <w:b/>
                <w:sz w:val="20"/>
                <w:lang w:eastAsia="ja-JP"/>
              </w:rPr>
              <w:t>1,956</w:t>
            </w:r>
          </w:p>
        </w:tc>
        <w:tc>
          <w:tcPr>
            <w:tcW w:w="494" w:type="pct"/>
            <w:shd w:val="clear" w:color="auto" w:fill="DEEAF6" w:themeFill="accent1" w:themeFillTint="33"/>
            <w:noWrap/>
            <w:vAlign w:val="bottom"/>
          </w:tcPr>
          <w:p w14:paraId="4E0E931E" w14:textId="77777777" w:rsidR="00085F16" w:rsidRPr="00830EA4" w:rsidRDefault="00085F16" w:rsidP="00085F16">
            <w:pPr>
              <w:jc w:val="both"/>
              <w:rPr>
                <w:b/>
                <w:sz w:val="20"/>
                <w:lang w:eastAsia="ja-JP"/>
              </w:rPr>
            </w:pPr>
            <w:r w:rsidRPr="00830EA4">
              <w:rPr>
                <w:b/>
                <w:sz w:val="20"/>
                <w:lang w:eastAsia="ja-JP"/>
              </w:rPr>
              <w:t>2,378</w:t>
            </w:r>
          </w:p>
        </w:tc>
        <w:tc>
          <w:tcPr>
            <w:tcW w:w="402" w:type="pct"/>
            <w:shd w:val="clear" w:color="auto" w:fill="DEEAF6" w:themeFill="accent1" w:themeFillTint="33"/>
            <w:noWrap/>
            <w:vAlign w:val="bottom"/>
          </w:tcPr>
          <w:p w14:paraId="202EBC71" w14:textId="77777777" w:rsidR="00085F16" w:rsidRPr="00830EA4" w:rsidRDefault="00085F16" w:rsidP="00085F16">
            <w:pPr>
              <w:jc w:val="both"/>
              <w:rPr>
                <w:b/>
                <w:sz w:val="20"/>
                <w:lang w:eastAsia="ja-JP"/>
              </w:rPr>
            </w:pPr>
            <w:r w:rsidRPr="00830EA4">
              <w:rPr>
                <w:b/>
                <w:sz w:val="20"/>
                <w:lang w:eastAsia="ja-JP"/>
              </w:rPr>
              <w:t>2,467</w:t>
            </w:r>
          </w:p>
        </w:tc>
        <w:tc>
          <w:tcPr>
            <w:tcW w:w="471" w:type="pct"/>
            <w:shd w:val="clear" w:color="auto" w:fill="DEEAF6" w:themeFill="accent1" w:themeFillTint="33"/>
          </w:tcPr>
          <w:p w14:paraId="3C000D06" w14:textId="77777777" w:rsidR="00085F16" w:rsidRPr="00830EA4" w:rsidRDefault="00085F16" w:rsidP="00085F16">
            <w:pPr>
              <w:jc w:val="both"/>
              <w:rPr>
                <w:b/>
                <w:sz w:val="20"/>
                <w:lang w:eastAsia="ja-JP"/>
              </w:rPr>
            </w:pPr>
            <w:r w:rsidRPr="00830EA4">
              <w:rPr>
                <w:b/>
                <w:sz w:val="20"/>
                <w:lang w:eastAsia="ja-JP"/>
              </w:rPr>
              <w:t>2,544</w:t>
            </w:r>
          </w:p>
        </w:tc>
        <w:tc>
          <w:tcPr>
            <w:tcW w:w="434" w:type="pct"/>
            <w:shd w:val="clear" w:color="auto" w:fill="DEEAF6" w:themeFill="accent1" w:themeFillTint="33"/>
          </w:tcPr>
          <w:p w14:paraId="69006E14" w14:textId="77777777" w:rsidR="00085F16" w:rsidRPr="00830EA4" w:rsidRDefault="00085F16" w:rsidP="00085F16">
            <w:pPr>
              <w:jc w:val="both"/>
              <w:rPr>
                <w:b/>
                <w:sz w:val="20"/>
                <w:lang w:eastAsia="ja-JP"/>
              </w:rPr>
            </w:pPr>
            <w:r w:rsidRPr="00830EA4">
              <w:rPr>
                <w:b/>
                <w:sz w:val="20"/>
                <w:lang w:eastAsia="ja-JP"/>
              </w:rPr>
              <w:t>2,616</w:t>
            </w:r>
          </w:p>
        </w:tc>
      </w:tr>
      <w:tr w:rsidR="00085F16" w:rsidRPr="00830EA4" w14:paraId="5BD68672" w14:textId="77777777" w:rsidTr="00085F16">
        <w:trPr>
          <w:trHeight w:val="71"/>
        </w:trPr>
        <w:tc>
          <w:tcPr>
            <w:tcW w:w="2251" w:type="pct"/>
            <w:shd w:val="clear" w:color="auto" w:fill="DEEAF6" w:themeFill="accent1" w:themeFillTint="33"/>
            <w:noWrap/>
            <w:vAlign w:val="bottom"/>
            <w:hideMark/>
          </w:tcPr>
          <w:p w14:paraId="201EDEC4" w14:textId="77777777" w:rsidR="00085F16" w:rsidRPr="00830EA4" w:rsidRDefault="00085F16" w:rsidP="00085F16">
            <w:pPr>
              <w:jc w:val="both"/>
              <w:rPr>
                <w:b/>
                <w:sz w:val="20"/>
                <w:lang w:eastAsia="ja-JP"/>
              </w:rPr>
            </w:pPr>
            <w:r w:rsidRPr="00830EA4">
              <w:rPr>
                <w:b/>
                <w:sz w:val="20"/>
                <w:lang w:eastAsia="ja-JP"/>
              </w:rPr>
              <w:t>2.1 SHPENZIMET RRJEDHËSE</w:t>
            </w:r>
          </w:p>
        </w:tc>
        <w:tc>
          <w:tcPr>
            <w:tcW w:w="421" w:type="pct"/>
            <w:shd w:val="clear" w:color="auto" w:fill="DEEAF6" w:themeFill="accent1" w:themeFillTint="33"/>
            <w:noWrap/>
            <w:vAlign w:val="bottom"/>
            <w:hideMark/>
          </w:tcPr>
          <w:p w14:paraId="5B54C318" w14:textId="77777777" w:rsidR="00085F16" w:rsidRPr="00830EA4" w:rsidRDefault="00085F16" w:rsidP="00085F16">
            <w:pPr>
              <w:jc w:val="both"/>
              <w:rPr>
                <w:b/>
                <w:sz w:val="20"/>
                <w:lang w:eastAsia="ja-JP"/>
              </w:rPr>
            </w:pPr>
            <w:r w:rsidRPr="00830EA4">
              <w:rPr>
                <w:b/>
                <w:sz w:val="20"/>
                <w:lang w:eastAsia="ja-JP"/>
              </w:rPr>
              <w:t>1,282</w:t>
            </w:r>
          </w:p>
        </w:tc>
        <w:tc>
          <w:tcPr>
            <w:tcW w:w="527" w:type="pct"/>
            <w:shd w:val="clear" w:color="auto" w:fill="DEEAF6" w:themeFill="accent1" w:themeFillTint="33"/>
            <w:noWrap/>
            <w:vAlign w:val="bottom"/>
          </w:tcPr>
          <w:p w14:paraId="5DCD4AE8" w14:textId="77777777" w:rsidR="00085F16" w:rsidRPr="00830EA4" w:rsidRDefault="00085F16" w:rsidP="00085F16">
            <w:pPr>
              <w:jc w:val="both"/>
              <w:rPr>
                <w:b/>
                <w:sz w:val="20"/>
                <w:lang w:eastAsia="ja-JP"/>
              </w:rPr>
            </w:pPr>
            <w:r w:rsidRPr="00830EA4">
              <w:rPr>
                <w:b/>
                <w:sz w:val="20"/>
                <w:lang w:eastAsia="ja-JP"/>
              </w:rPr>
              <w:t>1,404</w:t>
            </w:r>
          </w:p>
        </w:tc>
        <w:tc>
          <w:tcPr>
            <w:tcW w:w="494" w:type="pct"/>
            <w:shd w:val="clear" w:color="auto" w:fill="DEEAF6" w:themeFill="accent1" w:themeFillTint="33"/>
            <w:noWrap/>
            <w:vAlign w:val="bottom"/>
          </w:tcPr>
          <w:p w14:paraId="27BF824C" w14:textId="77777777" w:rsidR="00085F16" w:rsidRPr="00830EA4" w:rsidRDefault="00085F16" w:rsidP="00085F16">
            <w:pPr>
              <w:jc w:val="both"/>
              <w:rPr>
                <w:b/>
                <w:sz w:val="20"/>
                <w:lang w:eastAsia="ja-JP"/>
              </w:rPr>
            </w:pPr>
            <w:r w:rsidRPr="00830EA4">
              <w:rPr>
                <w:b/>
                <w:sz w:val="20"/>
                <w:lang w:eastAsia="ja-JP"/>
              </w:rPr>
              <w:t>1,561</w:t>
            </w:r>
          </w:p>
        </w:tc>
        <w:tc>
          <w:tcPr>
            <w:tcW w:w="402" w:type="pct"/>
            <w:shd w:val="clear" w:color="auto" w:fill="DEEAF6" w:themeFill="accent1" w:themeFillTint="33"/>
            <w:noWrap/>
            <w:vAlign w:val="bottom"/>
          </w:tcPr>
          <w:p w14:paraId="78F6532E" w14:textId="77777777" w:rsidR="00085F16" w:rsidRPr="00830EA4" w:rsidRDefault="00085F16" w:rsidP="00085F16">
            <w:pPr>
              <w:jc w:val="both"/>
              <w:rPr>
                <w:b/>
                <w:sz w:val="20"/>
                <w:lang w:eastAsia="ja-JP"/>
              </w:rPr>
            </w:pPr>
            <w:r w:rsidRPr="00830EA4">
              <w:rPr>
                <w:b/>
                <w:sz w:val="20"/>
                <w:lang w:eastAsia="ja-JP"/>
              </w:rPr>
              <w:t>1,643</w:t>
            </w:r>
          </w:p>
        </w:tc>
        <w:tc>
          <w:tcPr>
            <w:tcW w:w="471" w:type="pct"/>
            <w:shd w:val="clear" w:color="auto" w:fill="DEEAF6" w:themeFill="accent1" w:themeFillTint="33"/>
          </w:tcPr>
          <w:p w14:paraId="1CE2070C" w14:textId="77777777" w:rsidR="00085F16" w:rsidRPr="00830EA4" w:rsidRDefault="00085F16" w:rsidP="00085F16">
            <w:pPr>
              <w:jc w:val="both"/>
              <w:rPr>
                <w:b/>
                <w:sz w:val="20"/>
                <w:lang w:eastAsia="ja-JP"/>
              </w:rPr>
            </w:pPr>
            <w:r w:rsidRPr="00830EA4">
              <w:rPr>
                <w:b/>
                <w:sz w:val="20"/>
                <w:lang w:eastAsia="ja-JP"/>
              </w:rPr>
              <w:t>1,682</w:t>
            </w:r>
          </w:p>
        </w:tc>
        <w:tc>
          <w:tcPr>
            <w:tcW w:w="434" w:type="pct"/>
            <w:shd w:val="clear" w:color="auto" w:fill="DEEAF6" w:themeFill="accent1" w:themeFillTint="33"/>
          </w:tcPr>
          <w:p w14:paraId="26350A3D" w14:textId="77777777" w:rsidR="00085F16" w:rsidRPr="00830EA4" w:rsidRDefault="00085F16" w:rsidP="00085F16">
            <w:pPr>
              <w:jc w:val="both"/>
              <w:rPr>
                <w:b/>
                <w:sz w:val="20"/>
                <w:lang w:eastAsia="ja-JP"/>
              </w:rPr>
            </w:pPr>
            <w:r w:rsidRPr="00830EA4">
              <w:rPr>
                <w:b/>
                <w:sz w:val="20"/>
                <w:lang w:eastAsia="ja-JP"/>
              </w:rPr>
              <w:t>1,727</w:t>
            </w:r>
          </w:p>
        </w:tc>
      </w:tr>
      <w:tr w:rsidR="00085F16" w:rsidRPr="00830EA4" w14:paraId="73474B5D" w14:textId="77777777" w:rsidTr="00085F16">
        <w:trPr>
          <w:trHeight w:val="71"/>
        </w:trPr>
        <w:tc>
          <w:tcPr>
            <w:tcW w:w="2251" w:type="pct"/>
            <w:shd w:val="clear" w:color="auto" w:fill="DEEAF6" w:themeFill="accent1" w:themeFillTint="33"/>
            <w:noWrap/>
            <w:vAlign w:val="bottom"/>
            <w:hideMark/>
          </w:tcPr>
          <w:p w14:paraId="4FF0BDC5" w14:textId="77777777" w:rsidR="00085F16" w:rsidRPr="00830EA4" w:rsidRDefault="00085F16" w:rsidP="00085F16">
            <w:pPr>
              <w:ind w:left="720"/>
              <w:jc w:val="both"/>
              <w:rPr>
                <w:sz w:val="20"/>
                <w:lang w:eastAsia="ja-JP"/>
              </w:rPr>
            </w:pPr>
            <w:r w:rsidRPr="00830EA4">
              <w:rPr>
                <w:sz w:val="20"/>
                <w:lang w:eastAsia="ja-JP"/>
              </w:rPr>
              <w:t>Pagat dhe mëditjet</w:t>
            </w:r>
          </w:p>
        </w:tc>
        <w:tc>
          <w:tcPr>
            <w:tcW w:w="421" w:type="pct"/>
            <w:shd w:val="clear" w:color="auto" w:fill="DEEAF6" w:themeFill="accent1" w:themeFillTint="33"/>
            <w:noWrap/>
            <w:vAlign w:val="bottom"/>
            <w:hideMark/>
          </w:tcPr>
          <w:p w14:paraId="61AD2028" w14:textId="77777777" w:rsidR="00085F16" w:rsidRPr="00830EA4" w:rsidRDefault="00085F16" w:rsidP="00085F16">
            <w:pPr>
              <w:jc w:val="both"/>
              <w:rPr>
                <w:sz w:val="20"/>
                <w:lang w:eastAsia="ja-JP"/>
              </w:rPr>
            </w:pPr>
            <w:r w:rsidRPr="00830EA4">
              <w:rPr>
                <w:sz w:val="20"/>
                <w:lang w:eastAsia="ja-JP"/>
              </w:rPr>
              <w:t>550</w:t>
            </w:r>
          </w:p>
        </w:tc>
        <w:tc>
          <w:tcPr>
            <w:tcW w:w="527" w:type="pct"/>
            <w:shd w:val="clear" w:color="auto" w:fill="DEEAF6" w:themeFill="accent1" w:themeFillTint="33"/>
            <w:noWrap/>
            <w:vAlign w:val="bottom"/>
          </w:tcPr>
          <w:p w14:paraId="49B78675" w14:textId="77777777" w:rsidR="00085F16" w:rsidRPr="00830EA4" w:rsidRDefault="00085F16" w:rsidP="00085F16">
            <w:pPr>
              <w:jc w:val="both"/>
              <w:rPr>
                <w:sz w:val="20"/>
                <w:lang w:eastAsia="ja-JP"/>
              </w:rPr>
            </w:pPr>
            <w:r w:rsidRPr="00830EA4">
              <w:rPr>
                <w:sz w:val="20"/>
                <w:lang w:eastAsia="ja-JP"/>
              </w:rPr>
              <w:t>593</w:t>
            </w:r>
          </w:p>
        </w:tc>
        <w:tc>
          <w:tcPr>
            <w:tcW w:w="494" w:type="pct"/>
            <w:shd w:val="clear" w:color="auto" w:fill="DEEAF6" w:themeFill="accent1" w:themeFillTint="33"/>
            <w:noWrap/>
            <w:vAlign w:val="bottom"/>
          </w:tcPr>
          <w:p w14:paraId="20AE0DDF" w14:textId="77777777" w:rsidR="00085F16" w:rsidRPr="00830EA4" w:rsidRDefault="00085F16" w:rsidP="00085F16">
            <w:pPr>
              <w:jc w:val="both"/>
              <w:rPr>
                <w:sz w:val="20"/>
                <w:lang w:eastAsia="ja-JP"/>
              </w:rPr>
            </w:pPr>
            <w:r w:rsidRPr="00830EA4">
              <w:rPr>
                <w:sz w:val="20"/>
                <w:lang w:eastAsia="ja-JP"/>
              </w:rPr>
              <w:t>620</w:t>
            </w:r>
          </w:p>
        </w:tc>
        <w:tc>
          <w:tcPr>
            <w:tcW w:w="402" w:type="pct"/>
            <w:shd w:val="clear" w:color="auto" w:fill="DEEAF6" w:themeFill="accent1" w:themeFillTint="33"/>
            <w:noWrap/>
            <w:vAlign w:val="bottom"/>
          </w:tcPr>
          <w:p w14:paraId="5056F5E8" w14:textId="77777777" w:rsidR="00085F16" w:rsidRPr="00830EA4" w:rsidRDefault="00085F16" w:rsidP="00085F16">
            <w:pPr>
              <w:jc w:val="both"/>
              <w:rPr>
                <w:sz w:val="20"/>
                <w:lang w:eastAsia="ja-JP"/>
              </w:rPr>
            </w:pPr>
            <w:r w:rsidRPr="00830EA4">
              <w:rPr>
                <w:sz w:val="20"/>
                <w:lang w:eastAsia="ja-JP"/>
              </w:rPr>
              <w:t>654</w:t>
            </w:r>
          </w:p>
        </w:tc>
        <w:tc>
          <w:tcPr>
            <w:tcW w:w="471" w:type="pct"/>
            <w:shd w:val="clear" w:color="auto" w:fill="DEEAF6" w:themeFill="accent1" w:themeFillTint="33"/>
          </w:tcPr>
          <w:p w14:paraId="3324B394" w14:textId="77777777" w:rsidR="00085F16" w:rsidRPr="00830EA4" w:rsidRDefault="00085F16" w:rsidP="00085F16">
            <w:pPr>
              <w:jc w:val="both"/>
              <w:rPr>
                <w:sz w:val="20"/>
                <w:lang w:eastAsia="ja-JP"/>
              </w:rPr>
            </w:pPr>
            <w:r w:rsidRPr="00830EA4">
              <w:rPr>
                <w:sz w:val="20"/>
                <w:lang w:eastAsia="ja-JP"/>
              </w:rPr>
              <w:t>691</w:t>
            </w:r>
          </w:p>
        </w:tc>
        <w:tc>
          <w:tcPr>
            <w:tcW w:w="434" w:type="pct"/>
            <w:shd w:val="clear" w:color="auto" w:fill="DEEAF6" w:themeFill="accent1" w:themeFillTint="33"/>
          </w:tcPr>
          <w:p w14:paraId="2209F6A1" w14:textId="77777777" w:rsidR="00085F16" w:rsidRPr="00830EA4" w:rsidRDefault="00085F16" w:rsidP="00085F16">
            <w:pPr>
              <w:jc w:val="both"/>
              <w:rPr>
                <w:sz w:val="20"/>
                <w:lang w:eastAsia="ja-JP"/>
              </w:rPr>
            </w:pPr>
            <w:r w:rsidRPr="00830EA4">
              <w:rPr>
                <w:sz w:val="20"/>
                <w:lang w:eastAsia="ja-JP"/>
              </w:rPr>
              <w:t>730</w:t>
            </w:r>
          </w:p>
        </w:tc>
      </w:tr>
      <w:tr w:rsidR="00085F16" w:rsidRPr="00830EA4" w14:paraId="62815A08" w14:textId="77777777" w:rsidTr="00085F16">
        <w:trPr>
          <w:trHeight w:val="71"/>
        </w:trPr>
        <w:tc>
          <w:tcPr>
            <w:tcW w:w="2251" w:type="pct"/>
            <w:shd w:val="clear" w:color="auto" w:fill="DEEAF6" w:themeFill="accent1" w:themeFillTint="33"/>
            <w:noWrap/>
            <w:vAlign w:val="bottom"/>
            <w:hideMark/>
          </w:tcPr>
          <w:p w14:paraId="11231690" w14:textId="77777777" w:rsidR="00085F16" w:rsidRPr="00830EA4" w:rsidRDefault="00085F16" w:rsidP="00085F16">
            <w:pPr>
              <w:ind w:left="720"/>
              <w:jc w:val="both"/>
              <w:rPr>
                <w:sz w:val="20"/>
                <w:lang w:eastAsia="ja-JP"/>
              </w:rPr>
            </w:pPr>
            <w:r w:rsidRPr="00830EA4">
              <w:rPr>
                <w:sz w:val="20"/>
                <w:lang w:eastAsia="ja-JP"/>
              </w:rPr>
              <w:t>Mallrat dhe shërbimet</w:t>
            </w:r>
          </w:p>
        </w:tc>
        <w:tc>
          <w:tcPr>
            <w:tcW w:w="421" w:type="pct"/>
            <w:shd w:val="clear" w:color="auto" w:fill="DEEAF6" w:themeFill="accent1" w:themeFillTint="33"/>
            <w:noWrap/>
            <w:vAlign w:val="bottom"/>
            <w:hideMark/>
          </w:tcPr>
          <w:p w14:paraId="0A255BD2" w14:textId="77777777" w:rsidR="00085F16" w:rsidRPr="00830EA4" w:rsidRDefault="00085F16" w:rsidP="00085F16">
            <w:pPr>
              <w:jc w:val="both"/>
              <w:rPr>
                <w:sz w:val="20"/>
                <w:lang w:eastAsia="ja-JP"/>
              </w:rPr>
            </w:pPr>
            <w:r w:rsidRPr="00830EA4">
              <w:rPr>
                <w:sz w:val="20"/>
                <w:lang w:eastAsia="ja-JP"/>
              </w:rPr>
              <w:t>226</w:t>
            </w:r>
          </w:p>
        </w:tc>
        <w:tc>
          <w:tcPr>
            <w:tcW w:w="527" w:type="pct"/>
            <w:shd w:val="clear" w:color="auto" w:fill="DEEAF6" w:themeFill="accent1" w:themeFillTint="33"/>
            <w:noWrap/>
            <w:vAlign w:val="bottom"/>
          </w:tcPr>
          <w:p w14:paraId="56404208" w14:textId="77777777" w:rsidR="00085F16" w:rsidRPr="00830EA4" w:rsidRDefault="00085F16" w:rsidP="00085F16">
            <w:pPr>
              <w:jc w:val="both"/>
              <w:rPr>
                <w:sz w:val="20"/>
                <w:lang w:eastAsia="ja-JP"/>
              </w:rPr>
            </w:pPr>
            <w:r w:rsidRPr="00830EA4">
              <w:rPr>
                <w:sz w:val="20"/>
                <w:lang w:eastAsia="ja-JP"/>
              </w:rPr>
              <w:t>253</w:t>
            </w:r>
          </w:p>
        </w:tc>
        <w:tc>
          <w:tcPr>
            <w:tcW w:w="494" w:type="pct"/>
            <w:shd w:val="clear" w:color="auto" w:fill="DEEAF6" w:themeFill="accent1" w:themeFillTint="33"/>
            <w:noWrap/>
            <w:vAlign w:val="bottom"/>
          </w:tcPr>
          <w:p w14:paraId="7A321654" w14:textId="77777777" w:rsidR="00085F16" w:rsidRPr="00830EA4" w:rsidRDefault="00085F16" w:rsidP="00085F16">
            <w:pPr>
              <w:jc w:val="both"/>
              <w:rPr>
                <w:sz w:val="20"/>
                <w:lang w:eastAsia="ja-JP"/>
              </w:rPr>
            </w:pPr>
            <w:r w:rsidRPr="00830EA4">
              <w:rPr>
                <w:sz w:val="20"/>
                <w:lang w:eastAsia="ja-JP"/>
              </w:rPr>
              <w:t>337</w:t>
            </w:r>
          </w:p>
        </w:tc>
        <w:tc>
          <w:tcPr>
            <w:tcW w:w="402" w:type="pct"/>
            <w:shd w:val="clear" w:color="auto" w:fill="DEEAF6" w:themeFill="accent1" w:themeFillTint="33"/>
            <w:noWrap/>
            <w:vAlign w:val="bottom"/>
          </w:tcPr>
          <w:p w14:paraId="6E8F8428" w14:textId="77777777" w:rsidR="00085F16" w:rsidRPr="00830EA4" w:rsidRDefault="00085F16" w:rsidP="00085F16">
            <w:pPr>
              <w:jc w:val="both"/>
              <w:rPr>
                <w:sz w:val="20"/>
                <w:lang w:eastAsia="ja-JP"/>
              </w:rPr>
            </w:pPr>
            <w:r w:rsidRPr="00830EA4">
              <w:rPr>
                <w:sz w:val="20"/>
                <w:lang w:eastAsia="ja-JP"/>
              </w:rPr>
              <w:t>352</w:t>
            </w:r>
          </w:p>
        </w:tc>
        <w:tc>
          <w:tcPr>
            <w:tcW w:w="471" w:type="pct"/>
            <w:shd w:val="clear" w:color="auto" w:fill="DEEAF6" w:themeFill="accent1" w:themeFillTint="33"/>
          </w:tcPr>
          <w:p w14:paraId="12CDE540" w14:textId="77777777" w:rsidR="00085F16" w:rsidRPr="00830EA4" w:rsidRDefault="00085F16" w:rsidP="00085F16">
            <w:pPr>
              <w:jc w:val="both"/>
              <w:rPr>
                <w:sz w:val="20"/>
                <w:lang w:eastAsia="ja-JP"/>
              </w:rPr>
            </w:pPr>
            <w:r w:rsidRPr="00830EA4">
              <w:rPr>
                <w:sz w:val="20"/>
                <w:lang w:eastAsia="ja-JP"/>
              </w:rPr>
              <w:t>356</w:t>
            </w:r>
          </w:p>
        </w:tc>
        <w:tc>
          <w:tcPr>
            <w:tcW w:w="434" w:type="pct"/>
            <w:shd w:val="clear" w:color="auto" w:fill="DEEAF6" w:themeFill="accent1" w:themeFillTint="33"/>
          </w:tcPr>
          <w:p w14:paraId="7FE07F52" w14:textId="77777777" w:rsidR="00085F16" w:rsidRPr="00830EA4" w:rsidRDefault="00085F16" w:rsidP="00085F16">
            <w:pPr>
              <w:jc w:val="both"/>
              <w:rPr>
                <w:sz w:val="20"/>
                <w:lang w:eastAsia="ja-JP"/>
              </w:rPr>
            </w:pPr>
            <w:r w:rsidRPr="00830EA4">
              <w:rPr>
                <w:sz w:val="20"/>
                <w:lang w:eastAsia="ja-JP"/>
              </w:rPr>
              <w:t>359</w:t>
            </w:r>
          </w:p>
        </w:tc>
      </w:tr>
      <w:tr w:rsidR="00085F16" w:rsidRPr="00830EA4" w14:paraId="3E04DF2A" w14:textId="77777777" w:rsidTr="00085F16">
        <w:trPr>
          <w:trHeight w:val="71"/>
        </w:trPr>
        <w:tc>
          <w:tcPr>
            <w:tcW w:w="2251" w:type="pct"/>
            <w:shd w:val="clear" w:color="auto" w:fill="DEEAF6" w:themeFill="accent1" w:themeFillTint="33"/>
            <w:noWrap/>
            <w:vAlign w:val="bottom"/>
            <w:hideMark/>
          </w:tcPr>
          <w:p w14:paraId="1767DED1" w14:textId="77777777" w:rsidR="00085F16" w:rsidRPr="00830EA4" w:rsidRDefault="00085F16" w:rsidP="00085F16">
            <w:pPr>
              <w:ind w:left="720"/>
              <w:jc w:val="both"/>
              <w:rPr>
                <w:sz w:val="20"/>
                <w:lang w:eastAsia="ja-JP"/>
              </w:rPr>
            </w:pPr>
            <w:r w:rsidRPr="00830EA4">
              <w:rPr>
                <w:sz w:val="20"/>
                <w:lang w:eastAsia="ja-JP"/>
              </w:rPr>
              <w:t xml:space="preserve">Subvencionet dhe transferet </w:t>
            </w:r>
          </w:p>
        </w:tc>
        <w:tc>
          <w:tcPr>
            <w:tcW w:w="421" w:type="pct"/>
            <w:shd w:val="clear" w:color="auto" w:fill="DEEAF6" w:themeFill="accent1" w:themeFillTint="33"/>
            <w:noWrap/>
            <w:vAlign w:val="bottom"/>
            <w:hideMark/>
          </w:tcPr>
          <w:p w14:paraId="06DBBFB6" w14:textId="77777777" w:rsidR="00085F16" w:rsidRPr="00830EA4" w:rsidRDefault="00085F16" w:rsidP="00085F16">
            <w:pPr>
              <w:jc w:val="both"/>
              <w:rPr>
                <w:sz w:val="20"/>
                <w:lang w:eastAsia="ja-JP"/>
              </w:rPr>
            </w:pPr>
            <w:r w:rsidRPr="00830EA4">
              <w:rPr>
                <w:sz w:val="20"/>
                <w:lang w:eastAsia="ja-JP"/>
              </w:rPr>
              <w:t>506</w:t>
            </w:r>
          </w:p>
        </w:tc>
        <w:tc>
          <w:tcPr>
            <w:tcW w:w="527" w:type="pct"/>
            <w:shd w:val="clear" w:color="auto" w:fill="DEEAF6" w:themeFill="accent1" w:themeFillTint="33"/>
            <w:noWrap/>
            <w:vAlign w:val="bottom"/>
          </w:tcPr>
          <w:p w14:paraId="37565D0B" w14:textId="77777777" w:rsidR="00085F16" w:rsidRPr="00830EA4" w:rsidRDefault="00085F16" w:rsidP="00085F16">
            <w:pPr>
              <w:jc w:val="both"/>
              <w:rPr>
                <w:sz w:val="20"/>
                <w:lang w:eastAsia="ja-JP"/>
              </w:rPr>
            </w:pPr>
            <w:r w:rsidRPr="00830EA4">
              <w:rPr>
                <w:sz w:val="20"/>
                <w:lang w:eastAsia="ja-JP"/>
              </w:rPr>
              <w:t>559</w:t>
            </w:r>
          </w:p>
        </w:tc>
        <w:tc>
          <w:tcPr>
            <w:tcW w:w="494" w:type="pct"/>
            <w:shd w:val="clear" w:color="auto" w:fill="DEEAF6" w:themeFill="accent1" w:themeFillTint="33"/>
            <w:noWrap/>
            <w:vAlign w:val="bottom"/>
          </w:tcPr>
          <w:p w14:paraId="073C441E" w14:textId="77777777" w:rsidR="00085F16" w:rsidRPr="00830EA4" w:rsidRDefault="00085F16" w:rsidP="00085F16">
            <w:pPr>
              <w:jc w:val="both"/>
              <w:rPr>
                <w:sz w:val="20"/>
                <w:lang w:eastAsia="ja-JP"/>
              </w:rPr>
            </w:pPr>
            <w:r w:rsidRPr="00830EA4">
              <w:rPr>
                <w:sz w:val="20"/>
                <w:lang w:eastAsia="ja-JP"/>
              </w:rPr>
              <w:t>600</w:t>
            </w:r>
          </w:p>
        </w:tc>
        <w:tc>
          <w:tcPr>
            <w:tcW w:w="402" w:type="pct"/>
            <w:shd w:val="clear" w:color="auto" w:fill="DEEAF6" w:themeFill="accent1" w:themeFillTint="33"/>
            <w:noWrap/>
            <w:vAlign w:val="bottom"/>
          </w:tcPr>
          <w:p w14:paraId="2E0DF390" w14:textId="77777777" w:rsidR="00085F16" w:rsidRPr="00830EA4" w:rsidRDefault="00085F16" w:rsidP="00085F16">
            <w:pPr>
              <w:jc w:val="both"/>
              <w:rPr>
                <w:sz w:val="20"/>
                <w:lang w:eastAsia="ja-JP"/>
              </w:rPr>
            </w:pPr>
            <w:r w:rsidRPr="00830EA4">
              <w:rPr>
                <w:sz w:val="20"/>
                <w:lang w:eastAsia="ja-JP"/>
              </w:rPr>
              <w:t>632</w:t>
            </w:r>
          </w:p>
        </w:tc>
        <w:tc>
          <w:tcPr>
            <w:tcW w:w="471" w:type="pct"/>
            <w:shd w:val="clear" w:color="auto" w:fill="DEEAF6" w:themeFill="accent1" w:themeFillTint="33"/>
          </w:tcPr>
          <w:p w14:paraId="6845ABC9" w14:textId="77777777" w:rsidR="00085F16" w:rsidRPr="00830EA4" w:rsidRDefault="00085F16" w:rsidP="00085F16">
            <w:pPr>
              <w:jc w:val="both"/>
              <w:rPr>
                <w:sz w:val="20"/>
                <w:lang w:eastAsia="ja-JP"/>
              </w:rPr>
            </w:pPr>
            <w:r w:rsidRPr="00830EA4">
              <w:rPr>
                <w:sz w:val="20"/>
                <w:lang w:eastAsia="ja-JP"/>
              </w:rPr>
              <w:t>630</w:t>
            </w:r>
          </w:p>
        </w:tc>
        <w:tc>
          <w:tcPr>
            <w:tcW w:w="434" w:type="pct"/>
            <w:shd w:val="clear" w:color="auto" w:fill="DEEAF6" w:themeFill="accent1" w:themeFillTint="33"/>
          </w:tcPr>
          <w:p w14:paraId="53DC1B01" w14:textId="77777777" w:rsidR="00085F16" w:rsidRPr="00830EA4" w:rsidRDefault="00085F16" w:rsidP="00085F16">
            <w:pPr>
              <w:jc w:val="both"/>
              <w:rPr>
                <w:sz w:val="20"/>
                <w:lang w:eastAsia="ja-JP"/>
              </w:rPr>
            </w:pPr>
            <w:r w:rsidRPr="00830EA4">
              <w:rPr>
                <w:sz w:val="20"/>
                <w:lang w:eastAsia="ja-JP"/>
              </w:rPr>
              <w:t>634</w:t>
            </w:r>
          </w:p>
        </w:tc>
      </w:tr>
      <w:tr w:rsidR="00085F16" w:rsidRPr="00830EA4" w14:paraId="1EE4FE70" w14:textId="77777777" w:rsidTr="00085F16">
        <w:trPr>
          <w:trHeight w:val="71"/>
        </w:trPr>
        <w:tc>
          <w:tcPr>
            <w:tcW w:w="2251" w:type="pct"/>
            <w:shd w:val="clear" w:color="auto" w:fill="DEEAF6" w:themeFill="accent1" w:themeFillTint="33"/>
            <w:noWrap/>
            <w:vAlign w:val="bottom"/>
            <w:hideMark/>
          </w:tcPr>
          <w:p w14:paraId="5BF21404" w14:textId="77777777" w:rsidR="00085F16" w:rsidRPr="00830EA4" w:rsidRDefault="00085F16" w:rsidP="00085F16">
            <w:pPr>
              <w:jc w:val="both"/>
              <w:rPr>
                <w:b/>
                <w:sz w:val="20"/>
                <w:lang w:eastAsia="ja-JP"/>
              </w:rPr>
            </w:pPr>
            <w:r w:rsidRPr="00830EA4">
              <w:rPr>
                <w:b/>
                <w:sz w:val="20"/>
                <w:lang w:eastAsia="ja-JP"/>
              </w:rPr>
              <w:t>2.2 SHPENZIMET KAPITALE</w:t>
            </w:r>
          </w:p>
        </w:tc>
        <w:tc>
          <w:tcPr>
            <w:tcW w:w="421" w:type="pct"/>
            <w:shd w:val="clear" w:color="auto" w:fill="DEEAF6" w:themeFill="accent1" w:themeFillTint="33"/>
            <w:noWrap/>
            <w:vAlign w:val="bottom"/>
            <w:hideMark/>
          </w:tcPr>
          <w:p w14:paraId="70F6BB69" w14:textId="77777777" w:rsidR="00085F16" w:rsidRPr="00830EA4" w:rsidRDefault="00085F16" w:rsidP="00085F16">
            <w:pPr>
              <w:jc w:val="both"/>
              <w:rPr>
                <w:b/>
                <w:sz w:val="20"/>
                <w:lang w:eastAsia="ja-JP"/>
              </w:rPr>
            </w:pPr>
            <w:r w:rsidRPr="00830EA4">
              <w:rPr>
                <w:b/>
                <w:sz w:val="20"/>
                <w:lang w:eastAsia="ja-JP"/>
              </w:rPr>
              <w:t>468</w:t>
            </w:r>
          </w:p>
        </w:tc>
        <w:tc>
          <w:tcPr>
            <w:tcW w:w="527" w:type="pct"/>
            <w:shd w:val="clear" w:color="auto" w:fill="DEEAF6" w:themeFill="accent1" w:themeFillTint="33"/>
            <w:noWrap/>
            <w:vAlign w:val="bottom"/>
          </w:tcPr>
          <w:p w14:paraId="4480A2CE" w14:textId="77777777" w:rsidR="00085F16" w:rsidRPr="00830EA4" w:rsidRDefault="00085F16" w:rsidP="00085F16">
            <w:pPr>
              <w:jc w:val="both"/>
              <w:rPr>
                <w:b/>
                <w:sz w:val="20"/>
                <w:lang w:eastAsia="ja-JP"/>
              </w:rPr>
            </w:pPr>
            <w:r w:rsidRPr="00830EA4">
              <w:rPr>
                <w:b/>
                <w:sz w:val="20"/>
                <w:lang w:eastAsia="ja-JP"/>
              </w:rPr>
              <w:t>533</w:t>
            </w:r>
          </w:p>
        </w:tc>
        <w:tc>
          <w:tcPr>
            <w:tcW w:w="494" w:type="pct"/>
            <w:shd w:val="clear" w:color="auto" w:fill="DEEAF6" w:themeFill="accent1" w:themeFillTint="33"/>
            <w:noWrap/>
            <w:vAlign w:val="bottom"/>
          </w:tcPr>
          <w:p w14:paraId="15F295D3" w14:textId="77777777" w:rsidR="00085F16" w:rsidRPr="00830EA4" w:rsidRDefault="00085F16" w:rsidP="00085F16">
            <w:pPr>
              <w:jc w:val="both"/>
              <w:rPr>
                <w:b/>
                <w:sz w:val="20"/>
                <w:lang w:eastAsia="ja-JP"/>
              </w:rPr>
            </w:pPr>
            <w:r w:rsidRPr="00830EA4">
              <w:rPr>
                <w:b/>
                <w:sz w:val="20"/>
                <w:lang w:eastAsia="ja-JP"/>
              </w:rPr>
              <w:t>789</w:t>
            </w:r>
          </w:p>
        </w:tc>
        <w:tc>
          <w:tcPr>
            <w:tcW w:w="402" w:type="pct"/>
            <w:shd w:val="clear" w:color="auto" w:fill="DEEAF6" w:themeFill="accent1" w:themeFillTint="33"/>
            <w:noWrap/>
            <w:vAlign w:val="bottom"/>
          </w:tcPr>
          <w:p w14:paraId="166A8317" w14:textId="77777777" w:rsidR="00085F16" w:rsidRPr="00830EA4" w:rsidRDefault="00085F16" w:rsidP="00085F16">
            <w:pPr>
              <w:jc w:val="both"/>
              <w:rPr>
                <w:b/>
                <w:sz w:val="20"/>
                <w:lang w:eastAsia="ja-JP"/>
              </w:rPr>
            </w:pPr>
            <w:r w:rsidRPr="00830EA4">
              <w:rPr>
                <w:b/>
                <w:sz w:val="20"/>
                <w:lang w:eastAsia="ja-JP"/>
              </w:rPr>
              <w:t>793</w:t>
            </w:r>
          </w:p>
        </w:tc>
        <w:tc>
          <w:tcPr>
            <w:tcW w:w="471" w:type="pct"/>
            <w:shd w:val="clear" w:color="auto" w:fill="DEEAF6" w:themeFill="accent1" w:themeFillTint="33"/>
          </w:tcPr>
          <w:p w14:paraId="0F33CF1E" w14:textId="77777777" w:rsidR="00085F16" w:rsidRPr="00830EA4" w:rsidRDefault="00085F16" w:rsidP="00085F16">
            <w:pPr>
              <w:jc w:val="both"/>
              <w:rPr>
                <w:b/>
                <w:sz w:val="20"/>
                <w:lang w:eastAsia="ja-JP"/>
              </w:rPr>
            </w:pPr>
            <w:r w:rsidRPr="00830EA4">
              <w:rPr>
                <w:b/>
                <w:sz w:val="20"/>
                <w:lang w:eastAsia="ja-JP"/>
              </w:rPr>
              <w:t>825</w:t>
            </w:r>
          </w:p>
        </w:tc>
        <w:tc>
          <w:tcPr>
            <w:tcW w:w="434" w:type="pct"/>
            <w:shd w:val="clear" w:color="auto" w:fill="DEEAF6" w:themeFill="accent1" w:themeFillTint="33"/>
          </w:tcPr>
          <w:p w14:paraId="519D697F" w14:textId="77777777" w:rsidR="00085F16" w:rsidRPr="00830EA4" w:rsidRDefault="00085F16" w:rsidP="00085F16">
            <w:pPr>
              <w:jc w:val="both"/>
              <w:rPr>
                <w:b/>
                <w:sz w:val="20"/>
                <w:lang w:eastAsia="ja-JP"/>
              </w:rPr>
            </w:pPr>
            <w:r w:rsidRPr="00830EA4">
              <w:rPr>
                <w:b/>
                <w:sz w:val="20"/>
                <w:lang w:eastAsia="ja-JP"/>
              </w:rPr>
              <w:t>846</w:t>
            </w:r>
          </w:p>
        </w:tc>
      </w:tr>
      <w:tr w:rsidR="00085F16" w:rsidRPr="00830EA4" w14:paraId="7382C2B2" w14:textId="77777777" w:rsidTr="00085F16">
        <w:trPr>
          <w:trHeight w:val="15"/>
        </w:trPr>
        <w:tc>
          <w:tcPr>
            <w:tcW w:w="2251" w:type="pct"/>
            <w:shd w:val="clear" w:color="auto" w:fill="DEEAF6" w:themeFill="accent1" w:themeFillTint="33"/>
            <w:noWrap/>
            <w:hideMark/>
          </w:tcPr>
          <w:p w14:paraId="5201C53C" w14:textId="77777777" w:rsidR="00085F16" w:rsidRPr="00830EA4" w:rsidRDefault="00085F16" w:rsidP="00085F16">
            <w:pPr>
              <w:ind w:left="720"/>
              <w:jc w:val="both"/>
              <w:rPr>
                <w:sz w:val="20"/>
                <w:lang w:eastAsia="ja-JP"/>
              </w:rPr>
            </w:pPr>
            <w:r w:rsidRPr="00830EA4">
              <w:rPr>
                <w:sz w:val="20"/>
                <w:lang w:eastAsia="ja-JP"/>
              </w:rPr>
              <w:t>prej tyre me financimi nga:</w:t>
            </w:r>
            <w:r>
              <w:rPr>
                <w:sz w:val="20"/>
                <w:lang w:eastAsia="ja-JP"/>
              </w:rPr>
              <w:t xml:space="preserve"> </w:t>
            </w:r>
            <w:r w:rsidRPr="00830EA4">
              <w:rPr>
                <w:sz w:val="20"/>
                <w:lang w:eastAsia="ja-JP"/>
              </w:rPr>
              <w:t>Buxheti i rregullt</w:t>
            </w:r>
          </w:p>
        </w:tc>
        <w:tc>
          <w:tcPr>
            <w:tcW w:w="421" w:type="pct"/>
            <w:shd w:val="clear" w:color="auto" w:fill="DEEAF6" w:themeFill="accent1" w:themeFillTint="33"/>
            <w:noWrap/>
            <w:hideMark/>
          </w:tcPr>
          <w:p w14:paraId="28F871A1" w14:textId="77777777" w:rsidR="00085F16" w:rsidRPr="00830EA4" w:rsidRDefault="00085F16" w:rsidP="00085F16">
            <w:pPr>
              <w:jc w:val="both"/>
              <w:rPr>
                <w:sz w:val="20"/>
                <w:lang w:eastAsia="ja-JP"/>
              </w:rPr>
            </w:pPr>
            <w:r w:rsidRPr="00830EA4">
              <w:rPr>
                <w:sz w:val="20"/>
                <w:lang w:eastAsia="ja-JP"/>
              </w:rPr>
              <w:t>468</w:t>
            </w:r>
          </w:p>
        </w:tc>
        <w:tc>
          <w:tcPr>
            <w:tcW w:w="527" w:type="pct"/>
            <w:shd w:val="clear" w:color="auto" w:fill="DEEAF6" w:themeFill="accent1" w:themeFillTint="33"/>
            <w:noWrap/>
          </w:tcPr>
          <w:p w14:paraId="5E2BF75E" w14:textId="77777777" w:rsidR="00085F16" w:rsidRPr="00830EA4" w:rsidRDefault="00085F16" w:rsidP="00085F16">
            <w:pPr>
              <w:jc w:val="both"/>
              <w:rPr>
                <w:sz w:val="20"/>
                <w:lang w:eastAsia="ja-JP"/>
              </w:rPr>
            </w:pPr>
            <w:r w:rsidRPr="00830EA4">
              <w:rPr>
                <w:sz w:val="20"/>
                <w:lang w:eastAsia="ja-JP"/>
              </w:rPr>
              <w:t>450</w:t>
            </w:r>
          </w:p>
        </w:tc>
        <w:tc>
          <w:tcPr>
            <w:tcW w:w="494" w:type="pct"/>
            <w:shd w:val="clear" w:color="auto" w:fill="DEEAF6" w:themeFill="accent1" w:themeFillTint="33"/>
            <w:noWrap/>
          </w:tcPr>
          <w:p w14:paraId="57BDAEBC" w14:textId="77777777" w:rsidR="00085F16" w:rsidRPr="00830EA4" w:rsidRDefault="00085F16" w:rsidP="00085F16">
            <w:pPr>
              <w:jc w:val="both"/>
              <w:rPr>
                <w:sz w:val="20"/>
                <w:lang w:eastAsia="ja-JP"/>
              </w:rPr>
            </w:pPr>
            <w:r w:rsidRPr="00830EA4">
              <w:rPr>
                <w:sz w:val="20"/>
                <w:lang w:eastAsia="ja-JP"/>
              </w:rPr>
              <w:t>515</w:t>
            </w:r>
          </w:p>
        </w:tc>
        <w:tc>
          <w:tcPr>
            <w:tcW w:w="402" w:type="pct"/>
            <w:shd w:val="clear" w:color="auto" w:fill="DEEAF6" w:themeFill="accent1" w:themeFillTint="33"/>
            <w:noWrap/>
          </w:tcPr>
          <w:p w14:paraId="22E5371E" w14:textId="77777777" w:rsidR="00085F16" w:rsidRPr="00830EA4" w:rsidRDefault="00085F16" w:rsidP="00085F16">
            <w:pPr>
              <w:jc w:val="both"/>
              <w:rPr>
                <w:sz w:val="20"/>
                <w:lang w:eastAsia="ja-JP"/>
              </w:rPr>
            </w:pPr>
            <w:r w:rsidRPr="00830EA4">
              <w:rPr>
                <w:sz w:val="20"/>
                <w:lang w:eastAsia="ja-JP"/>
              </w:rPr>
              <w:t>544</w:t>
            </w:r>
          </w:p>
        </w:tc>
        <w:tc>
          <w:tcPr>
            <w:tcW w:w="471" w:type="pct"/>
            <w:shd w:val="clear" w:color="auto" w:fill="DEEAF6" w:themeFill="accent1" w:themeFillTint="33"/>
          </w:tcPr>
          <w:p w14:paraId="4E80450D" w14:textId="77777777" w:rsidR="00085F16" w:rsidRPr="00830EA4" w:rsidRDefault="00085F16" w:rsidP="00085F16">
            <w:pPr>
              <w:jc w:val="both"/>
              <w:rPr>
                <w:sz w:val="20"/>
                <w:lang w:eastAsia="ja-JP"/>
              </w:rPr>
            </w:pPr>
            <w:r w:rsidRPr="00830EA4">
              <w:rPr>
                <w:sz w:val="20"/>
                <w:lang w:eastAsia="ja-JP"/>
              </w:rPr>
              <w:t>574</w:t>
            </w:r>
          </w:p>
        </w:tc>
        <w:tc>
          <w:tcPr>
            <w:tcW w:w="434" w:type="pct"/>
            <w:shd w:val="clear" w:color="auto" w:fill="DEEAF6" w:themeFill="accent1" w:themeFillTint="33"/>
          </w:tcPr>
          <w:p w14:paraId="29E5E4AE" w14:textId="77777777" w:rsidR="00085F16" w:rsidRPr="00830EA4" w:rsidRDefault="00085F16" w:rsidP="00085F16">
            <w:pPr>
              <w:jc w:val="both"/>
              <w:rPr>
                <w:sz w:val="20"/>
                <w:lang w:eastAsia="ja-JP"/>
              </w:rPr>
            </w:pPr>
            <w:r w:rsidRPr="00830EA4">
              <w:rPr>
                <w:sz w:val="20"/>
                <w:lang w:eastAsia="ja-JP"/>
              </w:rPr>
              <w:t>639</w:t>
            </w:r>
          </w:p>
        </w:tc>
      </w:tr>
      <w:tr w:rsidR="00085F16" w:rsidRPr="00830EA4" w14:paraId="655971E5" w14:textId="77777777" w:rsidTr="00085F16">
        <w:trPr>
          <w:trHeight w:val="15"/>
        </w:trPr>
        <w:tc>
          <w:tcPr>
            <w:tcW w:w="2251" w:type="pct"/>
            <w:shd w:val="clear" w:color="auto" w:fill="DEEAF6" w:themeFill="accent1" w:themeFillTint="33"/>
            <w:noWrap/>
            <w:hideMark/>
          </w:tcPr>
          <w:p w14:paraId="7A741E8C" w14:textId="77777777" w:rsidR="00085F16" w:rsidRPr="00830EA4" w:rsidRDefault="00085F16" w:rsidP="00085F16">
            <w:pPr>
              <w:ind w:left="720"/>
              <w:jc w:val="both"/>
              <w:rPr>
                <w:sz w:val="20"/>
                <w:lang w:eastAsia="ja-JP"/>
              </w:rPr>
            </w:pPr>
            <w:r w:rsidRPr="00830EA4">
              <w:rPr>
                <w:sz w:val="20"/>
                <w:lang w:eastAsia="ja-JP"/>
              </w:rPr>
              <w:t>Klauzola e investimeve</w:t>
            </w:r>
          </w:p>
        </w:tc>
        <w:tc>
          <w:tcPr>
            <w:tcW w:w="421" w:type="pct"/>
            <w:shd w:val="clear" w:color="auto" w:fill="DEEAF6" w:themeFill="accent1" w:themeFillTint="33"/>
            <w:noWrap/>
            <w:hideMark/>
          </w:tcPr>
          <w:p w14:paraId="53C4D2AD" w14:textId="77777777" w:rsidR="00085F16" w:rsidRPr="00830EA4" w:rsidRDefault="00085F16" w:rsidP="00085F16">
            <w:pPr>
              <w:jc w:val="both"/>
              <w:rPr>
                <w:sz w:val="20"/>
                <w:lang w:eastAsia="ja-JP"/>
              </w:rPr>
            </w:pPr>
            <w:r w:rsidRPr="00830EA4">
              <w:rPr>
                <w:sz w:val="20"/>
                <w:lang w:eastAsia="ja-JP"/>
              </w:rPr>
              <w:t>0</w:t>
            </w:r>
          </w:p>
        </w:tc>
        <w:tc>
          <w:tcPr>
            <w:tcW w:w="527" w:type="pct"/>
            <w:shd w:val="clear" w:color="auto" w:fill="DEEAF6" w:themeFill="accent1" w:themeFillTint="33"/>
            <w:noWrap/>
          </w:tcPr>
          <w:p w14:paraId="40D30D64" w14:textId="77777777" w:rsidR="00085F16" w:rsidRPr="00830EA4" w:rsidRDefault="00085F16" w:rsidP="00085F16">
            <w:pPr>
              <w:jc w:val="both"/>
              <w:rPr>
                <w:sz w:val="20"/>
                <w:lang w:eastAsia="ja-JP"/>
              </w:rPr>
            </w:pPr>
            <w:r w:rsidRPr="00830EA4">
              <w:rPr>
                <w:sz w:val="20"/>
                <w:lang w:eastAsia="ja-JP"/>
              </w:rPr>
              <w:t>0</w:t>
            </w:r>
          </w:p>
        </w:tc>
        <w:tc>
          <w:tcPr>
            <w:tcW w:w="494" w:type="pct"/>
            <w:shd w:val="clear" w:color="auto" w:fill="DEEAF6" w:themeFill="accent1" w:themeFillTint="33"/>
            <w:noWrap/>
          </w:tcPr>
          <w:p w14:paraId="7BB5874C" w14:textId="77777777" w:rsidR="00085F16" w:rsidRPr="00830EA4" w:rsidRDefault="00085F16" w:rsidP="00085F16">
            <w:pPr>
              <w:jc w:val="both"/>
              <w:rPr>
                <w:sz w:val="20"/>
                <w:lang w:eastAsia="ja-JP"/>
              </w:rPr>
            </w:pPr>
            <w:r w:rsidRPr="00830EA4">
              <w:rPr>
                <w:sz w:val="20"/>
                <w:lang w:eastAsia="ja-JP"/>
              </w:rPr>
              <w:t>123</w:t>
            </w:r>
          </w:p>
        </w:tc>
        <w:tc>
          <w:tcPr>
            <w:tcW w:w="402" w:type="pct"/>
            <w:shd w:val="clear" w:color="auto" w:fill="DEEAF6" w:themeFill="accent1" w:themeFillTint="33"/>
            <w:noWrap/>
          </w:tcPr>
          <w:p w14:paraId="7E1463DE" w14:textId="77777777" w:rsidR="00085F16" w:rsidRPr="00830EA4" w:rsidRDefault="00085F16" w:rsidP="00085F16">
            <w:pPr>
              <w:jc w:val="both"/>
              <w:rPr>
                <w:sz w:val="20"/>
                <w:lang w:eastAsia="ja-JP"/>
              </w:rPr>
            </w:pPr>
            <w:r w:rsidRPr="00830EA4">
              <w:rPr>
                <w:sz w:val="20"/>
                <w:lang w:eastAsia="ja-JP"/>
              </w:rPr>
              <w:t>189</w:t>
            </w:r>
          </w:p>
        </w:tc>
        <w:tc>
          <w:tcPr>
            <w:tcW w:w="471" w:type="pct"/>
            <w:shd w:val="clear" w:color="auto" w:fill="DEEAF6" w:themeFill="accent1" w:themeFillTint="33"/>
          </w:tcPr>
          <w:p w14:paraId="6F484630" w14:textId="77777777" w:rsidR="00085F16" w:rsidRPr="00830EA4" w:rsidRDefault="00085F16" w:rsidP="00085F16">
            <w:pPr>
              <w:jc w:val="both"/>
              <w:rPr>
                <w:sz w:val="20"/>
                <w:lang w:eastAsia="ja-JP"/>
              </w:rPr>
            </w:pPr>
            <w:r w:rsidRPr="00830EA4">
              <w:rPr>
                <w:sz w:val="20"/>
                <w:lang w:eastAsia="ja-JP"/>
              </w:rPr>
              <w:t>251</w:t>
            </w:r>
          </w:p>
        </w:tc>
        <w:tc>
          <w:tcPr>
            <w:tcW w:w="434" w:type="pct"/>
            <w:shd w:val="clear" w:color="auto" w:fill="DEEAF6" w:themeFill="accent1" w:themeFillTint="33"/>
          </w:tcPr>
          <w:p w14:paraId="42B99A18" w14:textId="77777777" w:rsidR="00085F16" w:rsidRPr="00830EA4" w:rsidRDefault="00085F16" w:rsidP="00085F16">
            <w:pPr>
              <w:jc w:val="both"/>
              <w:rPr>
                <w:sz w:val="20"/>
                <w:lang w:eastAsia="ja-JP"/>
              </w:rPr>
            </w:pPr>
            <w:r w:rsidRPr="00830EA4">
              <w:rPr>
                <w:sz w:val="20"/>
                <w:lang w:eastAsia="ja-JP"/>
              </w:rPr>
              <w:t>207</w:t>
            </w:r>
          </w:p>
        </w:tc>
      </w:tr>
      <w:tr w:rsidR="00085F16" w:rsidRPr="00830EA4" w14:paraId="4F6A7285" w14:textId="77777777" w:rsidTr="00085F16">
        <w:trPr>
          <w:trHeight w:val="15"/>
        </w:trPr>
        <w:tc>
          <w:tcPr>
            <w:tcW w:w="2251" w:type="pct"/>
            <w:shd w:val="clear" w:color="auto" w:fill="DEEAF6" w:themeFill="accent1" w:themeFillTint="33"/>
            <w:noWrap/>
            <w:hideMark/>
          </w:tcPr>
          <w:p w14:paraId="33733C9A" w14:textId="77777777" w:rsidR="00085F16" w:rsidRPr="00830EA4" w:rsidRDefault="00085F16" w:rsidP="00085F16">
            <w:pPr>
              <w:ind w:left="720"/>
              <w:jc w:val="both"/>
              <w:rPr>
                <w:sz w:val="20"/>
                <w:lang w:eastAsia="ja-JP"/>
              </w:rPr>
            </w:pPr>
            <w:r w:rsidRPr="00830EA4">
              <w:rPr>
                <w:sz w:val="20"/>
                <w:lang w:eastAsia="ja-JP"/>
              </w:rPr>
              <w:t>Fondet e likuidimit (AKP)</w:t>
            </w:r>
          </w:p>
        </w:tc>
        <w:tc>
          <w:tcPr>
            <w:tcW w:w="421" w:type="pct"/>
            <w:shd w:val="clear" w:color="auto" w:fill="DEEAF6" w:themeFill="accent1" w:themeFillTint="33"/>
            <w:noWrap/>
            <w:hideMark/>
          </w:tcPr>
          <w:p w14:paraId="66E8B4B0" w14:textId="77777777" w:rsidR="00085F16" w:rsidRPr="00830EA4" w:rsidRDefault="00085F16" w:rsidP="00085F16">
            <w:pPr>
              <w:jc w:val="both"/>
              <w:rPr>
                <w:sz w:val="20"/>
                <w:lang w:eastAsia="ja-JP"/>
              </w:rPr>
            </w:pPr>
            <w:r w:rsidRPr="00830EA4">
              <w:rPr>
                <w:sz w:val="20"/>
                <w:lang w:eastAsia="ja-JP"/>
              </w:rPr>
              <w:t>0</w:t>
            </w:r>
          </w:p>
        </w:tc>
        <w:tc>
          <w:tcPr>
            <w:tcW w:w="527" w:type="pct"/>
            <w:shd w:val="clear" w:color="auto" w:fill="DEEAF6" w:themeFill="accent1" w:themeFillTint="33"/>
            <w:noWrap/>
          </w:tcPr>
          <w:p w14:paraId="0868AE7D" w14:textId="77777777" w:rsidR="00085F16" w:rsidRPr="00830EA4" w:rsidRDefault="00085F16" w:rsidP="00085F16">
            <w:pPr>
              <w:jc w:val="both"/>
              <w:rPr>
                <w:sz w:val="20"/>
                <w:lang w:eastAsia="ja-JP"/>
              </w:rPr>
            </w:pPr>
            <w:r w:rsidRPr="00830EA4">
              <w:rPr>
                <w:sz w:val="20"/>
                <w:lang w:eastAsia="ja-JP"/>
              </w:rPr>
              <w:t>83.6</w:t>
            </w:r>
          </w:p>
        </w:tc>
        <w:tc>
          <w:tcPr>
            <w:tcW w:w="494" w:type="pct"/>
            <w:shd w:val="clear" w:color="auto" w:fill="DEEAF6" w:themeFill="accent1" w:themeFillTint="33"/>
            <w:noWrap/>
          </w:tcPr>
          <w:p w14:paraId="32FAB020" w14:textId="77777777" w:rsidR="00085F16" w:rsidRPr="00830EA4" w:rsidRDefault="00085F16" w:rsidP="00085F16">
            <w:pPr>
              <w:jc w:val="both"/>
              <w:rPr>
                <w:sz w:val="20"/>
                <w:lang w:eastAsia="ja-JP"/>
              </w:rPr>
            </w:pPr>
            <w:r w:rsidRPr="00830EA4">
              <w:rPr>
                <w:sz w:val="20"/>
                <w:lang w:eastAsia="ja-JP"/>
              </w:rPr>
              <w:t>151</w:t>
            </w:r>
          </w:p>
        </w:tc>
        <w:tc>
          <w:tcPr>
            <w:tcW w:w="402" w:type="pct"/>
            <w:shd w:val="clear" w:color="auto" w:fill="DEEAF6" w:themeFill="accent1" w:themeFillTint="33"/>
            <w:noWrap/>
          </w:tcPr>
          <w:p w14:paraId="564396BD" w14:textId="77777777" w:rsidR="00085F16" w:rsidRPr="00830EA4" w:rsidRDefault="00085F16" w:rsidP="00085F16">
            <w:pPr>
              <w:jc w:val="both"/>
              <w:rPr>
                <w:sz w:val="20"/>
                <w:lang w:eastAsia="ja-JP"/>
              </w:rPr>
            </w:pPr>
            <w:r w:rsidRPr="00830EA4">
              <w:rPr>
                <w:sz w:val="20"/>
                <w:lang w:eastAsia="ja-JP"/>
              </w:rPr>
              <w:t>60</w:t>
            </w:r>
          </w:p>
        </w:tc>
        <w:tc>
          <w:tcPr>
            <w:tcW w:w="471" w:type="pct"/>
            <w:shd w:val="clear" w:color="auto" w:fill="DEEAF6" w:themeFill="accent1" w:themeFillTint="33"/>
          </w:tcPr>
          <w:p w14:paraId="79FAA5B3" w14:textId="77777777" w:rsidR="00085F16" w:rsidRPr="00830EA4" w:rsidRDefault="00085F16" w:rsidP="00085F16">
            <w:pPr>
              <w:jc w:val="both"/>
              <w:rPr>
                <w:sz w:val="20"/>
                <w:lang w:eastAsia="ja-JP"/>
              </w:rPr>
            </w:pPr>
            <w:r w:rsidRPr="00830EA4">
              <w:rPr>
                <w:sz w:val="20"/>
                <w:lang w:eastAsia="ja-JP"/>
              </w:rPr>
              <w:t>0</w:t>
            </w:r>
          </w:p>
        </w:tc>
        <w:tc>
          <w:tcPr>
            <w:tcW w:w="434" w:type="pct"/>
            <w:shd w:val="clear" w:color="auto" w:fill="DEEAF6" w:themeFill="accent1" w:themeFillTint="33"/>
          </w:tcPr>
          <w:p w14:paraId="1FB3CA73" w14:textId="77777777" w:rsidR="00085F16" w:rsidRPr="00830EA4" w:rsidRDefault="00085F16" w:rsidP="00085F16">
            <w:pPr>
              <w:jc w:val="both"/>
              <w:rPr>
                <w:sz w:val="20"/>
                <w:lang w:eastAsia="ja-JP"/>
              </w:rPr>
            </w:pPr>
            <w:r w:rsidRPr="00830EA4">
              <w:rPr>
                <w:sz w:val="20"/>
                <w:lang w:eastAsia="ja-JP"/>
              </w:rPr>
              <w:t>0</w:t>
            </w:r>
          </w:p>
        </w:tc>
      </w:tr>
      <w:tr w:rsidR="00085F16" w:rsidRPr="00830EA4" w14:paraId="742E4489" w14:textId="77777777" w:rsidTr="00085F16">
        <w:trPr>
          <w:trHeight w:val="21"/>
        </w:trPr>
        <w:tc>
          <w:tcPr>
            <w:tcW w:w="2251" w:type="pct"/>
            <w:shd w:val="clear" w:color="auto" w:fill="DEEAF6" w:themeFill="accent1" w:themeFillTint="33"/>
            <w:noWrap/>
            <w:vAlign w:val="bottom"/>
          </w:tcPr>
          <w:p w14:paraId="41B842DD" w14:textId="77777777" w:rsidR="00085F16" w:rsidRPr="00970DF1" w:rsidRDefault="00085F16" w:rsidP="00085F16">
            <w:pPr>
              <w:jc w:val="both"/>
              <w:rPr>
                <w:b/>
                <w:lang w:eastAsia="ja-JP"/>
              </w:rPr>
            </w:pPr>
            <w:r w:rsidRPr="00970DF1">
              <w:rPr>
                <w:b/>
                <w:lang w:eastAsia="ja-JP"/>
              </w:rPr>
              <w:t xml:space="preserve">2.3 Interesi për Borxhin Publik </w:t>
            </w:r>
          </w:p>
        </w:tc>
        <w:tc>
          <w:tcPr>
            <w:tcW w:w="421" w:type="pct"/>
            <w:shd w:val="clear" w:color="auto" w:fill="DEEAF6" w:themeFill="accent1" w:themeFillTint="33"/>
            <w:noWrap/>
            <w:vAlign w:val="bottom"/>
          </w:tcPr>
          <w:p w14:paraId="54E9FD5D" w14:textId="77777777" w:rsidR="00085F16" w:rsidRPr="00830EA4" w:rsidRDefault="00085F16" w:rsidP="00085F16">
            <w:pPr>
              <w:jc w:val="both"/>
              <w:rPr>
                <w:b/>
                <w:sz w:val="20"/>
                <w:lang w:eastAsia="ja-JP"/>
              </w:rPr>
            </w:pPr>
            <w:r w:rsidRPr="00830EA4">
              <w:rPr>
                <w:b/>
                <w:sz w:val="20"/>
                <w:lang w:eastAsia="ja-JP"/>
              </w:rPr>
              <w:t>19</w:t>
            </w:r>
          </w:p>
        </w:tc>
        <w:tc>
          <w:tcPr>
            <w:tcW w:w="527" w:type="pct"/>
            <w:shd w:val="clear" w:color="auto" w:fill="DEEAF6" w:themeFill="accent1" w:themeFillTint="33"/>
            <w:noWrap/>
            <w:vAlign w:val="bottom"/>
          </w:tcPr>
          <w:p w14:paraId="2FA9B3E6" w14:textId="77777777" w:rsidR="00085F16" w:rsidRPr="00830EA4" w:rsidRDefault="00085F16" w:rsidP="00085F16">
            <w:pPr>
              <w:jc w:val="both"/>
              <w:rPr>
                <w:b/>
                <w:sz w:val="20"/>
                <w:lang w:eastAsia="ja-JP"/>
              </w:rPr>
            </w:pPr>
            <w:r w:rsidRPr="00830EA4">
              <w:rPr>
                <w:b/>
                <w:sz w:val="20"/>
                <w:lang w:eastAsia="ja-JP"/>
              </w:rPr>
              <w:t>19</w:t>
            </w:r>
          </w:p>
        </w:tc>
        <w:tc>
          <w:tcPr>
            <w:tcW w:w="494" w:type="pct"/>
            <w:shd w:val="clear" w:color="auto" w:fill="DEEAF6" w:themeFill="accent1" w:themeFillTint="33"/>
            <w:noWrap/>
            <w:vAlign w:val="bottom"/>
          </w:tcPr>
          <w:p w14:paraId="1C67539A" w14:textId="77777777" w:rsidR="00085F16" w:rsidRPr="00830EA4" w:rsidRDefault="00085F16" w:rsidP="00085F16">
            <w:pPr>
              <w:jc w:val="both"/>
              <w:rPr>
                <w:b/>
                <w:sz w:val="20"/>
                <w:lang w:eastAsia="ja-JP"/>
              </w:rPr>
            </w:pPr>
            <w:r w:rsidRPr="00830EA4">
              <w:rPr>
                <w:b/>
                <w:sz w:val="20"/>
                <w:lang w:eastAsia="ja-JP"/>
              </w:rPr>
              <w:t>28</w:t>
            </w:r>
          </w:p>
        </w:tc>
        <w:tc>
          <w:tcPr>
            <w:tcW w:w="402" w:type="pct"/>
            <w:shd w:val="clear" w:color="auto" w:fill="DEEAF6" w:themeFill="accent1" w:themeFillTint="33"/>
            <w:noWrap/>
            <w:vAlign w:val="bottom"/>
          </w:tcPr>
          <w:p w14:paraId="42FEF4A4" w14:textId="77777777" w:rsidR="00085F16" w:rsidRPr="00830EA4" w:rsidRDefault="00085F16" w:rsidP="00085F16">
            <w:pPr>
              <w:jc w:val="both"/>
              <w:rPr>
                <w:b/>
                <w:sz w:val="20"/>
                <w:lang w:eastAsia="ja-JP"/>
              </w:rPr>
            </w:pPr>
            <w:r w:rsidRPr="00830EA4">
              <w:rPr>
                <w:b/>
                <w:sz w:val="20"/>
                <w:lang w:eastAsia="ja-JP"/>
              </w:rPr>
              <w:t>30</w:t>
            </w:r>
          </w:p>
        </w:tc>
        <w:tc>
          <w:tcPr>
            <w:tcW w:w="471" w:type="pct"/>
            <w:shd w:val="clear" w:color="auto" w:fill="DEEAF6" w:themeFill="accent1" w:themeFillTint="33"/>
          </w:tcPr>
          <w:p w14:paraId="49FC0C2C" w14:textId="77777777" w:rsidR="00085F16" w:rsidRPr="00830EA4" w:rsidRDefault="00085F16" w:rsidP="00085F16">
            <w:pPr>
              <w:jc w:val="both"/>
              <w:rPr>
                <w:b/>
                <w:sz w:val="20"/>
                <w:lang w:eastAsia="ja-JP"/>
              </w:rPr>
            </w:pPr>
            <w:r w:rsidRPr="00830EA4">
              <w:rPr>
                <w:b/>
                <w:sz w:val="20"/>
                <w:lang w:eastAsia="ja-JP"/>
              </w:rPr>
              <w:t>37</w:t>
            </w:r>
          </w:p>
        </w:tc>
        <w:tc>
          <w:tcPr>
            <w:tcW w:w="434" w:type="pct"/>
            <w:shd w:val="clear" w:color="auto" w:fill="DEEAF6" w:themeFill="accent1" w:themeFillTint="33"/>
          </w:tcPr>
          <w:p w14:paraId="656BD098" w14:textId="77777777" w:rsidR="00085F16" w:rsidRPr="00830EA4" w:rsidRDefault="00085F16" w:rsidP="00085F16">
            <w:pPr>
              <w:jc w:val="both"/>
              <w:rPr>
                <w:b/>
                <w:sz w:val="20"/>
                <w:lang w:eastAsia="ja-JP"/>
              </w:rPr>
            </w:pPr>
            <w:r w:rsidRPr="00830EA4">
              <w:rPr>
                <w:b/>
                <w:sz w:val="20"/>
                <w:lang w:eastAsia="ja-JP"/>
              </w:rPr>
              <w:t>42</w:t>
            </w:r>
          </w:p>
        </w:tc>
      </w:tr>
    </w:tbl>
    <w:p w14:paraId="2E083C7F" w14:textId="77777777" w:rsidR="00085F16" w:rsidRPr="003D7533" w:rsidRDefault="00085F16" w:rsidP="00085F16">
      <w:pPr>
        <w:spacing w:after="120"/>
        <w:jc w:val="both"/>
      </w:pPr>
    </w:p>
    <w:p w14:paraId="0D05B060" w14:textId="77777777" w:rsidR="00085F16" w:rsidRPr="005E5D6B" w:rsidRDefault="00085F16" w:rsidP="00802FB3">
      <w:pPr>
        <w:keepNext/>
        <w:numPr>
          <w:ilvl w:val="2"/>
          <w:numId w:val="87"/>
        </w:numPr>
        <w:spacing w:before="100" w:after="100" w:line="240" w:lineRule="auto"/>
        <w:ind w:hanging="810"/>
        <w:jc w:val="both"/>
        <w:outlineLvl w:val="0"/>
        <w:rPr>
          <w:rFonts w:ascii="Times New Roman Bold" w:hAnsi="Times New Roman Bold"/>
          <w:i/>
          <w:kern w:val="28"/>
        </w:rPr>
      </w:pPr>
      <w:bookmarkStart w:id="159" w:name="_Toc536429086"/>
      <w:bookmarkStart w:id="160" w:name="_Toc25873736"/>
      <w:r w:rsidRPr="005E5D6B">
        <w:rPr>
          <w:rFonts w:ascii="Times New Roman Bold" w:hAnsi="Times New Roman Bold"/>
          <w:kern w:val="28"/>
        </w:rPr>
        <w:t>Parashikimet e shpenzimeve</w:t>
      </w:r>
      <w:r w:rsidRPr="005E5D6B">
        <w:rPr>
          <w:rFonts w:ascii="Times New Roman Bold" w:hAnsi="Times New Roman Bold"/>
          <w:i/>
          <w:kern w:val="28"/>
        </w:rPr>
        <w:t xml:space="preserve"> </w:t>
      </w:r>
      <w:r w:rsidRPr="005E5D6B">
        <w:rPr>
          <w:rFonts w:ascii="Times New Roman Bold" w:hAnsi="Times New Roman Bold"/>
          <w:iCs/>
          <w:kern w:val="28"/>
        </w:rPr>
        <w:t>për sektorët e politikave buxhetore</w:t>
      </w:r>
      <w:bookmarkEnd w:id="154"/>
      <w:bookmarkEnd w:id="159"/>
      <w:bookmarkEnd w:id="160"/>
    </w:p>
    <w:p w14:paraId="2E4C1D5B" w14:textId="77777777" w:rsidR="00085F16" w:rsidRPr="00620506" w:rsidRDefault="00085F16" w:rsidP="00085F16">
      <w:pPr>
        <w:spacing w:before="240" w:after="120" w:line="276" w:lineRule="auto"/>
        <w:jc w:val="both"/>
        <w:rPr>
          <w:rFonts w:ascii="Times New Roman" w:hAnsi="Times New Roman" w:cs="Times New Roman"/>
          <w:sz w:val="24"/>
          <w:szCs w:val="24"/>
        </w:rPr>
      </w:pPr>
      <w:r w:rsidRPr="00620506">
        <w:rPr>
          <w:rFonts w:ascii="Times New Roman" w:hAnsi="Times New Roman" w:cs="Times New Roman"/>
          <w:sz w:val="24"/>
          <w:szCs w:val="24"/>
        </w:rPr>
        <w:t>Kjo pjesë pasqyron të dhënat mbi ndarjet buxhetore për vitin 2020 dhe vitet vijuese, sipas sektorëve me prioritet të Qeverisë, të dala nga dokumentet strategjike të vendit.</w:t>
      </w:r>
    </w:p>
    <w:p w14:paraId="390EF4AA" w14:textId="77777777" w:rsidR="00085F16" w:rsidRPr="00620506" w:rsidRDefault="00085F16" w:rsidP="00085F16">
      <w:pPr>
        <w:spacing w:before="240" w:after="120" w:line="276" w:lineRule="auto"/>
        <w:jc w:val="both"/>
        <w:rPr>
          <w:rFonts w:ascii="Times New Roman" w:hAnsi="Times New Roman" w:cs="Times New Roman"/>
          <w:sz w:val="24"/>
          <w:szCs w:val="24"/>
        </w:rPr>
      </w:pPr>
      <w:r w:rsidRPr="00620506">
        <w:rPr>
          <w:rFonts w:ascii="Times New Roman" w:hAnsi="Times New Roman" w:cs="Times New Roman"/>
          <w:sz w:val="24"/>
          <w:szCs w:val="24"/>
        </w:rPr>
        <w:t xml:space="preserve">Për </w:t>
      </w:r>
      <w:r w:rsidRPr="00620506">
        <w:rPr>
          <w:rFonts w:ascii="Times New Roman" w:hAnsi="Times New Roman" w:cs="Times New Roman"/>
          <w:b/>
          <w:sz w:val="24"/>
          <w:szCs w:val="24"/>
        </w:rPr>
        <w:t>institucionet e rendit, ligjit dhe të sigurisë publike</w:t>
      </w:r>
      <w:r w:rsidRPr="00620506">
        <w:rPr>
          <w:rFonts w:ascii="Times New Roman" w:hAnsi="Times New Roman" w:cs="Times New Roman"/>
          <w:b/>
          <w:sz w:val="24"/>
          <w:szCs w:val="24"/>
          <w:vertAlign w:val="superscript"/>
        </w:rPr>
        <w:footnoteReference w:id="16"/>
      </w:r>
      <w:r w:rsidRPr="00620506">
        <w:rPr>
          <w:rFonts w:ascii="Times New Roman" w:hAnsi="Times New Roman" w:cs="Times New Roman"/>
          <w:sz w:val="24"/>
          <w:szCs w:val="24"/>
        </w:rPr>
        <w:t xml:space="preserve">, buxheti i vitit 2020 parasheh ndarjet buxhetore në shumën prej 219.5 milionë eurosh. Kjo reflekton një rritje prej 7.7% në financim krahasuar me buxhetin 2019. Buxheti shtesë mundëson angazhimin shtesë për përmirësimin e efikasitetit dhe reduktimin e lëndëve të vjetra. Në periudhën afat-mesme, ky buxhet shtesë pritet të kenë rritje në mesatare prej 2.9% dhe të arrijë vlerën 222 milionë në 2022. Ndërsa buxheti për </w:t>
      </w:r>
      <w:r w:rsidRPr="00620506">
        <w:rPr>
          <w:rFonts w:ascii="Times New Roman" w:hAnsi="Times New Roman" w:cs="Times New Roman"/>
          <w:b/>
          <w:sz w:val="24"/>
          <w:szCs w:val="24"/>
        </w:rPr>
        <w:t>Sektorin e Mbrojtjes</w:t>
      </w:r>
      <w:r w:rsidRPr="00620506">
        <w:rPr>
          <w:rFonts w:ascii="Times New Roman" w:hAnsi="Times New Roman" w:cs="Times New Roman"/>
          <w:b/>
          <w:sz w:val="24"/>
          <w:szCs w:val="24"/>
          <w:vertAlign w:val="superscript"/>
        </w:rPr>
        <w:footnoteReference w:id="17"/>
      </w:r>
      <w:r w:rsidRPr="00620506">
        <w:rPr>
          <w:rFonts w:ascii="Times New Roman" w:hAnsi="Times New Roman" w:cs="Times New Roman"/>
          <w:sz w:val="24"/>
          <w:szCs w:val="24"/>
        </w:rPr>
        <w:t xml:space="preserve"> është rritur për 12.0% duke arritur shumën prej rreth 65.7 milionë euro. Në periudhën afat-mesme, ato pritet të arrijë vlerën 74.2 milionë euro në 2022 dhe të ketë rritje në mesatare prej 8.1%.</w:t>
      </w:r>
    </w:p>
    <w:p w14:paraId="0DCCF7FA" w14:textId="77777777" w:rsidR="00085F16" w:rsidRPr="00620506" w:rsidRDefault="00085F16" w:rsidP="00085F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76" w:lineRule="auto"/>
        <w:jc w:val="both"/>
        <w:rPr>
          <w:rFonts w:ascii="Times New Roman" w:hAnsi="Times New Roman" w:cs="Times New Roman"/>
          <w:color w:val="212121"/>
          <w:sz w:val="24"/>
          <w:szCs w:val="24"/>
        </w:rPr>
      </w:pPr>
      <w:r w:rsidRPr="00620506">
        <w:rPr>
          <w:rFonts w:ascii="Times New Roman" w:hAnsi="Times New Roman" w:cs="Times New Roman"/>
          <w:sz w:val="24"/>
          <w:szCs w:val="24"/>
        </w:rPr>
        <w:t>Buxheti për institucionet e</w:t>
      </w:r>
      <w:r w:rsidRPr="00620506">
        <w:rPr>
          <w:rFonts w:ascii="Times New Roman" w:hAnsi="Times New Roman" w:cs="Times New Roman"/>
          <w:b/>
          <w:sz w:val="24"/>
          <w:szCs w:val="24"/>
        </w:rPr>
        <w:t xml:space="preserve"> Sektorit Shëndetësor</w:t>
      </w:r>
      <w:r w:rsidRPr="00620506">
        <w:rPr>
          <w:rFonts w:ascii="Times New Roman" w:hAnsi="Times New Roman" w:cs="Times New Roman"/>
          <w:sz w:val="24"/>
          <w:szCs w:val="24"/>
        </w:rPr>
        <w:t xml:space="preserve"> në nivel qendror i cili përfshin Ministrinë e Shëndetësisë dhe Shërbimet Spitalore Universitare është rritur me 13.0% krahasuar me buxhetin 2019 duke arritur shumën prej 182 milionë euro. </w:t>
      </w:r>
      <w:r w:rsidRPr="00620506">
        <w:rPr>
          <w:rFonts w:ascii="Times New Roman" w:hAnsi="Times New Roman" w:cs="Times New Roman"/>
          <w:color w:val="212121"/>
          <w:sz w:val="24"/>
          <w:szCs w:val="24"/>
        </w:rPr>
        <w:t xml:space="preserve">Kjo rritje përfshin alokime shtesë për barnat esenciale dhe një rritje në shpenzimet kapitale. </w:t>
      </w:r>
      <w:r w:rsidRPr="00620506">
        <w:rPr>
          <w:rFonts w:ascii="Times New Roman" w:hAnsi="Times New Roman" w:cs="Times New Roman"/>
          <w:sz w:val="24"/>
          <w:szCs w:val="24"/>
        </w:rPr>
        <w:t>Në periudhën afat-mesme, ato pritet të kenë rritje në mesatare prej 3.1%.</w:t>
      </w:r>
    </w:p>
    <w:p w14:paraId="0B51D99C" w14:textId="77777777" w:rsidR="00085F16" w:rsidRPr="00620506" w:rsidRDefault="00085F16" w:rsidP="00085F16">
      <w:pPr>
        <w:spacing w:before="240" w:line="276" w:lineRule="auto"/>
        <w:jc w:val="both"/>
        <w:rPr>
          <w:rFonts w:ascii="Times New Roman" w:hAnsi="Times New Roman" w:cs="Times New Roman"/>
          <w:sz w:val="24"/>
          <w:szCs w:val="24"/>
        </w:rPr>
      </w:pPr>
      <w:r w:rsidRPr="00620506">
        <w:rPr>
          <w:rFonts w:ascii="Times New Roman" w:hAnsi="Times New Roman" w:cs="Times New Roman"/>
          <w:color w:val="212121"/>
          <w:sz w:val="24"/>
          <w:szCs w:val="24"/>
        </w:rPr>
        <w:t xml:space="preserve">Për </w:t>
      </w:r>
      <w:r w:rsidRPr="00620506">
        <w:rPr>
          <w:rFonts w:ascii="Times New Roman" w:hAnsi="Times New Roman" w:cs="Times New Roman"/>
          <w:b/>
          <w:color w:val="212121"/>
          <w:sz w:val="24"/>
          <w:szCs w:val="24"/>
        </w:rPr>
        <w:t>Sektorin e Mbrojtjes së Mjedisit</w:t>
      </w:r>
      <w:r w:rsidRPr="00620506">
        <w:rPr>
          <w:rFonts w:ascii="Times New Roman" w:hAnsi="Times New Roman" w:cs="Times New Roman"/>
          <w:b/>
          <w:color w:val="212121"/>
          <w:sz w:val="24"/>
          <w:szCs w:val="24"/>
          <w:vertAlign w:val="superscript"/>
        </w:rPr>
        <w:footnoteReference w:id="18"/>
      </w:r>
      <w:r w:rsidRPr="00620506">
        <w:rPr>
          <w:rFonts w:ascii="Times New Roman" w:hAnsi="Times New Roman" w:cs="Times New Roman"/>
          <w:b/>
          <w:color w:val="212121"/>
          <w:sz w:val="24"/>
          <w:szCs w:val="24"/>
        </w:rPr>
        <w:t xml:space="preserve">, </w:t>
      </w:r>
      <w:r w:rsidRPr="00620506">
        <w:rPr>
          <w:rFonts w:ascii="Times New Roman" w:hAnsi="Times New Roman" w:cs="Times New Roman"/>
          <w:sz w:val="24"/>
          <w:szCs w:val="24"/>
        </w:rPr>
        <w:t>i cili cilësohet si sektor me prioritet për qeverinë, ku e cila synon të ndalojë ritmin e shpyllëzimit të pyjeve të Kosovës dhe fillimin e rigjenerimit të tyre. Në të njëjtën kohë pritet të reformohet sistemi i menaxhimit të qëndrueshëm të mbeturinave dhe të përmirësohet monitorimi dhe raportimi për cilësinë e ajrit. Organizatat buxhetore të cilat e përbëjnë Sektorin e Mjedisit janë: Ministria e Mjedisit dhe Planifikimit Hapësinor dhe Autoriteti Rregullator për Shërbimet e Ujit, për të cilat ndarjet buxhetore janë rritur për 34.1% në 2020 krahasuar me buxhetin e vitit 2019. Në periudhën afat-mesme, ato pritet të kenë një ulje meqenëse një projekt kapital është bartur në Ministrinë e Zhvillimit Ekonomik.</w:t>
      </w:r>
    </w:p>
    <w:p w14:paraId="5E15FA74" w14:textId="77777777" w:rsidR="00085F16" w:rsidRPr="00620506" w:rsidRDefault="00085F16" w:rsidP="00085F16">
      <w:pPr>
        <w:spacing w:before="240" w:line="276" w:lineRule="auto"/>
        <w:jc w:val="both"/>
        <w:rPr>
          <w:rFonts w:ascii="Times New Roman" w:hAnsi="Times New Roman" w:cs="Times New Roman"/>
          <w:sz w:val="24"/>
          <w:szCs w:val="24"/>
        </w:rPr>
      </w:pPr>
      <w:r w:rsidRPr="00620506">
        <w:rPr>
          <w:rFonts w:ascii="Times New Roman" w:hAnsi="Times New Roman" w:cs="Times New Roman"/>
          <w:color w:val="212121"/>
          <w:sz w:val="24"/>
          <w:szCs w:val="24"/>
        </w:rPr>
        <w:t xml:space="preserve">Për institucionet përgjegjëse për </w:t>
      </w:r>
      <w:r w:rsidRPr="00620506">
        <w:rPr>
          <w:rFonts w:ascii="Times New Roman" w:hAnsi="Times New Roman" w:cs="Times New Roman"/>
          <w:b/>
          <w:color w:val="212121"/>
          <w:sz w:val="24"/>
          <w:szCs w:val="24"/>
        </w:rPr>
        <w:t>Përmirësimin e Çështjeve Ekonomike</w:t>
      </w:r>
      <w:r w:rsidRPr="00620506">
        <w:rPr>
          <w:rFonts w:ascii="Times New Roman" w:hAnsi="Times New Roman" w:cs="Times New Roman"/>
          <w:b/>
          <w:color w:val="212121"/>
          <w:sz w:val="24"/>
          <w:szCs w:val="24"/>
          <w:vertAlign w:val="superscript"/>
        </w:rPr>
        <w:footnoteReference w:id="19"/>
      </w:r>
      <w:r w:rsidRPr="00620506">
        <w:rPr>
          <w:rFonts w:ascii="Times New Roman" w:hAnsi="Times New Roman" w:cs="Times New Roman"/>
          <w:b/>
          <w:color w:val="212121"/>
          <w:sz w:val="24"/>
          <w:szCs w:val="24"/>
        </w:rPr>
        <w:t>,</w:t>
      </w:r>
      <w:r w:rsidRPr="00620506">
        <w:rPr>
          <w:rFonts w:ascii="Times New Roman" w:hAnsi="Times New Roman" w:cs="Times New Roman"/>
          <w:sz w:val="24"/>
          <w:szCs w:val="24"/>
        </w:rPr>
        <w:t xml:space="preserve"> ndarjet buxhetore për vitin 2020 </w:t>
      </w:r>
      <w:r w:rsidRPr="00620506">
        <w:rPr>
          <w:rFonts w:ascii="Times New Roman" w:hAnsi="Times New Roman" w:cs="Times New Roman"/>
          <w:color w:val="000000" w:themeColor="text1"/>
          <w:sz w:val="24"/>
          <w:szCs w:val="24"/>
        </w:rPr>
        <w:t xml:space="preserve">janë 7.6% më të ulëta se në buxhetin e vitit 2019, duke arritur gjithsej vlerën prej 417.4 milionë Euro. Kjo rënie vjen kryesisht nga ndarjet buxhetore më të ulëta për Ministrinë e Infrastrukturës si rrjedhojë e përfundimit të ndërtimit të autostradës. Megjithatë, ndarjet buxhetore për Ministrinë e Zhvillimit Ekonomik janë rritur me 37.3% në krahasim me buxhetin 2019, </w:t>
      </w:r>
      <w:r w:rsidRPr="00620506">
        <w:rPr>
          <w:rFonts w:ascii="Times New Roman" w:hAnsi="Times New Roman" w:cs="Times New Roman"/>
          <w:sz w:val="24"/>
          <w:szCs w:val="24"/>
        </w:rPr>
        <w:t>që vjen kryesisht nga rritja e investimeve kapitale (Ndërtimi i sistemit të ujësjellsit në Ferizaj, Sigurimi i Ujit dhe Mbrojtja e Kanalit, Projekti për efiçiencën e energjisë dhe Energjinë e Ripërtrishme, Ekonomia Digjitale në Kosovë). Për të promovuar Inovacionin dhe Zhvillimin e Teknologjisë, si një ndër prioritetet kryesore të vendit, buxheti i propozuar për 2020 parasheh një rritje të ndarjeve buxhtore për këtë ministri prej 16.2%. Në periudhën afat-mesme, buxheti për këtë sektor pritet të ketë rritje në mesatare prej 6.3%.</w:t>
      </w:r>
    </w:p>
    <w:p w14:paraId="0C362A9B" w14:textId="77777777" w:rsidR="00085F16" w:rsidRPr="00620506" w:rsidRDefault="00085F16" w:rsidP="00085F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76" w:lineRule="auto"/>
        <w:jc w:val="both"/>
        <w:rPr>
          <w:rFonts w:ascii="Times New Roman" w:hAnsi="Times New Roman" w:cs="Times New Roman"/>
          <w:color w:val="212121"/>
          <w:sz w:val="24"/>
          <w:szCs w:val="24"/>
        </w:rPr>
      </w:pPr>
      <w:r w:rsidRPr="00620506">
        <w:rPr>
          <w:rFonts w:ascii="Times New Roman" w:hAnsi="Times New Roman" w:cs="Times New Roman"/>
          <w:color w:val="212121"/>
          <w:sz w:val="24"/>
          <w:szCs w:val="24"/>
        </w:rPr>
        <w:t xml:space="preserve">Alokimet buxhetore për </w:t>
      </w:r>
      <w:r w:rsidRPr="00620506">
        <w:rPr>
          <w:rFonts w:ascii="Times New Roman" w:hAnsi="Times New Roman" w:cs="Times New Roman"/>
          <w:b/>
          <w:color w:val="212121"/>
          <w:sz w:val="24"/>
          <w:szCs w:val="24"/>
        </w:rPr>
        <w:t>Sektorin e Arsimit</w:t>
      </w:r>
      <w:r w:rsidRPr="00620506">
        <w:rPr>
          <w:rFonts w:ascii="Times New Roman" w:hAnsi="Times New Roman" w:cs="Times New Roman"/>
          <w:color w:val="212121"/>
          <w:sz w:val="24"/>
          <w:szCs w:val="24"/>
        </w:rPr>
        <w:t xml:space="preserve"> të përbërë nga Ministria e Arsimit, Universiteti Publik, Akademia e Drejtësisë dhe Akademia e Shkencave u parashikuan të ulen me një përqindje të lehtë prej 1.0%, duke arritur në shumën prej 109.7 milionë euro dhe një ulje e tillë parashihet të vazhdoj edhe në vitet pasuese.</w:t>
      </w:r>
    </w:p>
    <w:p w14:paraId="150D3675" w14:textId="77777777" w:rsidR="00085F16" w:rsidRPr="00620506" w:rsidRDefault="00085F16" w:rsidP="00085F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76" w:lineRule="auto"/>
        <w:jc w:val="both"/>
        <w:rPr>
          <w:rFonts w:ascii="Times New Roman" w:hAnsi="Times New Roman" w:cs="Times New Roman"/>
          <w:sz w:val="24"/>
          <w:szCs w:val="24"/>
        </w:rPr>
      </w:pPr>
      <w:r w:rsidRPr="00620506">
        <w:rPr>
          <w:rFonts w:ascii="Times New Roman" w:hAnsi="Times New Roman" w:cs="Times New Roman"/>
          <w:sz w:val="24"/>
          <w:szCs w:val="24"/>
        </w:rPr>
        <w:t xml:space="preserve">Qeveria e Republikës së Kosovës është e përkushtuar drejt përmirësimit të </w:t>
      </w:r>
      <w:r w:rsidRPr="00620506">
        <w:rPr>
          <w:rFonts w:ascii="Times New Roman" w:hAnsi="Times New Roman" w:cs="Times New Roman"/>
          <w:b/>
          <w:color w:val="212121"/>
          <w:sz w:val="24"/>
          <w:szCs w:val="24"/>
        </w:rPr>
        <w:t>Shërbimeve të Përgjithshme Publike</w:t>
      </w:r>
      <w:r w:rsidRPr="00620506">
        <w:rPr>
          <w:rFonts w:ascii="Times New Roman" w:hAnsi="Times New Roman" w:cs="Times New Roman"/>
          <w:b/>
          <w:color w:val="212121"/>
          <w:sz w:val="24"/>
          <w:szCs w:val="24"/>
          <w:vertAlign w:val="superscript"/>
        </w:rPr>
        <w:footnoteReference w:id="20"/>
      </w:r>
      <w:r w:rsidRPr="00620506">
        <w:rPr>
          <w:rFonts w:ascii="Times New Roman" w:hAnsi="Times New Roman" w:cs="Times New Roman"/>
          <w:color w:val="212121"/>
          <w:sz w:val="24"/>
          <w:szCs w:val="24"/>
        </w:rPr>
        <w:t xml:space="preserve"> </w:t>
      </w:r>
      <w:r w:rsidRPr="00620506">
        <w:rPr>
          <w:rFonts w:ascii="Times New Roman" w:hAnsi="Times New Roman" w:cs="Times New Roman"/>
          <w:sz w:val="24"/>
          <w:szCs w:val="24"/>
        </w:rPr>
        <w:t>me qëllim të thjeshtësimit të legjislacionit dhe krijimit të një sistemi të vlerësimit të ndikimit rregullator, duke përfshirë zvogëlimin e barrës administrative për bizneset. Për realizimin e këtij prioriteti, ndarjet buxhetore për shërbimet publike janë rritur për 14.2% në krahasim me buxhetin e vitit 2019. Për Komisionin Rregullativ të Prokurimit Publik i cili është në kuadër të këtij sektori, ndarjet për këtë vit 2020 janë rritur për 7.9% më shumë se sa buxheti i vitit 2019. Ndërsa për Zyrën Kombëtare të Auditorit këto ndarje janë zvogëluar për 6.0%. Duke tentuar për një funksionim të mirëfilltë të shërbimeve diplomatike në kuadër të Ministrisë së Punëve të Jashtme, buxheti për të është rritur për 5.2% në 2020. Në tërësi për këtë sektor pritet të ketë rritje të buxhetit në mesatare prej 4.8%.</w:t>
      </w:r>
    </w:p>
    <w:p w14:paraId="36EED82F" w14:textId="77777777" w:rsidR="00085F16" w:rsidRPr="00620506" w:rsidRDefault="00085F16" w:rsidP="00085F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76" w:lineRule="auto"/>
        <w:jc w:val="both"/>
        <w:rPr>
          <w:rFonts w:ascii="Times New Roman" w:hAnsi="Times New Roman" w:cs="Times New Roman"/>
          <w:b/>
          <w:sz w:val="24"/>
          <w:szCs w:val="24"/>
        </w:rPr>
      </w:pPr>
      <w:r w:rsidRPr="00620506">
        <w:rPr>
          <w:rFonts w:ascii="Times New Roman" w:hAnsi="Times New Roman" w:cs="Times New Roman"/>
          <w:color w:val="212121"/>
          <w:sz w:val="24"/>
          <w:szCs w:val="24"/>
        </w:rPr>
        <w:t xml:space="preserve">Për më tepër, për të siguruar që ka kohezion dhe zhvillim social, buxheti parashikon rritje prej 1.8% të alokimeve buxhetore për institucionet e </w:t>
      </w:r>
      <w:r w:rsidRPr="00620506">
        <w:rPr>
          <w:rFonts w:ascii="Times New Roman" w:hAnsi="Times New Roman" w:cs="Times New Roman"/>
          <w:b/>
          <w:color w:val="212121"/>
          <w:sz w:val="24"/>
          <w:szCs w:val="24"/>
        </w:rPr>
        <w:t>Sektorit të Mbrojtjes Sociale</w:t>
      </w:r>
      <w:r w:rsidRPr="00620506">
        <w:rPr>
          <w:rFonts w:ascii="Times New Roman" w:hAnsi="Times New Roman" w:cs="Times New Roman"/>
          <w:color w:val="212121"/>
          <w:sz w:val="24"/>
          <w:szCs w:val="24"/>
        </w:rPr>
        <w:t xml:space="preserve"> që përbëhet nga Ministria e Punës dhe Mirëqenies Sociale. Kjo rritje prej 8.5 milionë euro parashihet në 2020, e ndërsa </w:t>
      </w:r>
      <w:r w:rsidRPr="00620506">
        <w:rPr>
          <w:rFonts w:ascii="Times New Roman" w:hAnsi="Times New Roman" w:cs="Times New Roman"/>
          <w:sz w:val="24"/>
          <w:szCs w:val="24"/>
        </w:rPr>
        <w:t>në periudhën afat-mesme, pritet të kenë rritje në mesatare prej 1.3%.</w:t>
      </w:r>
    </w:p>
    <w:p w14:paraId="03E846F7" w14:textId="77777777" w:rsidR="00085F16" w:rsidRPr="00620506" w:rsidRDefault="00085F16" w:rsidP="00802FB3">
      <w:pPr>
        <w:pStyle w:val="ERPL20"/>
        <w:numPr>
          <w:ilvl w:val="1"/>
          <w:numId w:val="89"/>
        </w:numPr>
        <w:ind w:left="-1440" w:firstLine="1440"/>
        <w:rPr>
          <w:rFonts w:ascii="Times New Roman" w:hAnsi="Times New Roman"/>
        </w:rPr>
      </w:pPr>
      <w:bookmarkStart w:id="161" w:name="_Toc25873737"/>
      <w:r w:rsidRPr="00620506">
        <w:rPr>
          <w:rFonts w:ascii="Times New Roman" w:hAnsi="Times New Roman"/>
        </w:rPr>
        <w:t>Bilanci Strukturor Fiskal</w:t>
      </w:r>
      <w:bookmarkEnd w:id="161"/>
    </w:p>
    <w:p w14:paraId="00F71494" w14:textId="77777777" w:rsidR="00085F16" w:rsidRPr="00620506" w:rsidRDefault="00085F16" w:rsidP="00085F16">
      <w:pPr>
        <w:pStyle w:val="HTMLPreformatted"/>
        <w:shd w:val="clear" w:color="auto" w:fill="FFFFFF"/>
        <w:spacing w:before="240" w:after="120" w:line="276" w:lineRule="auto"/>
        <w:jc w:val="both"/>
        <w:rPr>
          <w:rFonts w:ascii="Times New Roman" w:hAnsi="Times New Roman" w:cs="Times New Roman"/>
          <w:color w:val="000000" w:themeColor="text1"/>
          <w:sz w:val="24"/>
          <w:szCs w:val="24"/>
          <w:lang w:val="en-GB"/>
        </w:rPr>
      </w:pPr>
      <w:r w:rsidRPr="00620506">
        <w:rPr>
          <w:rFonts w:ascii="Times New Roman" w:hAnsi="Times New Roman" w:cs="Times New Roman"/>
          <w:color w:val="000000" w:themeColor="text1"/>
          <w:sz w:val="24"/>
          <w:szCs w:val="24"/>
          <w:lang w:val="en-GB"/>
        </w:rPr>
        <w:t>Bilanci strukturor përfaqëson bilancin fiskal të qeverisë, të korrigjuar nga efektet apo luhatjet e ciklit të biznesit, të cilat nuk janë nën kontrollin direkt të qeverisë. Shpesh argumentohet se bilanci i përgjithshëm fiskal nuk ofron një panoramë gjithëpërfshirëse të pozicionit fiskal sepse ky pozicion ndikohet në një masë të konsiderueshme edhe nga ciklet e biznesit në të cilat një ekonomi kalon. Gjatë periudhave, kur një ekonomi përjeton përshpejtim të rritjes ekonomike, të hyrat tatimore kanë tendencën të rriten; ndërsa në kushtet ngadalësimit ekonomik, të hyrat tatimore, veçanërisht të hyrat nga të ardhurat dhe konsumi, zvogëlohen. Këto zhvillime në treguesit fiskalë, të cilat ndodhin pa asnjë lloj ndërhyrje diskrecionare nga qeveria, ndihmojnë në zbutjen e luhatjeve ekonomike, dhe për këtë arsye njihen si “stabilizatorë automatikë”. Bilanci fiskal strukturor (i zhveshur nga cikli biznesor) synon të mas pozicionin fiskal të pastruar nga këta stabilizatorë, me qëllimin për të kuptuar më mirë shkallën dhe intensitetin e politikës diskrecionare fiskale.</w:t>
      </w:r>
    </w:p>
    <w:p w14:paraId="21DD10A3" w14:textId="77777777" w:rsidR="00085F16" w:rsidRPr="00620506" w:rsidRDefault="00085F16" w:rsidP="00085F16">
      <w:pPr>
        <w:pStyle w:val="HTMLPreformatted"/>
        <w:shd w:val="clear" w:color="auto" w:fill="FFFFFF"/>
        <w:spacing w:before="240" w:after="120" w:line="276" w:lineRule="auto"/>
        <w:jc w:val="both"/>
        <w:rPr>
          <w:rFonts w:ascii="Times New Roman" w:hAnsi="Times New Roman" w:cs="Times New Roman"/>
          <w:color w:val="000000" w:themeColor="text1"/>
          <w:sz w:val="24"/>
          <w:szCs w:val="24"/>
          <w:lang w:val="en-GB"/>
        </w:rPr>
      </w:pPr>
      <w:r w:rsidRPr="00620506">
        <w:rPr>
          <w:rFonts w:ascii="Times New Roman" w:hAnsi="Times New Roman" w:cs="Times New Roman"/>
          <w:color w:val="000000" w:themeColor="text1"/>
          <w:sz w:val="24"/>
          <w:szCs w:val="24"/>
          <w:lang w:val="en-GB"/>
        </w:rPr>
        <w:t>Për të përftuar bilancin strukturor është e rëndësishme që të izolohet komponentit ciklik i bilancit fiskal, i cili vjen si rezultat i hendekut të prodhimit në ekonomi. Në rastin, kur një ekonomi është në nivelin e saj potencial (hendeku i prodhimit është zero), ky komponent ciklik i bilancit fiskal do të jetë zero dhe rrjedhimisht bilanci aktual fiskal përfaqëson në të njëjtën kohë edhe bilancin strukturor.</w:t>
      </w:r>
    </w:p>
    <w:p w14:paraId="38D410C3" w14:textId="77777777" w:rsidR="00085F16" w:rsidRPr="00620506" w:rsidRDefault="00085F16" w:rsidP="00085F16">
      <w:pPr>
        <w:pStyle w:val="HTMLPreformatted"/>
        <w:shd w:val="clear" w:color="auto" w:fill="FFFFFF"/>
        <w:spacing w:before="240" w:after="120" w:line="276" w:lineRule="auto"/>
        <w:jc w:val="both"/>
        <w:rPr>
          <w:rFonts w:ascii="Times New Roman" w:hAnsi="Times New Roman" w:cs="Times New Roman"/>
          <w:color w:val="000000" w:themeColor="text1"/>
          <w:sz w:val="24"/>
          <w:szCs w:val="24"/>
          <w:lang w:val="en-GB"/>
        </w:rPr>
      </w:pPr>
      <w:r w:rsidRPr="00620506">
        <w:rPr>
          <w:rFonts w:ascii="Times New Roman" w:hAnsi="Times New Roman" w:cs="Times New Roman"/>
          <w:color w:val="000000" w:themeColor="text1"/>
          <w:sz w:val="24"/>
          <w:szCs w:val="24"/>
          <w:lang w:val="en-GB"/>
        </w:rPr>
        <w:t>Vlerësimi i bilancit strukturor i paraqitur në këtë seksion, duhet të interpretohet me një shkallë të lartë të kujdesit, duke marrë parasysh disponueshmërinë e kufizuar të të dhënave të BPV-së. Në këtë version të përditësuar të PRE-së, bilanci strukturor është vlerësuar duke përdorur të dhënat tremujore që mbulojnë periudhën 2010 TM1: 2019 TM2 (gjithsej 38 observime). Duke ndjekur metodologjinë e përcaktuar në versionin e vitit të kaluar të PRE, bilanci strukturor është llogaritur duke ndjekur dy hapat e mëposhtme.</w:t>
      </w:r>
    </w:p>
    <w:p w14:paraId="3A93DC20" w14:textId="77777777" w:rsidR="00085F16" w:rsidRPr="00620506" w:rsidRDefault="00085F16" w:rsidP="00085F16">
      <w:pPr>
        <w:spacing w:before="240" w:after="120" w:line="276" w:lineRule="auto"/>
        <w:jc w:val="both"/>
        <w:rPr>
          <w:rFonts w:ascii="Times New Roman" w:hAnsi="Times New Roman" w:cs="Times New Roman"/>
          <w:color w:val="000000" w:themeColor="text1"/>
          <w:sz w:val="24"/>
          <w:szCs w:val="24"/>
          <w:lang w:val="en"/>
        </w:rPr>
      </w:pPr>
      <w:r w:rsidRPr="00620506">
        <w:rPr>
          <w:rFonts w:ascii="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53F446B1" wp14:editId="5D48E9B6">
                <wp:simplePos x="0" y="0"/>
                <wp:positionH relativeFrom="margin">
                  <wp:align>left</wp:align>
                </wp:positionH>
                <wp:positionV relativeFrom="paragraph">
                  <wp:posOffset>1942465</wp:posOffset>
                </wp:positionV>
                <wp:extent cx="3600450" cy="198755"/>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3600450" cy="198755"/>
                        </a:xfrm>
                        <a:prstGeom prst="rect">
                          <a:avLst/>
                        </a:prstGeom>
                        <a:solidFill>
                          <a:prstClr val="white"/>
                        </a:solidFill>
                        <a:ln>
                          <a:noFill/>
                        </a:ln>
                        <a:effectLst/>
                      </wps:spPr>
                      <wps:txbx>
                        <w:txbxContent>
                          <w:p w14:paraId="06CB95CF" w14:textId="77777777" w:rsidR="00FC648F" w:rsidRPr="00FC648F" w:rsidRDefault="00FC648F" w:rsidP="00085F16">
                            <w:pPr>
                              <w:pStyle w:val="Caption"/>
                              <w:spacing w:after="0"/>
                              <w:rPr>
                                <w:rFonts w:ascii="Times New Roman" w:eastAsia="Times New Roman" w:hAnsi="Times New Roman"/>
                                <w:b/>
                                <w:i w:val="0"/>
                                <w:noProof/>
                                <w:color w:val="auto"/>
                                <w:sz w:val="24"/>
                                <w:szCs w:val="24"/>
                                <w:lang w:val="fr-BE"/>
                              </w:rPr>
                            </w:pPr>
                            <w:bookmarkStart w:id="162" w:name="_Toc25673467"/>
                            <w:r w:rsidRPr="00FC648F">
                              <w:rPr>
                                <w:rFonts w:ascii="Times New Roman" w:hAnsi="Times New Roman"/>
                                <w:b/>
                                <w:i w:val="0"/>
                                <w:color w:val="auto"/>
                                <w:lang w:val="fr-BE"/>
                              </w:rPr>
                              <w:t xml:space="preserve">Grafiku </w:t>
                            </w:r>
                            <w:r w:rsidRPr="00A74C67">
                              <w:rPr>
                                <w:rFonts w:ascii="Times New Roman" w:hAnsi="Times New Roman"/>
                                <w:b/>
                                <w:i w:val="0"/>
                                <w:color w:val="auto"/>
                              </w:rPr>
                              <w:fldChar w:fldCharType="begin"/>
                            </w:r>
                            <w:r w:rsidRPr="00FC648F">
                              <w:rPr>
                                <w:rFonts w:ascii="Times New Roman" w:hAnsi="Times New Roman"/>
                                <w:b/>
                                <w:i w:val="0"/>
                                <w:color w:val="auto"/>
                                <w:lang w:val="fr-BE"/>
                              </w:rPr>
                              <w:instrText xml:space="preserve"> SEQ Grafiku \* ARABIC </w:instrText>
                            </w:r>
                            <w:r w:rsidRPr="00A74C67">
                              <w:rPr>
                                <w:rFonts w:ascii="Times New Roman" w:hAnsi="Times New Roman"/>
                                <w:b/>
                                <w:i w:val="0"/>
                                <w:color w:val="auto"/>
                              </w:rPr>
                              <w:fldChar w:fldCharType="separate"/>
                            </w:r>
                            <w:r w:rsidRPr="00FC648F">
                              <w:rPr>
                                <w:rFonts w:ascii="Times New Roman" w:hAnsi="Times New Roman"/>
                                <w:b/>
                                <w:i w:val="0"/>
                                <w:noProof/>
                                <w:color w:val="auto"/>
                                <w:lang w:val="fr-BE"/>
                              </w:rPr>
                              <w:t>15</w:t>
                            </w:r>
                            <w:r w:rsidRPr="00A74C67">
                              <w:rPr>
                                <w:rFonts w:ascii="Times New Roman" w:hAnsi="Times New Roman"/>
                                <w:b/>
                                <w:i w:val="0"/>
                                <w:color w:val="auto"/>
                              </w:rPr>
                              <w:fldChar w:fldCharType="end"/>
                            </w:r>
                            <w:r w:rsidRPr="00FC648F">
                              <w:rPr>
                                <w:rFonts w:ascii="Times New Roman" w:hAnsi="Times New Roman"/>
                                <w:b/>
                                <w:i w:val="0"/>
                                <w:color w:val="auto"/>
                                <w:lang w:val="fr-BE"/>
                              </w:rPr>
                              <w:t xml:space="preserve"> BPV-ja aktuale dhe potenciale, 2010 TM1: 2019 TM2</w:t>
                            </w:r>
                            <w:bookmarkEnd w:id="16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F446B1" id="Text Box 31" o:spid="_x0000_s1037" type="#_x0000_t202" style="position:absolute;left:0;text-align:left;margin-left:0;margin-top:152.95pt;width:283.5pt;height:15.65pt;z-index:2516746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" stroked="f">
                <v:textbox inset="0,0,0,0">
                  <w:txbxContent>
                    <w:p w14:paraId="06CB95CF" w14:textId="77777777" w:rsidR="00FC648F" w:rsidRPr="00FC648F" w:rsidRDefault="00FC648F" w:rsidP="00085F16">
                      <w:pPr>
                        <w:pStyle w:val="Caption"/>
                        <w:spacing w:after="0"/>
                        <w:rPr>
                          <w:rFonts w:ascii="Times New Roman" w:eastAsia="Times New Roman" w:hAnsi="Times New Roman"/>
                          <w:b/>
                          <w:i w:val="0"/>
                          <w:noProof/>
                          <w:color w:val="auto"/>
                          <w:sz w:val="24"/>
                          <w:szCs w:val="24"/>
                          <w:lang w:val="fr-BE"/>
                        </w:rPr>
                      </w:pPr>
                      <w:bookmarkStart w:id="163" w:name="_Toc25673467"/>
                      <w:r w:rsidRPr="00FC648F">
                        <w:rPr>
                          <w:rFonts w:ascii="Times New Roman" w:hAnsi="Times New Roman"/>
                          <w:b/>
                          <w:i w:val="0"/>
                          <w:color w:val="auto"/>
                          <w:lang w:val="fr-BE"/>
                        </w:rPr>
                        <w:t xml:space="preserve">Grafiku </w:t>
                      </w:r>
                      <w:r w:rsidRPr="00A74C67">
                        <w:rPr>
                          <w:rFonts w:ascii="Times New Roman" w:hAnsi="Times New Roman"/>
                          <w:b/>
                          <w:i w:val="0"/>
                          <w:color w:val="auto"/>
                        </w:rPr>
                        <w:fldChar w:fldCharType="begin"/>
                      </w:r>
                      <w:r w:rsidRPr="00FC648F">
                        <w:rPr>
                          <w:rFonts w:ascii="Times New Roman" w:hAnsi="Times New Roman"/>
                          <w:b/>
                          <w:i w:val="0"/>
                          <w:color w:val="auto"/>
                          <w:lang w:val="fr-BE"/>
                        </w:rPr>
                        <w:instrText xml:space="preserve"> SEQ Grafiku \* ARABIC </w:instrText>
                      </w:r>
                      <w:r w:rsidRPr="00A74C67">
                        <w:rPr>
                          <w:rFonts w:ascii="Times New Roman" w:hAnsi="Times New Roman"/>
                          <w:b/>
                          <w:i w:val="0"/>
                          <w:color w:val="auto"/>
                        </w:rPr>
                        <w:fldChar w:fldCharType="separate"/>
                      </w:r>
                      <w:r w:rsidRPr="00FC648F">
                        <w:rPr>
                          <w:rFonts w:ascii="Times New Roman" w:hAnsi="Times New Roman"/>
                          <w:b/>
                          <w:i w:val="0"/>
                          <w:noProof/>
                          <w:color w:val="auto"/>
                          <w:lang w:val="fr-BE"/>
                        </w:rPr>
                        <w:t>15</w:t>
                      </w:r>
                      <w:r w:rsidRPr="00A74C67">
                        <w:rPr>
                          <w:rFonts w:ascii="Times New Roman" w:hAnsi="Times New Roman"/>
                          <w:b/>
                          <w:i w:val="0"/>
                          <w:color w:val="auto"/>
                        </w:rPr>
                        <w:fldChar w:fldCharType="end"/>
                      </w:r>
                      <w:r w:rsidRPr="00FC648F">
                        <w:rPr>
                          <w:rFonts w:ascii="Times New Roman" w:hAnsi="Times New Roman"/>
                          <w:b/>
                          <w:i w:val="0"/>
                          <w:color w:val="auto"/>
                          <w:lang w:val="fr-BE"/>
                        </w:rPr>
                        <w:t xml:space="preserve"> BPV-ja aktuale dhe potenciale, 2010 TM1: 2019 TM2</w:t>
                      </w:r>
                      <w:bookmarkEnd w:id="163"/>
                    </w:p>
                  </w:txbxContent>
                </v:textbox>
                <w10:wrap type="square" anchorx="margin"/>
              </v:shape>
            </w:pict>
          </mc:Fallback>
        </mc:AlternateContent>
      </w:r>
      <w:r w:rsidRPr="00620506">
        <w:rPr>
          <w:rFonts w:ascii="Times New Roman" w:hAnsi="Times New Roman" w:cs="Times New Roman"/>
          <w:noProof/>
          <w:color w:val="000000" w:themeColor="text1"/>
          <w:sz w:val="24"/>
          <w:szCs w:val="24"/>
          <w:lang w:val="en-US"/>
        </w:rPr>
        <w:drawing>
          <wp:anchor distT="0" distB="0" distL="114300" distR="114300" simplePos="0" relativeHeight="251660288" behindDoc="0" locked="0" layoutInCell="1" allowOverlap="1" wp14:anchorId="513ADD28" wp14:editId="5A4332E7">
            <wp:simplePos x="0" y="0"/>
            <wp:positionH relativeFrom="margin">
              <wp:align>left</wp:align>
            </wp:positionH>
            <wp:positionV relativeFrom="paragraph">
              <wp:posOffset>2114550</wp:posOffset>
            </wp:positionV>
            <wp:extent cx="3600450" cy="2495550"/>
            <wp:effectExtent l="0" t="0" r="0" b="0"/>
            <wp:wrapSquare wrapText="bothSides"/>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Pr="00620506">
        <w:rPr>
          <w:rFonts w:ascii="Times New Roman" w:hAnsi="Times New Roman" w:cs="Times New Roman"/>
          <w:color w:val="000000" w:themeColor="text1"/>
          <w:sz w:val="24"/>
          <w:szCs w:val="24"/>
          <w:lang w:val="en"/>
        </w:rPr>
        <w:t>Hapi i parë përfshin llogaritjen e hendekut të prodhimit, shprehur si devijimi në përqindje i BPV-së aktuale nga niveli i vet potencial. Literatura sugjeron një sërë teknikash për vlerësimin e BPV-së potenciale (dhe rrjedhimisht të hendekut të prodhimit), por për qëllime të këtij raporti dhe në kushtet e serive kohore të shkurtra është përdorur filtri Hodrick Prescott.</w:t>
      </w:r>
      <w:r w:rsidRPr="00620506">
        <w:rPr>
          <w:rStyle w:val="FootnoteReference"/>
          <w:rFonts w:ascii="Times New Roman" w:hAnsi="Times New Roman" w:cs="Times New Roman"/>
          <w:color w:val="000000" w:themeColor="text1"/>
          <w:sz w:val="24"/>
          <w:szCs w:val="24"/>
          <w:lang w:val="en"/>
        </w:rPr>
        <w:footnoteReference w:id="21"/>
      </w:r>
      <w:r w:rsidRPr="00620506">
        <w:rPr>
          <w:rFonts w:ascii="Times New Roman" w:hAnsi="Times New Roman" w:cs="Times New Roman"/>
          <w:color w:val="000000" w:themeColor="text1"/>
          <w:sz w:val="24"/>
          <w:szCs w:val="24"/>
          <w:lang w:val="en"/>
        </w:rPr>
        <w:t xml:space="preserve"> Të gjitha teknikat e rekomanduara në literaturë japin vlerësime të ndryshme për hendekun e prodhimit, si në magnitudë ashtu edhe në shenjën e këtij hendeku (pozitiv apo negativ). Rrjedhimisht vlerësimi i bilancit strukturor është i ndjeshëm nga metodologjia e përdorur, çka sugjeron interpretimin me kujdes të këtij treguesi nga ana e përdoruesve apo politikëbërësve. Një çështje kryesore për të cilën ky filtër vazhdimisht kritikohet lidhet me të ashtuquajturën "problemi i pikës fundore”, sipas të cilit observimet e fundit të serisë kanë një ndikim të madh në trendin e serisë, veçanërisht në fund të serisë kohore.</w:t>
      </w:r>
      <w:r w:rsidRPr="001A59D8">
        <w:rPr>
          <w:color w:val="000000" w:themeColor="text1"/>
          <w:lang w:val="en"/>
        </w:rPr>
        <w:t xml:space="preserve"> </w:t>
      </w:r>
      <w:r w:rsidRPr="00620506">
        <w:rPr>
          <w:rFonts w:ascii="Times New Roman" w:hAnsi="Times New Roman" w:cs="Times New Roman"/>
          <w:color w:val="000000" w:themeColor="text1"/>
          <w:sz w:val="24"/>
          <w:szCs w:val="24"/>
          <w:lang w:val="en"/>
        </w:rPr>
        <w:t>Për qëllime të llogaritjes së bilancit strukturor fiskal, ne e kemi trajtuar “problemin e pikës fundore" duke zgjatur serinë kohore të BPV-së</w:t>
      </w:r>
      <w:r w:rsidRPr="00620506">
        <w:rPr>
          <w:rStyle w:val="FootnoteReference"/>
          <w:rFonts w:ascii="Times New Roman" w:hAnsi="Times New Roman" w:cs="Times New Roman"/>
          <w:color w:val="000000" w:themeColor="text1"/>
          <w:sz w:val="24"/>
          <w:szCs w:val="24"/>
          <w:lang w:val="en"/>
        </w:rPr>
        <w:footnoteReference w:id="22"/>
      </w:r>
      <w:r w:rsidRPr="00620506">
        <w:rPr>
          <w:rFonts w:ascii="Times New Roman" w:hAnsi="Times New Roman" w:cs="Times New Roman"/>
          <w:color w:val="000000" w:themeColor="text1"/>
          <w:sz w:val="24"/>
          <w:szCs w:val="24"/>
          <w:lang w:val="en"/>
        </w:rPr>
        <w:t xml:space="preserve"> reale deri në tremujorin e fundit të vitit 2022, duke përdorur vlerat e parashikuara. </w:t>
      </w:r>
    </w:p>
    <w:p w14:paraId="55707A29" w14:textId="77777777" w:rsidR="00085F16" w:rsidRPr="00620506" w:rsidRDefault="00085F16" w:rsidP="00085F16">
      <w:pPr>
        <w:spacing w:before="240" w:after="120" w:line="276" w:lineRule="auto"/>
        <w:jc w:val="both"/>
        <w:rPr>
          <w:rFonts w:ascii="Times New Roman" w:hAnsi="Times New Roman" w:cs="Times New Roman"/>
          <w:color w:val="000000" w:themeColor="text1"/>
          <w:sz w:val="24"/>
          <w:szCs w:val="24"/>
          <w:lang w:val="en"/>
        </w:rPr>
      </w:pPr>
      <w:r w:rsidRPr="00620506">
        <w:rPr>
          <w:rFonts w:ascii="Times New Roman" w:hAnsi="Times New Roman" w:cs="Times New Roman"/>
          <w:color w:val="000000" w:themeColor="text1"/>
          <w:sz w:val="24"/>
          <w:szCs w:val="24"/>
          <w:lang w:val="en"/>
        </w:rPr>
        <w:t>Hendeku i prodhimit dhe BPV-ja e mundshme, e marrë nga aplikimi i filtrit Hodrick- Prescott</w:t>
      </w:r>
      <w:r w:rsidRPr="00620506">
        <w:rPr>
          <w:rStyle w:val="FootnoteReference"/>
          <w:rFonts w:ascii="Times New Roman" w:hAnsi="Times New Roman" w:cs="Times New Roman"/>
          <w:color w:val="000000" w:themeColor="text1"/>
          <w:sz w:val="24"/>
          <w:szCs w:val="24"/>
        </w:rPr>
        <w:footnoteReference w:id="23"/>
      </w:r>
      <w:r w:rsidRPr="00620506">
        <w:rPr>
          <w:rFonts w:ascii="Times New Roman" w:hAnsi="Times New Roman" w:cs="Times New Roman"/>
          <w:color w:val="000000" w:themeColor="text1"/>
          <w:sz w:val="24"/>
          <w:szCs w:val="24"/>
          <w:lang w:val="en"/>
        </w:rPr>
        <w:t>, janë paraqitur në grafikun e 15-të.</w:t>
      </w:r>
    </w:p>
    <w:p w14:paraId="570B5C1F" w14:textId="77777777" w:rsidR="00085F16" w:rsidRPr="00620506" w:rsidRDefault="00085F16" w:rsidP="00085F16">
      <w:pPr>
        <w:spacing w:before="240" w:after="120" w:line="276" w:lineRule="auto"/>
        <w:jc w:val="both"/>
        <w:rPr>
          <w:rFonts w:ascii="Times New Roman" w:hAnsi="Times New Roman" w:cs="Times New Roman"/>
          <w:color w:val="000000" w:themeColor="text1"/>
          <w:sz w:val="24"/>
          <w:szCs w:val="24"/>
          <w:lang w:val="en"/>
        </w:rPr>
      </w:pPr>
      <w:r w:rsidRPr="00620506">
        <w:rPr>
          <w:rFonts w:ascii="Times New Roman" w:hAnsi="Times New Roman" w:cs="Times New Roman"/>
          <w:color w:val="000000" w:themeColor="text1"/>
          <w:sz w:val="24"/>
          <w:szCs w:val="24"/>
          <w:lang w:val="en"/>
        </w:rPr>
        <w:t>Nga grafiku mund të shihet se mesatarisht, ekonomia duket se ka qenë duke u rritur mbi potencialin e saj përgjatë viteve 2011 - 2013 (rreth 3% më e lartë se niveli i saj i mundshëm) dhe pak në vitin 2017 (0.3% më i lartë se niveli i saj i mundshëm). Ndërsa, gjatë viteve të mbetura, ekonomia ka funksionuar nën potencialin e saj, veçanërisht në vitin 2014 (rreth 5% më e ulët se niveli i saj i mundshëm), që përkon me ngërçin politik 6-mujor që kaloi Kosova gjatë këtij viti, me kryesore pasoja negative në ekonomi. Sidoqoftë, këto boshllëqe në prodhim, qoftë pozitive apo negative, janë mjaft të vogla, veçanërisht nga viti 2016 e në vazhdim, gjë që tregon se ekonomia e Kosovës ka qenë duke performuar shumë afër nivelit të saj të mundshëm.</w:t>
      </w:r>
    </w:p>
    <w:p w14:paraId="69D9FA4F" w14:textId="77777777" w:rsidR="00085F16" w:rsidRPr="00620506" w:rsidRDefault="00085F16" w:rsidP="00085F16">
      <w:pPr>
        <w:spacing w:before="240" w:after="120" w:line="276" w:lineRule="auto"/>
        <w:jc w:val="both"/>
        <w:rPr>
          <w:rFonts w:ascii="Times New Roman" w:hAnsi="Times New Roman" w:cs="Times New Roman"/>
          <w:color w:val="000000" w:themeColor="text1"/>
          <w:sz w:val="24"/>
          <w:szCs w:val="24"/>
        </w:rPr>
      </w:pPr>
      <w:r w:rsidRPr="00620506">
        <w:rPr>
          <w:rFonts w:ascii="Times New Roman" w:hAnsi="Times New Roman" w:cs="Times New Roman"/>
          <w:color w:val="000000" w:themeColor="text1"/>
          <w:sz w:val="24"/>
          <w:szCs w:val="24"/>
        </w:rPr>
        <w:t>Hapi i dytë përfshin llogaritjen e elasticitetit të treguesve fiskalë duke përdorur metodologjinë e aplikuar nga OECD-ja dhe Komisioni Evropian. Elasticiteti i çdo lloji të të ardhurave tatimore vlerësohet në raport me BPV-në duke përdorur regresione të thjeshta MKV (Metoda e Katrorëve të Vegjël)</w:t>
      </w:r>
      <w:r w:rsidRPr="00620506">
        <w:rPr>
          <w:rFonts w:ascii="Times New Roman" w:hAnsi="Times New Roman" w:cs="Times New Roman"/>
          <w:color w:val="000000" w:themeColor="text1"/>
          <w:sz w:val="24"/>
          <w:szCs w:val="24"/>
          <w:vertAlign w:val="superscript"/>
        </w:rPr>
        <w:footnoteReference w:id="24"/>
      </w:r>
      <w:r w:rsidRPr="00620506">
        <w:rPr>
          <w:rFonts w:ascii="Times New Roman" w:hAnsi="Times New Roman" w:cs="Times New Roman"/>
          <w:color w:val="000000" w:themeColor="text1"/>
          <w:sz w:val="24"/>
          <w:szCs w:val="24"/>
        </w:rPr>
        <w:t>. Zakonisht, literatura mbi bilancin strukturor të buxhetit thotë që elasticiteti të hyrave të qeverisë varet nga regjimi tatimor i vendit, por zakonisht është afër 1.  Megjithatë, nga ana e shpenzimeve, elasticiteti mbahet zero duke pasur parasysh se nuk ka përfitime të papunësisë të dhëna nga Qeveria dhe se shpenzimet e tjera buxhetore janë të pavarura nga luhatjet e ciklit ekonomik.</w:t>
      </w:r>
    </w:p>
    <w:p w14:paraId="6A649BDD" w14:textId="77777777" w:rsidR="00085F16" w:rsidRPr="00620506" w:rsidRDefault="00085F16" w:rsidP="00085F16">
      <w:pPr>
        <w:spacing w:before="240" w:after="120" w:line="276" w:lineRule="auto"/>
        <w:jc w:val="both"/>
        <w:rPr>
          <w:rFonts w:ascii="Times New Roman" w:hAnsi="Times New Roman" w:cs="Times New Roman"/>
          <w:color w:val="000000" w:themeColor="text1"/>
          <w:sz w:val="24"/>
          <w:szCs w:val="24"/>
        </w:rPr>
      </w:pPr>
      <w:r w:rsidRPr="00620506">
        <w:rPr>
          <w:rFonts w:ascii="Times New Roman" w:hAnsi="Times New Roman" w:cs="Times New Roman"/>
          <w:color w:val="000000" w:themeColor="text1"/>
          <w:sz w:val="24"/>
          <w:szCs w:val="24"/>
        </w:rPr>
        <w:t>Në rastin e Kosovës, elasticiteti i secilës kategori të hyrash është paraqitur në tabelën më poshtë. Siç tregojnë rezultatet, të gjitha elasticitetet janë dukshëm më të larta se një, që tregon që të hyrat rriten më shumë sesa proporcionalisht në përgjigje të rritjes së të hyrave ose prodhimit. Ekzistojnë disa shpjegime të mundshme pse të hyrat tatimore përveç taksës në të hyrat personale (e cila është progresive) rezultojnë të jenë shumë elastike në Kosovë.</w:t>
      </w:r>
    </w:p>
    <w:p w14:paraId="30BC4E18" w14:textId="77777777" w:rsidR="00085F16" w:rsidRPr="00620506" w:rsidRDefault="00085F16" w:rsidP="00802FB3">
      <w:pPr>
        <w:pStyle w:val="ListParagraph"/>
        <w:numPr>
          <w:ilvl w:val="0"/>
          <w:numId w:val="81"/>
        </w:numPr>
        <w:spacing w:before="240" w:line="276" w:lineRule="auto"/>
        <w:rPr>
          <w:rFonts w:ascii="Times New Roman" w:eastAsia="Times New Roman" w:hAnsi="Times New Roman" w:cs="Times New Roman"/>
          <w:color w:val="000000" w:themeColor="text1"/>
          <w:sz w:val="24"/>
          <w:szCs w:val="24"/>
        </w:rPr>
      </w:pPr>
      <w:r w:rsidRPr="00620506">
        <w:rPr>
          <w:rFonts w:ascii="Times New Roman" w:eastAsia="Times New Roman" w:hAnsi="Times New Roman" w:cs="Times New Roman"/>
          <w:color w:val="000000" w:themeColor="text1"/>
          <w:sz w:val="24"/>
          <w:szCs w:val="24"/>
        </w:rPr>
        <w:t>Së pari, nuk ka pasur rregullime/korrigjime të serive të të hyrave tatimore për ndryshime të politikave diskrecionale në vlerësimin e elasticitetit të taksave.</w:t>
      </w:r>
    </w:p>
    <w:p w14:paraId="430CBC45" w14:textId="77777777" w:rsidR="00085F16" w:rsidRPr="00620506" w:rsidRDefault="00085F16" w:rsidP="00802FB3">
      <w:pPr>
        <w:pStyle w:val="ListParagraph"/>
        <w:numPr>
          <w:ilvl w:val="0"/>
          <w:numId w:val="81"/>
        </w:numPr>
        <w:spacing w:before="240" w:line="276" w:lineRule="auto"/>
        <w:rPr>
          <w:rFonts w:ascii="Times New Roman" w:eastAsia="Times New Roman" w:hAnsi="Times New Roman" w:cs="Times New Roman"/>
          <w:color w:val="000000" w:themeColor="text1"/>
          <w:sz w:val="24"/>
          <w:szCs w:val="24"/>
        </w:rPr>
      </w:pPr>
      <w:r w:rsidRPr="00620506">
        <w:rPr>
          <w:rFonts w:ascii="Times New Roman" w:eastAsia="Times New Roman" w:hAnsi="Times New Roman" w:cs="Times New Roman"/>
          <w:color w:val="000000" w:themeColor="text1"/>
          <w:sz w:val="24"/>
          <w:szCs w:val="24"/>
        </w:rPr>
        <w:t>Për më tepër, për taksën në korporata (pavarësisht se nuk po përparon me ligj), është e mundur që fitimet të rritin taksimin në një mënyrë që zvogëlon mundësitë e firmave të mbajnë humbje përpara ose prapa.</w:t>
      </w:r>
    </w:p>
    <w:p w14:paraId="5A9F7CD4" w14:textId="77777777" w:rsidR="00085F16" w:rsidRPr="00620506" w:rsidRDefault="00085F16" w:rsidP="00802FB3">
      <w:pPr>
        <w:pStyle w:val="ListParagraph"/>
        <w:numPr>
          <w:ilvl w:val="0"/>
          <w:numId w:val="81"/>
        </w:numPr>
        <w:spacing w:before="240" w:line="276" w:lineRule="auto"/>
        <w:rPr>
          <w:rFonts w:ascii="Times New Roman" w:eastAsia="Times New Roman" w:hAnsi="Times New Roman" w:cs="Times New Roman"/>
          <w:color w:val="000000" w:themeColor="text1"/>
          <w:sz w:val="24"/>
          <w:szCs w:val="24"/>
        </w:rPr>
      </w:pPr>
      <w:r w:rsidRPr="00620506">
        <w:rPr>
          <w:rFonts w:ascii="Times New Roman" w:eastAsia="Times New Roman" w:hAnsi="Times New Roman" w:cs="Times New Roman"/>
          <w:color w:val="000000" w:themeColor="text1"/>
          <w:sz w:val="24"/>
          <w:szCs w:val="24"/>
        </w:rPr>
        <w:t>Së fundmi, shtrembërimet e sjella nga sektori informal ndikojnë në efikasitetin e mbledhjes së taksave dhe elasticitet</w:t>
      </w:r>
    </w:p>
    <w:p w14:paraId="3384C215" w14:textId="77777777" w:rsidR="00085F16" w:rsidRPr="00620506" w:rsidRDefault="00085F16" w:rsidP="00085F16">
      <w:pPr>
        <w:spacing w:before="240" w:after="120" w:line="276" w:lineRule="auto"/>
        <w:jc w:val="both"/>
        <w:rPr>
          <w:rFonts w:ascii="Times New Roman" w:hAnsi="Times New Roman" w:cs="Times New Roman"/>
          <w:color w:val="000000" w:themeColor="text1"/>
          <w:sz w:val="24"/>
          <w:szCs w:val="24"/>
        </w:rPr>
      </w:pPr>
      <w:r w:rsidRPr="00620506">
        <w:rPr>
          <w:rFonts w:ascii="Times New Roman" w:hAnsi="Times New Roman" w:cs="Times New Roman"/>
          <w:color w:val="000000" w:themeColor="text1"/>
          <w:sz w:val="24"/>
          <w:szCs w:val="24"/>
        </w:rPr>
        <w:t>Nga ana e shpenzimeve, megjithatë, elasticiteti mbetet në zero duke marrë parasysh që nuk ka benefite të papunësisë të dhëna nga Qeveria dhe shpenzimet e tjera buxhetore janë kryesisht të pavarura nga luhatjet e ciklit ekonomik.</w:t>
      </w:r>
    </w:p>
    <w:p w14:paraId="07167D25" w14:textId="77777777" w:rsidR="00085F16" w:rsidRPr="00FC648F" w:rsidRDefault="00085F16" w:rsidP="00085F16">
      <w:pPr>
        <w:spacing w:before="240" w:after="120" w:line="276" w:lineRule="auto"/>
        <w:jc w:val="both"/>
        <w:rPr>
          <w:rFonts w:ascii="Times New Roman" w:hAnsi="Times New Roman" w:cs="Times New Roman"/>
          <w:color w:val="000000" w:themeColor="text1"/>
          <w:sz w:val="24"/>
          <w:szCs w:val="24"/>
        </w:rPr>
      </w:pPr>
      <w:r w:rsidRPr="00620506">
        <w:rPr>
          <w:rFonts w:ascii="Times New Roman" w:hAnsi="Times New Roman" w:cs="Times New Roman"/>
          <w:color w:val="000000" w:themeColor="text1"/>
          <w:sz w:val="24"/>
          <w:szCs w:val="24"/>
        </w:rPr>
        <w:t>Elasticiteti i prodhimit të të hyrave totale tatimore vlerësohet si një mesatare e ponderuar e elasticitetit të komponentëve të ndryshëm të të hyrave, me pesha të caktuara sipas pjesës së tyre në të hyrat totale tatimore.</w:t>
      </w:r>
    </w:p>
    <w:p w14:paraId="04CB9BEF" w14:textId="77777777" w:rsidR="00085F16" w:rsidRPr="00A74C67" w:rsidRDefault="00085F16" w:rsidP="00085F16">
      <w:pPr>
        <w:pStyle w:val="Caption"/>
        <w:keepNext/>
        <w:spacing w:after="0"/>
        <w:rPr>
          <w:rFonts w:ascii="Times New Roman" w:hAnsi="Times New Roman"/>
          <w:b/>
          <w:i w:val="0"/>
          <w:color w:val="auto"/>
        </w:rPr>
      </w:pPr>
      <w:bookmarkStart w:id="164" w:name="_Toc25673449"/>
      <w:r w:rsidRPr="00A74C67">
        <w:rPr>
          <w:rFonts w:ascii="Times New Roman" w:hAnsi="Times New Roman"/>
          <w:b/>
          <w:i w:val="0"/>
          <w:color w:val="auto"/>
        </w:rPr>
        <w:t xml:space="preserve">Tabela </w:t>
      </w:r>
      <w:r w:rsidRPr="00A74C67">
        <w:rPr>
          <w:rFonts w:ascii="Times New Roman" w:hAnsi="Times New Roman"/>
          <w:b/>
          <w:i w:val="0"/>
          <w:color w:val="auto"/>
        </w:rPr>
        <w:fldChar w:fldCharType="begin"/>
      </w:r>
      <w:r w:rsidRPr="00A74C67">
        <w:rPr>
          <w:rFonts w:ascii="Times New Roman" w:hAnsi="Times New Roman"/>
          <w:b/>
          <w:i w:val="0"/>
          <w:color w:val="auto"/>
        </w:rPr>
        <w:instrText xml:space="preserve"> SEQ Tabela \* ARABIC </w:instrText>
      </w:r>
      <w:r w:rsidRPr="00A74C67">
        <w:rPr>
          <w:rFonts w:ascii="Times New Roman" w:hAnsi="Times New Roman"/>
          <w:b/>
          <w:i w:val="0"/>
          <w:color w:val="auto"/>
        </w:rPr>
        <w:fldChar w:fldCharType="separate"/>
      </w:r>
      <w:r>
        <w:rPr>
          <w:rFonts w:ascii="Times New Roman" w:hAnsi="Times New Roman"/>
          <w:b/>
          <w:i w:val="0"/>
          <w:noProof/>
          <w:color w:val="auto"/>
        </w:rPr>
        <w:t>11</w:t>
      </w:r>
      <w:r w:rsidRPr="00A74C67">
        <w:rPr>
          <w:rFonts w:ascii="Times New Roman" w:hAnsi="Times New Roman"/>
          <w:b/>
          <w:i w:val="0"/>
          <w:color w:val="auto"/>
        </w:rPr>
        <w:fldChar w:fldCharType="end"/>
      </w:r>
      <w:r w:rsidRPr="00A74C67">
        <w:rPr>
          <w:rFonts w:ascii="Times New Roman" w:hAnsi="Times New Roman"/>
          <w:b/>
          <w:i w:val="0"/>
          <w:color w:val="auto"/>
        </w:rPr>
        <w:t xml:space="preserve"> Elasticiteti i të hyrave tatimore ndaj BPV-së</w:t>
      </w:r>
      <w:bookmarkEnd w:id="164"/>
      <w:r>
        <w:rPr>
          <w:rStyle w:val="FootnoteReference"/>
          <w:rFonts w:ascii="Times New Roman" w:hAnsi="Times New Roman"/>
          <w:b/>
          <w:i w:val="0"/>
          <w:color w:val="auto"/>
        </w:rPr>
        <w:footnoteReference w:id="25"/>
      </w:r>
    </w:p>
    <w:tbl>
      <w:tblPr>
        <w:tblW w:w="0" w:type="auto"/>
        <w:jc w:val="center"/>
        <w:tblBorders>
          <w:top w:val="single" w:sz="4" w:space="0" w:color="auto"/>
          <w:left w:val="single" w:sz="4" w:space="0" w:color="auto"/>
          <w:bottom w:val="single" w:sz="4" w:space="0" w:color="auto"/>
          <w:right w:val="single" w:sz="4" w:space="0" w:color="auto"/>
          <w:insideH w:val="dashSmallGap" w:sz="4" w:space="0" w:color="auto"/>
          <w:insideV w:val="dashSmallGap" w:sz="4" w:space="0" w:color="auto"/>
        </w:tblBorders>
        <w:shd w:val="clear" w:color="auto" w:fill="DEEAF6" w:themeFill="accent1" w:themeFillTint="33"/>
        <w:tblLayout w:type="fixed"/>
        <w:tblLook w:val="04A0" w:firstRow="1" w:lastRow="0" w:firstColumn="1" w:lastColumn="0" w:noHBand="0" w:noVBand="1"/>
      </w:tblPr>
      <w:tblGrid>
        <w:gridCol w:w="1665"/>
        <w:gridCol w:w="872"/>
        <w:gridCol w:w="850"/>
        <w:gridCol w:w="1418"/>
        <w:gridCol w:w="1513"/>
        <w:gridCol w:w="1144"/>
        <w:gridCol w:w="1535"/>
      </w:tblGrid>
      <w:tr w:rsidR="00085F16" w:rsidRPr="00620506" w14:paraId="63710790" w14:textId="77777777" w:rsidTr="00085F16">
        <w:trPr>
          <w:trHeight w:val="344"/>
          <w:jc w:val="center"/>
        </w:trPr>
        <w:tc>
          <w:tcPr>
            <w:tcW w:w="1665" w:type="dxa"/>
            <w:shd w:val="clear" w:color="auto" w:fill="DEEAF6" w:themeFill="accent1" w:themeFillTint="33"/>
            <w:noWrap/>
            <w:vAlign w:val="center"/>
            <w:hideMark/>
          </w:tcPr>
          <w:p w14:paraId="1229C8BD" w14:textId="77777777" w:rsidR="00085F16" w:rsidRPr="00620506" w:rsidRDefault="00085F16" w:rsidP="00085F16">
            <w:pPr>
              <w:spacing w:line="276" w:lineRule="auto"/>
              <w:jc w:val="center"/>
              <w:rPr>
                <w:rFonts w:ascii="Times New Roman" w:hAnsi="Times New Roman" w:cs="Times New Roman"/>
                <w:b/>
                <w:bCs/>
                <w:color w:val="000000" w:themeColor="text1"/>
                <w:sz w:val="20"/>
              </w:rPr>
            </w:pPr>
            <w:r w:rsidRPr="00620506">
              <w:rPr>
                <w:rFonts w:ascii="Times New Roman" w:hAnsi="Times New Roman" w:cs="Times New Roman"/>
                <w:b/>
                <w:bCs/>
                <w:color w:val="000000" w:themeColor="text1"/>
                <w:sz w:val="20"/>
              </w:rPr>
              <w:t>Kategoria e të hyrave</w:t>
            </w:r>
          </w:p>
        </w:tc>
        <w:tc>
          <w:tcPr>
            <w:tcW w:w="872" w:type="dxa"/>
            <w:shd w:val="clear" w:color="auto" w:fill="DEEAF6" w:themeFill="accent1" w:themeFillTint="33"/>
            <w:noWrap/>
            <w:vAlign w:val="center"/>
            <w:hideMark/>
          </w:tcPr>
          <w:p w14:paraId="6806B4E1" w14:textId="77777777" w:rsidR="00085F16" w:rsidRPr="00620506" w:rsidRDefault="00085F16" w:rsidP="00085F16">
            <w:pPr>
              <w:spacing w:line="276" w:lineRule="auto"/>
              <w:jc w:val="center"/>
              <w:rPr>
                <w:rFonts w:ascii="Times New Roman" w:hAnsi="Times New Roman" w:cs="Times New Roman"/>
                <w:b/>
                <w:bCs/>
                <w:color w:val="000000" w:themeColor="text1"/>
                <w:sz w:val="20"/>
              </w:rPr>
            </w:pPr>
            <w:r w:rsidRPr="00620506">
              <w:rPr>
                <w:rFonts w:ascii="Times New Roman" w:hAnsi="Times New Roman" w:cs="Times New Roman"/>
                <w:b/>
                <w:bCs/>
                <w:color w:val="000000" w:themeColor="text1"/>
                <w:sz w:val="20"/>
              </w:rPr>
              <w:t>TAK</w:t>
            </w:r>
          </w:p>
        </w:tc>
        <w:tc>
          <w:tcPr>
            <w:tcW w:w="850" w:type="dxa"/>
            <w:shd w:val="clear" w:color="auto" w:fill="DEEAF6" w:themeFill="accent1" w:themeFillTint="33"/>
            <w:noWrap/>
            <w:vAlign w:val="center"/>
            <w:hideMark/>
          </w:tcPr>
          <w:p w14:paraId="6455FABF" w14:textId="77777777" w:rsidR="00085F16" w:rsidRPr="00620506" w:rsidRDefault="00085F16" w:rsidP="00085F16">
            <w:pPr>
              <w:spacing w:line="276" w:lineRule="auto"/>
              <w:jc w:val="center"/>
              <w:rPr>
                <w:rFonts w:ascii="Times New Roman" w:hAnsi="Times New Roman" w:cs="Times New Roman"/>
                <w:b/>
                <w:bCs/>
                <w:color w:val="000000" w:themeColor="text1"/>
                <w:sz w:val="20"/>
              </w:rPr>
            </w:pPr>
            <w:r w:rsidRPr="00620506">
              <w:rPr>
                <w:rFonts w:ascii="Times New Roman" w:hAnsi="Times New Roman" w:cs="Times New Roman"/>
                <w:b/>
                <w:bCs/>
                <w:color w:val="000000" w:themeColor="text1"/>
                <w:sz w:val="20"/>
              </w:rPr>
              <w:t>TAP</w:t>
            </w:r>
          </w:p>
        </w:tc>
        <w:tc>
          <w:tcPr>
            <w:tcW w:w="1418" w:type="dxa"/>
            <w:shd w:val="clear" w:color="auto" w:fill="DEEAF6" w:themeFill="accent1" w:themeFillTint="33"/>
            <w:noWrap/>
            <w:vAlign w:val="center"/>
            <w:hideMark/>
          </w:tcPr>
          <w:p w14:paraId="51815783" w14:textId="77777777" w:rsidR="00085F16" w:rsidRPr="00620506" w:rsidRDefault="00085F16" w:rsidP="00085F16">
            <w:pPr>
              <w:spacing w:line="276" w:lineRule="auto"/>
              <w:jc w:val="center"/>
              <w:rPr>
                <w:rFonts w:ascii="Times New Roman" w:hAnsi="Times New Roman" w:cs="Times New Roman"/>
                <w:b/>
                <w:bCs/>
                <w:color w:val="000000" w:themeColor="text1"/>
                <w:sz w:val="20"/>
              </w:rPr>
            </w:pPr>
            <w:r w:rsidRPr="00620506">
              <w:rPr>
                <w:rFonts w:ascii="Times New Roman" w:hAnsi="Times New Roman" w:cs="Times New Roman"/>
                <w:b/>
                <w:bCs/>
                <w:color w:val="000000" w:themeColor="text1"/>
                <w:sz w:val="20"/>
              </w:rPr>
              <w:t>Taksat indirekte</w:t>
            </w:r>
          </w:p>
        </w:tc>
        <w:tc>
          <w:tcPr>
            <w:tcW w:w="1513" w:type="dxa"/>
            <w:shd w:val="clear" w:color="auto" w:fill="DEEAF6" w:themeFill="accent1" w:themeFillTint="33"/>
            <w:noWrap/>
            <w:vAlign w:val="center"/>
            <w:hideMark/>
          </w:tcPr>
          <w:p w14:paraId="6A072C88" w14:textId="77777777" w:rsidR="00085F16" w:rsidRPr="00620506" w:rsidRDefault="00085F16" w:rsidP="00085F16">
            <w:pPr>
              <w:spacing w:line="276" w:lineRule="auto"/>
              <w:jc w:val="center"/>
              <w:rPr>
                <w:rFonts w:ascii="Times New Roman" w:hAnsi="Times New Roman" w:cs="Times New Roman"/>
                <w:b/>
                <w:bCs/>
                <w:color w:val="000000" w:themeColor="text1"/>
                <w:sz w:val="20"/>
              </w:rPr>
            </w:pPr>
            <w:r w:rsidRPr="00620506">
              <w:rPr>
                <w:rFonts w:ascii="Times New Roman" w:hAnsi="Times New Roman" w:cs="Times New Roman"/>
                <w:b/>
                <w:bCs/>
                <w:color w:val="000000" w:themeColor="text1"/>
                <w:sz w:val="20"/>
              </w:rPr>
              <w:t>Tjera (direkte + indirekte) taksa</w:t>
            </w:r>
          </w:p>
        </w:tc>
        <w:tc>
          <w:tcPr>
            <w:tcW w:w="1144" w:type="dxa"/>
            <w:shd w:val="clear" w:color="auto" w:fill="DEEAF6" w:themeFill="accent1" w:themeFillTint="33"/>
            <w:noWrap/>
            <w:vAlign w:val="center"/>
            <w:hideMark/>
          </w:tcPr>
          <w:p w14:paraId="3044457C" w14:textId="77777777" w:rsidR="00085F16" w:rsidRPr="00620506" w:rsidRDefault="00085F16" w:rsidP="00085F16">
            <w:pPr>
              <w:spacing w:line="276" w:lineRule="auto"/>
              <w:jc w:val="center"/>
              <w:rPr>
                <w:rFonts w:ascii="Times New Roman" w:hAnsi="Times New Roman" w:cs="Times New Roman"/>
                <w:b/>
                <w:bCs/>
                <w:color w:val="000000" w:themeColor="text1"/>
                <w:sz w:val="20"/>
              </w:rPr>
            </w:pPr>
            <w:r w:rsidRPr="00620506">
              <w:rPr>
                <w:rFonts w:ascii="Times New Roman" w:hAnsi="Times New Roman" w:cs="Times New Roman"/>
                <w:b/>
                <w:bCs/>
                <w:color w:val="000000" w:themeColor="text1"/>
                <w:sz w:val="20"/>
              </w:rPr>
              <w:t>Taksa në pronë</w:t>
            </w:r>
          </w:p>
        </w:tc>
        <w:tc>
          <w:tcPr>
            <w:tcW w:w="1535" w:type="dxa"/>
            <w:shd w:val="clear" w:color="auto" w:fill="DEEAF6" w:themeFill="accent1" w:themeFillTint="33"/>
            <w:noWrap/>
            <w:vAlign w:val="center"/>
            <w:hideMark/>
          </w:tcPr>
          <w:p w14:paraId="462A64FD" w14:textId="77777777" w:rsidR="00085F16" w:rsidRPr="00620506" w:rsidRDefault="00085F16" w:rsidP="00085F16">
            <w:pPr>
              <w:spacing w:line="276" w:lineRule="auto"/>
              <w:jc w:val="center"/>
              <w:rPr>
                <w:rFonts w:ascii="Times New Roman" w:hAnsi="Times New Roman" w:cs="Times New Roman"/>
                <w:b/>
                <w:bCs/>
                <w:color w:val="000000" w:themeColor="text1"/>
                <w:sz w:val="20"/>
              </w:rPr>
            </w:pPr>
            <w:r w:rsidRPr="00620506">
              <w:rPr>
                <w:rFonts w:ascii="Times New Roman" w:hAnsi="Times New Roman" w:cs="Times New Roman"/>
                <w:b/>
                <w:bCs/>
                <w:color w:val="000000" w:themeColor="text1"/>
                <w:sz w:val="20"/>
              </w:rPr>
              <w:t>Mesatarja e ponderuar</w:t>
            </w:r>
          </w:p>
        </w:tc>
      </w:tr>
      <w:tr w:rsidR="00085F16" w:rsidRPr="00620506" w14:paraId="510DB688" w14:textId="77777777" w:rsidTr="00085F16">
        <w:trPr>
          <w:trHeight w:val="344"/>
          <w:jc w:val="center"/>
        </w:trPr>
        <w:tc>
          <w:tcPr>
            <w:tcW w:w="1665" w:type="dxa"/>
            <w:shd w:val="clear" w:color="auto" w:fill="DEEAF6" w:themeFill="accent1" w:themeFillTint="33"/>
            <w:noWrap/>
            <w:vAlign w:val="center"/>
            <w:hideMark/>
          </w:tcPr>
          <w:p w14:paraId="023C0E5C" w14:textId="77777777" w:rsidR="00085F16" w:rsidRPr="00620506" w:rsidRDefault="00085F16" w:rsidP="00085F16">
            <w:pPr>
              <w:spacing w:line="276" w:lineRule="auto"/>
              <w:jc w:val="center"/>
              <w:rPr>
                <w:rFonts w:ascii="Times New Roman" w:hAnsi="Times New Roman" w:cs="Times New Roman"/>
                <w:b/>
                <w:bCs/>
                <w:color w:val="000000" w:themeColor="text1"/>
                <w:sz w:val="20"/>
              </w:rPr>
            </w:pPr>
            <w:r w:rsidRPr="00620506">
              <w:rPr>
                <w:rFonts w:ascii="Times New Roman" w:hAnsi="Times New Roman" w:cs="Times New Roman"/>
                <w:b/>
                <w:bCs/>
                <w:color w:val="000000" w:themeColor="text1"/>
                <w:sz w:val="20"/>
              </w:rPr>
              <w:t>Elasticiteti</w:t>
            </w:r>
          </w:p>
        </w:tc>
        <w:tc>
          <w:tcPr>
            <w:tcW w:w="872" w:type="dxa"/>
            <w:shd w:val="clear" w:color="auto" w:fill="DEEAF6" w:themeFill="accent1" w:themeFillTint="33"/>
            <w:noWrap/>
            <w:vAlign w:val="center"/>
            <w:hideMark/>
          </w:tcPr>
          <w:p w14:paraId="54FF9A3D" w14:textId="77777777" w:rsidR="00085F16" w:rsidRPr="00620506" w:rsidRDefault="00085F16" w:rsidP="00085F16">
            <w:pPr>
              <w:spacing w:line="276" w:lineRule="auto"/>
              <w:jc w:val="center"/>
              <w:rPr>
                <w:rFonts w:ascii="Times New Roman" w:hAnsi="Times New Roman" w:cs="Times New Roman"/>
                <w:color w:val="000000" w:themeColor="text1"/>
                <w:sz w:val="20"/>
              </w:rPr>
            </w:pPr>
            <w:r w:rsidRPr="00620506">
              <w:rPr>
                <w:rFonts w:ascii="Times New Roman" w:hAnsi="Times New Roman" w:cs="Times New Roman"/>
                <w:color w:val="000000" w:themeColor="text1"/>
                <w:sz w:val="20"/>
              </w:rPr>
              <w:t>1.8</w:t>
            </w:r>
          </w:p>
        </w:tc>
        <w:tc>
          <w:tcPr>
            <w:tcW w:w="850" w:type="dxa"/>
            <w:shd w:val="clear" w:color="auto" w:fill="DEEAF6" w:themeFill="accent1" w:themeFillTint="33"/>
            <w:noWrap/>
            <w:vAlign w:val="center"/>
            <w:hideMark/>
          </w:tcPr>
          <w:p w14:paraId="6CCD068D" w14:textId="77777777" w:rsidR="00085F16" w:rsidRPr="00620506" w:rsidRDefault="00085F16" w:rsidP="00085F16">
            <w:pPr>
              <w:spacing w:line="276" w:lineRule="auto"/>
              <w:jc w:val="center"/>
              <w:rPr>
                <w:rFonts w:ascii="Times New Roman" w:hAnsi="Times New Roman" w:cs="Times New Roman"/>
                <w:color w:val="000000" w:themeColor="text1"/>
                <w:sz w:val="20"/>
              </w:rPr>
            </w:pPr>
            <w:r w:rsidRPr="00620506">
              <w:rPr>
                <w:rFonts w:ascii="Times New Roman" w:hAnsi="Times New Roman" w:cs="Times New Roman"/>
                <w:color w:val="000000" w:themeColor="text1"/>
                <w:sz w:val="20"/>
              </w:rPr>
              <w:t>2.8</w:t>
            </w:r>
          </w:p>
        </w:tc>
        <w:tc>
          <w:tcPr>
            <w:tcW w:w="1418" w:type="dxa"/>
            <w:shd w:val="clear" w:color="auto" w:fill="DEEAF6" w:themeFill="accent1" w:themeFillTint="33"/>
            <w:noWrap/>
            <w:vAlign w:val="center"/>
            <w:hideMark/>
          </w:tcPr>
          <w:p w14:paraId="108151C0" w14:textId="77777777" w:rsidR="00085F16" w:rsidRPr="00620506" w:rsidRDefault="00085F16" w:rsidP="00085F16">
            <w:pPr>
              <w:spacing w:line="276" w:lineRule="auto"/>
              <w:jc w:val="center"/>
              <w:rPr>
                <w:rFonts w:ascii="Times New Roman" w:hAnsi="Times New Roman" w:cs="Times New Roman"/>
                <w:color w:val="000000" w:themeColor="text1"/>
                <w:sz w:val="20"/>
              </w:rPr>
            </w:pPr>
            <w:r w:rsidRPr="00620506">
              <w:rPr>
                <w:rFonts w:ascii="Times New Roman" w:hAnsi="Times New Roman" w:cs="Times New Roman"/>
                <w:color w:val="000000" w:themeColor="text1"/>
                <w:sz w:val="20"/>
              </w:rPr>
              <w:t>1.7</w:t>
            </w:r>
          </w:p>
        </w:tc>
        <w:tc>
          <w:tcPr>
            <w:tcW w:w="1513" w:type="dxa"/>
            <w:shd w:val="clear" w:color="auto" w:fill="DEEAF6" w:themeFill="accent1" w:themeFillTint="33"/>
            <w:noWrap/>
            <w:vAlign w:val="center"/>
            <w:hideMark/>
          </w:tcPr>
          <w:p w14:paraId="4C29F669" w14:textId="77777777" w:rsidR="00085F16" w:rsidRPr="00620506" w:rsidRDefault="00085F16" w:rsidP="00085F16">
            <w:pPr>
              <w:spacing w:line="276" w:lineRule="auto"/>
              <w:jc w:val="center"/>
              <w:rPr>
                <w:rFonts w:ascii="Times New Roman" w:hAnsi="Times New Roman" w:cs="Times New Roman"/>
                <w:color w:val="000000" w:themeColor="text1"/>
                <w:sz w:val="20"/>
              </w:rPr>
            </w:pPr>
            <w:r w:rsidRPr="00620506">
              <w:rPr>
                <w:rFonts w:ascii="Times New Roman" w:hAnsi="Times New Roman" w:cs="Times New Roman"/>
                <w:color w:val="000000" w:themeColor="text1"/>
                <w:sz w:val="20"/>
              </w:rPr>
              <w:t>-0.06</w:t>
            </w:r>
          </w:p>
        </w:tc>
        <w:tc>
          <w:tcPr>
            <w:tcW w:w="1144" w:type="dxa"/>
            <w:shd w:val="clear" w:color="auto" w:fill="DEEAF6" w:themeFill="accent1" w:themeFillTint="33"/>
            <w:noWrap/>
            <w:vAlign w:val="center"/>
            <w:hideMark/>
          </w:tcPr>
          <w:p w14:paraId="00DEF4D0" w14:textId="77777777" w:rsidR="00085F16" w:rsidRPr="00620506" w:rsidRDefault="00085F16" w:rsidP="00085F16">
            <w:pPr>
              <w:spacing w:line="276" w:lineRule="auto"/>
              <w:jc w:val="center"/>
              <w:rPr>
                <w:rFonts w:ascii="Times New Roman" w:hAnsi="Times New Roman" w:cs="Times New Roman"/>
                <w:color w:val="000000" w:themeColor="text1"/>
                <w:sz w:val="20"/>
              </w:rPr>
            </w:pPr>
            <w:r w:rsidRPr="00620506">
              <w:rPr>
                <w:rFonts w:ascii="Times New Roman" w:hAnsi="Times New Roman" w:cs="Times New Roman"/>
                <w:color w:val="000000" w:themeColor="text1"/>
                <w:sz w:val="20"/>
              </w:rPr>
              <w:t>2.4</w:t>
            </w:r>
          </w:p>
        </w:tc>
        <w:tc>
          <w:tcPr>
            <w:tcW w:w="1535" w:type="dxa"/>
            <w:shd w:val="clear" w:color="auto" w:fill="DEEAF6" w:themeFill="accent1" w:themeFillTint="33"/>
            <w:noWrap/>
            <w:vAlign w:val="center"/>
            <w:hideMark/>
          </w:tcPr>
          <w:p w14:paraId="04627ACD" w14:textId="77777777" w:rsidR="00085F16" w:rsidRPr="00620506" w:rsidRDefault="00085F16" w:rsidP="00085F16">
            <w:pPr>
              <w:spacing w:line="276" w:lineRule="auto"/>
              <w:jc w:val="center"/>
              <w:rPr>
                <w:rFonts w:ascii="Times New Roman" w:hAnsi="Times New Roman" w:cs="Times New Roman"/>
                <w:color w:val="000000" w:themeColor="text1"/>
                <w:sz w:val="20"/>
              </w:rPr>
            </w:pPr>
            <w:r w:rsidRPr="00620506">
              <w:rPr>
                <w:rFonts w:ascii="Times New Roman" w:hAnsi="Times New Roman" w:cs="Times New Roman"/>
                <w:color w:val="000000" w:themeColor="text1"/>
                <w:sz w:val="20"/>
              </w:rPr>
              <w:t>-</w:t>
            </w:r>
          </w:p>
        </w:tc>
      </w:tr>
      <w:tr w:rsidR="00085F16" w:rsidRPr="00620506" w14:paraId="0FFA250E" w14:textId="77777777" w:rsidTr="00085F16">
        <w:trPr>
          <w:trHeight w:val="344"/>
          <w:jc w:val="center"/>
        </w:trPr>
        <w:tc>
          <w:tcPr>
            <w:tcW w:w="1665" w:type="dxa"/>
            <w:shd w:val="clear" w:color="auto" w:fill="DEEAF6" w:themeFill="accent1" w:themeFillTint="33"/>
            <w:noWrap/>
            <w:vAlign w:val="center"/>
          </w:tcPr>
          <w:p w14:paraId="16205D41" w14:textId="77777777" w:rsidR="00085F16" w:rsidRPr="00620506" w:rsidRDefault="00085F16" w:rsidP="00085F16">
            <w:pPr>
              <w:spacing w:line="276" w:lineRule="auto"/>
              <w:jc w:val="center"/>
              <w:rPr>
                <w:rFonts w:ascii="Times New Roman" w:hAnsi="Times New Roman" w:cs="Times New Roman"/>
                <w:b/>
                <w:bCs/>
                <w:color w:val="000000" w:themeColor="text1"/>
                <w:sz w:val="18"/>
              </w:rPr>
            </w:pPr>
            <w:r w:rsidRPr="00620506">
              <w:rPr>
                <w:rFonts w:ascii="Times New Roman" w:hAnsi="Times New Roman" w:cs="Times New Roman"/>
                <w:b/>
                <w:bCs/>
                <w:color w:val="000000" w:themeColor="text1"/>
                <w:sz w:val="18"/>
              </w:rPr>
              <w:t>Mesatarja e ponderuar</w:t>
            </w:r>
          </w:p>
          <w:p w14:paraId="72A632AB" w14:textId="77777777" w:rsidR="00085F16" w:rsidRPr="00620506" w:rsidRDefault="00085F16" w:rsidP="00085F16">
            <w:pPr>
              <w:spacing w:line="276" w:lineRule="auto"/>
              <w:jc w:val="center"/>
              <w:rPr>
                <w:rFonts w:ascii="Times New Roman" w:hAnsi="Times New Roman" w:cs="Times New Roman"/>
                <w:b/>
                <w:bCs/>
                <w:color w:val="000000" w:themeColor="text1"/>
                <w:sz w:val="20"/>
              </w:rPr>
            </w:pPr>
            <w:r w:rsidRPr="00620506">
              <w:rPr>
                <w:rFonts w:ascii="Times New Roman" w:hAnsi="Times New Roman" w:cs="Times New Roman"/>
                <w:b/>
                <w:bCs/>
                <w:color w:val="000000" w:themeColor="text1"/>
                <w:sz w:val="18"/>
              </w:rPr>
              <w:t>(% of tot. hyrave)</w:t>
            </w:r>
          </w:p>
        </w:tc>
        <w:tc>
          <w:tcPr>
            <w:tcW w:w="872" w:type="dxa"/>
            <w:shd w:val="clear" w:color="auto" w:fill="DEEAF6" w:themeFill="accent1" w:themeFillTint="33"/>
            <w:noWrap/>
            <w:vAlign w:val="center"/>
          </w:tcPr>
          <w:p w14:paraId="6CF2C2D4" w14:textId="77777777" w:rsidR="00085F16" w:rsidRPr="00620506" w:rsidRDefault="00085F16" w:rsidP="00085F16">
            <w:pPr>
              <w:spacing w:line="276" w:lineRule="auto"/>
              <w:jc w:val="center"/>
              <w:rPr>
                <w:rFonts w:ascii="Times New Roman" w:hAnsi="Times New Roman" w:cs="Times New Roman"/>
                <w:color w:val="000000" w:themeColor="text1"/>
                <w:sz w:val="20"/>
              </w:rPr>
            </w:pPr>
            <w:r w:rsidRPr="00620506">
              <w:rPr>
                <w:rFonts w:ascii="Times New Roman" w:hAnsi="Times New Roman" w:cs="Times New Roman"/>
                <w:color w:val="000000" w:themeColor="text1"/>
                <w:sz w:val="20"/>
              </w:rPr>
              <w:t>5.4</w:t>
            </w:r>
          </w:p>
        </w:tc>
        <w:tc>
          <w:tcPr>
            <w:tcW w:w="850" w:type="dxa"/>
            <w:shd w:val="clear" w:color="auto" w:fill="DEEAF6" w:themeFill="accent1" w:themeFillTint="33"/>
            <w:noWrap/>
            <w:vAlign w:val="center"/>
          </w:tcPr>
          <w:p w14:paraId="382930D5" w14:textId="77777777" w:rsidR="00085F16" w:rsidRPr="00620506" w:rsidRDefault="00085F16" w:rsidP="00085F16">
            <w:pPr>
              <w:spacing w:line="276" w:lineRule="auto"/>
              <w:jc w:val="center"/>
              <w:rPr>
                <w:rFonts w:ascii="Times New Roman" w:hAnsi="Times New Roman" w:cs="Times New Roman"/>
                <w:color w:val="000000" w:themeColor="text1"/>
                <w:sz w:val="20"/>
              </w:rPr>
            </w:pPr>
            <w:r w:rsidRPr="00620506">
              <w:rPr>
                <w:rFonts w:ascii="Times New Roman" w:hAnsi="Times New Roman" w:cs="Times New Roman"/>
                <w:color w:val="000000" w:themeColor="text1"/>
                <w:sz w:val="20"/>
              </w:rPr>
              <w:t>8.6</w:t>
            </w:r>
          </w:p>
        </w:tc>
        <w:tc>
          <w:tcPr>
            <w:tcW w:w="1418" w:type="dxa"/>
            <w:shd w:val="clear" w:color="auto" w:fill="DEEAF6" w:themeFill="accent1" w:themeFillTint="33"/>
            <w:noWrap/>
            <w:vAlign w:val="center"/>
          </w:tcPr>
          <w:p w14:paraId="1F4331EC" w14:textId="77777777" w:rsidR="00085F16" w:rsidRPr="00620506" w:rsidRDefault="00085F16" w:rsidP="00085F16">
            <w:pPr>
              <w:spacing w:line="276" w:lineRule="auto"/>
              <w:jc w:val="center"/>
              <w:rPr>
                <w:rFonts w:ascii="Times New Roman" w:hAnsi="Times New Roman" w:cs="Times New Roman"/>
                <w:color w:val="000000" w:themeColor="text1"/>
                <w:sz w:val="20"/>
              </w:rPr>
            </w:pPr>
            <w:r w:rsidRPr="00620506">
              <w:rPr>
                <w:rFonts w:ascii="Times New Roman" w:hAnsi="Times New Roman" w:cs="Times New Roman"/>
                <w:color w:val="000000" w:themeColor="text1"/>
                <w:sz w:val="20"/>
              </w:rPr>
              <w:t>84.0</w:t>
            </w:r>
          </w:p>
        </w:tc>
        <w:tc>
          <w:tcPr>
            <w:tcW w:w="1513" w:type="dxa"/>
            <w:shd w:val="clear" w:color="auto" w:fill="DEEAF6" w:themeFill="accent1" w:themeFillTint="33"/>
            <w:noWrap/>
            <w:vAlign w:val="center"/>
          </w:tcPr>
          <w:p w14:paraId="6FDEFCB4" w14:textId="77777777" w:rsidR="00085F16" w:rsidRPr="00620506" w:rsidRDefault="00085F16" w:rsidP="00085F16">
            <w:pPr>
              <w:spacing w:line="276" w:lineRule="auto"/>
              <w:jc w:val="center"/>
              <w:rPr>
                <w:rFonts w:ascii="Times New Roman" w:hAnsi="Times New Roman" w:cs="Times New Roman"/>
                <w:color w:val="000000" w:themeColor="text1"/>
                <w:sz w:val="20"/>
              </w:rPr>
            </w:pPr>
            <w:r w:rsidRPr="00620506">
              <w:rPr>
                <w:rFonts w:ascii="Times New Roman" w:hAnsi="Times New Roman" w:cs="Times New Roman"/>
                <w:color w:val="000000" w:themeColor="text1"/>
                <w:sz w:val="20"/>
              </w:rPr>
              <w:t>0.5</w:t>
            </w:r>
          </w:p>
        </w:tc>
        <w:tc>
          <w:tcPr>
            <w:tcW w:w="1144" w:type="dxa"/>
            <w:shd w:val="clear" w:color="auto" w:fill="DEEAF6" w:themeFill="accent1" w:themeFillTint="33"/>
            <w:noWrap/>
            <w:vAlign w:val="center"/>
          </w:tcPr>
          <w:p w14:paraId="58917AA7" w14:textId="77777777" w:rsidR="00085F16" w:rsidRPr="00620506" w:rsidRDefault="00085F16" w:rsidP="00085F16">
            <w:pPr>
              <w:spacing w:line="276" w:lineRule="auto"/>
              <w:jc w:val="center"/>
              <w:rPr>
                <w:rFonts w:ascii="Times New Roman" w:hAnsi="Times New Roman" w:cs="Times New Roman"/>
                <w:color w:val="000000" w:themeColor="text1"/>
                <w:sz w:val="20"/>
              </w:rPr>
            </w:pPr>
            <w:r w:rsidRPr="00620506">
              <w:rPr>
                <w:rFonts w:ascii="Times New Roman" w:hAnsi="Times New Roman" w:cs="Times New Roman"/>
                <w:color w:val="000000" w:themeColor="text1"/>
                <w:sz w:val="20"/>
              </w:rPr>
              <w:t>1.5</w:t>
            </w:r>
          </w:p>
        </w:tc>
        <w:tc>
          <w:tcPr>
            <w:tcW w:w="1535" w:type="dxa"/>
            <w:shd w:val="clear" w:color="auto" w:fill="DEEAF6" w:themeFill="accent1" w:themeFillTint="33"/>
            <w:noWrap/>
            <w:vAlign w:val="center"/>
          </w:tcPr>
          <w:p w14:paraId="601B3CD8" w14:textId="77777777" w:rsidR="00085F16" w:rsidRPr="00620506" w:rsidRDefault="00085F16" w:rsidP="00085F16">
            <w:pPr>
              <w:spacing w:line="276" w:lineRule="auto"/>
              <w:jc w:val="center"/>
              <w:rPr>
                <w:rFonts w:ascii="Times New Roman" w:hAnsi="Times New Roman" w:cs="Times New Roman"/>
                <w:b/>
                <w:bCs/>
                <w:color w:val="000000" w:themeColor="text1"/>
                <w:sz w:val="20"/>
              </w:rPr>
            </w:pPr>
            <w:r w:rsidRPr="00620506">
              <w:rPr>
                <w:rFonts w:ascii="Times New Roman" w:hAnsi="Times New Roman" w:cs="Times New Roman"/>
                <w:b/>
                <w:bCs/>
                <w:color w:val="000000" w:themeColor="text1"/>
                <w:sz w:val="20"/>
              </w:rPr>
              <w:t>1.0</w:t>
            </w:r>
          </w:p>
        </w:tc>
      </w:tr>
      <w:tr w:rsidR="00085F16" w:rsidRPr="00620506" w14:paraId="1B963F21" w14:textId="77777777" w:rsidTr="00085F16">
        <w:trPr>
          <w:trHeight w:val="344"/>
          <w:jc w:val="center"/>
        </w:trPr>
        <w:tc>
          <w:tcPr>
            <w:tcW w:w="1665" w:type="dxa"/>
            <w:shd w:val="clear" w:color="auto" w:fill="DEEAF6" w:themeFill="accent1" w:themeFillTint="33"/>
            <w:noWrap/>
            <w:vAlign w:val="center"/>
            <w:hideMark/>
          </w:tcPr>
          <w:p w14:paraId="0A6C43DC" w14:textId="77777777" w:rsidR="00085F16" w:rsidRPr="00620506" w:rsidRDefault="00085F16" w:rsidP="00085F16">
            <w:pPr>
              <w:spacing w:line="276" w:lineRule="auto"/>
              <w:jc w:val="center"/>
              <w:rPr>
                <w:rFonts w:ascii="Times New Roman" w:hAnsi="Times New Roman" w:cs="Times New Roman"/>
                <w:b/>
                <w:bCs/>
                <w:color w:val="000000" w:themeColor="text1"/>
                <w:sz w:val="20"/>
              </w:rPr>
            </w:pPr>
            <w:r w:rsidRPr="00620506">
              <w:rPr>
                <w:rFonts w:ascii="Times New Roman" w:hAnsi="Times New Roman" w:cs="Times New Roman"/>
                <w:b/>
                <w:bCs/>
                <w:color w:val="000000" w:themeColor="text1"/>
                <w:sz w:val="20"/>
              </w:rPr>
              <w:t>Elasticiteti i ponderuar</w:t>
            </w:r>
          </w:p>
        </w:tc>
        <w:tc>
          <w:tcPr>
            <w:tcW w:w="872" w:type="dxa"/>
            <w:shd w:val="clear" w:color="auto" w:fill="DEEAF6" w:themeFill="accent1" w:themeFillTint="33"/>
            <w:noWrap/>
            <w:vAlign w:val="center"/>
            <w:hideMark/>
          </w:tcPr>
          <w:p w14:paraId="7674041E" w14:textId="77777777" w:rsidR="00085F16" w:rsidRPr="00620506" w:rsidRDefault="00085F16" w:rsidP="00085F16">
            <w:pPr>
              <w:spacing w:line="276" w:lineRule="auto"/>
              <w:jc w:val="center"/>
              <w:rPr>
                <w:rFonts w:ascii="Times New Roman" w:hAnsi="Times New Roman" w:cs="Times New Roman"/>
                <w:color w:val="000000" w:themeColor="text1"/>
                <w:sz w:val="20"/>
              </w:rPr>
            </w:pPr>
            <w:r w:rsidRPr="00620506">
              <w:rPr>
                <w:rFonts w:ascii="Times New Roman" w:hAnsi="Times New Roman" w:cs="Times New Roman"/>
                <w:color w:val="000000" w:themeColor="text1"/>
                <w:sz w:val="20"/>
              </w:rPr>
              <w:t>0.1</w:t>
            </w:r>
          </w:p>
        </w:tc>
        <w:tc>
          <w:tcPr>
            <w:tcW w:w="850" w:type="dxa"/>
            <w:shd w:val="clear" w:color="auto" w:fill="DEEAF6" w:themeFill="accent1" w:themeFillTint="33"/>
            <w:noWrap/>
            <w:vAlign w:val="center"/>
            <w:hideMark/>
          </w:tcPr>
          <w:p w14:paraId="5BCEF1C0" w14:textId="77777777" w:rsidR="00085F16" w:rsidRPr="00620506" w:rsidRDefault="00085F16" w:rsidP="00085F16">
            <w:pPr>
              <w:spacing w:line="276" w:lineRule="auto"/>
              <w:jc w:val="center"/>
              <w:rPr>
                <w:rFonts w:ascii="Times New Roman" w:hAnsi="Times New Roman" w:cs="Times New Roman"/>
                <w:color w:val="000000" w:themeColor="text1"/>
                <w:sz w:val="20"/>
              </w:rPr>
            </w:pPr>
            <w:r w:rsidRPr="00620506">
              <w:rPr>
                <w:rFonts w:ascii="Times New Roman" w:hAnsi="Times New Roman" w:cs="Times New Roman"/>
                <w:color w:val="000000" w:themeColor="text1"/>
                <w:sz w:val="20"/>
              </w:rPr>
              <w:t>0.2</w:t>
            </w:r>
          </w:p>
        </w:tc>
        <w:tc>
          <w:tcPr>
            <w:tcW w:w="1418" w:type="dxa"/>
            <w:shd w:val="clear" w:color="auto" w:fill="DEEAF6" w:themeFill="accent1" w:themeFillTint="33"/>
            <w:noWrap/>
            <w:vAlign w:val="center"/>
            <w:hideMark/>
          </w:tcPr>
          <w:p w14:paraId="2D1D4085" w14:textId="77777777" w:rsidR="00085F16" w:rsidRPr="00620506" w:rsidRDefault="00085F16" w:rsidP="00085F16">
            <w:pPr>
              <w:spacing w:line="276" w:lineRule="auto"/>
              <w:jc w:val="center"/>
              <w:rPr>
                <w:rFonts w:ascii="Times New Roman" w:hAnsi="Times New Roman" w:cs="Times New Roman"/>
                <w:color w:val="000000" w:themeColor="text1"/>
                <w:sz w:val="20"/>
              </w:rPr>
            </w:pPr>
            <w:r w:rsidRPr="00620506">
              <w:rPr>
                <w:rFonts w:ascii="Times New Roman" w:hAnsi="Times New Roman" w:cs="Times New Roman"/>
                <w:color w:val="000000" w:themeColor="text1"/>
                <w:sz w:val="20"/>
              </w:rPr>
              <w:t>1.5</w:t>
            </w:r>
          </w:p>
        </w:tc>
        <w:tc>
          <w:tcPr>
            <w:tcW w:w="1513" w:type="dxa"/>
            <w:shd w:val="clear" w:color="auto" w:fill="DEEAF6" w:themeFill="accent1" w:themeFillTint="33"/>
            <w:noWrap/>
            <w:vAlign w:val="center"/>
          </w:tcPr>
          <w:p w14:paraId="56410C20" w14:textId="77777777" w:rsidR="00085F16" w:rsidRPr="00620506" w:rsidRDefault="00085F16" w:rsidP="00085F16">
            <w:pPr>
              <w:spacing w:line="276" w:lineRule="auto"/>
              <w:jc w:val="center"/>
              <w:rPr>
                <w:rFonts w:ascii="Times New Roman" w:hAnsi="Times New Roman" w:cs="Times New Roman"/>
                <w:color w:val="000000" w:themeColor="text1"/>
                <w:sz w:val="20"/>
              </w:rPr>
            </w:pPr>
            <w:r w:rsidRPr="00620506">
              <w:rPr>
                <w:rFonts w:ascii="Times New Roman" w:hAnsi="Times New Roman" w:cs="Times New Roman"/>
                <w:color w:val="000000" w:themeColor="text1"/>
                <w:sz w:val="20"/>
              </w:rPr>
              <w:t>0.0</w:t>
            </w:r>
          </w:p>
        </w:tc>
        <w:tc>
          <w:tcPr>
            <w:tcW w:w="1144" w:type="dxa"/>
            <w:shd w:val="clear" w:color="auto" w:fill="DEEAF6" w:themeFill="accent1" w:themeFillTint="33"/>
            <w:noWrap/>
            <w:vAlign w:val="center"/>
          </w:tcPr>
          <w:p w14:paraId="187B115A" w14:textId="77777777" w:rsidR="00085F16" w:rsidRPr="00620506" w:rsidRDefault="00085F16" w:rsidP="00085F16">
            <w:pPr>
              <w:spacing w:line="276" w:lineRule="auto"/>
              <w:jc w:val="center"/>
              <w:rPr>
                <w:rFonts w:ascii="Times New Roman" w:hAnsi="Times New Roman" w:cs="Times New Roman"/>
                <w:color w:val="000000" w:themeColor="text1"/>
                <w:sz w:val="20"/>
              </w:rPr>
            </w:pPr>
            <w:r w:rsidRPr="00620506">
              <w:rPr>
                <w:rFonts w:ascii="Times New Roman" w:hAnsi="Times New Roman" w:cs="Times New Roman"/>
                <w:color w:val="000000" w:themeColor="text1"/>
                <w:sz w:val="20"/>
              </w:rPr>
              <w:t>0.0</w:t>
            </w:r>
          </w:p>
        </w:tc>
        <w:tc>
          <w:tcPr>
            <w:tcW w:w="1535" w:type="dxa"/>
            <w:shd w:val="clear" w:color="auto" w:fill="DEEAF6" w:themeFill="accent1" w:themeFillTint="33"/>
            <w:noWrap/>
            <w:vAlign w:val="center"/>
            <w:hideMark/>
          </w:tcPr>
          <w:p w14:paraId="4455687C" w14:textId="77777777" w:rsidR="00085F16" w:rsidRPr="00620506" w:rsidRDefault="00085F16" w:rsidP="00085F16">
            <w:pPr>
              <w:spacing w:line="276" w:lineRule="auto"/>
              <w:jc w:val="center"/>
              <w:rPr>
                <w:rFonts w:ascii="Times New Roman" w:hAnsi="Times New Roman" w:cs="Times New Roman"/>
                <w:b/>
                <w:bCs/>
                <w:color w:val="000000" w:themeColor="text1"/>
                <w:sz w:val="20"/>
              </w:rPr>
            </w:pPr>
            <w:r w:rsidRPr="00620506">
              <w:rPr>
                <w:rFonts w:ascii="Times New Roman" w:hAnsi="Times New Roman" w:cs="Times New Roman"/>
                <w:b/>
                <w:bCs/>
                <w:color w:val="000000" w:themeColor="text1"/>
                <w:sz w:val="20"/>
              </w:rPr>
              <w:t>1.84</w:t>
            </w:r>
          </w:p>
        </w:tc>
      </w:tr>
    </w:tbl>
    <w:p w14:paraId="6E00A5E9" w14:textId="77777777" w:rsidR="00085F16" w:rsidRPr="00620506" w:rsidRDefault="00085F16" w:rsidP="00085F16">
      <w:pPr>
        <w:spacing w:before="240" w:after="120" w:line="276" w:lineRule="auto"/>
        <w:jc w:val="both"/>
        <w:rPr>
          <w:rFonts w:ascii="Times New Roman" w:hAnsi="Times New Roman" w:cs="Times New Roman"/>
          <w:color w:val="000000" w:themeColor="text1"/>
          <w:sz w:val="24"/>
          <w:szCs w:val="24"/>
        </w:rPr>
      </w:pPr>
      <w:r w:rsidRPr="00620506">
        <w:rPr>
          <w:rFonts w:ascii="Times New Roman" w:hAnsi="Times New Roman" w:cs="Times New Roman"/>
          <w:color w:val="000000" w:themeColor="text1"/>
          <w:sz w:val="24"/>
          <w:szCs w:val="24"/>
        </w:rPr>
        <w:t>Pastaj, komponenti strukturor i bilancit të buxhetit llogaritet si diferenca midis të hyrave strukturore dhe shpenzimeve strukturore, të ndara me BPV-në e mundshme. Të hyrat strukturore vlerësohen nga të hyrat aktuale tatimore, sipas raportit të prodhimit potencial ndaj prodhimit aktual dhe elasticitetit të supozuar të prodhimit (llogaritur më lart)</w:t>
      </w:r>
      <w:r w:rsidRPr="00620506">
        <w:rPr>
          <w:rStyle w:val="FootnoteReference"/>
          <w:rFonts w:ascii="Times New Roman" w:hAnsi="Times New Roman" w:cs="Times New Roman"/>
          <w:color w:val="000000" w:themeColor="text1"/>
          <w:sz w:val="24"/>
          <w:szCs w:val="24"/>
        </w:rPr>
        <w:t xml:space="preserve"> </w:t>
      </w:r>
      <w:r w:rsidRPr="00620506">
        <w:rPr>
          <w:rStyle w:val="FootnoteReference"/>
          <w:rFonts w:ascii="Times New Roman" w:hAnsi="Times New Roman" w:cs="Times New Roman"/>
          <w:color w:val="000000" w:themeColor="text1"/>
          <w:sz w:val="24"/>
          <w:szCs w:val="24"/>
        </w:rPr>
        <w:footnoteReference w:id="26"/>
      </w:r>
      <w:r w:rsidRPr="00620506">
        <w:rPr>
          <w:rFonts w:ascii="Times New Roman" w:hAnsi="Times New Roman" w:cs="Times New Roman"/>
          <w:color w:val="000000" w:themeColor="text1"/>
          <w:sz w:val="24"/>
          <w:szCs w:val="24"/>
        </w:rPr>
        <w:t>; ndërsa shpenzimet strukturore janë të njëjta me shpenzimet aktuale, duke pasur parasysh që elasticiteti i tyre i prodhimit supozohet të jetë zero.</w:t>
      </w:r>
    </w:p>
    <w:p w14:paraId="29E9BC14" w14:textId="77777777" w:rsidR="00085F16" w:rsidRPr="00FC648F" w:rsidRDefault="00085F16" w:rsidP="00085F16">
      <w:pPr>
        <w:pStyle w:val="HTMLPreformatted"/>
        <w:shd w:val="clear" w:color="auto" w:fill="FFFFFF"/>
        <w:spacing w:before="240" w:after="120" w:line="276" w:lineRule="auto"/>
        <w:jc w:val="both"/>
        <w:rPr>
          <w:rFonts w:ascii="Times New Roman" w:eastAsiaTheme="minorHAnsi" w:hAnsi="Times New Roman" w:cs="Times New Roman"/>
          <w:color w:val="000000" w:themeColor="text1"/>
          <w:sz w:val="24"/>
          <w:szCs w:val="24"/>
          <w:lang w:val="sq-AL"/>
        </w:rPr>
      </w:pPr>
      <w:r w:rsidRPr="00FC648F">
        <w:rPr>
          <w:rFonts w:ascii="Times New Roman" w:eastAsiaTheme="minorHAnsi" w:hAnsi="Times New Roman" w:cs="Times New Roman"/>
          <w:color w:val="000000" w:themeColor="text1"/>
          <w:sz w:val="24"/>
          <w:szCs w:val="24"/>
          <w:lang w:val="sq-AL"/>
        </w:rPr>
        <w:t>Siç tregon Tabela 12, efekti i ciklit ekonomik është i dukshëm gjatë viteve 2014-2016, kur hendeku i prodhimit ishte pozitiv. Efekti i ciklit ndër vite ka çuar në një bilanc fiskal më të mirë se bilanci që do të rezultonte nëse ekonomia e Kosovës do të funksiononte në nivelin e saj të mundshëm. Në vitet kur ekonomia ka funksionuar nën potencial (kur hendeku i prodhimit ka qenë negativ), deficiti fiskal ka rezultuar të jetë më i lartë se deficiti që do të rezultonte në kushtet e një zero pozitive.</w:t>
      </w:r>
    </w:p>
    <w:p w14:paraId="06E11C6B" w14:textId="77777777" w:rsidR="00085F16" w:rsidRPr="00FC648F" w:rsidRDefault="00085F16" w:rsidP="00085F16">
      <w:pPr>
        <w:pStyle w:val="Caption"/>
        <w:keepNext/>
        <w:spacing w:after="0"/>
        <w:rPr>
          <w:rFonts w:ascii="Times New Roman" w:hAnsi="Times New Roman"/>
          <w:b/>
          <w:i w:val="0"/>
          <w:color w:val="auto"/>
          <w:lang w:val="sq-AL"/>
        </w:rPr>
      </w:pPr>
      <w:bookmarkStart w:id="165" w:name="_Toc25673450"/>
      <w:r w:rsidRPr="00FC648F">
        <w:rPr>
          <w:rFonts w:ascii="Times New Roman" w:hAnsi="Times New Roman"/>
          <w:b/>
          <w:i w:val="0"/>
          <w:color w:val="auto"/>
          <w:lang w:val="sq-AL"/>
        </w:rPr>
        <w:t xml:space="preserve">Tabela </w:t>
      </w:r>
      <w:r w:rsidRPr="00A74C67">
        <w:rPr>
          <w:rFonts w:ascii="Times New Roman" w:hAnsi="Times New Roman"/>
          <w:b/>
          <w:i w:val="0"/>
          <w:color w:val="auto"/>
        </w:rPr>
        <w:fldChar w:fldCharType="begin"/>
      </w:r>
      <w:r w:rsidRPr="00FC648F">
        <w:rPr>
          <w:rFonts w:ascii="Times New Roman" w:hAnsi="Times New Roman"/>
          <w:b/>
          <w:i w:val="0"/>
          <w:color w:val="auto"/>
          <w:lang w:val="sq-AL"/>
        </w:rPr>
        <w:instrText xml:space="preserve"> SEQ Tabela \* ARABIC </w:instrText>
      </w:r>
      <w:r w:rsidRPr="00A74C67">
        <w:rPr>
          <w:rFonts w:ascii="Times New Roman" w:hAnsi="Times New Roman"/>
          <w:b/>
          <w:i w:val="0"/>
          <w:color w:val="auto"/>
        </w:rPr>
        <w:fldChar w:fldCharType="separate"/>
      </w:r>
      <w:r w:rsidRPr="00FC648F">
        <w:rPr>
          <w:rFonts w:ascii="Times New Roman" w:hAnsi="Times New Roman"/>
          <w:b/>
          <w:i w:val="0"/>
          <w:noProof/>
          <w:color w:val="auto"/>
          <w:lang w:val="sq-AL"/>
        </w:rPr>
        <w:t>12</w:t>
      </w:r>
      <w:r w:rsidRPr="00A74C67">
        <w:rPr>
          <w:rFonts w:ascii="Times New Roman" w:hAnsi="Times New Roman"/>
          <w:b/>
          <w:i w:val="0"/>
          <w:color w:val="auto"/>
        </w:rPr>
        <w:fldChar w:fldCharType="end"/>
      </w:r>
      <w:r w:rsidRPr="00FC648F">
        <w:rPr>
          <w:rFonts w:ascii="Times New Roman" w:hAnsi="Times New Roman"/>
          <w:b/>
          <w:i w:val="0"/>
          <w:color w:val="auto"/>
          <w:lang w:val="sq-AL"/>
        </w:rPr>
        <w:t xml:space="preserve"> Bilanci i përgjithshëm fiskal; Bilanci i përmirësuar ndaj ciklit të biznesit; komponenti ciklik i bilancit të buxhetit dhe hendeku i prodhimit</w:t>
      </w:r>
      <w:bookmarkEnd w:id="165"/>
    </w:p>
    <w:tbl>
      <w:tblPr>
        <w:tblW w:w="5000" w:type="pct"/>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shd w:val="clear" w:color="auto" w:fill="DEEAF6" w:themeFill="accent1" w:themeFillTint="33"/>
        <w:tblCellMar>
          <w:left w:w="0" w:type="dxa"/>
          <w:right w:w="0" w:type="dxa"/>
        </w:tblCellMar>
        <w:tblLook w:val="04A0" w:firstRow="1" w:lastRow="0" w:firstColumn="1" w:lastColumn="0" w:noHBand="0" w:noVBand="1"/>
      </w:tblPr>
      <w:tblGrid>
        <w:gridCol w:w="1957"/>
        <w:gridCol w:w="1699"/>
        <w:gridCol w:w="1681"/>
        <w:gridCol w:w="1941"/>
        <w:gridCol w:w="2072"/>
      </w:tblGrid>
      <w:tr w:rsidR="00085F16" w:rsidRPr="0067685A" w14:paraId="4B9585F7" w14:textId="77777777" w:rsidTr="00085F16">
        <w:trPr>
          <w:trHeight w:val="1012"/>
        </w:trPr>
        <w:tc>
          <w:tcPr>
            <w:tcW w:w="1046" w:type="pct"/>
            <w:shd w:val="clear" w:color="auto" w:fill="DEEAF6" w:themeFill="accent1" w:themeFillTint="33"/>
            <w:noWrap/>
            <w:tcMar>
              <w:top w:w="0" w:type="dxa"/>
              <w:left w:w="108" w:type="dxa"/>
              <w:bottom w:w="0" w:type="dxa"/>
              <w:right w:w="108" w:type="dxa"/>
            </w:tcMar>
            <w:vAlign w:val="center"/>
            <w:hideMark/>
          </w:tcPr>
          <w:p w14:paraId="050BDD7C" w14:textId="77777777" w:rsidR="00085F16" w:rsidRPr="0067685A" w:rsidRDefault="00085F16" w:rsidP="00085F16">
            <w:pPr>
              <w:spacing w:line="276" w:lineRule="auto"/>
              <w:jc w:val="center"/>
              <w:rPr>
                <w:b/>
                <w:color w:val="000000" w:themeColor="text1"/>
                <w:sz w:val="20"/>
              </w:rPr>
            </w:pPr>
            <w:r>
              <w:rPr>
                <w:b/>
                <w:color w:val="000000" w:themeColor="text1"/>
                <w:sz w:val="20"/>
              </w:rPr>
              <w:t>Viti</w:t>
            </w:r>
          </w:p>
        </w:tc>
        <w:tc>
          <w:tcPr>
            <w:tcW w:w="908" w:type="pct"/>
            <w:shd w:val="clear" w:color="auto" w:fill="DEEAF6" w:themeFill="accent1" w:themeFillTint="33"/>
            <w:tcMar>
              <w:top w:w="0" w:type="dxa"/>
              <w:left w:w="108" w:type="dxa"/>
              <w:bottom w:w="0" w:type="dxa"/>
              <w:right w:w="108" w:type="dxa"/>
            </w:tcMar>
            <w:vAlign w:val="center"/>
            <w:hideMark/>
          </w:tcPr>
          <w:p w14:paraId="333CA2C2" w14:textId="77777777" w:rsidR="00085F16" w:rsidRPr="0067685A" w:rsidRDefault="00085F16" w:rsidP="00085F16">
            <w:pPr>
              <w:spacing w:line="276" w:lineRule="auto"/>
              <w:jc w:val="center"/>
              <w:rPr>
                <w:b/>
                <w:color w:val="000000" w:themeColor="text1"/>
                <w:sz w:val="20"/>
              </w:rPr>
            </w:pPr>
            <w:r>
              <w:rPr>
                <w:b/>
                <w:color w:val="000000" w:themeColor="text1"/>
                <w:sz w:val="20"/>
              </w:rPr>
              <w:t xml:space="preserve">Bilanci Fiskal </w:t>
            </w:r>
            <w:r w:rsidRPr="0067685A">
              <w:rPr>
                <w:b/>
                <w:color w:val="000000" w:themeColor="text1"/>
                <w:sz w:val="20"/>
              </w:rPr>
              <w:t>(</w:t>
            </w:r>
            <w:r>
              <w:rPr>
                <w:b/>
                <w:color w:val="000000" w:themeColor="text1"/>
                <w:sz w:val="20"/>
              </w:rPr>
              <w:t>mil.</w:t>
            </w:r>
            <w:r w:rsidRPr="0067685A">
              <w:rPr>
                <w:b/>
                <w:color w:val="000000" w:themeColor="text1"/>
                <w:sz w:val="20"/>
              </w:rPr>
              <w:t xml:space="preserve"> Eur)</w:t>
            </w:r>
          </w:p>
        </w:tc>
        <w:tc>
          <w:tcPr>
            <w:tcW w:w="899" w:type="pct"/>
            <w:shd w:val="clear" w:color="auto" w:fill="DEEAF6" w:themeFill="accent1" w:themeFillTint="33"/>
            <w:tcMar>
              <w:top w:w="0" w:type="dxa"/>
              <w:left w:w="108" w:type="dxa"/>
              <w:bottom w:w="0" w:type="dxa"/>
              <w:right w:w="108" w:type="dxa"/>
            </w:tcMar>
            <w:vAlign w:val="center"/>
            <w:hideMark/>
          </w:tcPr>
          <w:p w14:paraId="383CB59B" w14:textId="77777777" w:rsidR="00085F16" w:rsidRPr="0067685A" w:rsidRDefault="00085F16" w:rsidP="00085F16">
            <w:pPr>
              <w:spacing w:line="276" w:lineRule="auto"/>
              <w:jc w:val="center"/>
              <w:rPr>
                <w:b/>
                <w:color w:val="000000" w:themeColor="text1"/>
                <w:sz w:val="20"/>
              </w:rPr>
            </w:pPr>
            <w:r>
              <w:rPr>
                <w:b/>
                <w:color w:val="000000" w:themeColor="text1"/>
                <w:sz w:val="20"/>
              </w:rPr>
              <w:t xml:space="preserve">Bilanci Strukturor </w:t>
            </w:r>
            <w:r w:rsidRPr="0067685A">
              <w:rPr>
                <w:b/>
                <w:color w:val="000000" w:themeColor="text1"/>
                <w:sz w:val="20"/>
              </w:rPr>
              <w:t>(</w:t>
            </w:r>
            <w:r>
              <w:rPr>
                <w:b/>
                <w:color w:val="000000" w:themeColor="text1"/>
                <w:sz w:val="20"/>
              </w:rPr>
              <w:t>mil.</w:t>
            </w:r>
            <w:r w:rsidRPr="0067685A">
              <w:rPr>
                <w:b/>
                <w:color w:val="000000" w:themeColor="text1"/>
                <w:sz w:val="20"/>
              </w:rPr>
              <w:t xml:space="preserve"> Eur)</w:t>
            </w:r>
          </w:p>
        </w:tc>
        <w:tc>
          <w:tcPr>
            <w:tcW w:w="1038" w:type="pct"/>
            <w:shd w:val="clear" w:color="auto" w:fill="DEEAF6" w:themeFill="accent1" w:themeFillTint="33"/>
            <w:tcMar>
              <w:top w:w="0" w:type="dxa"/>
              <w:left w:w="108" w:type="dxa"/>
              <w:bottom w:w="0" w:type="dxa"/>
              <w:right w:w="108" w:type="dxa"/>
            </w:tcMar>
            <w:vAlign w:val="center"/>
            <w:hideMark/>
          </w:tcPr>
          <w:p w14:paraId="0C0FDFF1" w14:textId="77777777" w:rsidR="00085F16" w:rsidRPr="0067685A" w:rsidRDefault="00085F16" w:rsidP="00085F16">
            <w:pPr>
              <w:spacing w:line="276" w:lineRule="auto"/>
              <w:jc w:val="center"/>
              <w:rPr>
                <w:b/>
                <w:color w:val="000000" w:themeColor="text1"/>
                <w:sz w:val="20"/>
              </w:rPr>
            </w:pPr>
            <w:r>
              <w:rPr>
                <w:b/>
                <w:color w:val="000000" w:themeColor="text1"/>
                <w:sz w:val="20"/>
              </w:rPr>
              <w:t xml:space="preserve">Komponentet ciklike </w:t>
            </w:r>
            <w:r w:rsidRPr="0067685A">
              <w:rPr>
                <w:b/>
                <w:color w:val="000000" w:themeColor="text1"/>
                <w:sz w:val="20"/>
              </w:rPr>
              <w:t>(</w:t>
            </w:r>
            <w:r>
              <w:rPr>
                <w:b/>
                <w:color w:val="000000" w:themeColor="text1"/>
                <w:sz w:val="20"/>
              </w:rPr>
              <w:t>mil.</w:t>
            </w:r>
            <w:r w:rsidRPr="0067685A">
              <w:rPr>
                <w:b/>
                <w:color w:val="000000" w:themeColor="text1"/>
                <w:sz w:val="20"/>
              </w:rPr>
              <w:t xml:space="preserve"> Eur)</w:t>
            </w:r>
          </w:p>
        </w:tc>
        <w:tc>
          <w:tcPr>
            <w:tcW w:w="1108" w:type="pct"/>
            <w:shd w:val="clear" w:color="auto" w:fill="DEEAF6" w:themeFill="accent1" w:themeFillTint="33"/>
            <w:tcMar>
              <w:top w:w="0" w:type="dxa"/>
              <w:left w:w="108" w:type="dxa"/>
              <w:bottom w:w="0" w:type="dxa"/>
              <w:right w:w="108" w:type="dxa"/>
            </w:tcMar>
            <w:vAlign w:val="center"/>
            <w:hideMark/>
          </w:tcPr>
          <w:p w14:paraId="580ED1DA" w14:textId="77777777" w:rsidR="00085F16" w:rsidRPr="0067685A" w:rsidRDefault="00085F16" w:rsidP="00085F16">
            <w:pPr>
              <w:spacing w:line="276" w:lineRule="auto"/>
              <w:jc w:val="center"/>
              <w:rPr>
                <w:b/>
                <w:color w:val="000000" w:themeColor="text1"/>
                <w:sz w:val="20"/>
              </w:rPr>
            </w:pPr>
            <w:r>
              <w:rPr>
                <w:b/>
                <w:color w:val="000000" w:themeColor="text1"/>
                <w:sz w:val="20"/>
              </w:rPr>
              <w:t>Henduku i prodhimit</w:t>
            </w:r>
            <w:r w:rsidRPr="0067685A">
              <w:rPr>
                <w:b/>
                <w:color w:val="000000" w:themeColor="text1"/>
                <w:sz w:val="20"/>
              </w:rPr>
              <w:t>, %</w:t>
            </w:r>
          </w:p>
        </w:tc>
      </w:tr>
      <w:tr w:rsidR="00085F16" w:rsidRPr="0067685A" w14:paraId="484F2436" w14:textId="77777777" w:rsidTr="00085F16">
        <w:trPr>
          <w:trHeight w:val="20"/>
        </w:trPr>
        <w:tc>
          <w:tcPr>
            <w:tcW w:w="1046" w:type="pct"/>
            <w:shd w:val="clear" w:color="auto" w:fill="DEEAF6" w:themeFill="accent1" w:themeFillTint="33"/>
            <w:noWrap/>
            <w:tcMar>
              <w:top w:w="0" w:type="dxa"/>
              <w:left w:w="108" w:type="dxa"/>
              <w:bottom w:w="0" w:type="dxa"/>
              <w:right w:w="108" w:type="dxa"/>
            </w:tcMar>
            <w:vAlign w:val="bottom"/>
            <w:hideMark/>
          </w:tcPr>
          <w:p w14:paraId="4241328A" w14:textId="77777777" w:rsidR="00085F16" w:rsidRPr="0067685A" w:rsidRDefault="00085F16" w:rsidP="00085F16">
            <w:pPr>
              <w:spacing w:line="276" w:lineRule="auto"/>
              <w:jc w:val="center"/>
              <w:rPr>
                <w:color w:val="000000" w:themeColor="text1"/>
                <w:sz w:val="20"/>
              </w:rPr>
            </w:pPr>
            <w:r w:rsidRPr="0067685A">
              <w:rPr>
                <w:color w:val="000000" w:themeColor="text1"/>
                <w:sz w:val="20"/>
              </w:rPr>
              <w:t>2011</w:t>
            </w:r>
          </w:p>
        </w:tc>
        <w:tc>
          <w:tcPr>
            <w:tcW w:w="908" w:type="pct"/>
            <w:shd w:val="clear" w:color="auto" w:fill="DEEAF6" w:themeFill="accent1" w:themeFillTint="33"/>
            <w:noWrap/>
            <w:tcMar>
              <w:top w:w="0" w:type="dxa"/>
              <w:left w:w="108" w:type="dxa"/>
              <w:bottom w:w="0" w:type="dxa"/>
              <w:right w:w="108" w:type="dxa"/>
            </w:tcMar>
            <w:vAlign w:val="bottom"/>
            <w:hideMark/>
          </w:tcPr>
          <w:p w14:paraId="5A3CC1DB" w14:textId="77777777" w:rsidR="00085F16" w:rsidRPr="0067685A" w:rsidRDefault="00085F16" w:rsidP="00085F16">
            <w:pPr>
              <w:spacing w:line="276" w:lineRule="auto"/>
              <w:jc w:val="center"/>
              <w:rPr>
                <w:color w:val="000000" w:themeColor="text1"/>
                <w:sz w:val="20"/>
              </w:rPr>
            </w:pPr>
            <w:r w:rsidRPr="0067685A">
              <w:rPr>
                <w:color w:val="000000" w:themeColor="text1"/>
              </w:rPr>
              <w:t>-243.1</w:t>
            </w:r>
          </w:p>
        </w:tc>
        <w:tc>
          <w:tcPr>
            <w:tcW w:w="899" w:type="pct"/>
            <w:shd w:val="clear" w:color="auto" w:fill="DEEAF6" w:themeFill="accent1" w:themeFillTint="33"/>
            <w:noWrap/>
            <w:tcMar>
              <w:top w:w="0" w:type="dxa"/>
              <w:left w:w="108" w:type="dxa"/>
              <w:bottom w:w="0" w:type="dxa"/>
              <w:right w:w="108" w:type="dxa"/>
            </w:tcMar>
            <w:vAlign w:val="bottom"/>
            <w:hideMark/>
          </w:tcPr>
          <w:p w14:paraId="67E5D3B6" w14:textId="77777777" w:rsidR="00085F16" w:rsidRPr="0067685A" w:rsidRDefault="00085F16" w:rsidP="00085F16">
            <w:pPr>
              <w:spacing w:line="276" w:lineRule="auto"/>
              <w:jc w:val="center"/>
              <w:rPr>
                <w:color w:val="000000" w:themeColor="text1"/>
                <w:sz w:val="20"/>
              </w:rPr>
            </w:pPr>
            <w:r w:rsidRPr="0067685A">
              <w:rPr>
                <w:color w:val="000000" w:themeColor="text1"/>
              </w:rPr>
              <w:t>-254</w:t>
            </w:r>
          </w:p>
        </w:tc>
        <w:tc>
          <w:tcPr>
            <w:tcW w:w="1038" w:type="pct"/>
            <w:shd w:val="clear" w:color="auto" w:fill="DEEAF6" w:themeFill="accent1" w:themeFillTint="33"/>
            <w:noWrap/>
            <w:tcMar>
              <w:top w:w="0" w:type="dxa"/>
              <w:left w:w="108" w:type="dxa"/>
              <w:bottom w:w="0" w:type="dxa"/>
              <w:right w:w="108" w:type="dxa"/>
            </w:tcMar>
            <w:vAlign w:val="bottom"/>
            <w:hideMark/>
          </w:tcPr>
          <w:p w14:paraId="76F7CF32" w14:textId="77777777" w:rsidR="00085F16" w:rsidRPr="0067685A" w:rsidRDefault="00085F16" w:rsidP="00085F16">
            <w:pPr>
              <w:spacing w:line="276" w:lineRule="auto"/>
              <w:jc w:val="center"/>
              <w:rPr>
                <w:color w:val="000000" w:themeColor="text1"/>
                <w:sz w:val="20"/>
              </w:rPr>
            </w:pPr>
            <w:r w:rsidRPr="0067685A">
              <w:rPr>
                <w:color w:val="000000" w:themeColor="text1"/>
              </w:rPr>
              <w:t>11.3</w:t>
            </w:r>
          </w:p>
        </w:tc>
        <w:tc>
          <w:tcPr>
            <w:tcW w:w="1108" w:type="pct"/>
            <w:shd w:val="clear" w:color="auto" w:fill="DEEAF6" w:themeFill="accent1" w:themeFillTint="33"/>
            <w:noWrap/>
            <w:tcMar>
              <w:top w:w="0" w:type="dxa"/>
              <w:left w:w="108" w:type="dxa"/>
              <w:bottom w:w="0" w:type="dxa"/>
              <w:right w:w="108" w:type="dxa"/>
            </w:tcMar>
            <w:vAlign w:val="bottom"/>
            <w:hideMark/>
          </w:tcPr>
          <w:p w14:paraId="1BD4A874" w14:textId="77777777" w:rsidR="00085F16" w:rsidRPr="0067685A" w:rsidRDefault="00085F16" w:rsidP="00085F16">
            <w:pPr>
              <w:spacing w:line="276" w:lineRule="auto"/>
              <w:jc w:val="center"/>
              <w:rPr>
                <w:color w:val="000000" w:themeColor="text1"/>
                <w:sz w:val="20"/>
              </w:rPr>
            </w:pPr>
            <w:r w:rsidRPr="0067685A">
              <w:rPr>
                <w:color w:val="000000" w:themeColor="text1"/>
              </w:rPr>
              <w:t>0.64</w:t>
            </w:r>
          </w:p>
        </w:tc>
      </w:tr>
      <w:tr w:rsidR="00085F16" w:rsidRPr="0067685A" w14:paraId="1DD57146" w14:textId="77777777" w:rsidTr="00085F16">
        <w:trPr>
          <w:trHeight w:val="20"/>
        </w:trPr>
        <w:tc>
          <w:tcPr>
            <w:tcW w:w="1046" w:type="pct"/>
            <w:shd w:val="clear" w:color="auto" w:fill="DEEAF6" w:themeFill="accent1" w:themeFillTint="33"/>
            <w:noWrap/>
            <w:tcMar>
              <w:top w:w="0" w:type="dxa"/>
              <w:left w:w="108" w:type="dxa"/>
              <w:bottom w:w="0" w:type="dxa"/>
              <w:right w:w="108" w:type="dxa"/>
            </w:tcMar>
            <w:vAlign w:val="bottom"/>
            <w:hideMark/>
          </w:tcPr>
          <w:p w14:paraId="1F2CFCB1" w14:textId="77777777" w:rsidR="00085F16" w:rsidRPr="0067685A" w:rsidRDefault="00085F16" w:rsidP="00085F16">
            <w:pPr>
              <w:spacing w:line="276" w:lineRule="auto"/>
              <w:jc w:val="center"/>
              <w:rPr>
                <w:color w:val="000000" w:themeColor="text1"/>
                <w:sz w:val="20"/>
              </w:rPr>
            </w:pPr>
            <w:r w:rsidRPr="0067685A">
              <w:rPr>
                <w:color w:val="000000" w:themeColor="text1"/>
                <w:sz w:val="20"/>
              </w:rPr>
              <w:t>2012</w:t>
            </w:r>
          </w:p>
        </w:tc>
        <w:tc>
          <w:tcPr>
            <w:tcW w:w="908" w:type="pct"/>
            <w:shd w:val="clear" w:color="auto" w:fill="DEEAF6" w:themeFill="accent1" w:themeFillTint="33"/>
            <w:noWrap/>
            <w:tcMar>
              <w:top w:w="0" w:type="dxa"/>
              <w:left w:w="108" w:type="dxa"/>
              <w:bottom w:w="0" w:type="dxa"/>
              <w:right w:w="108" w:type="dxa"/>
            </w:tcMar>
            <w:vAlign w:val="bottom"/>
            <w:hideMark/>
          </w:tcPr>
          <w:p w14:paraId="1BE6DA4F" w14:textId="77777777" w:rsidR="00085F16" w:rsidRPr="0067685A" w:rsidRDefault="00085F16" w:rsidP="00085F16">
            <w:pPr>
              <w:spacing w:line="276" w:lineRule="auto"/>
              <w:jc w:val="center"/>
              <w:rPr>
                <w:color w:val="000000" w:themeColor="text1"/>
                <w:sz w:val="20"/>
              </w:rPr>
            </w:pPr>
            <w:r w:rsidRPr="0067685A">
              <w:rPr>
                <w:color w:val="000000" w:themeColor="text1"/>
              </w:rPr>
              <w:t>-285.6</w:t>
            </w:r>
          </w:p>
        </w:tc>
        <w:tc>
          <w:tcPr>
            <w:tcW w:w="899" w:type="pct"/>
            <w:shd w:val="clear" w:color="auto" w:fill="DEEAF6" w:themeFill="accent1" w:themeFillTint="33"/>
            <w:noWrap/>
            <w:tcMar>
              <w:top w:w="0" w:type="dxa"/>
              <w:left w:w="108" w:type="dxa"/>
              <w:bottom w:w="0" w:type="dxa"/>
              <w:right w:w="108" w:type="dxa"/>
            </w:tcMar>
            <w:vAlign w:val="bottom"/>
            <w:hideMark/>
          </w:tcPr>
          <w:p w14:paraId="0251D189" w14:textId="77777777" w:rsidR="00085F16" w:rsidRPr="0067685A" w:rsidRDefault="00085F16" w:rsidP="00085F16">
            <w:pPr>
              <w:spacing w:line="276" w:lineRule="auto"/>
              <w:jc w:val="center"/>
              <w:rPr>
                <w:color w:val="000000" w:themeColor="text1"/>
                <w:sz w:val="20"/>
              </w:rPr>
            </w:pPr>
            <w:r w:rsidRPr="0067685A">
              <w:rPr>
                <w:color w:val="000000" w:themeColor="text1"/>
              </w:rPr>
              <w:t>-296</w:t>
            </w:r>
          </w:p>
        </w:tc>
        <w:tc>
          <w:tcPr>
            <w:tcW w:w="1038" w:type="pct"/>
            <w:shd w:val="clear" w:color="auto" w:fill="DEEAF6" w:themeFill="accent1" w:themeFillTint="33"/>
            <w:noWrap/>
            <w:tcMar>
              <w:top w:w="0" w:type="dxa"/>
              <w:left w:w="108" w:type="dxa"/>
              <w:bottom w:w="0" w:type="dxa"/>
              <w:right w:w="108" w:type="dxa"/>
            </w:tcMar>
            <w:vAlign w:val="bottom"/>
            <w:hideMark/>
          </w:tcPr>
          <w:p w14:paraId="17E0172A" w14:textId="77777777" w:rsidR="00085F16" w:rsidRPr="0067685A" w:rsidRDefault="00085F16" w:rsidP="00085F16">
            <w:pPr>
              <w:spacing w:line="276" w:lineRule="auto"/>
              <w:jc w:val="center"/>
              <w:rPr>
                <w:color w:val="000000" w:themeColor="text1"/>
                <w:sz w:val="20"/>
              </w:rPr>
            </w:pPr>
            <w:r w:rsidRPr="0067685A">
              <w:rPr>
                <w:color w:val="000000" w:themeColor="text1"/>
              </w:rPr>
              <w:t>10.3</w:t>
            </w:r>
          </w:p>
        </w:tc>
        <w:tc>
          <w:tcPr>
            <w:tcW w:w="1108" w:type="pct"/>
            <w:shd w:val="clear" w:color="auto" w:fill="DEEAF6" w:themeFill="accent1" w:themeFillTint="33"/>
            <w:noWrap/>
            <w:tcMar>
              <w:top w:w="0" w:type="dxa"/>
              <w:left w:w="108" w:type="dxa"/>
              <w:bottom w:w="0" w:type="dxa"/>
              <w:right w:w="108" w:type="dxa"/>
            </w:tcMar>
            <w:vAlign w:val="bottom"/>
            <w:hideMark/>
          </w:tcPr>
          <w:p w14:paraId="0AE5680D" w14:textId="77777777" w:rsidR="00085F16" w:rsidRPr="0067685A" w:rsidRDefault="00085F16" w:rsidP="00085F16">
            <w:pPr>
              <w:spacing w:line="276" w:lineRule="auto"/>
              <w:jc w:val="center"/>
              <w:rPr>
                <w:color w:val="000000" w:themeColor="text1"/>
                <w:sz w:val="20"/>
              </w:rPr>
            </w:pPr>
            <w:r w:rsidRPr="0067685A">
              <w:rPr>
                <w:color w:val="000000" w:themeColor="text1"/>
              </w:rPr>
              <w:t>0.57</w:t>
            </w:r>
          </w:p>
        </w:tc>
      </w:tr>
      <w:tr w:rsidR="00085F16" w:rsidRPr="0067685A" w14:paraId="1A060190" w14:textId="77777777" w:rsidTr="00085F16">
        <w:trPr>
          <w:trHeight w:val="20"/>
        </w:trPr>
        <w:tc>
          <w:tcPr>
            <w:tcW w:w="1046" w:type="pct"/>
            <w:shd w:val="clear" w:color="auto" w:fill="DEEAF6" w:themeFill="accent1" w:themeFillTint="33"/>
            <w:noWrap/>
            <w:tcMar>
              <w:top w:w="0" w:type="dxa"/>
              <w:left w:w="108" w:type="dxa"/>
              <w:bottom w:w="0" w:type="dxa"/>
              <w:right w:w="108" w:type="dxa"/>
            </w:tcMar>
            <w:vAlign w:val="bottom"/>
            <w:hideMark/>
          </w:tcPr>
          <w:p w14:paraId="206746E6" w14:textId="77777777" w:rsidR="00085F16" w:rsidRPr="0067685A" w:rsidRDefault="00085F16" w:rsidP="00085F16">
            <w:pPr>
              <w:spacing w:line="276" w:lineRule="auto"/>
              <w:jc w:val="center"/>
              <w:rPr>
                <w:color w:val="000000" w:themeColor="text1"/>
                <w:sz w:val="20"/>
              </w:rPr>
            </w:pPr>
            <w:r w:rsidRPr="0067685A">
              <w:rPr>
                <w:color w:val="000000" w:themeColor="text1"/>
                <w:sz w:val="20"/>
              </w:rPr>
              <w:t>2013</w:t>
            </w:r>
          </w:p>
        </w:tc>
        <w:tc>
          <w:tcPr>
            <w:tcW w:w="908" w:type="pct"/>
            <w:shd w:val="clear" w:color="auto" w:fill="DEEAF6" w:themeFill="accent1" w:themeFillTint="33"/>
            <w:noWrap/>
            <w:tcMar>
              <w:top w:w="0" w:type="dxa"/>
              <w:left w:w="108" w:type="dxa"/>
              <w:bottom w:w="0" w:type="dxa"/>
              <w:right w:w="108" w:type="dxa"/>
            </w:tcMar>
            <w:vAlign w:val="bottom"/>
            <w:hideMark/>
          </w:tcPr>
          <w:p w14:paraId="3517AF6F" w14:textId="77777777" w:rsidR="00085F16" w:rsidRPr="0067685A" w:rsidRDefault="00085F16" w:rsidP="00085F16">
            <w:pPr>
              <w:spacing w:line="276" w:lineRule="auto"/>
              <w:jc w:val="center"/>
              <w:rPr>
                <w:color w:val="000000" w:themeColor="text1"/>
                <w:sz w:val="20"/>
              </w:rPr>
            </w:pPr>
            <w:r w:rsidRPr="0067685A">
              <w:rPr>
                <w:color w:val="000000" w:themeColor="text1"/>
              </w:rPr>
              <w:t>-315.9</w:t>
            </w:r>
          </w:p>
        </w:tc>
        <w:tc>
          <w:tcPr>
            <w:tcW w:w="899" w:type="pct"/>
            <w:shd w:val="clear" w:color="auto" w:fill="DEEAF6" w:themeFill="accent1" w:themeFillTint="33"/>
            <w:noWrap/>
            <w:tcMar>
              <w:top w:w="0" w:type="dxa"/>
              <w:left w:w="108" w:type="dxa"/>
              <w:bottom w:w="0" w:type="dxa"/>
              <w:right w:w="108" w:type="dxa"/>
            </w:tcMar>
            <w:vAlign w:val="bottom"/>
            <w:hideMark/>
          </w:tcPr>
          <w:p w14:paraId="68B212E8" w14:textId="77777777" w:rsidR="00085F16" w:rsidRPr="0067685A" w:rsidRDefault="00085F16" w:rsidP="00085F16">
            <w:pPr>
              <w:spacing w:line="276" w:lineRule="auto"/>
              <w:jc w:val="center"/>
              <w:rPr>
                <w:color w:val="000000" w:themeColor="text1"/>
                <w:sz w:val="20"/>
              </w:rPr>
            </w:pPr>
            <w:r w:rsidRPr="0067685A">
              <w:rPr>
                <w:color w:val="000000" w:themeColor="text1"/>
              </w:rPr>
              <w:t>-333</w:t>
            </w:r>
          </w:p>
        </w:tc>
        <w:tc>
          <w:tcPr>
            <w:tcW w:w="1038" w:type="pct"/>
            <w:shd w:val="clear" w:color="auto" w:fill="DEEAF6" w:themeFill="accent1" w:themeFillTint="33"/>
            <w:noWrap/>
            <w:tcMar>
              <w:top w:w="0" w:type="dxa"/>
              <w:left w:w="108" w:type="dxa"/>
              <w:bottom w:w="0" w:type="dxa"/>
              <w:right w:w="108" w:type="dxa"/>
            </w:tcMar>
            <w:vAlign w:val="bottom"/>
            <w:hideMark/>
          </w:tcPr>
          <w:p w14:paraId="128C4977" w14:textId="77777777" w:rsidR="00085F16" w:rsidRPr="0067685A" w:rsidRDefault="00085F16" w:rsidP="00085F16">
            <w:pPr>
              <w:spacing w:line="276" w:lineRule="auto"/>
              <w:jc w:val="center"/>
              <w:rPr>
                <w:color w:val="000000" w:themeColor="text1"/>
                <w:sz w:val="20"/>
              </w:rPr>
            </w:pPr>
            <w:r w:rsidRPr="0067685A">
              <w:rPr>
                <w:color w:val="000000" w:themeColor="text1"/>
              </w:rPr>
              <w:t>17.0</w:t>
            </w:r>
          </w:p>
        </w:tc>
        <w:tc>
          <w:tcPr>
            <w:tcW w:w="1108" w:type="pct"/>
            <w:shd w:val="clear" w:color="auto" w:fill="DEEAF6" w:themeFill="accent1" w:themeFillTint="33"/>
            <w:noWrap/>
            <w:tcMar>
              <w:top w:w="0" w:type="dxa"/>
              <w:left w:w="108" w:type="dxa"/>
              <w:bottom w:w="0" w:type="dxa"/>
              <w:right w:w="108" w:type="dxa"/>
            </w:tcMar>
            <w:vAlign w:val="bottom"/>
            <w:hideMark/>
          </w:tcPr>
          <w:p w14:paraId="2AEB2563" w14:textId="77777777" w:rsidR="00085F16" w:rsidRPr="0067685A" w:rsidRDefault="00085F16" w:rsidP="00085F16">
            <w:pPr>
              <w:spacing w:line="276" w:lineRule="auto"/>
              <w:jc w:val="center"/>
              <w:rPr>
                <w:color w:val="000000" w:themeColor="text1"/>
                <w:sz w:val="20"/>
              </w:rPr>
            </w:pPr>
            <w:r w:rsidRPr="0067685A">
              <w:rPr>
                <w:color w:val="000000" w:themeColor="text1"/>
              </w:rPr>
              <w:t>0.93</w:t>
            </w:r>
          </w:p>
        </w:tc>
      </w:tr>
      <w:tr w:rsidR="00085F16" w:rsidRPr="0067685A" w14:paraId="67525BB2" w14:textId="77777777" w:rsidTr="00085F16">
        <w:trPr>
          <w:trHeight w:val="20"/>
        </w:trPr>
        <w:tc>
          <w:tcPr>
            <w:tcW w:w="1046" w:type="pct"/>
            <w:shd w:val="clear" w:color="auto" w:fill="DEEAF6" w:themeFill="accent1" w:themeFillTint="33"/>
            <w:noWrap/>
            <w:tcMar>
              <w:top w:w="0" w:type="dxa"/>
              <w:left w:w="108" w:type="dxa"/>
              <w:bottom w:w="0" w:type="dxa"/>
              <w:right w:w="108" w:type="dxa"/>
            </w:tcMar>
            <w:vAlign w:val="bottom"/>
            <w:hideMark/>
          </w:tcPr>
          <w:p w14:paraId="7376A66F" w14:textId="77777777" w:rsidR="00085F16" w:rsidRPr="0067685A" w:rsidRDefault="00085F16" w:rsidP="00085F16">
            <w:pPr>
              <w:spacing w:line="276" w:lineRule="auto"/>
              <w:jc w:val="center"/>
              <w:rPr>
                <w:color w:val="000000" w:themeColor="text1"/>
                <w:sz w:val="20"/>
              </w:rPr>
            </w:pPr>
            <w:r w:rsidRPr="0067685A">
              <w:rPr>
                <w:color w:val="000000" w:themeColor="text1"/>
                <w:sz w:val="20"/>
              </w:rPr>
              <w:t>2014</w:t>
            </w:r>
          </w:p>
        </w:tc>
        <w:tc>
          <w:tcPr>
            <w:tcW w:w="908" w:type="pct"/>
            <w:shd w:val="clear" w:color="auto" w:fill="DEEAF6" w:themeFill="accent1" w:themeFillTint="33"/>
            <w:noWrap/>
            <w:tcMar>
              <w:top w:w="0" w:type="dxa"/>
              <w:left w:w="108" w:type="dxa"/>
              <w:bottom w:w="0" w:type="dxa"/>
              <w:right w:w="108" w:type="dxa"/>
            </w:tcMar>
            <w:vAlign w:val="bottom"/>
            <w:hideMark/>
          </w:tcPr>
          <w:p w14:paraId="29DBE836" w14:textId="77777777" w:rsidR="00085F16" w:rsidRPr="0067685A" w:rsidRDefault="00085F16" w:rsidP="00085F16">
            <w:pPr>
              <w:spacing w:line="276" w:lineRule="auto"/>
              <w:jc w:val="center"/>
              <w:rPr>
                <w:color w:val="000000" w:themeColor="text1"/>
                <w:sz w:val="20"/>
              </w:rPr>
            </w:pPr>
            <w:r w:rsidRPr="0067685A">
              <w:rPr>
                <w:color w:val="000000" w:themeColor="text1"/>
              </w:rPr>
              <w:t>-267.7</w:t>
            </w:r>
          </w:p>
        </w:tc>
        <w:tc>
          <w:tcPr>
            <w:tcW w:w="899" w:type="pct"/>
            <w:shd w:val="clear" w:color="auto" w:fill="DEEAF6" w:themeFill="accent1" w:themeFillTint="33"/>
            <w:noWrap/>
            <w:tcMar>
              <w:top w:w="0" w:type="dxa"/>
              <w:left w:w="108" w:type="dxa"/>
              <w:bottom w:w="0" w:type="dxa"/>
              <w:right w:w="108" w:type="dxa"/>
            </w:tcMar>
            <w:vAlign w:val="bottom"/>
            <w:hideMark/>
          </w:tcPr>
          <w:p w14:paraId="74682B11" w14:textId="77777777" w:rsidR="00085F16" w:rsidRPr="0067685A" w:rsidRDefault="00085F16" w:rsidP="00085F16">
            <w:pPr>
              <w:spacing w:line="276" w:lineRule="auto"/>
              <w:jc w:val="center"/>
              <w:rPr>
                <w:color w:val="000000" w:themeColor="text1"/>
                <w:sz w:val="20"/>
              </w:rPr>
            </w:pPr>
            <w:r w:rsidRPr="0067685A">
              <w:rPr>
                <w:color w:val="000000" w:themeColor="text1"/>
              </w:rPr>
              <w:t>-245</w:t>
            </w:r>
          </w:p>
        </w:tc>
        <w:tc>
          <w:tcPr>
            <w:tcW w:w="1038" w:type="pct"/>
            <w:shd w:val="clear" w:color="auto" w:fill="DEEAF6" w:themeFill="accent1" w:themeFillTint="33"/>
            <w:noWrap/>
            <w:tcMar>
              <w:top w:w="0" w:type="dxa"/>
              <w:left w:w="108" w:type="dxa"/>
              <w:bottom w:w="0" w:type="dxa"/>
              <w:right w:w="108" w:type="dxa"/>
            </w:tcMar>
            <w:vAlign w:val="bottom"/>
            <w:hideMark/>
          </w:tcPr>
          <w:p w14:paraId="5B492801" w14:textId="77777777" w:rsidR="00085F16" w:rsidRPr="0067685A" w:rsidRDefault="00085F16" w:rsidP="00085F16">
            <w:pPr>
              <w:spacing w:line="276" w:lineRule="auto"/>
              <w:jc w:val="center"/>
              <w:rPr>
                <w:color w:val="000000" w:themeColor="text1"/>
                <w:sz w:val="20"/>
              </w:rPr>
            </w:pPr>
            <w:r w:rsidRPr="0067685A">
              <w:rPr>
                <w:color w:val="000000" w:themeColor="text1"/>
              </w:rPr>
              <w:t>-22.8</w:t>
            </w:r>
          </w:p>
        </w:tc>
        <w:tc>
          <w:tcPr>
            <w:tcW w:w="1108" w:type="pct"/>
            <w:shd w:val="clear" w:color="auto" w:fill="DEEAF6" w:themeFill="accent1" w:themeFillTint="33"/>
            <w:noWrap/>
            <w:tcMar>
              <w:top w:w="0" w:type="dxa"/>
              <w:left w:w="108" w:type="dxa"/>
              <w:bottom w:w="0" w:type="dxa"/>
              <w:right w:w="108" w:type="dxa"/>
            </w:tcMar>
            <w:vAlign w:val="bottom"/>
            <w:hideMark/>
          </w:tcPr>
          <w:p w14:paraId="20909FE2" w14:textId="77777777" w:rsidR="00085F16" w:rsidRPr="0067685A" w:rsidRDefault="00085F16" w:rsidP="00085F16">
            <w:pPr>
              <w:spacing w:line="276" w:lineRule="auto"/>
              <w:jc w:val="center"/>
              <w:rPr>
                <w:color w:val="000000" w:themeColor="text1"/>
                <w:sz w:val="20"/>
              </w:rPr>
            </w:pPr>
            <w:r w:rsidRPr="0067685A">
              <w:rPr>
                <w:color w:val="000000" w:themeColor="text1"/>
              </w:rPr>
              <w:t>-1.17</w:t>
            </w:r>
          </w:p>
        </w:tc>
      </w:tr>
      <w:tr w:rsidR="00085F16" w:rsidRPr="0067685A" w14:paraId="352CD960" w14:textId="77777777" w:rsidTr="00085F16">
        <w:trPr>
          <w:trHeight w:val="20"/>
        </w:trPr>
        <w:tc>
          <w:tcPr>
            <w:tcW w:w="1046" w:type="pct"/>
            <w:shd w:val="clear" w:color="auto" w:fill="DEEAF6" w:themeFill="accent1" w:themeFillTint="33"/>
            <w:noWrap/>
            <w:tcMar>
              <w:top w:w="0" w:type="dxa"/>
              <w:left w:w="108" w:type="dxa"/>
              <w:bottom w:w="0" w:type="dxa"/>
              <w:right w:w="108" w:type="dxa"/>
            </w:tcMar>
            <w:vAlign w:val="bottom"/>
            <w:hideMark/>
          </w:tcPr>
          <w:p w14:paraId="5D949726" w14:textId="77777777" w:rsidR="00085F16" w:rsidRPr="0067685A" w:rsidRDefault="00085F16" w:rsidP="00085F16">
            <w:pPr>
              <w:spacing w:line="276" w:lineRule="auto"/>
              <w:jc w:val="center"/>
              <w:rPr>
                <w:color w:val="000000" w:themeColor="text1"/>
                <w:sz w:val="20"/>
              </w:rPr>
            </w:pPr>
            <w:r w:rsidRPr="0067685A">
              <w:rPr>
                <w:color w:val="000000" w:themeColor="text1"/>
                <w:sz w:val="20"/>
              </w:rPr>
              <w:t>2015</w:t>
            </w:r>
          </w:p>
        </w:tc>
        <w:tc>
          <w:tcPr>
            <w:tcW w:w="908" w:type="pct"/>
            <w:shd w:val="clear" w:color="auto" w:fill="DEEAF6" w:themeFill="accent1" w:themeFillTint="33"/>
            <w:noWrap/>
            <w:tcMar>
              <w:top w:w="0" w:type="dxa"/>
              <w:left w:w="108" w:type="dxa"/>
              <w:bottom w:w="0" w:type="dxa"/>
              <w:right w:w="108" w:type="dxa"/>
            </w:tcMar>
            <w:vAlign w:val="bottom"/>
            <w:hideMark/>
          </w:tcPr>
          <w:p w14:paraId="287784B1" w14:textId="77777777" w:rsidR="00085F16" w:rsidRPr="0067685A" w:rsidRDefault="00085F16" w:rsidP="00085F16">
            <w:pPr>
              <w:spacing w:line="276" w:lineRule="auto"/>
              <w:jc w:val="center"/>
              <w:rPr>
                <w:color w:val="000000" w:themeColor="text1"/>
                <w:sz w:val="20"/>
              </w:rPr>
            </w:pPr>
            <w:r w:rsidRPr="0067685A">
              <w:rPr>
                <w:color w:val="000000" w:themeColor="text1"/>
              </w:rPr>
              <w:t>-247.3</w:t>
            </w:r>
          </w:p>
        </w:tc>
        <w:tc>
          <w:tcPr>
            <w:tcW w:w="899" w:type="pct"/>
            <w:shd w:val="clear" w:color="auto" w:fill="DEEAF6" w:themeFill="accent1" w:themeFillTint="33"/>
            <w:noWrap/>
            <w:tcMar>
              <w:top w:w="0" w:type="dxa"/>
              <w:left w:w="108" w:type="dxa"/>
              <w:bottom w:w="0" w:type="dxa"/>
              <w:right w:w="108" w:type="dxa"/>
            </w:tcMar>
            <w:vAlign w:val="bottom"/>
            <w:hideMark/>
          </w:tcPr>
          <w:p w14:paraId="0C2A45C2" w14:textId="77777777" w:rsidR="00085F16" w:rsidRPr="0067685A" w:rsidRDefault="00085F16" w:rsidP="00085F16">
            <w:pPr>
              <w:spacing w:line="276" w:lineRule="auto"/>
              <w:jc w:val="center"/>
              <w:rPr>
                <w:color w:val="000000" w:themeColor="text1"/>
                <w:sz w:val="20"/>
              </w:rPr>
            </w:pPr>
            <w:r w:rsidRPr="0067685A">
              <w:rPr>
                <w:color w:val="000000" w:themeColor="text1"/>
              </w:rPr>
              <w:t>-237</w:t>
            </w:r>
          </w:p>
        </w:tc>
        <w:tc>
          <w:tcPr>
            <w:tcW w:w="1038" w:type="pct"/>
            <w:shd w:val="clear" w:color="auto" w:fill="DEEAF6" w:themeFill="accent1" w:themeFillTint="33"/>
            <w:noWrap/>
            <w:tcMar>
              <w:top w:w="0" w:type="dxa"/>
              <w:left w:w="108" w:type="dxa"/>
              <w:bottom w:w="0" w:type="dxa"/>
              <w:right w:w="108" w:type="dxa"/>
            </w:tcMar>
            <w:vAlign w:val="bottom"/>
            <w:hideMark/>
          </w:tcPr>
          <w:p w14:paraId="4CC2D394" w14:textId="77777777" w:rsidR="00085F16" w:rsidRPr="0067685A" w:rsidRDefault="00085F16" w:rsidP="00085F16">
            <w:pPr>
              <w:spacing w:line="276" w:lineRule="auto"/>
              <w:jc w:val="center"/>
              <w:rPr>
                <w:color w:val="000000" w:themeColor="text1"/>
                <w:sz w:val="20"/>
              </w:rPr>
            </w:pPr>
            <w:r w:rsidRPr="0067685A">
              <w:rPr>
                <w:color w:val="000000" w:themeColor="text1"/>
              </w:rPr>
              <w:t>-10.6</w:t>
            </w:r>
          </w:p>
        </w:tc>
        <w:tc>
          <w:tcPr>
            <w:tcW w:w="1108" w:type="pct"/>
            <w:shd w:val="clear" w:color="auto" w:fill="DEEAF6" w:themeFill="accent1" w:themeFillTint="33"/>
            <w:noWrap/>
            <w:tcMar>
              <w:top w:w="0" w:type="dxa"/>
              <w:left w:w="108" w:type="dxa"/>
              <w:bottom w:w="0" w:type="dxa"/>
              <w:right w:w="108" w:type="dxa"/>
            </w:tcMar>
            <w:vAlign w:val="bottom"/>
            <w:hideMark/>
          </w:tcPr>
          <w:p w14:paraId="693BC621" w14:textId="77777777" w:rsidR="00085F16" w:rsidRPr="0067685A" w:rsidRDefault="00085F16" w:rsidP="00085F16">
            <w:pPr>
              <w:spacing w:line="276" w:lineRule="auto"/>
              <w:jc w:val="center"/>
              <w:rPr>
                <w:color w:val="000000" w:themeColor="text1"/>
                <w:sz w:val="20"/>
              </w:rPr>
            </w:pPr>
            <w:r w:rsidRPr="0067685A">
              <w:rPr>
                <w:color w:val="000000" w:themeColor="text1"/>
              </w:rPr>
              <w:t>-0.51</w:t>
            </w:r>
          </w:p>
        </w:tc>
      </w:tr>
      <w:tr w:rsidR="00085F16" w:rsidRPr="0067685A" w14:paraId="18716F0E" w14:textId="77777777" w:rsidTr="00085F16">
        <w:trPr>
          <w:trHeight w:val="20"/>
        </w:trPr>
        <w:tc>
          <w:tcPr>
            <w:tcW w:w="1046" w:type="pct"/>
            <w:shd w:val="clear" w:color="auto" w:fill="DEEAF6" w:themeFill="accent1" w:themeFillTint="33"/>
            <w:noWrap/>
            <w:tcMar>
              <w:top w:w="0" w:type="dxa"/>
              <w:left w:w="108" w:type="dxa"/>
              <w:bottom w:w="0" w:type="dxa"/>
              <w:right w:w="108" w:type="dxa"/>
            </w:tcMar>
            <w:vAlign w:val="bottom"/>
            <w:hideMark/>
          </w:tcPr>
          <w:p w14:paraId="149BF53F" w14:textId="77777777" w:rsidR="00085F16" w:rsidRPr="0067685A" w:rsidRDefault="00085F16" w:rsidP="00085F16">
            <w:pPr>
              <w:spacing w:line="276" w:lineRule="auto"/>
              <w:jc w:val="center"/>
              <w:rPr>
                <w:color w:val="000000" w:themeColor="text1"/>
                <w:sz w:val="20"/>
              </w:rPr>
            </w:pPr>
            <w:r w:rsidRPr="0067685A">
              <w:rPr>
                <w:color w:val="000000" w:themeColor="text1"/>
                <w:sz w:val="20"/>
              </w:rPr>
              <w:t>2016</w:t>
            </w:r>
          </w:p>
        </w:tc>
        <w:tc>
          <w:tcPr>
            <w:tcW w:w="908" w:type="pct"/>
            <w:shd w:val="clear" w:color="auto" w:fill="DEEAF6" w:themeFill="accent1" w:themeFillTint="33"/>
            <w:noWrap/>
            <w:tcMar>
              <w:top w:w="0" w:type="dxa"/>
              <w:left w:w="108" w:type="dxa"/>
              <w:bottom w:w="0" w:type="dxa"/>
              <w:right w:w="108" w:type="dxa"/>
            </w:tcMar>
            <w:vAlign w:val="bottom"/>
            <w:hideMark/>
          </w:tcPr>
          <w:p w14:paraId="3E1C1C4C" w14:textId="77777777" w:rsidR="00085F16" w:rsidRPr="0067685A" w:rsidRDefault="00085F16" w:rsidP="00085F16">
            <w:pPr>
              <w:spacing w:line="276" w:lineRule="auto"/>
              <w:jc w:val="center"/>
              <w:rPr>
                <w:color w:val="000000" w:themeColor="text1"/>
                <w:sz w:val="20"/>
              </w:rPr>
            </w:pPr>
            <w:r w:rsidRPr="0067685A">
              <w:rPr>
                <w:color w:val="000000" w:themeColor="text1"/>
              </w:rPr>
              <w:t>-205.2</w:t>
            </w:r>
          </w:p>
        </w:tc>
        <w:tc>
          <w:tcPr>
            <w:tcW w:w="899" w:type="pct"/>
            <w:shd w:val="clear" w:color="auto" w:fill="DEEAF6" w:themeFill="accent1" w:themeFillTint="33"/>
            <w:noWrap/>
            <w:tcMar>
              <w:top w:w="0" w:type="dxa"/>
              <w:left w:w="108" w:type="dxa"/>
              <w:bottom w:w="0" w:type="dxa"/>
              <w:right w:w="108" w:type="dxa"/>
            </w:tcMar>
            <w:vAlign w:val="bottom"/>
            <w:hideMark/>
          </w:tcPr>
          <w:p w14:paraId="5776621B" w14:textId="77777777" w:rsidR="00085F16" w:rsidRPr="0067685A" w:rsidRDefault="00085F16" w:rsidP="00085F16">
            <w:pPr>
              <w:spacing w:line="276" w:lineRule="auto"/>
              <w:jc w:val="center"/>
              <w:rPr>
                <w:color w:val="000000" w:themeColor="text1"/>
                <w:sz w:val="20"/>
              </w:rPr>
            </w:pPr>
            <w:r w:rsidRPr="0067685A">
              <w:rPr>
                <w:color w:val="000000" w:themeColor="text1"/>
              </w:rPr>
              <w:t>-202</w:t>
            </w:r>
          </w:p>
        </w:tc>
        <w:tc>
          <w:tcPr>
            <w:tcW w:w="1038" w:type="pct"/>
            <w:shd w:val="clear" w:color="auto" w:fill="DEEAF6" w:themeFill="accent1" w:themeFillTint="33"/>
            <w:noWrap/>
            <w:tcMar>
              <w:top w:w="0" w:type="dxa"/>
              <w:left w:w="108" w:type="dxa"/>
              <w:bottom w:w="0" w:type="dxa"/>
              <w:right w:w="108" w:type="dxa"/>
            </w:tcMar>
            <w:vAlign w:val="bottom"/>
            <w:hideMark/>
          </w:tcPr>
          <w:p w14:paraId="739E7F1F" w14:textId="77777777" w:rsidR="00085F16" w:rsidRPr="0067685A" w:rsidRDefault="00085F16" w:rsidP="00085F16">
            <w:pPr>
              <w:spacing w:line="276" w:lineRule="auto"/>
              <w:jc w:val="center"/>
              <w:rPr>
                <w:color w:val="000000" w:themeColor="text1"/>
                <w:sz w:val="20"/>
              </w:rPr>
            </w:pPr>
            <w:r w:rsidRPr="0067685A">
              <w:rPr>
                <w:color w:val="000000" w:themeColor="text1"/>
              </w:rPr>
              <w:t>-3.0</w:t>
            </w:r>
          </w:p>
        </w:tc>
        <w:tc>
          <w:tcPr>
            <w:tcW w:w="1108" w:type="pct"/>
            <w:shd w:val="clear" w:color="auto" w:fill="DEEAF6" w:themeFill="accent1" w:themeFillTint="33"/>
            <w:noWrap/>
            <w:tcMar>
              <w:top w:w="0" w:type="dxa"/>
              <w:left w:w="108" w:type="dxa"/>
              <w:bottom w:w="0" w:type="dxa"/>
              <w:right w:w="108" w:type="dxa"/>
            </w:tcMar>
            <w:vAlign w:val="bottom"/>
            <w:hideMark/>
          </w:tcPr>
          <w:p w14:paraId="227FB5E2" w14:textId="77777777" w:rsidR="00085F16" w:rsidRPr="0067685A" w:rsidRDefault="00085F16" w:rsidP="00085F16">
            <w:pPr>
              <w:spacing w:line="276" w:lineRule="auto"/>
              <w:jc w:val="center"/>
              <w:rPr>
                <w:color w:val="000000" w:themeColor="text1"/>
                <w:sz w:val="20"/>
              </w:rPr>
            </w:pPr>
            <w:r w:rsidRPr="0067685A">
              <w:rPr>
                <w:color w:val="000000" w:themeColor="text1"/>
              </w:rPr>
              <w:t>-0.13</w:t>
            </w:r>
          </w:p>
        </w:tc>
      </w:tr>
      <w:tr w:rsidR="00085F16" w:rsidRPr="0067685A" w14:paraId="2BAD9365" w14:textId="77777777" w:rsidTr="00085F16">
        <w:trPr>
          <w:trHeight w:val="20"/>
        </w:trPr>
        <w:tc>
          <w:tcPr>
            <w:tcW w:w="1046" w:type="pct"/>
            <w:shd w:val="clear" w:color="auto" w:fill="DEEAF6" w:themeFill="accent1" w:themeFillTint="33"/>
            <w:noWrap/>
            <w:tcMar>
              <w:top w:w="0" w:type="dxa"/>
              <w:left w:w="108" w:type="dxa"/>
              <w:bottom w:w="0" w:type="dxa"/>
              <w:right w:w="108" w:type="dxa"/>
            </w:tcMar>
            <w:vAlign w:val="bottom"/>
            <w:hideMark/>
          </w:tcPr>
          <w:p w14:paraId="52BE184B" w14:textId="77777777" w:rsidR="00085F16" w:rsidRPr="0067685A" w:rsidRDefault="00085F16" w:rsidP="00085F16">
            <w:pPr>
              <w:spacing w:line="276" w:lineRule="auto"/>
              <w:jc w:val="center"/>
              <w:rPr>
                <w:color w:val="000000" w:themeColor="text1"/>
                <w:sz w:val="20"/>
              </w:rPr>
            </w:pPr>
            <w:r w:rsidRPr="0067685A">
              <w:rPr>
                <w:color w:val="000000" w:themeColor="text1"/>
                <w:sz w:val="20"/>
              </w:rPr>
              <w:t>2017</w:t>
            </w:r>
          </w:p>
        </w:tc>
        <w:tc>
          <w:tcPr>
            <w:tcW w:w="908" w:type="pct"/>
            <w:shd w:val="clear" w:color="auto" w:fill="DEEAF6" w:themeFill="accent1" w:themeFillTint="33"/>
            <w:noWrap/>
            <w:tcMar>
              <w:top w:w="0" w:type="dxa"/>
              <w:left w:w="108" w:type="dxa"/>
              <w:bottom w:w="0" w:type="dxa"/>
              <w:right w:w="108" w:type="dxa"/>
            </w:tcMar>
            <w:vAlign w:val="bottom"/>
            <w:hideMark/>
          </w:tcPr>
          <w:p w14:paraId="61B6D587" w14:textId="77777777" w:rsidR="00085F16" w:rsidRPr="0067685A" w:rsidRDefault="00085F16" w:rsidP="00085F16">
            <w:pPr>
              <w:spacing w:line="276" w:lineRule="auto"/>
              <w:jc w:val="center"/>
              <w:rPr>
                <w:color w:val="000000" w:themeColor="text1"/>
                <w:sz w:val="20"/>
              </w:rPr>
            </w:pPr>
            <w:r w:rsidRPr="0067685A">
              <w:rPr>
                <w:color w:val="000000" w:themeColor="text1"/>
              </w:rPr>
              <w:t>-196.6</w:t>
            </w:r>
          </w:p>
        </w:tc>
        <w:tc>
          <w:tcPr>
            <w:tcW w:w="899" w:type="pct"/>
            <w:shd w:val="clear" w:color="auto" w:fill="DEEAF6" w:themeFill="accent1" w:themeFillTint="33"/>
            <w:noWrap/>
            <w:tcMar>
              <w:top w:w="0" w:type="dxa"/>
              <w:left w:w="108" w:type="dxa"/>
              <w:bottom w:w="0" w:type="dxa"/>
              <w:right w:w="108" w:type="dxa"/>
            </w:tcMar>
            <w:vAlign w:val="bottom"/>
            <w:hideMark/>
          </w:tcPr>
          <w:p w14:paraId="3E2A858B" w14:textId="77777777" w:rsidR="00085F16" w:rsidRPr="0067685A" w:rsidRDefault="00085F16" w:rsidP="00085F16">
            <w:pPr>
              <w:spacing w:line="276" w:lineRule="auto"/>
              <w:jc w:val="center"/>
              <w:rPr>
                <w:color w:val="000000" w:themeColor="text1"/>
                <w:sz w:val="20"/>
              </w:rPr>
            </w:pPr>
            <w:r w:rsidRPr="0067685A">
              <w:rPr>
                <w:color w:val="000000" w:themeColor="text1"/>
              </w:rPr>
              <w:t>-199</w:t>
            </w:r>
          </w:p>
        </w:tc>
        <w:tc>
          <w:tcPr>
            <w:tcW w:w="1038" w:type="pct"/>
            <w:shd w:val="clear" w:color="auto" w:fill="DEEAF6" w:themeFill="accent1" w:themeFillTint="33"/>
            <w:noWrap/>
            <w:tcMar>
              <w:top w:w="0" w:type="dxa"/>
              <w:left w:w="108" w:type="dxa"/>
              <w:bottom w:w="0" w:type="dxa"/>
              <w:right w:w="108" w:type="dxa"/>
            </w:tcMar>
            <w:vAlign w:val="bottom"/>
            <w:hideMark/>
          </w:tcPr>
          <w:p w14:paraId="0051F5C0" w14:textId="77777777" w:rsidR="00085F16" w:rsidRPr="0067685A" w:rsidRDefault="00085F16" w:rsidP="00085F16">
            <w:pPr>
              <w:spacing w:line="276" w:lineRule="auto"/>
              <w:jc w:val="center"/>
              <w:rPr>
                <w:color w:val="000000" w:themeColor="text1"/>
                <w:sz w:val="20"/>
              </w:rPr>
            </w:pPr>
            <w:r w:rsidRPr="0067685A">
              <w:rPr>
                <w:color w:val="000000" w:themeColor="text1"/>
              </w:rPr>
              <w:t>2.1</w:t>
            </w:r>
          </w:p>
        </w:tc>
        <w:tc>
          <w:tcPr>
            <w:tcW w:w="1108" w:type="pct"/>
            <w:shd w:val="clear" w:color="auto" w:fill="DEEAF6" w:themeFill="accent1" w:themeFillTint="33"/>
            <w:noWrap/>
            <w:tcMar>
              <w:top w:w="0" w:type="dxa"/>
              <w:left w:w="108" w:type="dxa"/>
              <w:bottom w:w="0" w:type="dxa"/>
              <w:right w:w="108" w:type="dxa"/>
            </w:tcMar>
            <w:vAlign w:val="bottom"/>
            <w:hideMark/>
          </w:tcPr>
          <w:p w14:paraId="634D6877" w14:textId="77777777" w:rsidR="00085F16" w:rsidRPr="0067685A" w:rsidRDefault="00085F16" w:rsidP="00085F16">
            <w:pPr>
              <w:spacing w:line="276" w:lineRule="auto"/>
              <w:jc w:val="center"/>
              <w:rPr>
                <w:color w:val="000000" w:themeColor="text1"/>
                <w:sz w:val="20"/>
              </w:rPr>
            </w:pPr>
            <w:r w:rsidRPr="0067685A">
              <w:rPr>
                <w:color w:val="000000" w:themeColor="text1"/>
              </w:rPr>
              <w:t>0.08</w:t>
            </w:r>
          </w:p>
        </w:tc>
      </w:tr>
      <w:tr w:rsidR="00085F16" w:rsidRPr="0067685A" w14:paraId="1E32316D" w14:textId="77777777" w:rsidTr="00085F16">
        <w:trPr>
          <w:trHeight w:val="20"/>
        </w:trPr>
        <w:tc>
          <w:tcPr>
            <w:tcW w:w="1046" w:type="pct"/>
            <w:shd w:val="clear" w:color="auto" w:fill="DEEAF6" w:themeFill="accent1" w:themeFillTint="33"/>
            <w:noWrap/>
            <w:tcMar>
              <w:top w:w="0" w:type="dxa"/>
              <w:left w:w="108" w:type="dxa"/>
              <w:bottom w:w="0" w:type="dxa"/>
              <w:right w:w="108" w:type="dxa"/>
            </w:tcMar>
            <w:vAlign w:val="bottom"/>
            <w:hideMark/>
          </w:tcPr>
          <w:p w14:paraId="3CFC5CB6" w14:textId="77777777" w:rsidR="00085F16" w:rsidRPr="0067685A" w:rsidRDefault="00085F16" w:rsidP="00085F16">
            <w:pPr>
              <w:spacing w:line="276" w:lineRule="auto"/>
              <w:jc w:val="center"/>
              <w:rPr>
                <w:color w:val="000000" w:themeColor="text1"/>
                <w:sz w:val="20"/>
              </w:rPr>
            </w:pPr>
            <w:r w:rsidRPr="0067685A">
              <w:rPr>
                <w:color w:val="000000" w:themeColor="text1"/>
                <w:sz w:val="20"/>
              </w:rPr>
              <w:t>2018</w:t>
            </w:r>
          </w:p>
        </w:tc>
        <w:tc>
          <w:tcPr>
            <w:tcW w:w="908" w:type="pct"/>
            <w:shd w:val="clear" w:color="auto" w:fill="DEEAF6" w:themeFill="accent1" w:themeFillTint="33"/>
            <w:noWrap/>
            <w:tcMar>
              <w:top w:w="0" w:type="dxa"/>
              <w:left w:w="108" w:type="dxa"/>
              <w:bottom w:w="0" w:type="dxa"/>
              <w:right w:w="108" w:type="dxa"/>
            </w:tcMar>
            <w:vAlign w:val="bottom"/>
            <w:hideMark/>
          </w:tcPr>
          <w:p w14:paraId="387D95D9" w14:textId="77777777" w:rsidR="00085F16" w:rsidRPr="0067685A" w:rsidRDefault="00085F16" w:rsidP="00085F16">
            <w:pPr>
              <w:spacing w:line="276" w:lineRule="auto"/>
              <w:jc w:val="center"/>
              <w:rPr>
                <w:color w:val="000000" w:themeColor="text1"/>
                <w:sz w:val="20"/>
              </w:rPr>
            </w:pPr>
            <w:r w:rsidRPr="0067685A">
              <w:rPr>
                <w:color w:val="000000" w:themeColor="text1"/>
              </w:rPr>
              <w:t>-318.6</w:t>
            </w:r>
          </w:p>
        </w:tc>
        <w:tc>
          <w:tcPr>
            <w:tcW w:w="899" w:type="pct"/>
            <w:shd w:val="clear" w:color="auto" w:fill="DEEAF6" w:themeFill="accent1" w:themeFillTint="33"/>
            <w:noWrap/>
            <w:tcMar>
              <w:top w:w="0" w:type="dxa"/>
              <w:left w:w="108" w:type="dxa"/>
              <w:bottom w:w="0" w:type="dxa"/>
              <w:right w:w="108" w:type="dxa"/>
            </w:tcMar>
            <w:vAlign w:val="bottom"/>
            <w:hideMark/>
          </w:tcPr>
          <w:p w14:paraId="44EA769B" w14:textId="77777777" w:rsidR="00085F16" w:rsidRPr="0067685A" w:rsidRDefault="00085F16" w:rsidP="00085F16">
            <w:pPr>
              <w:spacing w:line="276" w:lineRule="auto"/>
              <w:jc w:val="center"/>
              <w:rPr>
                <w:color w:val="000000" w:themeColor="text1"/>
                <w:sz w:val="20"/>
              </w:rPr>
            </w:pPr>
            <w:r w:rsidRPr="0067685A">
              <w:rPr>
                <w:color w:val="000000" w:themeColor="text1"/>
              </w:rPr>
              <w:t>-317</w:t>
            </w:r>
          </w:p>
        </w:tc>
        <w:tc>
          <w:tcPr>
            <w:tcW w:w="1038" w:type="pct"/>
            <w:shd w:val="clear" w:color="auto" w:fill="DEEAF6" w:themeFill="accent1" w:themeFillTint="33"/>
            <w:noWrap/>
            <w:tcMar>
              <w:top w:w="0" w:type="dxa"/>
              <w:left w:w="108" w:type="dxa"/>
              <w:bottom w:w="0" w:type="dxa"/>
              <w:right w:w="108" w:type="dxa"/>
            </w:tcMar>
            <w:vAlign w:val="bottom"/>
            <w:hideMark/>
          </w:tcPr>
          <w:p w14:paraId="71D4EACD" w14:textId="77777777" w:rsidR="00085F16" w:rsidRPr="0067685A" w:rsidRDefault="00085F16" w:rsidP="00085F16">
            <w:pPr>
              <w:spacing w:line="276" w:lineRule="auto"/>
              <w:jc w:val="center"/>
              <w:rPr>
                <w:color w:val="000000" w:themeColor="text1"/>
                <w:sz w:val="20"/>
              </w:rPr>
            </w:pPr>
            <w:r w:rsidRPr="0067685A">
              <w:rPr>
                <w:color w:val="000000" w:themeColor="text1"/>
              </w:rPr>
              <w:t>-1.7</w:t>
            </w:r>
          </w:p>
        </w:tc>
        <w:tc>
          <w:tcPr>
            <w:tcW w:w="1108" w:type="pct"/>
            <w:shd w:val="clear" w:color="auto" w:fill="DEEAF6" w:themeFill="accent1" w:themeFillTint="33"/>
            <w:noWrap/>
            <w:tcMar>
              <w:top w:w="0" w:type="dxa"/>
              <w:left w:w="108" w:type="dxa"/>
              <w:bottom w:w="0" w:type="dxa"/>
              <w:right w:w="108" w:type="dxa"/>
            </w:tcMar>
            <w:vAlign w:val="bottom"/>
            <w:hideMark/>
          </w:tcPr>
          <w:p w14:paraId="1040BA27" w14:textId="77777777" w:rsidR="00085F16" w:rsidRPr="0067685A" w:rsidRDefault="00085F16" w:rsidP="00085F16">
            <w:pPr>
              <w:spacing w:line="276" w:lineRule="auto"/>
              <w:jc w:val="center"/>
              <w:rPr>
                <w:color w:val="000000" w:themeColor="text1"/>
                <w:sz w:val="20"/>
              </w:rPr>
            </w:pPr>
            <w:r w:rsidRPr="0067685A">
              <w:rPr>
                <w:color w:val="000000" w:themeColor="text1"/>
              </w:rPr>
              <w:t>-0.07</w:t>
            </w:r>
          </w:p>
        </w:tc>
      </w:tr>
      <w:tr w:rsidR="00085F16" w:rsidRPr="0067685A" w14:paraId="26ED2623" w14:textId="77777777" w:rsidTr="00085F16">
        <w:trPr>
          <w:trHeight w:val="20"/>
        </w:trPr>
        <w:tc>
          <w:tcPr>
            <w:tcW w:w="1046" w:type="pct"/>
            <w:shd w:val="clear" w:color="auto" w:fill="DEEAF6" w:themeFill="accent1" w:themeFillTint="33"/>
            <w:noWrap/>
            <w:tcMar>
              <w:top w:w="0" w:type="dxa"/>
              <w:left w:w="108" w:type="dxa"/>
              <w:bottom w:w="0" w:type="dxa"/>
              <w:right w:w="108" w:type="dxa"/>
            </w:tcMar>
            <w:vAlign w:val="bottom"/>
          </w:tcPr>
          <w:p w14:paraId="069EF27A" w14:textId="77777777" w:rsidR="00085F16" w:rsidRPr="0067685A" w:rsidRDefault="00085F16" w:rsidP="00085F16">
            <w:pPr>
              <w:spacing w:line="276" w:lineRule="auto"/>
              <w:jc w:val="center"/>
              <w:rPr>
                <w:color w:val="000000" w:themeColor="text1"/>
                <w:sz w:val="20"/>
              </w:rPr>
            </w:pPr>
            <w:r w:rsidRPr="0067685A">
              <w:rPr>
                <w:color w:val="000000" w:themeColor="text1"/>
                <w:sz w:val="20"/>
              </w:rPr>
              <w:t xml:space="preserve">2019 </w:t>
            </w:r>
            <w:r>
              <w:rPr>
                <w:color w:val="000000" w:themeColor="text1"/>
                <w:sz w:val="20"/>
              </w:rPr>
              <w:t>proj</w:t>
            </w:r>
            <w:r w:rsidRPr="0067685A">
              <w:rPr>
                <w:color w:val="000000" w:themeColor="text1"/>
                <w:sz w:val="20"/>
              </w:rPr>
              <w:t>.</w:t>
            </w:r>
          </w:p>
        </w:tc>
        <w:tc>
          <w:tcPr>
            <w:tcW w:w="908" w:type="pct"/>
            <w:shd w:val="clear" w:color="auto" w:fill="DEEAF6" w:themeFill="accent1" w:themeFillTint="33"/>
            <w:noWrap/>
            <w:tcMar>
              <w:top w:w="0" w:type="dxa"/>
              <w:left w:w="108" w:type="dxa"/>
              <w:bottom w:w="0" w:type="dxa"/>
              <w:right w:w="108" w:type="dxa"/>
            </w:tcMar>
            <w:vAlign w:val="bottom"/>
          </w:tcPr>
          <w:p w14:paraId="1AC8D790" w14:textId="77777777" w:rsidR="00085F16" w:rsidRPr="0067685A" w:rsidRDefault="00085F16" w:rsidP="00085F16">
            <w:pPr>
              <w:jc w:val="center"/>
              <w:rPr>
                <w:color w:val="000000" w:themeColor="text1"/>
                <w:lang w:val="en-US"/>
              </w:rPr>
            </w:pPr>
            <w:r w:rsidRPr="0067685A">
              <w:rPr>
                <w:color w:val="000000" w:themeColor="text1"/>
              </w:rPr>
              <w:t>-429.2</w:t>
            </w:r>
          </w:p>
        </w:tc>
        <w:tc>
          <w:tcPr>
            <w:tcW w:w="899" w:type="pct"/>
            <w:shd w:val="clear" w:color="auto" w:fill="DEEAF6" w:themeFill="accent1" w:themeFillTint="33"/>
            <w:noWrap/>
            <w:tcMar>
              <w:top w:w="0" w:type="dxa"/>
              <w:left w:w="108" w:type="dxa"/>
              <w:bottom w:w="0" w:type="dxa"/>
              <w:right w:w="108" w:type="dxa"/>
            </w:tcMar>
            <w:vAlign w:val="bottom"/>
          </w:tcPr>
          <w:p w14:paraId="26026D5B" w14:textId="77777777" w:rsidR="00085F16" w:rsidRPr="0067685A" w:rsidRDefault="00085F16" w:rsidP="00085F16">
            <w:pPr>
              <w:spacing w:line="276" w:lineRule="auto"/>
              <w:jc w:val="center"/>
              <w:rPr>
                <w:color w:val="000000" w:themeColor="text1"/>
                <w:sz w:val="20"/>
              </w:rPr>
            </w:pPr>
            <w:r w:rsidRPr="0067685A">
              <w:rPr>
                <w:color w:val="000000" w:themeColor="text1"/>
              </w:rPr>
              <w:t>-423</w:t>
            </w:r>
          </w:p>
        </w:tc>
        <w:tc>
          <w:tcPr>
            <w:tcW w:w="1038" w:type="pct"/>
            <w:shd w:val="clear" w:color="auto" w:fill="DEEAF6" w:themeFill="accent1" w:themeFillTint="33"/>
            <w:noWrap/>
            <w:tcMar>
              <w:top w:w="0" w:type="dxa"/>
              <w:left w:w="108" w:type="dxa"/>
              <w:bottom w:w="0" w:type="dxa"/>
              <w:right w:w="108" w:type="dxa"/>
            </w:tcMar>
            <w:vAlign w:val="bottom"/>
          </w:tcPr>
          <w:p w14:paraId="4629FED2" w14:textId="77777777" w:rsidR="00085F16" w:rsidRPr="0067685A" w:rsidRDefault="00085F16" w:rsidP="00085F16">
            <w:pPr>
              <w:spacing w:line="276" w:lineRule="auto"/>
              <w:jc w:val="center"/>
              <w:rPr>
                <w:color w:val="000000" w:themeColor="text1"/>
                <w:sz w:val="20"/>
              </w:rPr>
            </w:pPr>
            <w:r w:rsidRPr="0067685A">
              <w:rPr>
                <w:color w:val="000000" w:themeColor="text1"/>
              </w:rPr>
              <w:t>-6.1</w:t>
            </w:r>
          </w:p>
        </w:tc>
        <w:tc>
          <w:tcPr>
            <w:tcW w:w="1108" w:type="pct"/>
            <w:shd w:val="clear" w:color="auto" w:fill="DEEAF6" w:themeFill="accent1" w:themeFillTint="33"/>
            <w:noWrap/>
            <w:tcMar>
              <w:top w:w="0" w:type="dxa"/>
              <w:left w:w="108" w:type="dxa"/>
              <w:bottom w:w="0" w:type="dxa"/>
              <w:right w:w="108" w:type="dxa"/>
            </w:tcMar>
            <w:vAlign w:val="bottom"/>
          </w:tcPr>
          <w:p w14:paraId="5421920F" w14:textId="77777777" w:rsidR="00085F16" w:rsidRPr="0067685A" w:rsidRDefault="00085F16" w:rsidP="00085F16">
            <w:pPr>
              <w:spacing w:line="276" w:lineRule="auto"/>
              <w:jc w:val="center"/>
              <w:rPr>
                <w:color w:val="000000" w:themeColor="text1"/>
                <w:sz w:val="20"/>
              </w:rPr>
            </w:pPr>
            <w:r w:rsidRPr="0067685A">
              <w:rPr>
                <w:color w:val="000000" w:themeColor="text1"/>
              </w:rPr>
              <w:t>-0.19</w:t>
            </w:r>
          </w:p>
        </w:tc>
      </w:tr>
      <w:tr w:rsidR="00085F16" w:rsidRPr="0067685A" w14:paraId="3B7A708B" w14:textId="77777777" w:rsidTr="00085F16">
        <w:trPr>
          <w:trHeight w:val="20"/>
        </w:trPr>
        <w:tc>
          <w:tcPr>
            <w:tcW w:w="1046" w:type="pct"/>
            <w:shd w:val="clear" w:color="auto" w:fill="DEEAF6" w:themeFill="accent1" w:themeFillTint="33"/>
            <w:noWrap/>
            <w:tcMar>
              <w:top w:w="0" w:type="dxa"/>
              <w:left w:w="108" w:type="dxa"/>
              <w:bottom w:w="0" w:type="dxa"/>
              <w:right w:w="108" w:type="dxa"/>
            </w:tcMar>
            <w:vAlign w:val="bottom"/>
          </w:tcPr>
          <w:p w14:paraId="72DCDAA3" w14:textId="77777777" w:rsidR="00085F16" w:rsidRPr="0067685A" w:rsidRDefault="00085F16" w:rsidP="00085F16">
            <w:pPr>
              <w:spacing w:line="276" w:lineRule="auto"/>
              <w:jc w:val="center"/>
              <w:rPr>
                <w:color w:val="000000" w:themeColor="text1"/>
                <w:sz w:val="20"/>
              </w:rPr>
            </w:pPr>
            <w:r w:rsidRPr="0067685A">
              <w:rPr>
                <w:color w:val="000000" w:themeColor="text1"/>
                <w:sz w:val="20"/>
              </w:rPr>
              <w:t xml:space="preserve">2020 </w:t>
            </w:r>
            <w:r>
              <w:rPr>
                <w:color w:val="000000" w:themeColor="text1"/>
                <w:sz w:val="20"/>
              </w:rPr>
              <w:t>proj</w:t>
            </w:r>
            <w:r w:rsidRPr="0067685A">
              <w:rPr>
                <w:color w:val="000000" w:themeColor="text1"/>
                <w:sz w:val="20"/>
              </w:rPr>
              <w:t>.</w:t>
            </w:r>
          </w:p>
        </w:tc>
        <w:tc>
          <w:tcPr>
            <w:tcW w:w="908" w:type="pct"/>
            <w:shd w:val="clear" w:color="auto" w:fill="DEEAF6" w:themeFill="accent1" w:themeFillTint="33"/>
            <w:noWrap/>
            <w:tcMar>
              <w:top w:w="0" w:type="dxa"/>
              <w:left w:w="108" w:type="dxa"/>
              <w:bottom w:w="0" w:type="dxa"/>
              <w:right w:w="108" w:type="dxa"/>
            </w:tcMar>
            <w:vAlign w:val="bottom"/>
          </w:tcPr>
          <w:p w14:paraId="1DBC9BD3" w14:textId="77777777" w:rsidR="00085F16" w:rsidRPr="0067685A" w:rsidRDefault="00085F16" w:rsidP="00085F16">
            <w:pPr>
              <w:jc w:val="center"/>
              <w:rPr>
                <w:color w:val="000000" w:themeColor="text1"/>
                <w:lang w:val="en-US"/>
              </w:rPr>
            </w:pPr>
            <w:r w:rsidRPr="0067685A">
              <w:rPr>
                <w:color w:val="000000" w:themeColor="text1"/>
              </w:rPr>
              <w:t>-419.3</w:t>
            </w:r>
          </w:p>
        </w:tc>
        <w:tc>
          <w:tcPr>
            <w:tcW w:w="899" w:type="pct"/>
            <w:shd w:val="clear" w:color="auto" w:fill="DEEAF6" w:themeFill="accent1" w:themeFillTint="33"/>
            <w:noWrap/>
            <w:tcMar>
              <w:top w:w="0" w:type="dxa"/>
              <w:left w:w="108" w:type="dxa"/>
              <w:bottom w:w="0" w:type="dxa"/>
              <w:right w:w="108" w:type="dxa"/>
            </w:tcMar>
            <w:vAlign w:val="bottom"/>
          </w:tcPr>
          <w:p w14:paraId="67B2A3D3" w14:textId="77777777" w:rsidR="00085F16" w:rsidRPr="0067685A" w:rsidRDefault="00085F16" w:rsidP="00085F16">
            <w:pPr>
              <w:spacing w:line="276" w:lineRule="auto"/>
              <w:jc w:val="center"/>
              <w:rPr>
                <w:color w:val="000000" w:themeColor="text1"/>
                <w:sz w:val="20"/>
              </w:rPr>
            </w:pPr>
            <w:r w:rsidRPr="0067685A">
              <w:rPr>
                <w:color w:val="000000" w:themeColor="text1"/>
              </w:rPr>
              <w:t>-415</w:t>
            </w:r>
          </w:p>
        </w:tc>
        <w:tc>
          <w:tcPr>
            <w:tcW w:w="1038" w:type="pct"/>
            <w:shd w:val="clear" w:color="auto" w:fill="DEEAF6" w:themeFill="accent1" w:themeFillTint="33"/>
            <w:noWrap/>
            <w:tcMar>
              <w:top w:w="0" w:type="dxa"/>
              <w:left w:w="108" w:type="dxa"/>
              <w:bottom w:w="0" w:type="dxa"/>
              <w:right w:w="108" w:type="dxa"/>
            </w:tcMar>
            <w:vAlign w:val="bottom"/>
          </w:tcPr>
          <w:p w14:paraId="4B43BC01" w14:textId="77777777" w:rsidR="00085F16" w:rsidRPr="0067685A" w:rsidRDefault="00085F16" w:rsidP="00085F16">
            <w:pPr>
              <w:spacing w:line="276" w:lineRule="auto"/>
              <w:jc w:val="center"/>
              <w:rPr>
                <w:color w:val="000000" w:themeColor="text1"/>
                <w:sz w:val="20"/>
              </w:rPr>
            </w:pPr>
            <w:r w:rsidRPr="0067685A">
              <w:rPr>
                <w:color w:val="000000" w:themeColor="text1"/>
              </w:rPr>
              <w:t>-4.3</w:t>
            </w:r>
          </w:p>
        </w:tc>
        <w:tc>
          <w:tcPr>
            <w:tcW w:w="1108" w:type="pct"/>
            <w:shd w:val="clear" w:color="auto" w:fill="DEEAF6" w:themeFill="accent1" w:themeFillTint="33"/>
            <w:noWrap/>
            <w:tcMar>
              <w:top w:w="0" w:type="dxa"/>
              <w:left w:w="108" w:type="dxa"/>
              <w:bottom w:w="0" w:type="dxa"/>
              <w:right w:w="108" w:type="dxa"/>
            </w:tcMar>
            <w:vAlign w:val="bottom"/>
          </w:tcPr>
          <w:p w14:paraId="009050DA" w14:textId="77777777" w:rsidR="00085F16" w:rsidRPr="0067685A" w:rsidRDefault="00085F16" w:rsidP="00085F16">
            <w:pPr>
              <w:spacing w:line="276" w:lineRule="auto"/>
              <w:jc w:val="center"/>
              <w:rPr>
                <w:color w:val="000000" w:themeColor="text1"/>
                <w:sz w:val="20"/>
              </w:rPr>
            </w:pPr>
            <w:r w:rsidRPr="0067685A">
              <w:rPr>
                <w:color w:val="000000" w:themeColor="text1"/>
              </w:rPr>
              <w:t>-0.13</w:t>
            </w:r>
          </w:p>
        </w:tc>
      </w:tr>
      <w:tr w:rsidR="00085F16" w:rsidRPr="0067685A" w14:paraId="7F37125B" w14:textId="77777777" w:rsidTr="00085F16">
        <w:trPr>
          <w:trHeight w:val="20"/>
        </w:trPr>
        <w:tc>
          <w:tcPr>
            <w:tcW w:w="1046" w:type="pct"/>
            <w:shd w:val="clear" w:color="auto" w:fill="DEEAF6" w:themeFill="accent1" w:themeFillTint="33"/>
            <w:noWrap/>
            <w:tcMar>
              <w:top w:w="0" w:type="dxa"/>
              <w:left w:w="108" w:type="dxa"/>
              <w:bottom w:w="0" w:type="dxa"/>
              <w:right w:w="108" w:type="dxa"/>
            </w:tcMar>
            <w:vAlign w:val="bottom"/>
          </w:tcPr>
          <w:p w14:paraId="633C6AEC" w14:textId="77777777" w:rsidR="00085F16" w:rsidRPr="0067685A" w:rsidRDefault="00085F16" w:rsidP="00085F16">
            <w:pPr>
              <w:spacing w:line="276" w:lineRule="auto"/>
              <w:jc w:val="center"/>
              <w:rPr>
                <w:color w:val="000000" w:themeColor="text1"/>
                <w:sz w:val="20"/>
              </w:rPr>
            </w:pPr>
            <w:r w:rsidRPr="0067685A">
              <w:rPr>
                <w:color w:val="000000" w:themeColor="text1"/>
                <w:sz w:val="20"/>
              </w:rPr>
              <w:t xml:space="preserve">2021 </w:t>
            </w:r>
            <w:r>
              <w:rPr>
                <w:color w:val="000000" w:themeColor="text1"/>
                <w:sz w:val="20"/>
              </w:rPr>
              <w:t>proj</w:t>
            </w:r>
            <w:r w:rsidRPr="0067685A">
              <w:rPr>
                <w:color w:val="000000" w:themeColor="text1"/>
                <w:sz w:val="20"/>
              </w:rPr>
              <w:t>.</w:t>
            </w:r>
          </w:p>
        </w:tc>
        <w:tc>
          <w:tcPr>
            <w:tcW w:w="908" w:type="pct"/>
            <w:shd w:val="clear" w:color="auto" w:fill="DEEAF6" w:themeFill="accent1" w:themeFillTint="33"/>
            <w:noWrap/>
            <w:tcMar>
              <w:top w:w="0" w:type="dxa"/>
              <w:left w:w="108" w:type="dxa"/>
              <w:bottom w:w="0" w:type="dxa"/>
              <w:right w:w="108" w:type="dxa"/>
            </w:tcMar>
            <w:vAlign w:val="bottom"/>
          </w:tcPr>
          <w:p w14:paraId="1FDED0A7" w14:textId="77777777" w:rsidR="00085F16" w:rsidRPr="0067685A" w:rsidRDefault="00085F16" w:rsidP="00085F16">
            <w:pPr>
              <w:jc w:val="center"/>
              <w:rPr>
                <w:color w:val="000000" w:themeColor="text1"/>
                <w:lang w:val="en-US"/>
              </w:rPr>
            </w:pPr>
            <w:r w:rsidRPr="0067685A">
              <w:rPr>
                <w:color w:val="000000" w:themeColor="text1"/>
              </w:rPr>
              <w:t>-420.3</w:t>
            </w:r>
          </w:p>
        </w:tc>
        <w:tc>
          <w:tcPr>
            <w:tcW w:w="899" w:type="pct"/>
            <w:shd w:val="clear" w:color="auto" w:fill="DEEAF6" w:themeFill="accent1" w:themeFillTint="33"/>
            <w:noWrap/>
            <w:tcMar>
              <w:top w:w="0" w:type="dxa"/>
              <w:left w:w="108" w:type="dxa"/>
              <w:bottom w:w="0" w:type="dxa"/>
              <w:right w:w="108" w:type="dxa"/>
            </w:tcMar>
            <w:vAlign w:val="bottom"/>
          </w:tcPr>
          <w:p w14:paraId="41F7663E" w14:textId="77777777" w:rsidR="00085F16" w:rsidRPr="0067685A" w:rsidRDefault="00085F16" w:rsidP="00085F16">
            <w:pPr>
              <w:spacing w:line="276" w:lineRule="auto"/>
              <w:jc w:val="center"/>
              <w:rPr>
                <w:color w:val="000000" w:themeColor="text1"/>
                <w:sz w:val="20"/>
              </w:rPr>
            </w:pPr>
            <w:r w:rsidRPr="0067685A">
              <w:rPr>
                <w:color w:val="000000" w:themeColor="text1"/>
              </w:rPr>
              <w:t>-422</w:t>
            </w:r>
          </w:p>
        </w:tc>
        <w:tc>
          <w:tcPr>
            <w:tcW w:w="1038" w:type="pct"/>
            <w:shd w:val="clear" w:color="auto" w:fill="DEEAF6" w:themeFill="accent1" w:themeFillTint="33"/>
            <w:noWrap/>
            <w:tcMar>
              <w:top w:w="0" w:type="dxa"/>
              <w:left w:w="108" w:type="dxa"/>
              <w:bottom w:w="0" w:type="dxa"/>
              <w:right w:w="108" w:type="dxa"/>
            </w:tcMar>
            <w:vAlign w:val="bottom"/>
          </w:tcPr>
          <w:p w14:paraId="4B1A2E9E" w14:textId="77777777" w:rsidR="00085F16" w:rsidRPr="0067685A" w:rsidRDefault="00085F16" w:rsidP="00085F16">
            <w:pPr>
              <w:spacing w:line="276" w:lineRule="auto"/>
              <w:jc w:val="center"/>
              <w:rPr>
                <w:color w:val="000000" w:themeColor="text1"/>
                <w:sz w:val="20"/>
              </w:rPr>
            </w:pPr>
            <w:r w:rsidRPr="0067685A">
              <w:rPr>
                <w:color w:val="000000" w:themeColor="text1"/>
              </w:rPr>
              <w:t>2.1</w:t>
            </w:r>
          </w:p>
        </w:tc>
        <w:tc>
          <w:tcPr>
            <w:tcW w:w="1108" w:type="pct"/>
            <w:shd w:val="clear" w:color="auto" w:fill="DEEAF6" w:themeFill="accent1" w:themeFillTint="33"/>
            <w:noWrap/>
            <w:tcMar>
              <w:top w:w="0" w:type="dxa"/>
              <w:left w:w="108" w:type="dxa"/>
              <w:bottom w:w="0" w:type="dxa"/>
              <w:right w:w="108" w:type="dxa"/>
            </w:tcMar>
            <w:vAlign w:val="bottom"/>
          </w:tcPr>
          <w:p w14:paraId="467B31EC" w14:textId="77777777" w:rsidR="00085F16" w:rsidRPr="0067685A" w:rsidRDefault="00085F16" w:rsidP="00085F16">
            <w:pPr>
              <w:spacing w:line="276" w:lineRule="auto"/>
              <w:jc w:val="center"/>
              <w:rPr>
                <w:color w:val="000000" w:themeColor="text1"/>
                <w:sz w:val="20"/>
              </w:rPr>
            </w:pPr>
            <w:r w:rsidRPr="0067685A">
              <w:rPr>
                <w:color w:val="000000" w:themeColor="text1"/>
              </w:rPr>
              <w:t>0.06</w:t>
            </w:r>
          </w:p>
        </w:tc>
      </w:tr>
      <w:tr w:rsidR="00085F16" w:rsidRPr="0067685A" w14:paraId="57C105F6" w14:textId="77777777" w:rsidTr="00085F16">
        <w:trPr>
          <w:trHeight w:val="20"/>
        </w:trPr>
        <w:tc>
          <w:tcPr>
            <w:tcW w:w="1046" w:type="pct"/>
            <w:shd w:val="clear" w:color="auto" w:fill="DEEAF6" w:themeFill="accent1" w:themeFillTint="33"/>
            <w:noWrap/>
            <w:tcMar>
              <w:top w:w="0" w:type="dxa"/>
              <w:left w:w="108" w:type="dxa"/>
              <w:bottom w:w="0" w:type="dxa"/>
              <w:right w:w="108" w:type="dxa"/>
            </w:tcMar>
            <w:vAlign w:val="bottom"/>
          </w:tcPr>
          <w:p w14:paraId="7EC83546" w14:textId="77777777" w:rsidR="00085F16" w:rsidRPr="0067685A" w:rsidRDefault="00085F16" w:rsidP="00085F16">
            <w:pPr>
              <w:spacing w:line="276" w:lineRule="auto"/>
              <w:jc w:val="center"/>
              <w:rPr>
                <w:color w:val="000000" w:themeColor="text1"/>
                <w:sz w:val="20"/>
              </w:rPr>
            </w:pPr>
            <w:r w:rsidRPr="0067685A">
              <w:rPr>
                <w:color w:val="000000" w:themeColor="text1"/>
                <w:sz w:val="20"/>
              </w:rPr>
              <w:t xml:space="preserve">2022 </w:t>
            </w:r>
            <w:r>
              <w:rPr>
                <w:color w:val="000000" w:themeColor="text1"/>
                <w:sz w:val="20"/>
              </w:rPr>
              <w:t>proj</w:t>
            </w:r>
            <w:r w:rsidRPr="0067685A">
              <w:rPr>
                <w:color w:val="000000" w:themeColor="text1"/>
                <w:sz w:val="20"/>
              </w:rPr>
              <w:t>.</w:t>
            </w:r>
          </w:p>
        </w:tc>
        <w:tc>
          <w:tcPr>
            <w:tcW w:w="908" w:type="pct"/>
            <w:shd w:val="clear" w:color="auto" w:fill="DEEAF6" w:themeFill="accent1" w:themeFillTint="33"/>
            <w:noWrap/>
            <w:tcMar>
              <w:top w:w="0" w:type="dxa"/>
              <w:left w:w="108" w:type="dxa"/>
              <w:bottom w:w="0" w:type="dxa"/>
              <w:right w:w="108" w:type="dxa"/>
            </w:tcMar>
            <w:vAlign w:val="bottom"/>
          </w:tcPr>
          <w:p w14:paraId="61B0C752" w14:textId="77777777" w:rsidR="00085F16" w:rsidRPr="0067685A" w:rsidRDefault="00085F16" w:rsidP="00085F16">
            <w:pPr>
              <w:jc w:val="center"/>
              <w:rPr>
                <w:color w:val="000000" w:themeColor="text1"/>
                <w:lang w:val="en-US"/>
              </w:rPr>
            </w:pPr>
            <w:r w:rsidRPr="0067685A">
              <w:rPr>
                <w:color w:val="000000" w:themeColor="text1"/>
              </w:rPr>
              <w:t>-376.2</w:t>
            </w:r>
          </w:p>
        </w:tc>
        <w:tc>
          <w:tcPr>
            <w:tcW w:w="899" w:type="pct"/>
            <w:shd w:val="clear" w:color="auto" w:fill="DEEAF6" w:themeFill="accent1" w:themeFillTint="33"/>
            <w:noWrap/>
            <w:tcMar>
              <w:top w:w="0" w:type="dxa"/>
              <w:left w:w="108" w:type="dxa"/>
              <w:bottom w:w="0" w:type="dxa"/>
              <w:right w:w="108" w:type="dxa"/>
            </w:tcMar>
            <w:vAlign w:val="bottom"/>
          </w:tcPr>
          <w:p w14:paraId="55DB8F98" w14:textId="77777777" w:rsidR="00085F16" w:rsidRPr="0067685A" w:rsidRDefault="00085F16" w:rsidP="00085F16">
            <w:pPr>
              <w:spacing w:line="276" w:lineRule="auto"/>
              <w:jc w:val="center"/>
              <w:rPr>
                <w:color w:val="000000" w:themeColor="text1"/>
                <w:sz w:val="20"/>
              </w:rPr>
            </w:pPr>
            <w:r w:rsidRPr="0067685A">
              <w:rPr>
                <w:color w:val="000000" w:themeColor="text1"/>
              </w:rPr>
              <w:t>-391</w:t>
            </w:r>
          </w:p>
        </w:tc>
        <w:tc>
          <w:tcPr>
            <w:tcW w:w="1038" w:type="pct"/>
            <w:shd w:val="clear" w:color="auto" w:fill="DEEAF6" w:themeFill="accent1" w:themeFillTint="33"/>
            <w:noWrap/>
            <w:tcMar>
              <w:top w:w="0" w:type="dxa"/>
              <w:left w:w="108" w:type="dxa"/>
              <w:bottom w:w="0" w:type="dxa"/>
              <w:right w:w="108" w:type="dxa"/>
            </w:tcMar>
            <w:vAlign w:val="bottom"/>
          </w:tcPr>
          <w:p w14:paraId="6320AF41" w14:textId="77777777" w:rsidR="00085F16" w:rsidRPr="0067685A" w:rsidRDefault="00085F16" w:rsidP="00085F16">
            <w:pPr>
              <w:spacing w:line="276" w:lineRule="auto"/>
              <w:jc w:val="center"/>
              <w:rPr>
                <w:color w:val="000000" w:themeColor="text1"/>
                <w:sz w:val="20"/>
              </w:rPr>
            </w:pPr>
            <w:r w:rsidRPr="0067685A">
              <w:rPr>
                <w:color w:val="000000" w:themeColor="text1"/>
              </w:rPr>
              <w:t>15.0</w:t>
            </w:r>
          </w:p>
        </w:tc>
        <w:tc>
          <w:tcPr>
            <w:tcW w:w="1108" w:type="pct"/>
            <w:shd w:val="clear" w:color="auto" w:fill="DEEAF6" w:themeFill="accent1" w:themeFillTint="33"/>
            <w:noWrap/>
            <w:tcMar>
              <w:top w:w="0" w:type="dxa"/>
              <w:left w:w="108" w:type="dxa"/>
              <w:bottom w:w="0" w:type="dxa"/>
              <w:right w:w="108" w:type="dxa"/>
            </w:tcMar>
            <w:vAlign w:val="bottom"/>
          </w:tcPr>
          <w:p w14:paraId="77F0462C" w14:textId="77777777" w:rsidR="00085F16" w:rsidRPr="0067685A" w:rsidRDefault="00085F16" w:rsidP="00085F16">
            <w:pPr>
              <w:spacing w:line="276" w:lineRule="auto"/>
              <w:jc w:val="center"/>
              <w:rPr>
                <w:color w:val="000000" w:themeColor="text1"/>
                <w:sz w:val="20"/>
              </w:rPr>
            </w:pPr>
            <w:r w:rsidRPr="0067685A">
              <w:rPr>
                <w:color w:val="000000" w:themeColor="text1"/>
              </w:rPr>
              <w:t>0.42</w:t>
            </w:r>
          </w:p>
        </w:tc>
      </w:tr>
    </w:tbl>
    <w:p w14:paraId="230E9180" w14:textId="77777777" w:rsidR="00085F16" w:rsidRPr="0067685A" w:rsidRDefault="00085F16" w:rsidP="00085F16">
      <w:pPr>
        <w:spacing w:line="276" w:lineRule="auto"/>
        <w:rPr>
          <w:color w:val="FF0000"/>
        </w:rPr>
      </w:pPr>
    </w:p>
    <w:p w14:paraId="00F09AE5" w14:textId="77777777" w:rsidR="00085F16" w:rsidRPr="00FC648F" w:rsidRDefault="00085F16" w:rsidP="00802FB3">
      <w:pPr>
        <w:pStyle w:val="ERPL20"/>
        <w:numPr>
          <w:ilvl w:val="1"/>
          <w:numId w:val="97"/>
        </w:numPr>
        <w:rPr>
          <w:rFonts w:ascii="Times New Roman" w:hAnsi="Times New Roman"/>
          <w:lang w:val="sq-AL"/>
        </w:rPr>
      </w:pPr>
      <w:bookmarkStart w:id="166" w:name="_Toc25873738"/>
      <w:r w:rsidRPr="00FC648F">
        <w:rPr>
          <w:rFonts w:ascii="Times New Roman" w:hAnsi="Times New Roman"/>
          <w:lang w:val="sq-AL"/>
        </w:rPr>
        <w:t>Nivelet dhe zhvillimet e borxhit, analiza e operacioneve të mëposhtme dhe rregullimet e flukseve të stoqeve</w:t>
      </w:r>
      <w:bookmarkEnd w:id="166"/>
      <w:r w:rsidRPr="00FC648F">
        <w:rPr>
          <w:rFonts w:ascii="Times New Roman" w:hAnsi="Times New Roman"/>
          <w:lang w:val="sq-AL"/>
        </w:rPr>
        <w:t xml:space="preserve"> </w:t>
      </w:r>
    </w:p>
    <w:p w14:paraId="2972E9EE" w14:textId="77777777" w:rsidR="00085F16" w:rsidRDefault="00085F16" w:rsidP="00085F16">
      <w:pPr>
        <w:pStyle w:val="Default"/>
        <w:spacing w:before="240" w:after="120" w:line="276" w:lineRule="auto"/>
        <w:jc w:val="both"/>
        <w:rPr>
          <w:color w:val="000000" w:themeColor="text1"/>
        </w:rPr>
      </w:pPr>
      <w:r w:rsidRPr="0067685A">
        <w:rPr>
          <w:color w:val="000000" w:themeColor="text1"/>
        </w:rPr>
        <w:t>Kosovo has adopted a prudent legal frame</w:t>
      </w:r>
      <w:r>
        <w:rPr>
          <w:color w:val="000000" w:themeColor="text1"/>
        </w:rPr>
        <w:t>ë</w:t>
      </w:r>
      <w:r w:rsidRPr="0067685A">
        <w:rPr>
          <w:color w:val="000000" w:themeColor="text1"/>
        </w:rPr>
        <w:t>ork to prevent unsustainable debt practices. The La</w:t>
      </w:r>
      <w:r>
        <w:rPr>
          <w:color w:val="000000" w:themeColor="text1"/>
        </w:rPr>
        <w:t>ë</w:t>
      </w:r>
      <w:r w:rsidRPr="0067685A">
        <w:rPr>
          <w:color w:val="000000" w:themeColor="text1"/>
        </w:rPr>
        <w:t xml:space="preserve"> on Public Debt Nr. 03/L- 715, gives the Minister of Finance exclusive authorization to incur debt and negotiate conditions of international debt on behalf of Kosovo. Under the Constitution, every international agreement has to be ratified by a t</w:t>
      </w:r>
      <w:r>
        <w:rPr>
          <w:color w:val="000000" w:themeColor="text1"/>
        </w:rPr>
        <w:t>ë</w:t>
      </w:r>
      <w:r w:rsidRPr="0067685A">
        <w:rPr>
          <w:color w:val="000000" w:themeColor="text1"/>
        </w:rPr>
        <w:t>o-thirds majority in Parliament.</w:t>
      </w:r>
    </w:p>
    <w:p w14:paraId="388525C8" w14:textId="77777777" w:rsidR="00085F16" w:rsidRPr="00FB7C44" w:rsidRDefault="00085F16" w:rsidP="00085F16">
      <w:pPr>
        <w:pStyle w:val="Default"/>
        <w:spacing w:line="276" w:lineRule="auto"/>
        <w:jc w:val="both"/>
        <w:rPr>
          <w:lang w:val="sq-AL"/>
        </w:rPr>
      </w:pPr>
      <w:r w:rsidRPr="00FB7C44">
        <w:rPr>
          <w:lang w:val="sq-AL"/>
        </w:rPr>
        <w:t xml:space="preserve">Kosova ka adaptuar një kornizë mjaft të matur ligjore me qëllim të parandalimit të praktikave të paqëndrueshme të borxhit. </w:t>
      </w:r>
      <w:r w:rsidRPr="00FB7C44">
        <w:rPr>
          <w:i/>
          <w:lang w:val="sq-AL"/>
        </w:rPr>
        <w:t>Ligji Nr.03/L-175 për Borxhet Publike</w:t>
      </w:r>
      <w:r w:rsidRPr="00FB7C44">
        <w:rPr>
          <w:lang w:val="sq-AL"/>
        </w:rPr>
        <w:t xml:space="preserve"> i jep Ministrit të Financave të drejtën ekskluzive për të hyrë në hua dhe për të negociuar kushtet e borxhit ndërkombëtar në emër të Republikës së Kosovës. Sipas Kushtetutës, të gjitha marrëveshjet ndërkombëtare duhet të ratifikohen në Kuvend nga një shumicë prej dy të tretat e votave. </w:t>
      </w:r>
    </w:p>
    <w:p w14:paraId="1A1E9EA9" w14:textId="77777777" w:rsidR="00085F16" w:rsidRPr="00FB7C44" w:rsidRDefault="00085F16" w:rsidP="00085F16">
      <w:pPr>
        <w:pStyle w:val="Default"/>
        <w:spacing w:line="276" w:lineRule="auto"/>
        <w:jc w:val="both"/>
        <w:rPr>
          <w:lang w:val="sq-AL"/>
        </w:rPr>
      </w:pPr>
      <w:r w:rsidRPr="00FB7C44">
        <w:rPr>
          <w:lang w:val="sq-AL"/>
        </w:rPr>
        <w:t xml:space="preserve">Ligji për Borxhin Publik përfshin dispozita që sigurojnë stabilitet fiskal, përfshirë tavanin e borxhit publik prej 40 përqind të BPV-së si dhe kufizime të caktuara në huamarrjen komunale. Për qëllime të kalkulimit të indikatorit Borxhi Publik ndaj BPV-së, garancitë shtetërore llogariten si borxh shtetëror. Ligji për Borxhin Publik obligon raportim të rregullt në Kuvend (neni 15) përmes përgatitjes së Programit të Borxhit Shtetëror, i cili përfshin strategjinë afatmesme të borxhit që duhet të dorëzohet për miratim në Qeveri dhe për informim në Kuvend. </w:t>
      </w:r>
    </w:p>
    <w:p w14:paraId="23B966BA" w14:textId="77777777" w:rsidR="00085F16" w:rsidRPr="00FB7C44" w:rsidRDefault="00085F16" w:rsidP="00085F16">
      <w:pPr>
        <w:pStyle w:val="Default"/>
        <w:spacing w:line="276" w:lineRule="auto"/>
        <w:jc w:val="both"/>
        <w:rPr>
          <w:lang w:val="sq-AL"/>
        </w:rPr>
      </w:pPr>
    </w:p>
    <w:p w14:paraId="1AA6C34A" w14:textId="77777777" w:rsidR="00085F16" w:rsidRPr="00FB7C44" w:rsidRDefault="00085F16" w:rsidP="00085F16">
      <w:pPr>
        <w:pStyle w:val="Default"/>
        <w:spacing w:line="276" w:lineRule="auto"/>
        <w:jc w:val="both"/>
        <w:rPr>
          <w:lang w:val="sq-AL"/>
        </w:rPr>
      </w:pPr>
      <w:r w:rsidRPr="00FB7C44">
        <w:rPr>
          <w:lang w:val="sq-AL"/>
        </w:rPr>
        <w:t xml:space="preserve">Sa i përketë kufizimeve të tjera për Borxhin Publik, në këtë drejtim është bërë një amendament dhe është shtuar në </w:t>
      </w:r>
      <w:r w:rsidRPr="00FB7C44">
        <w:rPr>
          <w:i/>
          <w:lang w:val="sq-AL"/>
        </w:rPr>
        <w:t>Ligjin për Menaxhimin e Financave Publike dhe Përgjegjësitë (LMFPP)</w:t>
      </w:r>
      <w:r w:rsidRPr="00FB7C44">
        <w:rPr>
          <w:lang w:val="sq-AL"/>
        </w:rPr>
        <w:t xml:space="preserve">, i cili kufizon deficitin vjetor të buxhetit jo më shumë se 2% të BPV-së së parashikuar. Një tjetër ndryshim i LMFPP-së është shtuar në vitin 2015, i cili lejon qeverinë të kontraktojë borxhin që tejkalon rregullin fiskal prej 2%, vetëm nëse financimi ofrohet nga institucionet financiare ndërkombëtare dhe dedikohet për projekte kapitale. </w:t>
      </w:r>
    </w:p>
    <w:p w14:paraId="0A9EBFEF" w14:textId="77777777" w:rsidR="00085F16" w:rsidRPr="00FB7C44" w:rsidRDefault="00085F16" w:rsidP="00085F16">
      <w:pPr>
        <w:pStyle w:val="Default"/>
        <w:spacing w:before="240" w:line="276" w:lineRule="auto"/>
        <w:jc w:val="both"/>
        <w:rPr>
          <w:lang w:val="sq-AL"/>
        </w:rPr>
      </w:pPr>
      <w:r w:rsidRPr="00FB7C44">
        <w:rPr>
          <w:lang w:val="sq-AL"/>
        </w:rPr>
        <w:t xml:space="preserve">Ministria e Financave ka nxjerrë rregullore për borxhin ndërkombëtar dhe borxhin e brendshëm që i kontribuojnë menaxhimit më efikas të borxhit publik. Bazuar në Rregulloren për Emetimin dhe Administrimin e Borxheve Shtetërore, Garancive Shtetërore dhe Borxheve Komunale huat ndërkombëtare negociohen nga një ekip zyrtar që përbëhet nga anëtarë të departamenteve të ndryshme: Divizioni për Menaxhimin e Borxhit (DMB), Departamenti Ligjor, Kabineti i Ministrit, Departamenti i Politikave </w:t>
      </w:r>
      <w:r>
        <w:rPr>
          <w:lang w:val="sq-AL"/>
        </w:rPr>
        <w:t>Makroekonomike dhe Bashkëpunim</w:t>
      </w:r>
      <w:r w:rsidRPr="00FB7C44">
        <w:rPr>
          <w:lang w:val="sq-AL"/>
        </w:rPr>
        <w:t xml:space="preserve"> Ndërkombëtar</w:t>
      </w:r>
      <w:r w:rsidRPr="00E454B2">
        <w:rPr>
          <w:lang w:val="sq-AL"/>
        </w:rPr>
        <w:t xml:space="preserve"> </w:t>
      </w:r>
      <w:r w:rsidRPr="00FB7C44">
        <w:rPr>
          <w:lang w:val="sq-AL"/>
        </w:rPr>
        <w:t xml:space="preserve">Financiar, Departamenti i Buxhetit dhe Organizatat përkatëse buxhetore. Emetimi i Letrave me Vlerë të Qeverisë (borxhi i brendshëm) autorizohet me Ligjin për Borxhet Publike dhe është i rregulluar me </w:t>
      </w:r>
      <w:r w:rsidRPr="00FB7C44">
        <w:rPr>
          <w:i/>
          <w:lang w:val="sq-AL"/>
        </w:rPr>
        <w:t>Rregulloren MF-BQK Nr. 01-2014 për Tregun Primar dhe Sekondar të Letrave me Vlerë të Qeverisë</w:t>
      </w:r>
      <w:r w:rsidRPr="00FB7C44">
        <w:rPr>
          <w:lang w:val="sq-AL"/>
        </w:rPr>
        <w:t>. Praktikat e deritanishme të menaxhimit të borxhit shtetëror janë në përputhje të plotë me kërkesat që dalin nga legjislacioni primar dhe sekondar.</w:t>
      </w:r>
    </w:p>
    <w:p w14:paraId="0735E355" w14:textId="77777777" w:rsidR="00085F16" w:rsidRPr="00FB7C44" w:rsidRDefault="00085F16" w:rsidP="00085F16">
      <w:pPr>
        <w:pStyle w:val="Default"/>
        <w:spacing w:before="240" w:line="276" w:lineRule="auto"/>
        <w:jc w:val="both"/>
        <w:rPr>
          <w:lang w:val="sq-AL"/>
        </w:rPr>
      </w:pPr>
      <w:r w:rsidRPr="00FB7C44">
        <w:rPr>
          <w:lang w:val="sq-AL"/>
        </w:rPr>
        <w:t>Me qëllim të avancimit dhe përshtatjes së infrastrukturës ligjore me standardet e Bashkimit Evropian dhe praktikat më të mira ndërkombëtare, gjatë vitit 2018 legjislacioni primar dhe sekondar i është nënshtruar procesit të rishikimit, proces ky i paraparë të përfundojë në gjysmen e pare te vitit 2020.</w:t>
      </w:r>
    </w:p>
    <w:p w14:paraId="395EED80" w14:textId="77777777" w:rsidR="00085F16" w:rsidRDefault="00085F16" w:rsidP="00085F16">
      <w:pPr>
        <w:spacing w:before="240" w:after="240"/>
        <w:jc w:val="both"/>
      </w:pPr>
      <w:r w:rsidRPr="00FB7C44">
        <w:t>Në tabelën e mëposhtme janë paraqitur shifrat e borxhit për llojin e borxhit së ba</w:t>
      </w:r>
      <w:r>
        <w:t>shku me raportin e Borxhit/BPV.</w:t>
      </w:r>
    </w:p>
    <w:p w14:paraId="09CA1521" w14:textId="77777777" w:rsidR="00085F16" w:rsidRPr="00FC648F" w:rsidRDefault="00085F16" w:rsidP="00085F16">
      <w:pPr>
        <w:pStyle w:val="Caption"/>
        <w:keepNext/>
        <w:spacing w:after="0"/>
        <w:rPr>
          <w:rFonts w:ascii="Times New Roman" w:hAnsi="Times New Roman"/>
          <w:b/>
          <w:i w:val="0"/>
          <w:color w:val="auto"/>
          <w:lang w:val="sq-AL"/>
        </w:rPr>
      </w:pPr>
      <w:bookmarkStart w:id="167" w:name="_Toc25673451"/>
      <w:r w:rsidRPr="00FC648F">
        <w:rPr>
          <w:rFonts w:ascii="Times New Roman" w:hAnsi="Times New Roman"/>
          <w:b/>
          <w:i w:val="0"/>
          <w:color w:val="auto"/>
          <w:lang w:val="sq-AL"/>
        </w:rPr>
        <w:t xml:space="preserve">Tabela </w:t>
      </w:r>
      <w:r w:rsidRPr="00A74C67">
        <w:rPr>
          <w:rFonts w:ascii="Times New Roman" w:hAnsi="Times New Roman"/>
          <w:b/>
          <w:i w:val="0"/>
          <w:color w:val="auto"/>
        </w:rPr>
        <w:fldChar w:fldCharType="begin"/>
      </w:r>
      <w:r w:rsidRPr="00FC648F">
        <w:rPr>
          <w:rFonts w:ascii="Times New Roman" w:hAnsi="Times New Roman"/>
          <w:b/>
          <w:i w:val="0"/>
          <w:color w:val="auto"/>
          <w:lang w:val="sq-AL"/>
        </w:rPr>
        <w:instrText xml:space="preserve"> SEQ Tabela \* ARABIC </w:instrText>
      </w:r>
      <w:r w:rsidRPr="00A74C67">
        <w:rPr>
          <w:rFonts w:ascii="Times New Roman" w:hAnsi="Times New Roman"/>
          <w:b/>
          <w:i w:val="0"/>
          <w:color w:val="auto"/>
        </w:rPr>
        <w:fldChar w:fldCharType="separate"/>
      </w:r>
      <w:r w:rsidRPr="00FC648F">
        <w:rPr>
          <w:rFonts w:ascii="Times New Roman" w:hAnsi="Times New Roman"/>
          <w:b/>
          <w:i w:val="0"/>
          <w:noProof/>
          <w:color w:val="auto"/>
          <w:lang w:val="sq-AL"/>
        </w:rPr>
        <w:t>13</w:t>
      </w:r>
      <w:r w:rsidRPr="00A74C67">
        <w:rPr>
          <w:rFonts w:ascii="Times New Roman" w:hAnsi="Times New Roman"/>
          <w:b/>
          <w:i w:val="0"/>
          <w:color w:val="auto"/>
        </w:rPr>
        <w:fldChar w:fldCharType="end"/>
      </w:r>
      <w:r w:rsidRPr="00FC648F">
        <w:rPr>
          <w:rFonts w:ascii="Times New Roman" w:hAnsi="Times New Roman"/>
          <w:b/>
          <w:i w:val="0"/>
          <w:color w:val="auto"/>
          <w:lang w:val="sq-AL"/>
        </w:rPr>
        <w:t xml:space="preserve"> Borxhi i përgjithshëm (në milionë Euro)</w:t>
      </w:r>
      <w:bookmarkEnd w:id="167"/>
    </w:p>
    <w:tbl>
      <w:tblPr>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1" w:themeFillTint="33"/>
        <w:tblLook w:val="04A0" w:firstRow="1" w:lastRow="0" w:firstColumn="1" w:lastColumn="0" w:noHBand="0" w:noVBand="1"/>
      </w:tblPr>
      <w:tblGrid>
        <w:gridCol w:w="1304"/>
        <w:gridCol w:w="801"/>
        <w:gridCol w:w="906"/>
        <w:gridCol w:w="906"/>
        <w:gridCol w:w="838"/>
        <w:gridCol w:w="937"/>
        <w:gridCol w:w="840"/>
        <w:gridCol w:w="840"/>
        <w:gridCol w:w="840"/>
        <w:gridCol w:w="840"/>
      </w:tblGrid>
      <w:tr w:rsidR="00085F16" w:rsidRPr="00FB7C44" w14:paraId="7F80235B" w14:textId="77777777" w:rsidTr="00085F16">
        <w:trPr>
          <w:trHeight w:val="523"/>
          <w:jc w:val="center"/>
        </w:trPr>
        <w:tc>
          <w:tcPr>
            <w:tcW w:w="1304" w:type="dxa"/>
            <w:shd w:val="clear" w:color="auto" w:fill="DEEAF6" w:themeFill="accent1" w:themeFillTint="33"/>
            <w:noWrap/>
            <w:vAlign w:val="center"/>
            <w:hideMark/>
          </w:tcPr>
          <w:p w14:paraId="28994D5C" w14:textId="77777777" w:rsidR="00085F16" w:rsidRPr="00FB7C44" w:rsidRDefault="00085F16" w:rsidP="00085F16">
            <w:pPr>
              <w:jc w:val="center"/>
              <w:rPr>
                <w:b/>
                <w:bCs/>
                <w:sz w:val="18"/>
              </w:rPr>
            </w:pPr>
            <w:r w:rsidRPr="00FB7C44">
              <w:rPr>
                <w:b/>
                <w:bCs/>
                <w:sz w:val="18"/>
              </w:rPr>
              <w:t>Përshkrimi</w:t>
            </w:r>
          </w:p>
        </w:tc>
        <w:tc>
          <w:tcPr>
            <w:tcW w:w="801" w:type="dxa"/>
            <w:shd w:val="clear" w:color="auto" w:fill="DEEAF6" w:themeFill="accent1" w:themeFillTint="33"/>
            <w:noWrap/>
            <w:vAlign w:val="center"/>
            <w:hideMark/>
          </w:tcPr>
          <w:p w14:paraId="1C398902" w14:textId="77777777" w:rsidR="00085F16" w:rsidRPr="00FB7C44" w:rsidRDefault="00085F16" w:rsidP="00085F16">
            <w:pPr>
              <w:jc w:val="center"/>
              <w:rPr>
                <w:b/>
                <w:bCs/>
                <w:sz w:val="18"/>
              </w:rPr>
            </w:pPr>
            <w:r w:rsidRPr="00FB7C44">
              <w:rPr>
                <w:b/>
                <w:bCs/>
                <w:sz w:val="18"/>
              </w:rPr>
              <w:t>2014</w:t>
            </w:r>
          </w:p>
        </w:tc>
        <w:tc>
          <w:tcPr>
            <w:tcW w:w="906" w:type="dxa"/>
            <w:shd w:val="clear" w:color="auto" w:fill="DEEAF6" w:themeFill="accent1" w:themeFillTint="33"/>
            <w:noWrap/>
            <w:vAlign w:val="center"/>
            <w:hideMark/>
          </w:tcPr>
          <w:p w14:paraId="6649C93F" w14:textId="77777777" w:rsidR="00085F16" w:rsidRPr="00FB7C44" w:rsidRDefault="00085F16" w:rsidP="00085F16">
            <w:pPr>
              <w:jc w:val="center"/>
              <w:rPr>
                <w:b/>
                <w:bCs/>
                <w:sz w:val="18"/>
              </w:rPr>
            </w:pPr>
            <w:r w:rsidRPr="00FB7C44">
              <w:rPr>
                <w:b/>
                <w:bCs/>
                <w:sz w:val="18"/>
              </w:rPr>
              <w:t>2015</w:t>
            </w:r>
          </w:p>
        </w:tc>
        <w:tc>
          <w:tcPr>
            <w:tcW w:w="906" w:type="dxa"/>
            <w:shd w:val="clear" w:color="auto" w:fill="DEEAF6" w:themeFill="accent1" w:themeFillTint="33"/>
            <w:noWrap/>
            <w:vAlign w:val="center"/>
            <w:hideMark/>
          </w:tcPr>
          <w:p w14:paraId="37BA6694" w14:textId="77777777" w:rsidR="00085F16" w:rsidRPr="00FB7C44" w:rsidRDefault="00085F16" w:rsidP="00085F16">
            <w:pPr>
              <w:jc w:val="center"/>
              <w:rPr>
                <w:b/>
                <w:bCs/>
                <w:sz w:val="18"/>
              </w:rPr>
            </w:pPr>
            <w:r w:rsidRPr="00FB7C44">
              <w:rPr>
                <w:b/>
                <w:bCs/>
                <w:sz w:val="18"/>
              </w:rPr>
              <w:t>2016</w:t>
            </w:r>
          </w:p>
        </w:tc>
        <w:tc>
          <w:tcPr>
            <w:tcW w:w="838" w:type="dxa"/>
            <w:shd w:val="clear" w:color="auto" w:fill="DEEAF6" w:themeFill="accent1" w:themeFillTint="33"/>
            <w:vAlign w:val="center"/>
          </w:tcPr>
          <w:p w14:paraId="04FE1CCD" w14:textId="77777777" w:rsidR="00085F16" w:rsidRPr="00FB7C44" w:rsidRDefault="00085F16" w:rsidP="00085F16">
            <w:pPr>
              <w:jc w:val="center"/>
              <w:rPr>
                <w:b/>
                <w:bCs/>
                <w:sz w:val="18"/>
              </w:rPr>
            </w:pPr>
            <w:r w:rsidRPr="00FB7C44">
              <w:rPr>
                <w:b/>
                <w:bCs/>
                <w:sz w:val="18"/>
              </w:rPr>
              <w:t>2017</w:t>
            </w:r>
          </w:p>
        </w:tc>
        <w:tc>
          <w:tcPr>
            <w:tcW w:w="937" w:type="dxa"/>
            <w:shd w:val="clear" w:color="auto" w:fill="DEEAF6" w:themeFill="accent1" w:themeFillTint="33"/>
            <w:vAlign w:val="center"/>
          </w:tcPr>
          <w:p w14:paraId="23A3A091" w14:textId="77777777" w:rsidR="00085F16" w:rsidRPr="00FB7C44" w:rsidRDefault="00085F16" w:rsidP="00085F16">
            <w:pPr>
              <w:jc w:val="center"/>
              <w:rPr>
                <w:b/>
                <w:bCs/>
                <w:sz w:val="18"/>
              </w:rPr>
            </w:pPr>
            <w:r w:rsidRPr="00FB7C44">
              <w:rPr>
                <w:b/>
                <w:bCs/>
                <w:sz w:val="18"/>
              </w:rPr>
              <w:t>2018</w:t>
            </w:r>
          </w:p>
        </w:tc>
        <w:tc>
          <w:tcPr>
            <w:tcW w:w="840" w:type="dxa"/>
            <w:shd w:val="clear" w:color="auto" w:fill="DEEAF6" w:themeFill="accent1" w:themeFillTint="33"/>
            <w:vAlign w:val="center"/>
          </w:tcPr>
          <w:p w14:paraId="5753A813" w14:textId="77777777" w:rsidR="00085F16" w:rsidRPr="00FB7C44" w:rsidRDefault="00085F16" w:rsidP="00085F16">
            <w:pPr>
              <w:rPr>
                <w:b/>
                <w:bCs/>
                <w:sz w:val="18"/>
              </w:rPr>
            </w:pPr>
            <w:r w:rsidRPr="00FB7C44">
              <w:rPr>
                <w:b/>
                <w:bCs/>
                <w:sz w:val="18"/>
              </w:rPr>
              <w:t>P.2019</w:t>
            </w:r>
          </w:p>
        </w:tc>
        <w:tc>
          <w:tcPr>
            <w:tcW w:w="840" w:type="dxa"/>
            <w:shd w:val="clear" w:color="auto" w:fill="DEEAF6" w:themeFill="accent1" w:themeFillTint="33"/>
            <w:vAlign w:val="center"/>
          </w:tcPr>
          <w:p w14:paraId="3F63D318" w14:textId="77777777" w:rsidR="00085F16" w:rsidRPr="00FB7C44" w:rsidRDefault="00085F16" w:rsidP="00085F16">
            <w:pPr>
              <w:rPr>
                <w:b/>
                <w:bCs/>
                <w:sz w:val="18"/>
              </w:rPr>
            </w:pPr>
            <w:r w:rsidRPr="00FB7C44">
              <w:rPr>
                <w:b/>
                <w:bCs/>
                <w:sz w:val="18"/>
              </w:rPr>
              <w:t>P.2020</w:t>
            </w:r>
          </w:p>
        </w:tc>
        <w:tc>
          <w:tcPr>
            <w:tcW w:w="840" w:type="dxa"/>
            <w:shd w:val="clear" w:color="auto" w:fill="DEEAF6" w:themeFill="accent1" w:themeFillTint="33"/>
            <w:vAlign w:val="center"/>
          </w:tcPr>
          <w:p w14:paraId="73A612A9" w14:textId="77777777" w:rsidR="00085F16" w:rsidRPr="00FB7C44" w:rsidRDefault="00085F16" w:rsidP="00085F16">
            <w:pPr>
              <w:rPr>
                <w:b/>
                <w:bCs/>
                <w:sz w:val="18"/>
              </w:rPr>
            </w:pPr>
            <w:r w:rsidRPr="00FB7C44">
              <w:rPr>
                <w:b/>
                <w:bCs/>
                <w:sz w:val="18"/>
              </w:rPr>
              <w:t>P.2021</w:t>
            </w:r>
          </w:p>
        </w:tc>
        <w:tc>
          <w:tcPr>
            <w:tcW w:w="840" w:type="dxa"/>
            <w:shd w:val="clear" w:color="auto" w:fill="DEEAF6" w:themeFill="accent1" w:themeFillTint="33"/>
            <w:vAlign w:val="center"/>
          </w:tcPr>
          <w:p w14:paraId="4526E085" w14:textId="77777777" w:rsidR="00085F16" w:rsidRPr="00FB7C44" w:rsidRDefault="00085F16" w:rsidP="00085F16">
            <w:pPr>
              <w:rPr>
                <w:b/>
                <w:bCs/>
                <w:sz w:val="18"/>
              </w:rPr>
            </w:pPr>
            <w:r w:rsidRPr="00FB7C44">
              <w:rPr>
                <w:b/>
                <w:bCs/>
                <w:sz w:val="18"/>
              </w:rPr>
              <w:t>P.2022</w:t>
            </w:r>
          </w:p>
        </w:tc>
      </w:tr>
      <w:tr w:rsidR="00085F16" w:rsidRPr="00FB7C44" w14:paraId="71F94393" w14:textId="77777777" w:rsidTr="00085F16">
        <w:trPr>
          <w:trHeight w:val="327"/>
          <w:jc w:val="center"/>
        </w:trPr>
        <w:tc>
          <w:tcPr>
            <w:tcW w:w="1304" w:type="dxa"/>
            <w:shd w:val="clear" w:color="auto" w:fill="DEEAF6" w:themeFill="accent1" w:themeFillTint="33"/>
            <w:noWrap/>
            <w:vAlign w:val="center"/>
            <w:hideMark/>
          </w:tcPr>
          <w:p w14:paraId="71D9607A" w14:textId="77777777" w:rsidR="00085F16" w:rsidRPr="00FB7C44" w:rsidRDefault="00085F16" w:rsidP="00085F16">
            <w:pPr>
              <w:rPr>
                <w:sz w:val="18"/>
              </w:rPr>
            </w:pPr>
            <w:r w:rsidRPr="00FB7C44">
              <w:rPr>
                <w:sz w:val="18"/>
              </w:rPr>
              <w:t>Borxhi Ndërkombëtar</w:t>
            </w:r>
          </w:p>
        </w:tc>
        <w:tc>
          <w:tcPr>
            <w:tcW w:w="801" w:type="dxa"/>
            <w:shd w:val="clear" w:color="auto" w:fill="DEEAF6" w:themeFill="accent1" w:themeFillTint="33"/>
            <w:noWrap/>
            <w:vAlign w:val="center"/>
            <w:hideMark/>
          </w:tcPr>
          <w:p w14:paraId="3B57236E" w14:textId="77777777" w:rsidR="00085F16" w:rsidRPr="00FB7C44" w:rsidRDefault="00085F16" w:rsidP="00085F16">
            <w:pPr>
              <w:jc w:val="right"/>
              <w:rPr>
                <w:sz w:val="18"/>
              </w:rPr>
            </w:pPr>
            <w:r w:rsidRPr="00FB7C44">
              <w:rPr>
                <w:sz w:val="18"/>
              </w:rPr>
              <w:t>326.4</w:t>
            </w:r>
          </w:p>
        </w:tc>
        <w:tc>
          <w:tcPr>
            <w:tcW w:w="906" w:type="dxa"/>
            <w:shd w:val="clear" w:color="auto" w:fill="DEEAF6" w:themeFill="accent1" w:themeFillTint="33"/>
            <w:noWrap/>
            <w:vAlign w:val="center"/>
            <w:hideMark/>
          </w:tcPr>
          <w:p w14:paraId="18F6F739" w14:textId="77777777" w:rsidR="00085F16" w:rsidRPr="00FB7C44" w:rsidRDefault="00085F16" w:rsidP="00085F16">
            <w:pPr>
              <w:jc w:val="right"/>
              <w:rPr>
                <w:sz w:val="18"/>
              </w:rPr>
            </w:pPr>
            <w:r w:rsidRPr="00FB7C44">
              <w:rPr>
                <w:sz w:val="18"/>
              </w:rPr>
              <w:t>371.2</w:t>
            </w:r>
          </w:p>
        </w:tc>
        <w:tc>
          <w:tcPr>
            <w:tcW w:w="906" w:type="dxa"/>
            <w:shd w:val="clear" w:color="auto" w:fill="DEEAF6" w:themeFill="accent1" w:themeFillTint="33"/>
            <w:noWrap/>
            <w:vAlign w:val="center"/>
            <w:hideMark/>
          </w:tcPr>
          <w:p w14:paraId="55770B64" w14:textId="77777777" w:rsidR="00085F16" w:rsidRPr="00FB7C44" w:rsidRDefault="00085F16" w:rsidP="00085F16">
            <w:pPr>
              <w:jc w:val="right"/>
              <w:rPr>
                <w:sz w:val="18"/>
              </w:rPr>
            </w:pPr>
            <w:r w:rsidRPr="00FB7C44">
              <w:rPr>
                <w:sz w:val="18"/>
              </w:rPr>
              <w:t>373.4</w:t>
            </w:r>
          </w:p>
        </w:tc>
        <w:tc>
          <w:tcPr>
            <w:tcW w:w="838" w:type="dxa"/>
            <w:shd w:val="clear" w:color="auto" w:fill="DEEAF6" w:themeFill="accent1" w:themeFillTint="33"/>
            <w:vAlign w:val="center"/>
          </w:tcPr>
          <w:p w14:paraId="52FCD252" w14:textId="77777777" w:rsidR="00085F16" w:rsidRPr="00FB7C44" w:rsidRDefault="00085F16" w:rsidP="00085F16">
            <w:pPr>
              <w:jc w:val="right"/>
              <w:rPr>
                <w:sz w:val="18"/>
              </w:rPr>
            </w:pPr>
            <w:r w:rsidRPr="00FB7C44">
              <w:rPr>
                <w:sz w:val="18"/>
              </w:rPr>
              <w:t>422.2</w:t>
            </w:r>
          </w:p>
        </w:tc>
        <w:tc>
          <w:tcPr>
            <w:tcW w:w="937" w:type="dxa"/>
            <w:shd w:val="clear" w:color="auto" w:fill="DEEAF6" w:themeFill="accent1" w:themeFillTint="33"/>
            <w:vAlign w:val="center"/>
          </w:tcPr>
          <w:p w14:paraId="481D6935" w14:textId="77777777" w:rsidR="00085F16" w:rsidRPr="00FB7C44" w:rsidRDefault="00085F16" w:rsidP="00085F16">
            <w:pPr>
              <w:jc w:val="right"/>
              <w:rPr>
                <w:sz w:val="18"/>
              </w:rPr>
            </w:pPr>
            <w:r w:rsidRPr="00FB7C44">
              <w:rPr>
                <w:sz w:val="18"/>
              </w:rPr>
              <w:t>416.4</w:t>
            </w:r>
          </w:p>
        </w:tc>
        <w:tc>
          <w:tcPr>
            <w:tcW w:w="840" w:type="dxa"/>
            <w:shd w:val="clear" w:color="auto" w:fill="DEEAF6" w:themeFill="accent1" w:themeFillTint="33"/>
            <w:vAlign w:val="center"/>
          </w:tcPr>
          <w:p w14:paraId="2B59F2CB" w14:textId="77777777" w:rsidR="00085F16" w:rsidRPr="00FB7C44" w:rsidRDefault="00085F16" w:rsidP="00085F16">
            <w:pPr>
              <w:jc w:val="right"/>
              <w:rPr>
                <w:sz w:val="18"/>
              </w:rPr>
            </w:pPr>
            <w:r w:rsidRPr="00FB7C44">
              <w:rPr>
                <w:sz w:val="18"/>
              </w:rPr>
              <w:t>430.0</w:t>
            </w:r>
          </w:p>
        </w:tc>
        <w:tc>
          <w:tcPr>
            <w:tcW w:w="840" w:type="dxa"/>
            <w:shd w:val="clear" w:color="auto" w:fill="DEEAF6" w:themeFill="accent1" w:themeFillTint="33"/>
            <w:vAlign w:val="center"/>
          </w:tcPr>
          <w:p w14:paraId="34C415BC" w14:textId="77777777" w:rsidR="00085F16" w:rsidRPr="00FB7C44" w:rsidRDefault="00085F16" w:rsidP="00085F16">
            <w:pPr>
              <w:jc w:val="right"/>
              <w:rPr>
                <w:sz w:val="18"/>
              </w:rPr>
            </w:pPr>
            <w:r w:rsidRPr="00FB7C44">
              <w:rPr>
                <w:sz w:val="18"/>
              </w:rPr>
              <w:t>477.4</w:t>
            </w:r>
          </w:p>
        </w:tc>
        <w:tc>
          <w:tcPr>
            <w:tcW w:w="840" w:type="dxa"/>
            <w:shd w:val="clear" w:color="auto" w:fill="DEEAF6" w:themeFill="accent1" w:themeFillTint="33"/>
            <w:vAlign w:val="center"/>
          </w:tcPr>
          <w:p w14:paraId="6182ABC8" w14:textId="77777777" w:rsidR="00085F16" w:rsidRPr="00FB7C44" w:rsidRDefault="00085F16" w:rsidP="00085F16">
            <w:pPr>
              <w:jc w:val="right"/>
              <w:rPr>
                <w:sz w:val="18"/>
              </w:rPr>
            </w:pPr>
            <w:r w:rsidRPr="00FB7C44">
              <w:rPr>
                <w:sz w:val="18"/>
              </w:rPr>
              <w:t>515.68</w:t>
            </w:r>
          </w:p>
        </w:tc>
        <w:tc>
          <w:tcPr>
            <w:tcW w:w="840" w:type="dxa"/>
            <w:shd w:val="clear" w:color="auto" w:fill="DEEAF6" w:themeFill="accent1" w:themeFillTint="33"/>
            <w:vAlign w:val="center"/>
          </w:tcPr>
          <w:p w14:paraId="6D04F35E" w14:textId="77777777" w:rsidR="00085F16" w:rsidRPr="00FB7C44" w:rsidRDefault="00085F16" w:rsidP="00085F16">
            <w:pPr>
              <w:jc w:val="right"/>
              <w:rPr>
                <w:sz w:val="18"/>
              </w:rPr>
            </w:pPr>
            <w:r w:rsidRPr="00FB7C44">
              <w:rPr>
                <w:sz w:val="18"/>
              </w:rPr>
              <w:t>537.88</w:t>
            </w:r>
          </w:p>
        </w:tc>
      </w:tr>
      <w:tr w:rsidR="00085F16" w:rsidRPr="00FB7C44" w14:paraId="2E519F3E" w14:textId="77777777" w:rsidTr="00085F16">
        <w:trPr>
          <w:trHeight w:val="327"/>
          <w:jc w:val="center"/>
        </w:trPr>
        <w:tc>
          <w:tcPr>
            <w:tcW w:w="1304" w:type="dxa"/>
            <w:shd w:val="clear" w:color="auto" w:fill="DEEAF6" w:themeFill="accent1" w:themeFillTint="33"/>
            <w:noWrap/>
            <w:vAlign w:val="center"/>
            <w:hideMark/>
          </w:tcPr>
          <w:p w14:paraId="02A243EF" w14:textId="77777777" w:rsidR="00085F16" w:rsidRPr="00FB7C44" w:rsidRDefault="00085F16" w:rsidP="00085F16">
            <w:pPr>
              <w:rPr>
                <w:sz w:val="18"/>
              </w:rPr>
            </w:pPr>
            <w:r w:rsidRPr="00FB7C44">
              <w:rPr>
                <w:sz w:val="18"/>
              </w:rPr>
              <w:t>Borxhi i Brendshëm</w:t>
            </w:r>
          </w:p>
        </w:tc>
        <w:tc>
          <w:tcPr>
            <w:tcW w:w="801" w:type="dxa"/>
            <w:shd w:val="clear" w:color="auto" w:fill="DEEAF6" w:themeFill="accent1" w:themeFillTint="33"/>
            <w:noWrap/>
            <w:vAlign w:val="center"/>
            <w:hideMark/>
          </w:tcPr>
          <w:p w14:paraId="2614E019" w14:textId="77777777" w:rsidR="00085F16" w:rsidRPr="00FB7C44" w:rsidRDefault="00085F16" w:rsidP="00085F16">
            <w:pPr>
              <w:jc w:val="right"/>
              <w:rPr>
                <w:sz w:val="18"/>
              </w:rPr>
            </w:pPr>
            <w:r w:rsidRPr="00FB7C44">
              <w:rPr>
                <w:sz w:val="18"/>
              </w:rPr>
              <w:t>256.5</w:t>
            </w:r>
          </w:p>
        </w:tc>
        <w:tc>
          <w:tcPr>
            <w:tcW w:w="906" w:type="dxa"/>
            <w:shd w:val="clear" w:color="auto" w:fill="DEEAF6" w:themeFill="accent1" w:themeFillTint="33"/>
            <w:noWrap/>
            <w:vAlign w:val="center"/>
            <w:hideMark/>
          </w:tcPr>
          <w:p w14:paraId="09E5E260" w14:textId="77777777" w:rsidR="00085F16" w:rsidRPr="00FB7C44" w:rsidRDefault="00085F16" w:rsidP="00085F16">
            <w:pPr>
              <w:jc w:val="right"/>
              <w:rPr>
                <w:sz w:val="18"/>
              </w:rPr>
            </w:pPr>
            <w:r w:rsidRPr="00FB7C44">
              <w:rPr>
                <w:sz w:val="18"/>
              </w:rPr>
              <w:t>377.8</w:t>
            </w:r>
          </w:p>
        </w:tc>
        <w:tc>
          <w:tcPr>
            <w:tcW w:w="906" w:type="dxa"/>
            <w:shd w:val="clear" w:color="auto" w:fill="DEEAF6" w:themeFill="accent1" w:themeFillTint="33"/>
            <w:noWrap/>
            <w:vAlign w:val="center"/>
            <w:hideMark/>
          </w:tcPr>
          <w:p w14:paraId="532A2556" w14:textId="77777777" w:rsidR="00085F16" w:rsidRPr="00FB7C44" w:rsidRDefault="00085F16" w:rsidP="00085F16">
            <w:pPr>
              <w:jc w:val="right"/>
              <w:rPr>
                <w:sz w:val="18"/>
              </w:rPr>
            </w:pPr>
            <w:r w:rsidRPr="00FB7C44">
              <w:rPr>
                <w:sz w:val="18"/>
              </w:rPr>
              <w:t>478.6</w:t>
            </w:r>
          </w:p>
        </w:tc>
        <w:tc>
          <w:tcPr>
            <w:tcW w:w="838" w:type="dxa"/>
            <w:shd w:val="clear" w:color="auto" w:fill="DEEAF6" w:themeFill="accent1" w:themeFillTint="33"/>
            <w:vAlign w:val="center"/>
          </w:tcPr>
          <w:p w14:paraId="12E73162" w14:textId="77777777" w:rsidR="00085F16" w:rsidRPr="00FB7C44" w:rsidRDefault="00085F16" w:rsidP="00085F16">
            <w:pPr>
              <w:jc w:val="right"/>
              <w:rPr>
                <w:sz w:val="18"/>
              </w:rPr>
            </w:pPr>
            <w:r w:rsidRPr="00FB7C44">
              <w:rPr>
                <w:sz w:val="18"/>
              </w:rPr>
              <w:t>574.3</w:t>
            </w:r>
          </w:p>
        </w:tc>
        <w:tc>
          <w:tcPr>
            <w:tcW w:w="937" w:type="dxa"/>
            <w:shd w:val="clear" w:color="auto" w:fill="DEEAF6" w:themeFill="accent1" w:themeFillTint="33"/>
            <w:vAlign w:val="center"/>
          </w:tcPr>
          <w:p w14:paraId="4A5E279C" w14:textId="77777777" w:rsidR="00085F16" w:rsidRPr="00FB7C44" w:rsidRDefault="00085F16" w:rsidP="00085F16">
            <w:pPr>
              <w:jc w:val="right"/>
              <w:rPr>
                <w:sz w:val="18"/>
              </w:rPr>
            </w:pPr>
            <w:r w:rsidRPr="00FB7C44">
              <w:rPr>
                <w:sz w:val="18"/>
              </w:rPr>
              <w:t>676.62</w:t>
            </w:r>
          </w:p>
        </w:tc>
        <w:tc>
          <w:tcPr>
            <w:tcW w:w="840" w:type="dxa"/>
            <w:shd w:val="clear" w:color="auto" w:fill="DEEAF6" w:themeFill="accent1" w:themeFillTint="33"/>
            <w:vAlign w:val="center"/>
          </w:tcPr>
          <w:p w14:paraId="19226F8E" w14:textId="77777777" w:rsidR="00085F16" w:rsidRPr="00FB7C44" w:rsidRDefault="00085F16" w:rsidP="00085F16">
            <w:pPr>
              <w:jc w:val="right"/>
              <w:rPr>
                <w:sz w:val="18"/>
              </w:rPr>
            </w:pPr>
            <w:r w:rsidRPr="00FB7C44">
              <w:rPr>
                <w:sz w:val="18"/>
              </w:rPr>
              <w:t>791.6</w:t>
            </w:r>
          </w:p>
        </w:tc>
        <w:tc>
          <w:tcPr>
            <w:tcW w:w="840" w:type="dxa"/>
            <w:shd w:val="clear" w:color="auto" w:fill="DEEAF6" w:themeFill="accent1" w:themeFillTint="33"/>
            <w:vAlign w:val="center"/>
          </w:tcPr>
          <w:p w14:paraId="591E52EE" w14:textId="77777777" w:rsidR="00085F16" w:rsidRPr="00FB7C44" w:rsidRDefault="00085F16" w:rsidP="00085F16">
            <w:pPr>
              <w:jc w:val="right"/>
              <w:rPr>
                <w:sz w:val="18"/>
              </w:rPr>
            </w:pPr>
            <w:r w:rsidRPr="00FB7C44">
              <w:rPr>
                <w:sz w:val="18"/>
              </w:rPr>
              <w:t>891.6</w:t>
            </w:r>
          </w:p>
        </w:tc>
        <w:tc>
          <w:tcPr>
            <w:tcW w:w="840" w:type="dxa"/>
            <w:shd w:val="clear" w:color="auto" w:fill="DEEAF6" w:themeFill="accent1" w:themeFillTint="33"/>
            <w:vAlign w:val="center"/>
          </w:tcPr>
          <w:p w14:paraId="7B606513" w14:textId="77777777" w:rsidR="00085F16" w:rsidRPr="00FB7C44" w:rsidRDefault="00085F16" w:rsidP="00085F16">
            <w:pPr>
              <w:jc w:val="right"/>
              <w:rPr>
                <w:sz w:val="18"/>
              </w:rPr>
            </w:pPr>
            <w:r w:rsidRPr="00FB7C44">
              <w:rPr>
                <w:sz w:val="18"/>
              </w:rPr>
              <w:t>1,021.6</w:t>
            </w:r>
          </w:p>
        </w:tc>
        <w:tc>
          <w:tcPr>
            <w:tcW w:w="840" w:type="dxa"/>
            <w:shd w:val="clear" w:color="auto" w:fill="DEEAF6" w:themeFill="accent1" w:themeFillTint="33"/>
            <w:vAlign w:val="center"/>
          </w:tcPr>
          <w:p w14:paraId="3C128A54" w14:textId="77777777" w:rsidR="00085F16" w:rsidRPr="00FB7C44" w:rsidRDefault="00085F16" w:rsidP="00085F16">
            <w:pPr>
              <w:jc w:val="right"/>
              <w:rPr>
                <w:sz w:val="18"/>
              </w:rPr>
            </w:pPr>
            <w:r w:rsidRPr="00FB7C44">
              <w:rPr>
                <w:sz w:val="18"/>
              </w:rPr>
              <w:t>1,151.6</w:t>
            </w:r>
          </w:p>
        </w:tc>
      </w:tr>
      <w:tr w:rsidR="00085F16" w:rsidRPr="00FB7C44" w14:paraId="13922660" w14:textId="77777777" w:rsidTr="00085F16">
        <w:trPr>
          <w:trHeight w:val="327"/>
          <w:jc w:val="center"/>
        </w:trPr>
        <w:tc>
          <w:tcPr>
            <w:tcW w:w="1304" w:type="dxa"/>
            <w:shd w:val="clear" w:color="auto" w:fill="DEEAF6" w:themeFill="accent1" w:themeFillTint="33"/>
            <w:noWrap/>
            <w:vAlign w:val="center"/>
            <w:hideMark/>
          </w:tcPr>
          <w:p w14:paraId="0C56E87D" w14:textId="77777777" w:rsidR="00085F16" w:rsidRPr="00FB7C44" w:rsidRDefault="00085F16" w:rsidP="00085F16">
            <w:pPr>
              <w:rPr>
                <w:sz w:val="18"/>
              </w:rPr>
            </w:pPr>
            <w:r w:rsidRPr="00FB7C44">
              <w:rPr>
                <w:sz w:val="18"/>
              </w:rPr>
              <w:t>Borxhi i Përgjithshëm</w:t>
            </w:r>
          </w:p>
        </w:tc>
        <w:tc>
          <w:tcPr>
            <w:tcW w:w="801" w:type="dxa"/>
            <w:shd w:val="clear" w:color="auto" w:fill="DEEAF6" w:themeFill="accent1" w:themeFillTint="33"/>
            <w:noWrap/>
            <w:vAlign w:val="center"/>
            <w:hideMark/>
          </w:tcPr>
          <w:p w14:paraId="7D21CA84" w14:textId="77777777" w:rsidR="00085F16" w:rsidRPr="00FB7C44" w:rsidRDefault="00085F16" w:rsidP="00085F16">
            <w:pPr>
              <w:jc w:val="right"/>
              <w:rPr>
                <w:sz w:val="18"/>
              </w:rPr>
            </w:pPr>
            <w:r w:rsidRPr="00FB7C44">
              <w:rPr>
                <w:sz w:val="18"/>
              </w:rPr>
              <w:t>582.9</w:t>
            </w:r>
          </w:p>
        </w:tc>
        <w:tc>
          <w:tcPr>
            <w:tcW w:w="906" w:type="dxa"/>
            <w:shd w:val="clear" w:color="auto" w:fill="DEEAF6" w:themeFill="accent1" w:themeFillTint="33"/>
            <w:noWrap/>
            <w:vAlign w:val="center"/>
            <w:hideMark/>
          </w:tcPr>
          <w:p w14:paraId="14631242" w14:textId="77777777" w:rsidR="00085F16" w:rsidRPr="00FB7C44" w:rsidRDefault="00085F16" w:rsidP="00085F16">
            <w:pPr>
              <w:jc w:val="right"/>
              <w:rPr>
                <w:sz w:val="18"/>
              </w:rPr>
            </w:pPr>
            <w:r w:rsidRPr="00FB7C44">
              <w:rPr>
                <w:sz w:val="18"/>
              </w:rPr>
              <w:t>749.0</w:t>
            </w:r>
          </w:p>
        </w:tc>
        <w:tc>
          <w:tcPr>
            <w:tcW w:w="906" w:type="dxa"/>
            <w:shd w:val="clear" w:color="auto" w:fill="DEEAF6" w:themeFill="accent1" w:themeFillTint="33"/>
            <w:noWrap/>
            <w:vAlign w:val="center"/>
            <w:hideMark/>
          </w:tcPr>
          <w:p w14:paraId="37C01B75" w14:textId="77777777" w:rsidR="00085F16" w:rsidRPr="00FB7C44" w:rsidRDefault="00085F16" w:rsidP="00085F16">
            <w:pPr>
              <w:jc w:val="right"/>
              <w:rPr>
                <w:sz w:val="18"/>
              </w:rPr>
            </w:pPr>
            <w:r w:rsidRPr="00FB7C44">
              <w:rPr>
                <w:sz w:val="18"/>
              </w:rPr>
              <w:t>852.0</w:t>
            </w:r>
          </w:p>
        </w:tc>
        <w:tc>
          <w:tcPr>
            <w:tcW w:w="838" w:type="dxa"/>
            <w:shd w:val="clear" w:color="auto" w:fill="DEEAF6" w:themeFill="accent1" w:themeFillTint="33"/>
            <w:vAlign w:val="center"/>
          </w:tcPr>
          <w:p w14:paraId="5FEA3B28" w14:textId="77777777" w:rsidR="00085F16" w:rsidRPr="00FB7C44" w:rsidRDefault="00085F16" w:rsidP="00085F16">
            <w:pPr>
              <w:jc w:val="right"/>
              <w:rPr>
                <w:sz w:val="18"/>
              </w:rPr>
            </w:pPr>
            <w:r w:rsidRPr="00FB7C44">
              <w:rPr>
                <w:sz w:val="18"/>
              </w:rPr>
              <w:t>996.5</w:t>
            </w:r>
          </w:p>
        </w:tc>
        <w:tc>
          <w:tcPr>
            <w:tcW w:w="937" w:type="dxa"/>
            <w:shd w:val="clear" w:color="auto" w:fill="DEEAF6" w:themeFill="accent1" w:themeFillTint="33"/>
            <w:vAlign w:val="center"/>
          </w:tcPr>
          <w:p w14:paraId="37EC5DB3" w14:textId="77777777" w:rsidR="00085F16" w:rsidRPr="00FB7C44" w:rsidRDefault="00085F16" w:rsidP="00085F16">
            <w:pPr>
              <w:jc w:val="right"/>
              <w:rPr>
                <w:sz w:val="18"/>
              </w:rPr>
            </w:pPr>
            <w:r w:rsidRPr="00FB7C44">
              <w:rPr>
                <w:sz w:val="18"/>
              </w:rPr>
              <w:t>1,093.05</w:t>
            </w:r>
          </w:p>
        </w:tc>
        <w:tc>
          <w:tcPr>
            <w:tcW w:w="840" w:type="dxa"/>
            <w:shd w:val="clear" w:color="auto" w:fill="DEEAF6" w:themeFill="accent1" w:themeFillTint="33"/>
            <w:vAlign w:val="center"/>
          </w:tcPr>
          <w:p w14:paraId="01D372A6" w14:textId="77777777" w:rsidR="00085F16" w:rsidRPr="00FB7C44" w:rsidRDefault="00085F16" w:rsidP="00085F16">
            <w:pPr>
              <w:jc w:val="right"/>
              <w:rPr>
                <w:sz w:val="18"/>
              </w:rPr>
            </w:pPr>
            <w:r w:rsidRPr="00FB7C44">
              <w:rPr>
                <w:sz w:val="18"/>
              </w:rPr>
              <w:t>1,221.6</w:t>
            </w:r>
          </w:p>
        </w:tc>
        <w:tc>
          <w:tcPr>
            <w:tcW w:w="840" w:type="dxa"/>
            <w:shd w:val="clear" w:color="auto" w:fill="DEEAF6" w:themeFill="accent1" w:themeFillTint="33"/>
            <w:vAlign w:val="center"/>
          </w:tcPr>
          <w:p w14:paraId="27E1FCE2" w14:textId="77777777" w:rsidR="00085F16" w:rsidRPr="00FB7C44" w:rsidRDefault="00085F16" w:rsidP="00085F16">
            <w:pPr>
              <w:jc w:val="right"/>
              <w:rPr>
                <w:sz w:val="18"/>
              </w:rPr>
            </w:pPr>
            <w:r w:rsidRPr="00FB7C44">
              <w:rPr>
                <w:sz w:val="18"/>
              </w:rPr>
              <w:t>1,369.0</w:t>
            </w:r>
          </w:p>
        </w:tc>
        <w:tc>
          <w:tcPr>
            <w:tcW w:w="840" w:type="dxa"/>
            <w:shd w:val="clear" w:color="auto" w:fill="DEEAF6" w:themeFill="accent1" w:themeFillTint="33"/>
            <w:vAlign w:val="center"/>
          </w:tcPr>
          <w:p w14:paraId="23AF34E2" w14:textId="77777777" w:rsidR="00085F16" w:rsidRPr="00FB7C44" w:rsidRDefault="00085F16" w:rsidP="00085F16">
            <w:pPr>
              <w:jc w:val="right"/>
              <w:rPr>
                <w:sz w:val="18"/>
              </w:rPr>
            </w:pPr>
            <w:r w:rsidRPr="00FB7C44">
              <w:rPr>
                <w:sz w:val="18"/>
              </w:rPr>
              <w:t>1,537.3</w:t>
            </w:r>
          </w:p>
        </w:tc>
        <w:tc>
          <w:tcPr>
            <w:tcW w:w="840" w:type="dxa"/>
            <w:shd w:val="clear" w:color="auto" w:fill="DEEAF6" w:themeFill="accent1" w:themeFillTint="33"/>
            <w:vAlign w:val="center"/>
          </w:tcPr>
          <w:p w14:paraId="138C9739" w14:textId="77777777" w:rsidR="00085F16" w:rsidRPr="00FB7C44" w:rsidRDefault="00085F16" w:rsidP="00085F16">
            <w:pPr>
              <w:jc w:val="right"/>
              <w:rPr>
                <w:sz w:val="18"/>
              </w:rPr>
            </w:pPr>
            <w:r w:rsidRPr="00FB7C44">
              <w:rPr>
                <w:sz w:val="18"/>
              </w:rPr>
              <w:t>1,689.5</w:t>
            </w:r>
          </w:p>
        </w:tc>
      </w:tr>
      <w:tr w:rsidR="00085F16" w:rsidRPr="00FB7C44" w14:paraId="1EE5EBFC" w14:textId="77777777" w:rsidTr="00085F16">
        <w:trPr>
          <w:trHeight w:val="327"/>
          <w:jc w:val="center"/>
        </w:trPr>
        <w:tc>
          <w:tcPr>
            <w:tcW w:w="1304" w:type="dxa"/>
            <w:shd w:val="clear" w:color="auto" w:fill="DEEAF6" w:themeFill="accent1" w:themeFillTint="33"/>
            <w:noWrap/>
            <w:vAlign w:val="center"/>
            <w:hideMark/>
          </w:tcPr>
          <w:p w14:paraId="68D6DAFC" w14:textId="77777777" w:rsidR="00085F16" w:rsidRPr="00FB7C44" w:rsidRDefault="00085F16" w:rsidP="00085F16">
            <w:pPr>
              <w:rPr>
                <w:sz w:val="18"/>
              </w:rPr>
            </w:pPr>
            <w:r w:rsidRPr="00FB7C44">
              <w:rPr>
                <w:sz w:val="18"/>
              </w:rPr>
              <w:t>Garancitë Shtetërore</w:t>
            </w:r>
          </w:p>
        </w:tc>
        <w:tc>
          <w:tcPr>
            <w:tcW w:w="801" w:type="dxa"/>
            <w:shd w:val="clear" w:color="auto" w:fill="DEEAF6" w:themeFill="accent1" w:themeFillTint="33"/>
            <w:noWrap/>
            <w:vAlign w:val="center"/>
            <w:hideMark/>
          </w:tcPr>
          <w:p w14:paraId="159BD289" w14:textId="77777777" w:rsidR="00085F16" w:rsidRPr="00FB7C44" w:rsidRDefault="00085F16" w:rsidP="00085F16">
            <w:pPr>
              <w:jc w:val="right"/>
              <w:rPr>
                <w:sz w:val="18"/>
              </w:rPr>
            </w:pPr>
            <w:r w:rsidRPr="00FB7C44">
              <w:rPr>
                <w:sz w:val="18"/>
              </w:rPr>
              <w:t>10.0</w:t>
            </w:r>
          </w:p>
        </w:tc>
        <w:tc>
          <w:tcPr>
            <w:tcW w:w="906" w:type="dxa"/>
            <w:shd w:val="clear" w:color="auto" w:fill="DEEAF6" w:themeFill="accent1" w:themeFillTint="33"/>
            <w:noWrap/>
            <w:vAlign w:val="center"/>
            <w:hideMark/>
          </w:tcPr>
          <w:p w14:paraId="15E89535" w14:textId="77777777" w:rsidR="00085F16" w:rsidRPr="00FB7C44" w:rsidRDefault="00085F16" w:rsidP="00085F16">
            <w:pPr>
              <w:jc w:val="right"/>
              <w:rPr>
                <w:sz w:val="18"/>
              </w:rPr>
            </w:pPr>
            <w:r w:rsidRPr="00FB7C44">
              <w:rPr>
                <w:sz w:val="18"/>
              </w:rPr>
              <w:t>10.0</w:t>
            </w:r>
          </w:p>
        </w:tc>
        <w:tc>
          <w:tcPr>
            <w:tcW w:w="906" w:type="dxa"/>
            <w:shd w:val="clear" w:color="auto" w:fill="DEEAF6" w:themeFill="accent1" w:themeFillTint="33"/>
            <w:noWrap/>
            <w:vAlign w:val="center"/>
            <w:hideMark/>
          </w:tcPr>
          <w:p w14:paraId="16B0D804" w14:textId="77777777" w:rsidR="00085F16" w:rsidRPr="00FB7C44" w:rsidRDefault="00085F16" w:rsidP="00085F16">
            <w:pPr>
              <w:jc w:val="right"/>
              <w:rPr>
                <w:sz w:val="18"/>
              </w:rPr>
            </w:pPr>
            <w:r w:rsidRPr="00FB7C44">
              <w:rPr>
                <w:sz w:val="18"/>
              </w:rPr>
              <w:t>20.0</w:t>
            </w:r>
          </w:p>
        </w:tc>
        <w:tc>
          <w:tcPr>
            <w:tcW w:w="838" w:type="dxa"/>
            <w:shd w:val="clear" w:color="auto" w:fill="DEEAF6" w:themeFill="accent1" w:themeFillTint="33"/>
            <w:vAlign w:val="center"/>
          </w:tcPr>
          <w:p w14:paraId="195BC90D" w14:textId="77777777" w:rsidR="00085F16" w:rsidRPr="00FB7C44" w:rsidRDefault="00085F16" w:rsidP="00085F16">
            <w:pPr>
              <w:jc w:val="right"/>
              <w:rPr>
                <w:sz w:val="18"/>
              </w:rPr>
            </w:pPr>
            <w:r w:rsidRPr="00FB7C44">
              <w:rPr>
                <w:sz w:val="18"/>
              </w:rPr>
              <w:t>44.0</w:t>
            </w:r>
          </w:p>
        </w:tc>
        <w:tc>
          <w:tcPr>
            <w:tcW w:w="937" w:type="dxa"/>
            <w:shd w:val="clear" w:color="auto" w:fill="DEEAF6" w:themeFill="accent1" w:themeFillTint="33"/>
            <w:vAlign w:val="center"/>
          </w:tcPr>
          <w:p w14:paraId="713CC904" w14:textId="77777777" w:rsidR="00085F16" w:rsidRPr="00FB7C44" w:rsidRDefault="00085F16" w:rsidP="00085F16">
            <w:pPr>
              <w:jc w:val="right"/>
              <w:rPr>
                <w:sz w:val="18"/>
              </w:rPr>
            </w:pPr>
            <w:r w:rsidRPr="00FB7C44">
              <w:rPr>
                <w:sz w:val="18"/>
              </w:rPr>
              <w:t>44.0</w:t>
            </w:r>
          </w:p>
        </w:tc>
        <w:tc>
          <w:tcPr>
            <w:tcW w:w="840" w:type="dxa"/>
            <w:shd w:val="clear" w:color="auto" w:fill="DEEAF6" w:themeFill="accent1" w:themeFillTint="33"/>
            <w:vAlign w:val="center"/>
          </w:tcPr>
          <w:p w14:paraId="43F8A1BA" w14:textId="77777777" w:rsidR="00085F16" w:rsidRPr="00FB7C44" w:rsidRDefault="00085F16" w:rsidP="00085F16">
            <w:pPr>
              <w:jc w:val="right"/>
              <w:rPr>
                <w:sz w:val="18"/>
              </w:rPr>
            </w:pPr>
            <w:r w:rsidRPr="00FB7C44">
              <w:rPr>
                <w:sz w:val="18"/>
              </w:rPr>
              <w:t>44.0</w:t>
            </w:r>
          </w:p>
        </w:tc>
        <w:tc>
          <w:tcPr>
            <w:tcW w:w="840" w:type="dxa"/>
            <w:shd w:val="clear" w:color="auto" w:fill="DEEAF6" w:themeFill="accent1" w:themeFillTint="33"/>
            <w:vAlign w:val="center"/>
          </w:tcPr>
          <w:p w14:paraId="34613F67" w14:textId="77777777" w:rsidR="00085F16" w:rsidRPr="00FB7C44" w:rsidRDefault="00085F16" w:rsidP="00085F16">
            <w:pPr>
              <w:jc w:val="right"/>
              <w:rPr>
                <w:sz w:val="18"/>
              </w:rPr>
            </w:pPr>
            <w:r w:rsidRPr="00FB7C44">
              <w:rPr>
                <w:sz w:val="18"/>
              </w:rPr>
              <w:t>44.0</w:t>
            </w:r>
          </w:p>
        </w:tc>
        <w:tc>
          <w:tcPr>
            <w:tcW w:w="840" w:type="dxa"/>
            <w:shd w:val="clear" w:color="auto" w:fill="DEEAF6" w:themeFill="accent1" w:themeFillTint="33"/>
            <w:vAlign w:val="center"/>
          </w:tcPr>
          <w:p w14:paraId="11CA1C4D" w14:textId="77777777" w:rsidR="00085F16" w:rsidRPr="00FB7C44" w:rsidRDefault="00085F16" w:rsidP="00085F16">
            <w:pPr>
              <w:jc w:val="right"/>
              <w:rPr>
                <w:sz w:val="18"/>
              </w:rPr>
            </w:pPr>
            <w:r w:rsidRPr="00FB7C44">
              <w:rPr>
                <w:sz w:val="18"/>
              </w:rPr>
              <w:t>44.0</w:t>
            </w:r>
          </w:p>
        </w:tc>
        <w:tc>
          <w:tcPr>
            <w:tcW w:w="840" w:type="dxa"/>
            <w:shd w:val="clear" w:color="auto" w:fill="DEEAF6" w:themeFill="accent1" w:themeFillTint="33"/>
            <w:vAlign w:val="center"/>
          </w:tcPr>
          <w:p w14:paraId="11AC6D33" w14:textId="77777777" w:rsidR="00085F16" w:rsidRPr="00FB7C44" w:rsidRDefault="00085F16" w:rsidP="00085F16">
            <w:pPr>
              <w:jc w:val="right"/>
              <w:rPr>
                <w:sz w:val="18"/>
              </w:rPr>
            </w:pPr>
            <w:r w:rsidRPr="00FB7C44">
              <w:rPr>
                <w:sz w:val="18"/>
              </w:rPr>
              <w:t>44.0</w:t>
            </w:r>
          </w:p>
        </w:tc>
      </w:tr>
      <w:tr w:rsidR="00085F16" w:rsidRPr="00FB7C44" w14:paraId="03FB4EB5" w14:textId="77777777" w:rsidTr="00085F16">
        <w:trPr>
          <w:trHeight w:val="375"/>
          <w:jc w:val="center"/>
        </w:trPr>
        <w:tc>
          <w:tcPr>
            <w:tcW w:w="1304" w:type="dxa"/>
            <w:shd w:val="clear" w:color="auto" w:fill="DEEAF6" w:themeFill="accent1" w:themeFillTint="33"/>
            <w:noWrap/>
            <w:vAlign w:val="center"/>
            <w:hideMark/>
          </w:tcPr>
          <w:p w14:paraId="759AEDB2" w14:textId="77777777" w:rsidR="00085F16" w:rsidRPr="00FB7C44" w:rsidRDefault="00085F16" w:rsidP="00085F16">
            <w:pPr>
              <w:rPr>
                <w:b/>
                <w:sz w:val="18"/>
              </w:rPr>
            </w:pPr>
            <w:r w:rsidRPr="00FB7C44">
              <w:rPr>
                <w:b/>
                <w:sz w:val="18"/>
              </w:rPr>
              <w:t>Raporti Borxh/BPV</w:t>
            </w:r>
          </w:p>
        </w:tc>
        <w:tc>
          <w:tcPr>
            <w:tcW w:w="801" w:type="dxa"/>
            <w:shd w:val="clear" w:color="auto" w:fill="DEEAF6" w:themeFill="accent1" w:themeFillTint="33"/>
            <w:noWrap/>
            <w:vAlign w:val="center"/>
            <w:hideMark/>
          </w:tcPr>
          <w:p w14:paraId="539DCCFC" w14:textId="77777777" w:rsidR="00085F16" w:rsidRPr="00FB7C44" w:rsidRDefault="00085F16" w:rsidP="00085F16">
            <w:pPr>
              <w:jc w:val="right"/>
              <w:rPr>
                <w:b/>
                <w:sz w:val="18"/>
              </w:rPr>
            </w:pPr>
            <w:r w:rsidRPr="00FB7C44">
              <w:rPr>
                <w:b/>
                <w:sz w:val="18"/>
              </w:rPr>
              <w:t>10.65%</w:t>
            </w:r>
          </w:p>
        </w:tc>
        <w:tc>
          <w:tcPr>
            <w:tcW w:w="906" w:type="dxa"/>
            <w:shd w:val="clear" w:color="auto" w:fill="DEEAF6" w:themeFill="accent1" w:themeFillTint="33"/>
            <w:noWrap/>
            <w:vAlign w:val="center"/>
            <w:hideMark/>
          </w:tcPr>
          <w:p w14:paraId="67CDBB2F" w14:textId="77777777" w:rsidR="00085F16" w:rsidRPr="00FB7C44" w:rsidRDefault="00085F16" w:rsidP="00085F16">
            <w:pPr>
              <w:jc w:val="right"/>
              <w:rPr>
                <w:b/>
                <w:sz w:val="18"/>
              </w:rPr>
            </w:pPr>
            <w:r w:rsidRPr="00FB7C44">
              <w:rPr>
                <w:b/>
                <w:sz w:val="18"/>
              </w:rPr>
              <w:t>13.07%</w:t>
            </w:r>
          </w:p>
        </w:tc>
        <w:tc>
          <w:tcPr>
            <w:tcW w:w="906" w:type="dxa"/>
            <w:shd w:val="clear" w:color="auto" w:fill="DEEAF6" w:themeFill="accent1" w:themeFillTint="33"/>
            <w:noWrap/>
            <w:vAlign w:val="center"/>
            <w:hideMark/>
          </w:tcPr>
          <w:p w14:paraId="5A92D988" w14:textId="77777777" w:rsidR="00085F16" w:rsidRPr="00FB7C44" w:rsidRDefault="00085F16" w:rsidP="00085F16">
            <w:pPr>
              <w:jc w:val="right"/>
              <w:rPr>
                <w:b/>
                <w:sz w:val="18"/>
              </w:rPr>
            </w:pPr>
            <w:r w:rsidRPr="00FB7C44">
              <w:rPr>
                <w:b/>
                <w:sz w:val="18"/>
              </w:rPr>
              <w:t>14.38%</w:t>
            </w:r>
          </w:p>
        </w:tc>
        <w:tc>
          <w:tcPr>
            <w:tcW w:w="838" w:type="dxa"/>
            <w:shd w:val="clear" w:color="auto" w:fill="DEEAF6" w:themeFill="accent1" w:themeFillTint="33"/>
            <w:vAlign w:val="center"/>
          </w:tcPr>
          <w:p w14:paraId="4EB01FFB" w14:textId="77777777" w:rsidR="00085F16" w:rsidRPr="00FB7C44" w:rsidRDefault="00085F16" w:rsidP="00085F16">
            <w:pPr>
              <w:jc w:val="right"/>
              <w:rPr>
                <w:b/>
                <w:sz w:val="18"/>
              </w:rPr>
            </w:pPr>
            <w:r w:rsidRPr="00FB7C44">
              <w:rPr>
                <w:b/>
                <w:sz w:val="18"/>
              </w:rPr>
              <w:t>16.62%</w:t>
            </w:r>
          </w:p>
        </w:tc>
        <w:tc>
          <w:tcPr>
            <w:tcW w:w="937" w:type="dxa"/>
            <w:shd w:val="clear" w:color="auto" w:fill="DEEAF6" w:themeFill="accent1" w:themeFillTint="33"/>
            <w:vAlign w:val="center"/>
          </w:tcPr>
          <w:p w14:paraId="55C7B766" w14:textId="77777777" w:rsidR="00085F16" w:rsidRPr="00FB7C44" w:rsidRDefault="00085F16" w:rsidP="00085F16">
            <w:pPr>
              <w:jc w:val="right"/>
              <w:rPr>
                <w:b/>
                <w:sz w:val="18"/>
              </w:rPr>
            </w:pPr>
            <w:r w:rsidRPr="00FB7C44">
              <w:rPr>
                <w:b/>
                <w:sz w:val="18"/>
              </w:rPr>
              <w:t>17.12%</w:t>
            </w:r>
          </w:p>
        </w:tc>
        <w:tc>
          <w:tcPr>
            <w:tcW w:w="840" w:type="dxa"/>
            <w:shd w:val="clear" w:color="auto" w:fill="DEEAF6" w:themeFill="accent1" w:themeFillTint="33"/>
            <w:vAlign w:val="center"/>
          </w:tcPr>
          <w:p w14:paraId="69D3AE60" w14:textId="77777777" w:rsidR="00085F16" w:rsidRPr="00FB7C44" w:rsidRDefault="00085F16" w:rsidP="00085F16">
            <w:pPr>
              <w:jc w:val="right"/>
              <w:rPr>
                <w:b/>
                <w:sz w:val="18"/>
              </w:rPr>
            </w:pPr>
            <w:r w:rsidRPr="00FB7C44">
              <w:rPr>
                <w:b/>
                <w:sz w:val="18"/>
              </w:rPr>
              <w:t>17.15%</w:t>
            </w:r>
          </w:p>
        </w:tc>
        <w:tc>
          <w:tcPr>
            <w:tcW w:w="840" w:type="dxa"/>
            <w:shd w:val="clear" w:color="auto" w:fill="DEEAF6" w:themeFill="accent1" w:themeFillTint="33"/>
            <w:vAlign w:val="center"/>
          </w:tcPr>
          <w:p w14:paraId="78D58F69" w14:textId="77777777" w:rsidR="00085F16" w:rsidRPr="00FB7C44" w:rsidRDefault="00085F16" w:rsidP="00085F16">
            <w:pPr>
              <w:jc w:val="right"/>
              <w:rPr>
                <w:b/>
                <w:sz w:val="18"/>
              </w:rPr>
            </w:pPr>
            <w:r w:rsidRPr="00FB7C44">
              <w:rPr>
                <w:b/>
                <w:sz w:val="18"/>
              </w:rPr>
              <w:t>18.20%</w:t>
            </w:r>
          </w:p>
        </w:tc>
        <w:tc>
          <w:tcPr>
            <w:tcW w:w="840" w:type="dxa"/>
            <w:shd w:val="clear" w:color="auto" w:fill="DEEAF6" w:themeFill="accent1" w:themeFillTint="33"/>
            <w:vAlign w:val="center"/>
          </w:tcPr>
          <w:p w14:paraId="33EB969F" w14:textId="77777777" w:rsidR="00085F16" w:rsidRPr="00FB7C44" w:rsidRDefault="00085F16" w:rsidP="00085F16">
            <w:pPr>
              <w:jc w:val="right"/>
              <w:rPr>
                <w:b/>
                <w:sz w:val="18"/>
              </w:rPr>
            </w:pPr>
            <w:r w:rsidRPr="00FB7C44">
              <w:rPr>
                <w:b/>
                <w:sz w:val="18"/>
              </w:rPr>
              <w:t>19.36%</w:t>
            </w:r>
          </w:p>
        </w:tc>
        <w:tc>
          <w:tcPr>
            <w:tcW w:w="840" w:type="dxa"/>
            <w:shd w:val="clear" w:color="auto" w:fill="DEEAF6" w:themeFill="accent1" w:themeFillTint="33"/>
            <w:vAlign w:val="center"/>
          </w:tcPr>
          <w:p w14:paraId="6FFE25C1" w14:textId="77777777" w:rsidR="00085F16" w:rsidRPr="00FB7C44" w:rsidRDefault="00085F16" w:rsidP="00085F16">
            <w:pPr>
              <w:jc w:val="right"/>
              <w:rPr>
                <w:b/>
                <w:sz w:val="18"/>
              </w:rPr>
            </w:pPr>
            <w:r w:rsidRPr="00FB7C44">
              <w:rPr>
                <w:b/>
                <w:sz w:val="18"/>
              </w:rPr>
              <w:t>20.20%</w:t>
            </w:r>
          </w:p>
        </w:tc>
      </w:tr>
    </w:tbl>
    <w:p w14:paraId="5B073751" w14:textId="77777777" w:rsidR="00085F16" w:rsidRDefault="00085F16" w:rsidP="00085F16">
      <w:pPr>
        <w:rPr>
          <w:sz w:val="18"/>
          <w:szCs w:val="18"/>
        </w:rPr>
      </w:pPr>
      <w:r w:rsidRPr="00FB7C44">
        <w:rPr>
          <w:sz w:val="18"/>
          <w:szCs w:val="18"/>
        </w:rPr>
        <w:t>Shënim: P-Parashikim</w:t>
      </w:r>
    </w:p>
    <w:p w14:paraId="3EE1F5CB" w14:textId="77777777" w:rsidR="00085F16" w:rsidRPr="00591E18" w:rsidRDefault="00085F16" w:rsidP="00802FB3">
      <w:pPr>
        <w:pStyle w:val="ERPL3"/>
        <w:numPr>
          <w:ilvl w:val="0"/>
          <w:numId w:val="95"/>
        </w:numPr>
        <w:ind w:hanging="720"/>
        <w:rPr>
          <w:i w:val="0"/>
          <w:iCs/>
        </w:rPr>
      </w:pPr>
      <w:bookmarkStart w:id="168" w:name="_Toc25873739"/>
      <w:r w:rsidRPr="00591E18">
        <w:rPr>
          <w:i w:val="0"/>
          <w:iCs/>
        </w:rPr>
        <w:t>Detyrimet Kontigjente</w:t>
      </w:r>
      <w:bookmarkEnd w:id="168"/>
    </w:p>
    <w:p w14:paraId="7D9F3EA4" w14:textId="77777777" w:rsidR="00085F16" w:rsidRPr="00620506" w:rsidRDefault="00085F16" w:rsidP="00620506">
      <w:pPr>
        <w:spacing w:before="240" w:line="276" w:lineRule="auto"/>
        <w:jc w:val="both"/>
        <w:rPr>
          <w:rFonts w:ascii="Times New Roman" w:hAnsi="Times New Roman" w:cs="Times New Roman"/>
          <w:sz w:val="24"/>
          <w:szCs w:val="24"/>
        </w:rPr>
      </w:pPr>
      <w:r w:rsidRPr="00620506">
        <w:rPr>
          <w:rFonts w:ascii="Times New Roman" w:hAnsi="Times New Roman" w:cs="Times New Roman"/>
          <w:sz w:val="24"/>
          <w:szCs w:val="24"/>
        </w:rPr>
        <w:t>Në fund të vitit 2018 portofoli i garancioneve shtetërore përbëhej nga tre Garanci Shtetërore. Garancioni i parë është lëshuar në vitin 2014, në vlerë prej 10 milionë euro, për të garantuar FSDK-në për linjën  kreditore me BERZH-in. Garancia e dytë shtetërore, u lëshua në vitin 2016, për të garantuar Trafikun Urban për huanë e siguruar nga BERZH-i në vlerë prej 10 milionë euro. Ndërsa në vitin 2017 është lëshuar edhe garancia e tretë në shumën 24 milion euro për të garantuar linjën e dytë kreditore të FSDK-së.</w:t>
      </w:r>
    </w:p>
    <w:p w14:paraId="613307DF" w14:textId="77777777" w:rsidR="00085F16" w:rsidRPr="00620506" w:rsidRDefault="00085F16" w:rsidP="00620506">
      <w:pPr>
        <w:spacing w:after="240" w:line="276" w:lineRule="auto"/>
        <w:jc w:val="both"/>
        <w:rPr>
          <w:rFonts w:ascii="Times New Roman" w:hAnsi="Times New Roman" w:cs="Times New Roman"/>
          <w:sz w:val="24"/>
          <w:szCs w:val="24"/>
        </w:rPr>
      </w:pPr>
      <w:r w:rsidRPr="00620506">
        <w:rPr>
          <w:rFonts w:ascii="Times New Roman" w:hAnsi="Times New Roman" w:cs="Times New Roman"/>
          <w:sz w:val="24"/>
          <w:szCs w:val="24"/>
        </w:rPr>
        <w:t>Në tabelën e mëposhtme është paraqitur historiku i emetimit të garancioneve që nga viti 2014:</w:t>
      </w:r>
    </w:p>
    <w:p w14:paraId="7DC1DE3C" w14:textId="77777777" w:rsidR="00085F16" w:rsidRPr="00A74C67" w:rsidRDefault="00085F16" w:rsidP="00085F16">
      <w:pPr>
        <w:pStyle w:val="Caption"/>
        <w:keepNext/>
        <w:spacing w:after="0"/>
        <w:rPr>
          <w:rFonts w:ascii="Times New Roman" w:hAnsi="Times New Roman"/>
          <w:b/>
          <w:i w:val="0"/>
          <w:color w:val="auto"/>
        </w:rPr>
      </w:pPr>
      <w:bookmarkStart w:id="169" w:name="_Toc25673452"/>
      <w:r w:rsidRPr="00A74C67">
        <w:rPr>
          <w:rFonts w:ascii="Times New Roman" w:hAnsi="Times New Roman"/>
          <w:b/>
          <w:i w:val="0"/>
          <w:color w:val="auto"/>
        </w:rPr>
        <w:t xml:space="preserve">Tabela </w:t>
      </w:r>
      <w:r w:rsidRPr="00A74C67">
        <w:rPr>
          <w:rFonts w:ascii="Times New Roman" w:hAnsi="Times New Roman"/>
          <w:b/>
          <w:i w:val="0"/>
          <w:color w:val="auto"/>
        </w:rPr>
        <w:fldChar w:fldCharType="begin"/>
      </w:r>
      <w:r w:rsidRPr="00A74C67">
        <w:rPr>
          <w:rFonts w:ascii="Times New Roman" w:hAnsi="Times New Roman"/>
          <w:b/>
          <w:i w:val="0"/>
          <w:color w:val="auto"/>
        </w:rPr>
        <w:instrText xml:space="preserve"> SEQ Tabela \* ARABIC </w:instrText>
      </w:r>
      <w:r w:rsidRPr="00A74C67">
        <w:rPr>
          <w:rFonts w:ascii="Times New Roman" w:hAnsi="Times New Roman"/>
          <w:b/>
          <w:i w:val="0"/>
          <w:color w:val="auto"/>
        </w:rPr>
        <w:fldChar w:fldCharType="separate"/>
      </w:r>
      <w:r>
        <w:rPr>
          <w:rFonts w:ascii="Times New Roman" w:hAnsi="Times New Roman"/>
          <w:b/>
          <w:i w:val="0"/>
          <w:noProof/>
          <w:color w:val="auto"/>
        </w:rPr>
        <w:t>14</w:t>
      </w:r>
      <w:r w:rsidRPr="00A74C67">
        <w:rPr>
          <w:rFonts w:ascii="Times New Roman" w:hAnsi="Times New Roman"/>
          <w:b/>
          <w:i w:val="0"/>
          <w:color w:val="auto"/>
        </w:rPr>
        <w:fldChar w:fldCharType="end"/>
      </w:r>
      <w:r w:rsidRPr="00A74C67">
        <w:rPr>
          <w:rFonts w:ascii="Times New Roman" w:hAnsi="Times New Roman"/>
          <w:b/>
          <w:i w:val="0"/>
          <w:color w:val="auto"/>
        </w:rPr>
        <w:t xml:space="preserve"> Garancitë shtetërore</w:t>
      </w:r>
      <w:bookmarkEnd w:id="169"/>
    </w:p>
    <w:tbl>
      <w:tblPr>
        <w:tblStyle w:val="TableGrid"/>
        <w:tblW w:w="8960" w:type="dxa"/>
        <w:shd w:val="clear" w:color="auto" w:fill="DEEAF6" w:themeFill="accent1" w:themeFillTint="33"/>
        <w:tblLayout w:type="fixed"/>
        <w:tblLook w:val="04A0" w:firstRow="1" w:lastRow="0" w:firstColumn="1" w:lastColumn="0" w:noHBand="0" w:noVBand="1"/>
      </w:tblPr>
      <w:tblGrid>
        <w:gridCol w:w="1805"/>
        <w:gridCol w:w="639"/>
        <w:gridCol w:w="779"/>
        <w:gridCol w:w="779"/>
        <w:gridCol w:w="779"/>
        <w:gridCol w:w="779"/>
        <w:gridCol w:w="850"/>
        <w:gridCol w:w="850"/>
        <w:gridCol w:w="850"/>
        <w:gridCol w:w="850"/>
      </w:tblGrid>
      <w:tr w:rsidR="00085F16" w:rsidRPr="00FB7C44" w14:paraId="480461DF" w14:textId="77777777" w:rsidTr="00085F16">
        <w:trPr>
          <w:trHeight w:val="405"/>
        </w:trPr>
        <w:tc>
          <w:tcPr>
            <w:tcW w:w="1805" w:type="dxa"/>
            <w:shd w:val="clear" w:color="auto" w:fill="DEEAF6" w:themeFill="accent1" w:themeFillTint="33"/>
            <w:noWrap/>
            <w:vAlign w:val="center"/>
            <w:hideMark/>
          </w:tcPr>
          <w:p w14:paraId="1177970A" w14:textId="77777777" w:rsidR="00085F16" w:rsidRPr="00FB7C44" w:rsidRDefault="00085F16" w:rsidP="00085F16">
            <w:pPr>
              <w:jc w:val="center"/>
              <w:rPr>
                <w:b/>
                <w:color w:val="000000" w:themeColor="text1"/>
                <w:sz w:val="18"/>
              </w:rPr>
            </w:pPr>
          </w:p>
        </w:tc>
        <w:tc>
          <w:tcPr>
            <w:tcW w:w="639" w:type="dxa"/>
            <w:shd w:val="clear" w:color="auto" w:fill="DEEAF6" w:themeFill="accent1" w:themeFillTint="33"/>
            <w:noWrap/>
            <w:vAlign w:val="center"/>
            <w:hideMark/>
          </w:tcPr>
          <w:p w14:paraId="33EA1C32" w14:textId="77777777" w:rsidR="00085F16" w:rsidRPr="00FB7C44" w:rsidRDefault="00085F16" w:rsidP="00085F16">
            <w:pPr>
              <w:jc w:val="center"/>
              <w:rPr>
                <w:b/>
                <w:color w:val="000000" w:themeColor="text1"/>
                <w:sz w:val="18"/>
              </w:rPr>
            </w:pPr>
            <w:r w:rsidRPr="00FB7C44">
              <w:rPr>
                <w:b/>
                <w:color w:val="000000" w:themeColor="text1"/>
                <w:sz w:val="18"/>
              </w:rPr>
              <w:t>2014</w:t>
            </w:r>
          </w:p>
        </w:tc>
        <w:tc>
          <w:tcPr>
            <w:tcW w:w="779" w:type="dxa"/>
            <w:shd w:val="clear" w:color="auto" w:fill="DEEAF6" w:themeFill="accent1" w:themeFillTint="33"/>
            <w:vAlign w:val="center"/>
          </w:tcPr>
          <w:p w14:paraId="37488188" w14:textId="77777777" w:rsidR="00085F16" w:rsidRPr="00FB7C44" w:rsidRDefault="00085F16" w:rsidP="00085F16">
            <w:pPr>
              <w:jc w:val="center"/>
              <w:rPr>
                <w:b/>
                <w:color w:val="000000" w:themeColor="text1"/>
                <w:sz w:val="18"/>
              </w:rPr>
            </w:pPr>
            <w:r w:rsidRPr="00FB7C44">
              <w:rPr>
                <w:b/>
                <w:color w:val="000000" w:themeColor="text1"/>
                <w:sz w:val="18"/>
              </w:rPr>
              <w:t>2015</w:t>
            </w:r>
          </w:p>
        </w:tc>
        <w:tc>
          <w:tcPr>
            <w:tcW w:w="779" w:type="dxa"/>
            <w:shd w:val="clear" w:color="auto" w:fill="DEEAF6" w:themeFill="accent1" w:themeFillTint="33"/>
            <w:vAlign w:val="center"/>
          </w:tcPr>
          <w:p w14:paraId="739E104D" w14:textId="77777777" w:rsidR="00085F16" w:rsidRPr="00FB7C44" w:rsidRDefault="00085F16" w:rsidP="00085F16">
            <w:pPr>
              <w:jc w:val="center"/>
              <w:rPr>
                <w:b/>
                <w:color w:val="000000" w:themeColor="text1"/>
                <w:sz w:val="18"/>
              </w:rPr>
            </w:pPr>
            <w:r w:rsidRPr="00FB7C44">
              <w:rPr>
                <w:b/>
                <w:color w:val="000000" w:themeColor="text1"/>
                <w:sz w:val="18"/>
              </w:rPr>
              <w:t>2016</w:t>
            </w:r>
          </w:p>
        </w:tc>
        <w:tc>
          <w:tcPr>
            <w:tcW w:w="779" w:type="dxa"/>
            <w:shd w:val="clear" w:color="auto" w:fill="DEEAF6" w:themeFill="accent1" w:themeFillTint="33"/>
            <w:vAlign w:val="center"/>
          </w:tcPr>
          <w:p w14:paraId="11E44845" w14:textId="77777777" w:rsidR="00085F16" w:rsidRPr="00FB7C44" w:rsidRDefault="00085F16" w:rsidP="00085F16">
            <w:pPr>
              <w:jc w:val="center"/>
              <w:rPr>
                <w:b/>
                <w:color w:val="000000" w:themeColor="text1"/>
                <w:sz w:val="18"/>
              </w:rPr>
            </w:pPr>
            <w:r w:rsidRPr="00FB7C44">
              <w:rPr>
                <w:b/>
                <w:color w:val="000000" w:themeColor="text1"/>
                <w:sz w:val="18"/>
              </w:rPr>
              <w:t>2017</w:t>
            </w:r>
          </w:p>
        </w:tc>
        <w:tc>
          <w:tcPr>
            <w:tcW w:w="779" w:type="dxa"/>
            <w:shd w:val="clear" w:color="auto" w:fill="DEEAF6" w:themeFill="accent1" w:themeFillTint="33"/>
            <w:vAlign w:val="center"/>
          </w:tcPr>
          <w:p w14:paraId="7DB540ED" w14:textId="77777777" w:rsidR="00085F16" w:rsidRPr="00FB7C44" w:rsidRDefault="00085F16" w:rsidP="00085F16">
            <w:pPr>
              <w:jc w:val="center"/>
              <w:rPr>
                <w:b/>
                <w:color w:val="000000" w:themeColor="text1"/>
                <w:sz w:val="18"/>
              </w:rPr>
            </w:pPr>
            <w:r w:rsidRPr="00FB7C44">
              <w:rPr>
                <w:b/>
                <w:color w:val="000000" w:themeColor="text1"/>
                <w:sz w:val="18"/>
              </w:rPr>
              <w:t>2018</w:t>
            </w:r>
          </w:p>
        </w:tc>
        <w:tc>
          <w:tcPr>
            <w:tcW w:w="850" w:type="dxa"/>
            <w:shd w:val="clear" w:color="auto" w:fill="DEEAF6" w:themeFill="accent1" w:themeFillTint="33"/>
            <w:vAlign w:val="center"/>
          </w:tcPr>
          <w:p w14:paraId="2D88B757" w14:textId="77777777" w:rsidR="00085F16" w:rsidRPr="00FB7C44" w:rsidRDefault="00085F16" w:rsidP="00085F16">
            <w:pPr>
              <w:jc w:val="center"/>
              <w:rPr>
                <w:b/>
                <w:color w:val="000000" w:themeColor="text1"/>
                <w:sz w:val="18"/>
              </w:rPr>
            </w:pPr>
            <w:r w:rsidRPr="00FB7C44">
              <w:rPr>
                <w:b/>
                <w:color w:val="000000" w:themeColor="text1"/>
                <w:sz w:val="18"/>
              </w:rPr>
              <w:t xml:space="preserve">P.2019 </w:t>
            </w:r>
          </w:p>
        </w:tc>
        <w:tc>
          <w:tcPr>
            <w:tcW w:w="850" w:type="dxa"/>
            <w:shd w:val="clear" w:color="auto" w:fill="DEEAF6" w:themeFill="accent1" w:themeFillTint="33"/>
            <w:vAlign w:val="center"/>
          </w:tcPr>
          <w:p w14:paraId="70EE462A" w14:textId="77777777" w:rsidR="00085F16" w:rsidRPr="00FB7C44" w:rsidRDefault="00085F16" w:rsidP="00085F16">
            <w:pPr>
              <w:jc w:val="center"/>
              <w:rPr>
                <w:b/>
                <w:color w:val="000000" w:themeColor="text1"/>
                <w:sz w:val="18"/>
              </w:rPr>
            </w:pPr>
            <w:r w:rsidRPr="00FB7C44">
              <w:rPr>
                <w:b/>
                <w:color w:val="000000" w:themeColor="text1"/>
                <w:sz w:val="18"/>
              </w:rPr>
              <w:t>P.2020</w:t>
            </w:r>
          </w:p>
        </w:tc>
        <w:tc>
          <w:tcPr>
            <w:tcW w:w="850" w:type="dxa"/>
            <w:shd w:val="clear" w:color="auto" w:fill="DEEAF6" w:themeFill="accent1" w:themeFillTint="33"/>
            <w:vAlign w:val="center"/>
          </w:tcPr>
          <w:p w14:paraId="0006B6FE" w14:textId="77777777" w:rsidR="00085F16" w:rsidRPr="00FB7C44" w:rsidRDefault="00085F16" w:rsidP="00085F16">
            <w:pPr>
              <w:jc w:val="center"/>
              <w:rPr>
                <w:b/>
                <w:color w:val="000000" w:themeColor="text1"/>
                <w:sz w:val="18"/>
              </w:rPr>
            </w:pPr>
            <w:r w:rsidRPr="00FB7C44">
              <w:rPr>
                <w:b/>
                <w:color w:val="000000" w:themeColor="text1"/>
                <w:sz w:val="18"/>
              </w:rPr>
              <w:t>P.2021</w:t>
            </w:r>
          </w:p>
        </w:tc>
        <w:tc>
          <w:tcPr>
            <w:tcW w:w="850" w:type="dxa"/>
            <w:shd w:val="clear" w:color="auto" w:fill="DEEAF6" w:themeFill="accent1" w:themeFillTint="33"/>
            <w:vAlign w:val="center"/>
          </w:tcPr>
          <w:p w14:paraId="1CA6D9F6" w14:textId="77777777" w:rsidR="00085F16" w:rsidRPr="00FB7C44" w:rsidRDefault="00085F16" w:rsidP="00085F16">
            <w:pPr>
              <w:jc w:val="center"/>
              <w:rPr>
                <w:b/>
                <w:color w:val="000000" w:themeColor="text1"/>
                <w:sz w:val="18"/>
              </w:rPr>
            </w:pPr>
            <w:r w:rsidRPr="00FB7C44">
              <w:rPr>
                <w:b/>
                <w:color w:val="000000" w:themeColor="text1"/>
                <w:sz w:val="18"/>
              </w:rPr>
              <w:t>P.2022</w:t>
            </w:r>
          </w:p>
        </w:tc>
      </w:tr>
      <w:tr w:rsidR="00085F16" w:rsidRPr="00FB7C44" w14:paraId="3FD2400A" w14:textId="77777777" w:rsidTr="00085F16">
        <w:trPr>
          <w:trHeight w:val="338"/>
        </w:trPr>
        <w:tc>
          <w:tcPr>
            <w:tcW w:w="1805" w:type="dxa"/>
            <w:shd w:val="clear" w:color="auto" w:fill="DEEAF6" w:themeFill="accent1" w:themeFillTint="33"/>
            <w:noWrap/>
            <w:vAlign w:val="center"/>
            <w:hideMark/>
          </w:tcPr>
          <w:p w14:paraId="6B2B95A1" w14:textId="77777777" w:rsidR="00085F16" w:rsidRPr="00FB7C44" w:rsidRDefault="00085F16" w:rsidP="00085F16">
            <w:pPr>
              <w:rPr>
                <w:b/>
                <w:bCs/>
                <w:i/>
                <w:iCs/>
                <w:sz w:val="18"/>
              </w:rPr>
            </w:pPr>
            <w:r w:rsidRPr="00FB7C44">
              <w:rPr>
                <w:b/>
                <w:i/>
                <w:sz w:val="18"/>
              </w:rPr>
              <w:t>Garancitë shtetërore</w:t>
            </w:r>
          </w:p>
        </w:tc>
        <w:tc>
          <w:tcPr>
            <w:tcW w:w="639" w:type="dxa"/>
            <w:shd w:val="clear" w:color="auto" w:fill="DEEAF6" w:themeFill="accent1" w:themeFillTint="33"/>
            <w:noWrap/>
            <w:vAlign w:val="center"/>
            <w:hideMark/>
          </w:tcPr>
          <w:p w14:paraId="021837BB" w14:textId="77777777" w:rsidR="00085F16" w:rsidRPr="00FB7C44" w:rsidRDefault="00085F16" w:rsidP="00085F16">
            <w:pPr>
              <w:jc w:val="center"/>
              <w:rPr>
                <w:b/>
                <w:bCs/>
                <w:sz w:val="18"/>
              </w:rPr>
            </w:pPr>
            <w:r w:rsidRPr="00FB7C44">
              <w:rPr>
                <w:b/>
                <w:bCs/>
                <w:sz w:val="18"/>
              </w:rPr>
              <w:t>10.00</w:t>
            </w:r>
          </w:p>
        </w:tc>
        <w:tc>
          <w:tcPr>
            <w:tcW w:w="779" w:type="dxa"/>
            <w:shd w:val="clear" w:color="auto" w:fill="DEEAF6" w:themeFill="accent1" w:themeFillTint="33"/>
            <w:vAlign w:val="center"/>
          </w:tcPr>
          <w:p w14:paraId="761EA652" w14:textId="77777777" w:rsidR="00085F16" w:rsidRPr="00FB7C44" w:rsidRDefault="00085F16" w:rsidP="00085F16">
            <w:pPr>
              <w:jc w:val="center"/>
              <w:rPr>
                <w:b/>
                <w:bCs/>
                <w:sz w:val="18"/>
              </w:rPr>
            </w:pPr>
            <w:r w:rsidRPr="00FB7C44">
              <w:rPr>
                <w:b/>
                <w:bCs/>
                <w:sz w:val="18"/>
              </w:rPr>
              <w:t>10.00</w:t>
            </w:r>
          </w:p>
        </w:tc>
        <w:tc>
          <w:tcPr>
            <w:tcW w:w="779" w:type="dxa"/>
            <w:shd w:val="clear" w:color="auto" w:fill="DEEAF6" w:themeFill="accent1" w:themeFillTint="33"/>
            <w:vAlign w:val="center"/>
          </w:tcPr>
          <w:p w14:paraId="10DF8A23" w14:textId="77777777" w:rsidR="00085F16" w:rsidRPr="00FB7C44" w:rsidRDefault="00085F16" w:rsidP="00085F16">
            <w:pPr>
              <w:jc w:val="center"/>
              <w:rPr>
                <w:b/>
                <w:bCs/>
                <w:sz w:val="18"/>
              </w:rPr>
            </w:pPr>
            <w:r w:rsidRPr="00FB7C44">
              <w:rPr>
                <w:b/>
                <w:bCs/>
                <w:sz w:val="18"/>
              </w:rPr>
              <w:t>20.00</w:t>
            </w:r>
          </w:p>
        </w:tc>
        <w:tc>
          <w:tcPr>
            <w:tcW w:w="779" w:type="dxa"/>
            <w:shd w:val="clear" w:color="auto" w:fill="DEEAF6" w:themeFill="accent1" w:themeFillTint="33"/>
            <w:vAlign w:val="center"/>
          </w:tcPr>
          <w:p w14:paraId="6AC30BF2" w14:textId="77777777" w:rsidR="00085F16" w:rsidRPr="00FB7C44" w:rsidRDefault="00085F16" w:rsidP="00085F16">
            <w:pPr>
              <w:jc w:val="center"/>
              <w:rPr>
                <w:b/>
                <w:bCs/>
                <w:sz w:val="18"/>
              </w:rPr>
            </w:pPr>
            <w:r w:rsidRPr="00FB7C44">
              <w:rPr>
                <w:b/>
                <w:bCs/>
                <w:sz w:val="18"/>
              </w:rPr>
              <w:t>44.00</w:t>
            </w:r>
          </w:p>
        </w:tc>
        <w:tc>
          <w:tcPr>
            <w:tcW w:w="779" w:type="dxa"/>
            <w:shd w:val="clear" w:color="auto" w:fill="DEEAF6" w:themeFill="accent1" w:themeFillTint="33"/>
            <w:vAlign w:val="center"/>
          </w:tcPr>
          <w:p w14:paraId="57AE3BB3" w14:textId="77777777" w:rsidR="00085F16" w:rsidRPr="00FB7C44" w:rsidRDefault="00085F16" w:rsidP="00085F16">
            <w:pPr>
              <w:jc w:val="center"/>
              <w:rPr>
                <w:b/>
                <w:bCs/>
                <w:sz w:val="18"/>
              </w:rPr>
            </w:pPr>
            <w:r w:rsidRPr="00FB7C44">
              <w:rPr>
                <w:b/>
                <w:bCs/>
                <w:sz w:val="18"/>
              </w:rPr>
              <w:t>44.00</w:t>
            </w:r>
          </w:p>
        </w:tc>
        <w:tc>
          <w:tcPr>
            <w:tcW w:w="850" w:type="dxa"/>
            <w:shd w:val="clear" w:color="auto" w:fill="DEEAF6" w:themeFill="accent1" w:themeFillTint="33"/>
            <w:vAlign w:val="center"/>
          </w:tcPr>
          <w:p w14:paraId="5235145F" w14:textId="77777777" w:rsidR="00085F16" w:rsidRPr="00FB7C44" w:rsidRDefault="00085F16" w:rsidP="00085F16">
            <w:pPr>
              <w:jc w:val="center"/>
              <w:rPr>
                <w:sz w:val="18"/>
              </w:rPr>
            </w:pPr>
            <w:r w:rsidRPr="00FB7C44">
              <w:rPr>
                <w:b/>
                <w:bCs/>
                <w:sz w:val="18"/>
              </w:rPr>
              <w:t>44.00</w:t>
            </w:r>
          </w:p>
        </w:tc>
        <w:tc>
          <w:tcPr>
            <w:tcW w:w="850" w:type="dxa"/>
            <w:shd w:val="clear" w:color="auto" w:fill="DEEAF6" w:themeFill="accent1" w:themeFillTint="33"/>
            <w:vAlign w:val="center"/>
          </w:tcPr>
          <w:p w14:paraId="595B7240" w14:textId="77777777" w:rsidR="00085F16" w:rsidRPr="00FB7C44" w:rsidRDefault="00085F16" w:rsidP="00085F16">
            <w:pPr>
              <w:jc w:val="center"/>
              <w:rPr>
                <w:sz w:val="18"/>
              </w:rPr>
            </w:pPr>
            <w:r w:rsidRPr="00FB7C44">
              <w:rPr>
                <w:b/>
                <w:bCs/>
                <w:sz w:val="18"/>
              </w:rPr>
              <w:t>44.00</w:t>
            </w:r>
          </w:p>
        </w:tc>
        <w:tc>
          <w:tcPr>
            <w:tcW w:w="850" w:type="dxa"/>
            <w:shd w:val="clear" w:color="auto" w:fill="DEEAF6" w:themeFill="accent1" w:themeFillTint="33"/>
            <w:vAlign w:val="center"/>
          </w:tcPr>
          <w:p w14:paraId="243AF71D" w14:textId="77777777" w:rsidR="00085F16" w:rsidRPr="00FB7C44" w:rsidRDefault="00085F16" w:rsidP="00085F16">
            <w:pPr>
              <w:jc w:val="center"/>
              <w:rPr>
                <w:sz w:val="18"/>
              </w:rPr>
            </w:pPr>
            <w:r w:rsidRPr="00FB7C44">
              <w:rPr>
                <w:b/>
                <w:bCs/>
                <w:sz w:val="18"/>
              </w:rPr>
              <w:t>44.00</w:t>
            </w:r>
          </w:p>
        </w:tc>
        <w:tc>
          <w:tcPr>
            <w:tcW w:w="850" w:type="dxa"/>
            <w:shd w:val="clear" w:color="auto" w:fill="DEEAF6" w:themeFill="accent1" w:themeFillTint="33"/>
            <w:vAlign w:val="center"/>
          </w:tcPr>
          <w:p w14:paraId="0526E2AA" w14:textId="77777777" w:rsidR="00085F16" w:rsidRPr="00FB7C44" w:rsidRDefault="00085F16" w:rsidP="00085F16">
            <w:pPr>
              <w:jc w:val="center"/>
              <w:rPr>
                <w:b/>
                <w:bCs/>
                <w:sz w:val="18"/>
              </w:rPr>
            </w:pPr>
            <w:r w:rsidRPr="00FB7C44">
              <w:rPr>
                <w:b/>
                <w:bCs/>
                <w:sz w:val="18"/>
              </w:rPr>
              <w:t>44.00</w:t>
            </w:r>
          </w:p>
        </w:tc>
      </w:tr>
      <w:tr w:rsidR="00085F16" w:rsidRPr="00FB7C44" w14:paraId="33B21DAD" w14:textId="77777777" w:rsidTr="00085F16">
        <w:trPr>
          <w:trHeight w:val="338"/>
        </w:trPr>
        <w:tc>
          <w:tcPr>
            <w:tcW w:w="1805" w:type="dxa"/>
            <w:shd w:val="clear" w:color="auto" w:fill="DEEAF6" w:themeFill="accent1" w:themeFillTint="33"/>
            <w:noWrap/>
            <w:vAlign w:val="center"/>
            <w:hideMark/>
          </w:tcPr>
          <w:p w14:paraId="7FEFA6E1" w14:textId="77777777" w:rsidR="00085F16" w:rsidRPr="00FB7C44" w:rsidRDefault="00085F16" w:rsidP="00085F16">
            <w:pPr>
              <w:rPr>
                <w:b/>
                <w:iCs/>
                <w:sz w:val="18"/>
              </w:rPr>
            </w:pPr>
            <w:r w:rsidRPr="00FB7C44">
              <w:rPr>
                <w:sz w:val="18"/>
              </w:rPr>
              <w:t>Garancioni për Linjën Kreditore DIFK</w:t>
            </w:r>
          </w:p>
        </w:tc>
        <w:tc>
          <w:tcPr>
            <w:tcW w:w="639" w:type="dxa"/>
            <w:shd w:val="clear" w:color="auto" w:fill="DEEAF6" w:themeFill="accent1" w:themeFillTint="33"/>
            <w:noWrap/>
            <w:vAlign w:val="center"/>
            <w:hideMark/>
          </w:tcPr>
          <w:p w14:paraId="27E2117B" w14:textId="77777777" w:rsidR="00085F16" w:rsidRPr="00FB7C44" w:rsidRDefault="00085F16" w:rsidP="00085F16">
            <w:pPr>
              <w:jc w:val="center"/>
              <w:rPr>
                <w:sz w:val="18"/>
              </w:rPr>
            </w:pPr>
            <w:r w:rsidRPr="00FB7C44">
              <w:rPr>
                <w:sz w:val="18"/>
              </w:rPr>
              <w:t>10.00</w:t>
            </w:r>
          </w:p>
        </w:tc>
        <w:tc>
          <w:tcPr>
            <w:tcW w:w="779" w:type="dxa"/>
            <w:shd w:val="clear" w:color="auto" w:fill="DEEAF6" w:themeFill="accent1" w:themeFillTint="33"/>
            <w:vAlign w:val="center"/>
          </w:tcPr>
          <w:p w14:paraId="26C56C62" w14:textId="77777777" w:rsidR="00085F16" w:rsidRPr="00FB7C44" w:rsidRDefault="00085F16" w:rsidP="00085F16">
            <w:pPr>
              <w:jc w:val="center"/>
              <w:rPr>
                <w:sz w:val="18"/>
              </w:rPr>
            </w:pPr>
            <w:r w:rsidRPr="00FB7C44">
              <w:rPr>
                <w:sz w:val="18"/>
              </w:rPr>
              <w:t>10.00</w:t>
            </w:r>
          </w:p>
        </w:tc>
        <w:tc>
          <w:tcPr>
            <w:tcW w:w="779" w:type="dxa"/>
            <w:shd w:val="clear" w:color="auto" w:fill="DEEAF6" w:themeFill="accent1" w:themeFillTint="33"/>
            <w:vAlign w:val="center"/>
          </w:tcPr>
          <w:p w14:paraId="7EDBB720" w14:textId="77777777" w:rsidR="00085F16" w:rsidRPr="00FB7C44" w:rsidRDefault="00085F16" w:rsidP="00085F16">
            <w:pPr>
              <w:jc w:val="center"/>
              <w:rPr>
                <w:sz w:val="18"/>
              </w:rPr>
            </w:pPr>
            <w:r w:rsidRPr="00FB7C44">
              <w:rPr>
                <w:sz w:val="18"/>
              </w:rPr>
              <w:t>10.00</w:t>
            </w:r>
          </w:p>
        </w:tc>
        <w:tc>
          <w:tcPr>
            <w:tcW w:w="779" w:type="dxa"/>
            <w:shd w:val="clear" w:color="auto" w:fill="DEEAF6" w:themeFill="accent1" w:themeFillTint="33"/>
            <w:vAlign w:val="center"/>
          </w:tcPr>
          <w:p w14:paraId="4E0D4A6C" w14:textId="77777777" w:rsidR="00085F16" w:rsidRPr="00FB7C44" w:rsidRDefault="00085F16" w:rsidP="00085F16">
            <w:pPr>
              <w:jc w:val="center"/>
              <w:rPr>
                <w:sz w:val="18"/>
              </w:rPr>
            </w:pPr>
            <w:r w:rsidRPr="00FB7C44">
              <w:rPr>
                <w:sz w:val="18"/>
              </w:rPr>
              <w:t>10.00</w:t>
            </w:r>
          </w:p>
        </w:tc>
        <w:tc>
          <w:tcPr>
            <w:tcW w:w="779" w:type="dxa"/>
            <w:shd w:val="clear" w:color="auto" w:fill="DEEAF6" w:themeFill="accent1" w:themeFillTint="33"/>
            <w:vAlign w:val="center"/>
          </w:tcPr>
          <w:p w14:paraId="6EECFE8D" w14:textId="77777777" w:rsidR="00085F16" w:rsidRPr="00FB7C44" w:rsidRDefault="00085F16" w:rsidP="00085F16">
            <w:pPr>
              <w:jc w:val="center"/>
              <w:rPr>
                <w:sz w:val="18"/>
              </w:rPr>
            </w:pPr>
            <w:r w:rsidRPr="00FB7C44">
              <w:rPr>
                <w:sz w:val="18"/>
              </w:rPr>
              <w:t>10.00</w:t>
            </w:r>
          </w:p>
        </w:tc>
        <w:tc>
          <w:tcPr>
            <w:tcW w:w="850" w:type="dxa"/>
            <w:shd w:val="clear" w:color="auto" w:fill="DEEAF6" w:themeFill="accent1" w:themeFillTint="33"/>
            <w:vAlign w:val="center"/>
          </w:tcPr>
          <w:p w14:paraId="14EE67F4" w14:textId="77777777" w:rsidR="00085F16" w:rsidRPr="00FB7C44" w:rsidRDefault="00085F16" w:rsidP="00085F16">
            <w:pPr>
              <w:jc w:val="center"/>
              <w:rPr>
                <w:sz w:val="18"/>
              </w:rPr>
            </w:pPr>
            <w:r w:rsidRPr="00FB7C44">
              <w:rPr>
                <w:sz w:val="18"/>
              </w:rPr>
              <w:t>10.00</w:t>
            </w:r>
          </w:p>
        </w:tc>
        <w:tc>
          <w:tcPr>
            <w:tcW w:w="850" w:type="dxa"/>
            <w:shd w:val="clear" w:color="auto" w:fill="DEEAF6" w:themeFill="accent1" w:themeFillTint="33"/>
            <w:vAlign w:val="center"/>
          </w:tcPr>
          <w:p w14:paraId="1916B184" w14:textId="77777777" w:rsidR="00085F16" w:rsidRPr="00FB7C44" w:rsidRDefault="00085F16" w:rsidP="00085F16">
            <w:pPr>
              <w:jc w:val="center"/>
              <w:rPr>
                <w:sz w:val="18"/>
              </w:rPr>
            </w:pPr>
            <w:r w:rsidRPr="00FB7C44">
              <w:rPr>
                <w:sz w:val="18"/>
              </w:rPr>
              <w:t>10.00</w:t>
            </w:r>
          </w:p>
        </w:tc>
        <w:tc>
          <w:tcPr>
            <w:tcW w:w="850" w:type="dxa"/>
            <w:shd w:val="clear" w:color="auto" w:fill="DEEAF6" w:themeFill="accent1" w:themeFillTint="33"/>
            <w:vAlign w:val="center"/>
          </w:tcPr>
          <w:p w14:paraId="16A4DF6F" w14:textId="77777777" w:rsidR="00085F16" w:rsidRPr="00FB7C44" w:rsidRDefault="00085F16" w:rsidP="00085F16">
            <w:pPr>
              <w:jc w:val="center"/>
              <w:rPr>
                <w:sz w:val="18"/>
              </w:rPr>
            </w:pPr>
            <w:r w:rsidRPr="00FB7C44">
              <w:rPr>
                <w:sz w:val="18"/>
              </w:rPr>
              <w:t>10.00</w:t>
            </w:r>
          </w:p>
        </w:tc>
        <w:tc>
          <w:tcPr>
            <w:tcW w:w="850" w:type="dxa"/>
            <w:shd w:val="clear" w:color="auto" w:fill="DEEAF6" w:themeFill="accent1" w:themeFillTint="33"/>
            <w:vAlign w:val="center"/>
          </w:tcPr>
          <w:p w14:paraId="4E1C6DEE" w14:textId="77777777" w:rsidR="00085F16" w:rsidRPr="00FB7C44" w:rsidRDefault="00085F16" w:rsidP="00085F16">
            <w:pPr>
              <w:jc w:val="center"/>
              <w:rPr>
                <w:sz w:val="18"/>
              </w:rPr>
            </w:pPr>
            <w:r w:rsidRPr="00FB7C44">
              <w:rPr>
                <w:sz w:val="18"/>
              </w:rPr>
              <w:t>10.00</w:t>
            </w:r>
          </w:p>
        </w:tc>
      </w:tr>
      <w:tr w:rsidR="00085F16" w:rsidRPr="00FB7C44" w14:paraId="377E79FD" w14:textId="77777777" w:rsidTr="00085F16">
        <w:trPr>
          <w:trHeight w:val="338"/>
        </w:trPr>
        <w:tc>
          <w:tcPr>
            <w:tcW w:w="1805" w:type="dxa"/>
            <w:shd w:val="clear" w:color="auto" w:fill="DEEAF6" w:themeFill="accent1" w:themeFillTint="33"/>
            <w:noWrap/>
            <w:vAlign w:val="center"/>
          </w:tcPr>
          <w:p w14:paraId="532943FF" w14:textId="77777777" w:rsidR="00085F16" w:rsidRPr="00FB7C44" w:rsidRDefault="00085F16" w:rsidP="00085F16">
            <w:pPr>
              <w:rPr>
                <w:b/>
                <w:iCs/>
                <w:sz w:val="18"/>
              </w:rPr>
            </w:pPr>
            <w:r w:rsidRPr="00FB7C44">
              <w:rPr>
                <w:iCs/>
                <w:sz w:val="18"/>
              </w:rPr>
              <w:t>Garancioni për kredinë e Trafikut Urban</w:t>
            </w:r>
          </w:p>
        </w:tc>
        <w:tc>
          <w:tcPr>
            <w:tcW w:w="639" w:type="dxa"/>
            <w:shd w:val="clear" w:color="auto" w:fill="DEEAF6" w:themeFill="accent1" w:themeFillTint="33"/>
            <w:noWrap/>
            <w:vAlign w:val="center"/>
          </w:tcPr>
          <w:p w14:paraId="712278C8" w14:textId="77777777" w:rsidR="00085F16" w:rsidRPr="00FB7C44" w:rsidRDefault="00085F16" w:rsidP="00085F16">
            <w:pPr>
              <w:jc w:val="center"/>
              <w:rPr>
                <w:sz w:val="18"/>
              </w:rPr>
            </w:pPr>
            <w:r w:rsidRPr="00FB7C44">
              <w:rPr>
                <w:sz w:val="18"/>
              </w:rPr>
              <w:t>0.00</w:t>
            </w:r>
          </w:p>
        </w:tc>
        <w:tc>
          <w:tcPr>
            <w:tcW w:w="779" w:type="dxa"/>
            <w:shd w:val="clear" w:color="auto" w:fill="DEEAF6" w:themeFill="accent1" w:themeFillTint="33"/>
            <w:vAlign w:val="center"/>
          </w:tcPr>
          <w:p w14:paraId="5280871E" w14:textId="77777777" w:rsidR="00085F16" w:rsidRPr="00FB7C44" w:rsidRDefault="00085F16" w:rsidP="00085F16">
            <w:pPr>
              <w:jc w:val="center"/>
              <w:rPr>
                <w:sz w:val="18"/>
              </w:rPr>
            </w:pPr>
            <w:r w:rsidRPr="00FB7C44">
              <w:rPr>
                <w:sz w:val="18"/>
              </w:rPr>
              <w:t>0.00</w:t>
            </w:r>
          </w:p>
        </w:tc>
        <w:tc>
          <w:tcPr>
            <w:tcW w:w="779" w:type="dxa"/>
            <w:shd w:val="clear" w:color="auto" w:fill="DEEAF6" w:themeFill="accent1" w:themeFillTint="33"/>
            <w:vAlign w:val="center"/>
          </w:tcPr>
          <w:p w14:paraId="27CC6A7C" w14:textId="77777777" w:rsidR="00085F16" w:rsidRPr="00FB7C44" w:rsidRDefault="00085F16" w:rsidP="00085F16">
            <w:pPr>
              <w:jc w:val="center"/>
              <w:rPr>
                <w:sz w:val="18"/>
              </w:rPr>
            </w:pPr>
            <w:r w:rsidRPr="00FB7C44">
              <w:rPr>
                <w:sz w:val="18"/>
              </w:rPr>
              <w:t>10.00</w:t>
            </w:r>
          </w:p>
        </w:tc>
        <w:tc>
          <w:tcPr>
            <w:tcW w:w="779" w:type="dxa"/>
            <w:shd w:val="clear" w:color="auto" w:fill="DEEAF6" w:themeFill="accent1" w:themeFillTint="33"/>
            <w:vAlign w:val="center"/>
          </w:tcPr>
          <w:p w14:paraId="681DCFB1" w14:textId="77777777" w:rsidR="00085F16" w:rsidRPr="00FB7C44" w:rsidRDefault="00085F16" w:rsidP="00085F16">
            <w:pPr>
              <w:jc w:val="center"/>
              <w:rPr>
                <w:sz w:val="18"/>
              </w:rPr>
            </w:pPr>
            <w:r w:rsidRPr="00FB7C44">
              <w:rPr>
                <w:sz w:val="18"/>
              </w:rPr>
              <w:t>10.00</w:t>
            </w:r>
          </w:p>
        </w:tc>
        <w:tc>
          <w:tcPr>
            <w:tcW w:w="779" w:type="dxa"/>
            <w:shd w:val="clear" w:color="auto" w:fill="DEEAF6" w:themeFill="accent1" w:themeFillTint="33"/>
            <w:vAlign w:val="center"/>
          </w:tcPr>
          <w:p w14:paraId="5AB59F6D" w14:textId="77777777" w:rsidR="00085F16" w:rsidRPr="00FB7C44" w:rsidRDefault="00085F16" w:rsidP="00085F16">
            <w:pPr>
              <w:jc w:val="center"/>
              <w:rPr>
                <w:sz w:val="18"/>
              </w:rPr>
            </w:pPr>
            <w:r w:rsidRPr="00FB7C44">
              <w:rPr>
                <w:sz w:val="18"/>
              </w:rPr>
              <w:t>10.00</w:t>
            </w:r>
          </w:p>
        </w:tc>
        <w:tc>
          <w:tcPr>
            <w:tcW w:w="850" w:type="dxa"/>
            <w:shd w:val="clear" w:color="auto" w:fill="DEEAF6" w:themeFill="accent1" w:themeFillTint="33"/>
            <w:vAlign w:val="center"/>
          </w:tcPr>
          <w:p w14:paraId="04B2088B" w14:textId="77777777" w:rsidR="00085F16" w:rsidRPr="00FB7C44" w:rsidRDefault="00085F16" w:rsidP="00085F16">
            <w:pPr>
              <w:jc w:val="center"/>
              <w:rPr>
                <w:sz w:val="18"/>
              </w:rPr>
            </w:pPr>
            <w:r w:rsidRPr="00FB7C44">
              <w:rPr>
                <w:sz w:val="18"/>
              </w:rPr>
              <w:t>10.00</w:t>
            </w:r>
          </w:p>
        </w:tc>
        <w:tc>
          <w:tcPr>
            <w:tcW w:w="850" w:type="dxa"/>
            <w:shd w:val="clear" w:color="auto" w:fill="DEEAF6" w:themeFill="accent1" w:themeFillTint="33"/>
            <w:vAlign w:val="center"/>
          </w:tcPr>
          <w:p w14:paraId="3CFE7E35" w14:textId="77777777" w:rsidR="00085F16" w:rsidRPr="00FB7C44" w:rsidRDefault="00085F16" w:rsidP="00085F16">
            <w:pPr>
              <w:jc w:val="center"/>
              <w:rPr>
                <w:sz w:val="18"/>
              </w:rPr>
            </w:pPr>
            <w:r w:rsidRPr="00FB7C44">
              <w:rPr>
                <w:sz w:val="18"/>
              </w:rPr>
              <w:t>10.00</w:t>
            </w:r>
          </w:p>
        </w:tc>
        <w:tc>
          <w:tcPr>
            <w:tcW w:w="850" w:type="dxa"/>
            <w:shd w:val="clear" w:color="auto" w:fill="DEEAF6" w:themeFill="accent1" w:themeFillTint="33"/>
            <w:vAlign w:val="center"/>
          </w:tcPr>
          <w:p w14:paraId="0A3C9C90" w14:textId="77777777" w:rsidR="00085F16" w:rsidRPr="00FB7C44" w:rsidRDefault="00085F16" w:rsidP="00085F16">
            <w:pPr>
              <w:jc w:val="center"/>
              <w:rPr>
                <w:sz w:val="18"/>
              </w:rPr>
            </w:pPr>
            <w:r w:rsidRPr="00FB7C44">
              <w:rPr>
                <w:sz w:val="18"/>
              </w:rPr>
              <w:t>10.00</w:t>
            </w:r>
          </w:p>
        </w:tc>
        <w:tc>
          <w:tcPr>
            <w:tcW w:w="850" w:type="dxa"/>
            <w:shd w:val="clear" w:color="auto" w:fill="DEEAF6" w:themeFill="accent1" w:themeFillTint="33"/>
            <w:vAlign w:val="center"/>
          </w:tcPr>
          <w:p w14:paraId="524EE39A" w14:textId="77777777" w:rsidR="00085F16" w:rsidRPr="00FB7C44" w:rsidRDefault="00085F16" w:rsidP="00085F16">
            <w:pPr>
              <w:jc w:val="center"/>
              <w:rPr>
                <w:sz w:val="18"/>
              </w:rPr>
            </w:pPr>
            <w:r w:rsidRPr="00FB7C44">
              <w:rPr>
                <w:sz w:val="18"/>
              </w:rPr>
              <w:t>10.00</w:t>
            </w:r>
          </w:p>
        </w:tc>
      </w:tr>
      <w:tr w:rsidR="00085F16" w:rsidRPr="00FB7C44" w14:paraId="094C10FD" w14:textId="77777777" w:rsidTr="00085F16">
        <w:trPr>
          <w:trHeight w:val="338"/>
        </w:trPr>
        <w:tc>
          <w:tcPr>
            <w:tcW w:w="1805" w:type="dxa"/>
            <w:shd w:val="clear" w:color="auto" w:fill="DEEAF6" w:themeFill="accent1" w:themeFillTint="33"/>
            <w:noWrap/>
            <w:vAlign w:val="center"/>
          </w:tcPr>
          <w:p w14:paraId="0A1AC019" w14:textId="77777777" w:rsidR="00085F16" w:rsidRPr="00FB7C44" w:rsidRDefault="00085F16" w:rsidP="00085F16">
            <w:pPr>
              <w:rPr>
                <w:b/>
                <w:iCs/>
                <w:sz w:val="18"/>
              </w:rPr>
            </w:pPr>
            <w:r w:rsidRPr="00FB7C44">
              <w:rPr>
                <w:sz w:val="18"/>
              </w:rPr>
              <w:t>Garancioni për Linjën e Dytë Kreditore DIFK</w:t>
            </w:r>
          </w:p>
        </w:tc>
        <w:tc>
          <w:tcPr>
            <w:tcW w:w="639" w:type="dxa"/>
            <w:shd w:val="clear" w:color="auto" w:fill="DEEAF6" w:themeFill="accent1" w:themeFillTint="33"/>
            <w:noWrap/>
            <w:vAlign w:val="center"/>
          </w:tcPr>
          <w:p w14:paraId="3F4822C0" w14:textId="77777777" w:rsidR="00085F16" w:rsidRPr="00FB7C44" w:rsidRDefault="00085F16" w:rsidP="00085F16">
            <w:pPr>
              <w:jc w:val="center"/>
              <w:rPr>
                <w:sz w:val="18"/>
              </w:rPr>
            </w:pPr>
            <w:r w:rsidRPr="00FB7C44">
              <w:rPr>
                <w:sz w:val="18"/>
              </w:rPr>
              <w:t>0.00</w:t>
            </w:r>
          </w:p>
        </w:tc>
        <w:tc>
          <w:tcPr>
            <w:tcW w:w="779" w:type="dxa"/>
            <w:shd w:val="clear" w:color="auto" w:fill="DEEAF6" w:themeFill="accent1" w:themeFillTint="33"/>
            <w:vAlign w:val="center"/>
          </w:tcPr>
          <w:p w14:paraId="4D69E4E9" w14:textId="77777777" w:rsidR="00085F16" w:rsidRPr="00FB7C44" w:rsidRDefault="00085F16" w:rsidP="00085F16">
            <w:pPr>
              <w:jc w:val="center"/>
              <w:rPr>
                <w:sz w:val="18"/>
              </w:rPr>
            </w:pPr>
            <w:r w:rsidRPr="00FB7C44">
              <w:rPr>
                <w:sz w:val="18"/>
              </w:rPr>
              <w:t>0.00</w:t>
            </w:r>
          </w:p>
        </w:tc>
        <w:tc>
          <w:tcPr>
            <w:tcW w:w="779" w:type="dxa"/>
            <w:shd w:val="clear" w:color="auto" w:fill="DEEAF6" w:themeFill="accent1" w:themeFillTint="33"/>
            <w:vAlign w:val="center"/>
          </w:tcPr>
          <w:p w14:paraId="727F8B38" w14:textId="77777777" w:rsidR="00085F16" w:rsidRPr="00FB7C44" w:rsidRDefault="00085F16" w:rsidP="00085F16">
            <w:pPr>
              <w:jc w:val="center"/>
              <w:rPr>
                <w:sz w:val="18"/>
              </w:rPr>
            </w:pPr>
            <w:r w:rsidRPr="00FB7C44">
              <w:rPr>
                <w:sz w:val="18"/>
              </w:rPr>
              <w:t>0.00</w:t>
            </w:r>
          </w:p>
        </w:tc>
        <w:tc>
          <w:tcPr>
            <w:tcW w:w="779" w:type="dxa"/>
            <w:shd w:val="clear" w:color="auto" w:fill="DEEAF6" w:themeFill="accent1" w:themeFillTint="33"/>
            <w:vAlign w:val="center"/>
          </w:tcPr>
          <w:p w14:paraId="220CD59D" w14:textId="77777777" w:rsidR="00085F16" w:rsidRPr="00FB7C44" w:rsidRDefault="00085F16" w:rsidP="00085F16">
            <w:pPr>
              <w:jc w:val="center"/>
              <w:rPr>
                <w:sz w:val="18"/>
              </w:rPr>
            </w:pPr>
            <w:r w:rsidRPr="00FB7C44">
              <w:rPr>
                <w:sz w:val="18"/>
              </w:rPr>
              <w:t>24.00</w:t>
            </w:r>
          </w:p>
        </w:tc>
        <w:tc>
          <w:tcPr>
            <w:tcW w:w="779" w:type="dxa"/>
            <w:shd w:val="clear" w:color="auto" w:fill="DEEAF6" w:themeFill="accent1" w:themeFillTint="33"/>
            <w:vAlign w:val="center"/>
          </w:tcPr>
          <w:p w14:paraId="616B9BA9" w14:textId="77777777" w:rsidR="00085F16" w:rsidRPr="00FB7C44" w:rsidRDefault="00085F16" w:rsidP="00085F16">
            <w:pPr>
              <w:jc w:val="center"/>
              <w:rPr>
                <w:sz w:val="18"/>
              </w:rPr>
            </w:pPr>
            <w:r w:rsidRPr="00FB7C44">
              <w:rPr>
                <w:sz w:val="18"/>
              </w:rPr>
              <w:t>24.00</w:t>
            </w:r>
          </w:p>
        </w:tc>
        <w:tc>
          <w:tcPr>
            <w:tcW w:w="850" w:type="dxa"/>
            <w:shd w:val="clear" w:color="auto" w:fill="DEEAF6" w:themeFill="accent1" w:themeFillTint="33"/>
            <w:vAlign w:val="center"/>
          </w:tcPr>
          <w:p w14:paraId="783F8200" w14:textId="77777777" w:rsidR="00085F16" w:rsidRPr="00FB7C44" w:rsidRDefault="00085F16" w:rsidP="00085F16">
            <w:pPr>
              <w:jc w:val="center"/>
              <w:rPr>
                <w:sz w:val="18"/>
              </w:rPr>
            </w:pPr>
            <w:r w:rsidRPr="00FB7C44">
              <w:rPr>
                <w:sz w:val="18"/>
              </w:rPr>
              <w:t>24.00</w:t>
            </w:r>
          </w:p>
        </w:tc>
        <w:tc>
          <w:tcPr>
            <w:tcW w:w="850" w:type="dxa"/>
            <w:shd w:val="clear" w:color="auto" w:fill="DEEAF6" w:themeFill="accent1" w:themeFillTint="33"/>
            <w:vAlign w:val="center"/>
          </w:tcPr>
          <w:p w14:paraId="376B3183" w14:textId="77777777" w:rsidR="00085F16" w:rsidRPr="00FB7C44" w:rsidRDefault="00085F16" w:rsidP="00085F16">
            <w:pPr>
              <w:jc w:val="center"/>
              <w:rPr>
                <w:sz w:val="18"/>
              </w:rPr>
            </w:pPr>
            <w:r w:rsidRPr="00FB7C44">
              <w:rPr>
                <w:sz w:val="18"/>
              </w:rPr>
              <w:t>24.00</w:t>
            </w:r>
          </w:p>
        </w:tc>
        <w:tc>
          <w:tcPr>
            <w:tcW w:w="850" w:type="dxa"/>
            <w:shd w:val="clear" w:color="auto" w:fill="DEEAF6" w:themeFill="accent1" w:themeFillTint="33"/>
            <w:vAlign w:val="center"/>
          </w:tcPr>
          <w:p w14:paraId="26573DA4" w14:textId="77777777" w:rsidR="00085F16" w:rsidRPr="00FB7C44" w:rsidRDefault="00085F16" w:rsidP="00085F16">
            <w:pPr>
              <w:jc w:val="center"/>
              <w:rPr>
                <w:sz w:val="18"/>
              </w:rPr>
            </w:pPr>
            <w:r w:rsidRPr="00FB7C44">
              <w:rPr>
                <w:sz w:val="18"/>
              </w:rPr>
              <w:t>24.00</w:t>
            </w:r>
          </w:p>
        </w:tc>
        <w:tc>
          <w:tcPr>
            <w:tcW w:w="850" w:type="dxa"/>
            <w:shd w:val="clear" w:color="auto" w:fill="DEEAF6" w:themeFill="accent1" w:themeFillTint="33"/>
            <w:vAlign w:val="center"/>
          </w:tcPr>
          <w:p w14:paraId="7BE48841" w14:textId="77777777" w:rsidR="00085F16" w:rsidRPr="00FB7C44" w:rsidRDefault="00085F16" w:rsidP="00085F16">
            <w:pPr>
              <w:jc w:val="center"/>
              <w:rPr>
                <w:sz w:val="18"/>
              </w:rPr>
            </w:pPr>
            <w:r w:rsidRPr="00FB7C44">
              <w:rPr>
                <w:sz w:val="18"/>
              </w:rPr>
              <w:t>24.00</w:t>
            </w:r>
          </w:p>
        </w:tc>
      </w:tr>
      <w:tr w:rsidR="00085F16" w:rsidRPr="00FB7C44" w14:paraId="78641C24" w14:textId="77777777" w:rsidTr="00085F16">
        <w:trPr>
          <w:trHeight w:val="338"/>
        </w:trPr>
        <w:tc>
          <w:tcPr>
            <w:tcW w:w="1805" w:type="dxa"/>
            <w:shd w:val="clear" w:color="auto" w:fill="DEEAF6" w:themeFill="accent1" w:themeFillTint="33"/>
            <w:noWrap/>
            <w:vAlign w:val="center"/>
            <w:hideMark/>
          </w:tcPr>
          <w:p w14:paraId="463478A0" w14:textId="77777777" w:rsidR="00085F16" w:rsidRPr="00FB7C44" w:rsidRDefault="00085F16" w:rsidP="00085F16">
            <w:pPr>
              <w:rPr>
                <w:b/>
                <w:i/>
                <w:iCs/>
                <w:sz w:val="18"/>
              </w:rPr>
            </w:pPr>
            <w:r w:rsidRPr="00FB7C44">
              <w:rPr>
                <w:b/>
                <w:i/>
                <w:iCs/>
                <w:sz w:val="18"/>
              </w:rPr>
              <w:t>Garancitë shtetërore (% e BPV)</w:t>
            </w:r>
          </w:p>
        </w:tc>
        <w:tc>
          <w:tcPr>
            <w:tcW w:w="639" w:type="dxa"/>
            <w:shd w:val="clear" w:color="auto" w:fill="DEEAF6" w:themeFill="accent1" w:themeFillTint="33"/>
            <w:noWrap/>
            <w:vAlign w:val="center"/>
            <w:hideMark/>
          </w:tcPr>
          <w:p w14:paraId="66046D3C" w14:textId="77777777" w:rsidR="00085F16" w:rsidRPr="00FB7C44" w:rsidRDefault="00085F16" w:rsidP="00085F16">
            <w:pPr>
              <w:jc w:val="center"/>
              <w:rPr>
                <w:b/>
                <w:sz w:val="18"/>
              </w:rPr>
            </w:pPr>
            <w:r w:rsidRPr="00FB7C44">
              <w:rPr>
                <w:b/>
                <w:sz w:val="18"/>
              </w:rPr>
              <w:t>0.18%</w:t>
            </w:r>
          </w:p>
        </w:tc>
        <w:tc>
          <w:tcPr>
            <w:tcW w:w="779" w:type="dxa"/>
            <w:shd w:val="clear" w:color="auto" w:fill="DEEAF6" w:themeFill="accent1" w:themeFillTint="33"/>
            <w:vAlign w:val="center"/>
          </w:tcPr>
          <w:p w14:paraId="52DF9234" w14:textId="77777777" w:rsidR="00085F16" w:rsidRPr="00FB7C44" w:rsidRDefault="00085F16" w:rsidP="00085F16">
            <w:pPr>
              <w:jc w:val="center"/>
              <w:rPr>
                <w:b/>
                <w:sz w:val="18"/>
              </w:rPr>
            </w:pPr>
            <w:r w:rsidRPr="00FB7C44">
              <w:rPr>
                <w:b/>
                <w:sz w:val="18"/>
              </w:rPr>
              <w:t>0.17%</w:t>
            </w:r>
          </w:p>
        </w:tc>
        <w:tc>
          <w:tcPr>
            <w:tcW w:w="779" w:type="dxa"/>
            <w:shd w:val="clear" w:color="auto" w:fill="DEEAF6" w:themeFill="accent1" w:themeFillTint="33"/>
            <w:vAlign w:val="center"/>
          </w:tcPr>
          <w:p w14:paraId="65F8B4F2" w14:textId="77777777" w:rsidR="00085F16" w:rsidRPr="00FB7C44" w:rsidRDefault="00085F16" w:rsidP="00085F16">
            <w:pPr>
              <w:jc w:val="center"/>
              <w:rPr>
                <w:b/>
                <w:sz w:val="18"/>
              </w:rPr>
            </w:pPr>
            <w:r w:rsidRPr="00FB7C44">
              <w:rPr>
                <w:b/>
                <w:sz w:val="18"/>
              </w:rPr>
              <w:t>0.33%</w:t>
            </w:r>
          </w:p>
        </w:tc>
        <w:tc>
          <w:tcPr>
            <w:tcW w:w="779" w:type="dxa"/>
            <w:shd w:val="clear" w:color="auto" w:fill="DEEAF6" w:themeFill="accent1" w:themeFillTint="33"/>
            <w:vAlign w:val="center"/>
          </w:tcPr>
          <w:p w14:paraId="1142A2E0" w14:textId="77777777" w:rsidR="00085F16" w:rsidRPr="00FB7C44" w:rsidRDefault="00085F16" w:rsidP="00085F16">
            <w:pPr>
              <w:jc w:val="center"/>
              <w:rPr>
                <w:b/>
                <w:sz w:val="18"/>
              </w:rPr>
            </w:pPr>
            <w:r w:rsidRPr="00FB7C44">
              <w:rPr>
                <w:b/>
                <w:sz w:val="18"/>
              </w:rPr>
              <w:t>0.70%</w:t>
            </w:r>
          </w:p>
        </w:tc>
        <w:tc>
          <w:tcPr>
            <w:tcW w:w="779" w:type="dxa"/>
            <w:shd w:val="clear" w:color="auto" w:fill="DEEAF6" w:themeFill="accent1" w:themeFillTint="33"/>
            <w:vAlign w:val="center"/>
          </w:tcPr>
          <w:p w14:paraId="446F21A0" w14:textId="77777777" w:rsidR="00085F16" w:rsidRPr="00FB7C44" w:rsidRDefault="00085F16" w:rsidP="00085F16">
            <w:pPr>
              <w:jc w:val="center"/>
              <w:rPr>
                <w:b/>
                <w:sz w:val="18"/>
              </w:rPr>
            </w:pPr>
            <w:r w:rsidRPr="00FB7C44">
              <w:rPr>
                <w:b/>
                <w:sz w:val="18"/>
              </w:rPr>
              <w:t>0.66%</w:t>
            </w:r>
          </w:p>
        </w:tc>
        <w:tc>
          <w:tcPr>
            <w:tcW w:w="850" w:type="dxa"/>
            <w:shd w:val="clear" w:color="auto" w:fill="DEEAF6" w:themeFill="accent1" w:themeFillTint="33"/>
            <w:vAlign w:val="center"/>
          </w:tcPr>
          <w:p w14:paraId="7669BE14" w14:textId="77777777" w:rsidR="00085F16" w:rsidRPr="00FB7C44" w:rsidRDefault="00085F16" w:rsidP="00085F16">
            <w:pPr>
              <w:jc w:val="center"/>
              <w:rPr>
                <w:b/>
                <w:sz w:val="18"/>
              </w:rPr>
            </w:pPr>
            <w:r w:rsidRPr="00FB7C44">
              <w:rPr>
                <w:b/>
                <w:sz w:val="18"/>
              </w:rPr>
              <w:t>0.62%</w:t>
            </w:r>
          </w:p>
        </w:tc>
        <w:tc>
          <w:tcPr>
            <w:tcW w:w="850" w:type="dxa"/>
            <w:shd w:val="clear" w:color="auto" w:fill="DEEAF6" w:themeFill="accent1" w:themeFillTint="33"/>
            <w:vAlign w:val="center"/>
          </w:tcPr>
          <w:p w14:paraId="51AE05FE" w14:textId="77777777" w:rsidR="00085F16" w:rsidRPr="00FB7C44" w:rsidRDefault="00085F16" w:rsidP="00085F16">
            <w:pPr>
              <w:jc w:val="center"/>
              <w:rPr>
                <w:b/>
                <w:sz w:val="18"/>
              </w:rPr>
            </w:pPr>
            <w:r w:rsidRPr="00FB7C44">
              <w:rPr>
                <w:b/>
                <w:sz w:val="18"/>
              </w:rPr>
              <w:t>0.59%</w:t>
            </w:r>
          </w:p>
        </w:tc>
        <w:tc>
          <w:tcPr>
            <w:tcW w:w="850" w:type="dxa"/>
            <w:shd w:val="clear" w:color="auto" w:fill="DEEAF6" w:themeFill="accent1" w:themeFillTint="33"/>
            <w:vAlign w:val="center"/>
          </w:tcPr>
          <w:p w14:paraId="1C28BD83" w14:textId="77777777" w:rsidR="00085F16" w:rsidRPr="00FB7C44" w:rsidRDefault="00085F16" w:rsidP="00085F16">
            <w:pPr>
              <w:jc w:val="center"/>
              <w:rPr>
                <w:b/>
                <w:sz w:val="18"/>
              </w:rPr>
            </w:pPr>
            <w:r w:rsidRPr="00FB7C44">
              <w:rPr>
                <w:b/>
                <w:sz w:val="18"/>
              </w:rPr>
              <w:t>0.55%</w:t>
            </w:r>
          </w:p>
        </w:tc>
        <w:tc>
          <w:tcPr>
            <w:tcW w:w="850" w:type="dxa"/>
            <w:shd w:val="clear" w:color="auto" w:fill="DEEAF6" w:themeFill="accent1" w:themeFillTint="33"/>
            <w:vAlign w:val="center"/>
          </w:tcPr>
          <w:p w14:paraId="61FB1511" w14:textId="77777777" w:rsidR="00085F16" w:rsidRPr="00FB7C44" w:rsidRDefault="00085F16" w:rsidP="00085F16">
            <w:pPr>
              <w:jc w:val="center"/>
              <w:rPr>
                <w:b/>
                <w:sz w:val="18"/>
              </w:rPr>
            </w:pPr>
            <w:r w:rsidRPr="00FB7C44">
              <w:rPr>
                <w:b/>
                <w:sz w:val="18"/>
              </w:rPr>
              <w:t>0.52%</w:t>
            </w:r>
          </w:p>
        </w:tc>
      </w:tr>
    </w:tbl>
    <w:p w14:paraId="339891A8" w14:textId="77777777" w:rsidR="00085F16" w:rsidRPr="0032093C" w:rsidRDefault="00085F16" w:rsidP="00085F16">
      <w:pPr>
        <w:rPr>
          <w:i/>
          <w:sz w:val="18"/>
          <w:szCs w:val="18"/>
        </w:rPr>
      </w:pPr>
      <w:r w:rsidRPr="0032093C">
        <w:rPr>
          <w:i/>
          <w:sz w:val="18"/>
          <w:szCs w:val="18"/>
        </w:rPr>
        <w:t>Shënim: P - Parashikim</w:t>
      </w:r>
    </w:p>
    <w:p w14:paraId="7F18A82E" w14:textId="77777777" w:rsidR="00085F16" w:rsidRPr="00620506" w:rsidRDefault="00085F16" w:rsidP="00802FB3">
      <w:pPr>
        <w:pStyle w:val="ERPL20"/>
        <w:numPr>
          <w:ilvl w:val="1"/>
          <w:numId w:val="97"/>
        </w:numPr>
        <w:ind w:left="426"/>
        <w:rPr>
          <w:rFonts w:ascii="Times New Roman" w:hAnsi="Times New Roman"/>
        </w:rPr>
      </w:pPr>
      <w:r>
        <w:t xml:space="preserve"> </w:t>
      </w:r>
      <w:bookmarkStart w:id="170" w:name="_Toc25873740"/>
      <w:r w:rsidRPr="00620506">
        <w:rPr>
          <w:rFonts w:ascii="Times New Roman" w:hAnsi="Times New Roman"/>
        </w:rPr>
        <w:t>Analiza e ndjeshmërisë dhe krahasimi me programin e mëparshëm</w:t>
      </w:r>
      <w:bookmarkEnd w:id="170"/>
      <w:r w:rsidRPr="00620506">
        <w:rPr>
          <w:rFonts w:ascii="Times New Roman" w:hAnsi="Times New Roman"/>
        </w:rPr>
        <w:t xml:space="preserve"> </w:t>
      </w:r>
    </w:p>
    <w:p w14:paraId="6FF8D7DB" w14:textId="77777777" w:rsidR="00085F16" w:rsidRPr="00620506" w:rsidRDefault="00085F16" w:rsidP="00085F16">
      <w:pPr>
        <w:spacing w:line="276" w:lineRule="auto"/>
        <w:rPr>
          <w:rFonts w:ascii="Times New Roman" w:hAnsi="Times New Roman" w:cs="Times New Roman"/>
          <w:color w:val="FF0000"/>
          <w:sz w:val="24"/>
          <w:szCs w:val="24"/>
        </w:rPr>
      </w:pPr>
      <w:r w:rsidRPr="00620506">
        <w:rPr>
          <w:rFonts w:ascii="Times New Roman" w:hAnsi="Times New Roman" w:cs="Times New Roman"/>
          <w:color w:val="FF0000"/>
          <w:sz w:val="24"/>
          <w:szCs w:val="24"/>
        </w:rPr>
        <w:t>Do të përfshihet në versionin final….</w:t>
      </w:r>
    </w:p>
    <w:p w14:paraId="387DE32C" w14:textId="77777777" w:rsidR="00085F16" w:rsidRPr="00620506" w:rsidRDefault="00085F16" w:rsidP="00802FB3">
      <w:pPr>
        <w:pStyle w:val="ERPL20"/>
        <w:numPr>
          <w:ilvl w:val="1"/>
          <w:numId w:val="97"/>
        </w:numPr>
        <w:ind w:left="426"/>
        <w:rPr>
          <w:rFonts w:ascii="Times New Roman" w:hAnsi="Times New Roman"/>
        </w:rPr>
      </w:pPr>
      <w:r w:rsidRPr="00620506">
        <w:rPr>
          <w:rFonts w:ascii="Times New Roman" w:hAnsi="Times New Roman"/>
        </w:rPr>
        <w:t xml:space="preserve"> </w:t>
      </w:r>
      <w:bookmarkStart w:id="171" w:name="_Toc25873741"/>
      <w:r w:rsidRPr="00620506">
        <w:rPr>
          <w:rFonts w:ascii="Times New Roman" w:hAnsi="Times New Roman"/>
        </w:rPr>
        <w:t>Krahasimi me programin e kaluar</w:t>
      </w:r>
      <w:bookmarkEnd w:id="171"/>
    </w:p>
    <w:p w14:paraId="5080D724" w14:textId="77777777" w:rsidR="00085F16" w:rsidRPr="00620506" w:rsidRDefault="00085F16" w:rsidP="00085F16">
      <w:pPr>
        <w:spacing w:before="240" w:after="120" w:line="276" w:lineRule="auto"/>
        <w:jc w:val="both"/>
        <w:rPr>
          <w:rFonts w:ascii="Times New Roman" w:hAnsi="Times New Roman" w:cs="Times New Roman"/>
          <w:color w:val="000000" w:themeColor="text1"/>
          <w:sz w:val="24"/>
          <w:szCs w:val="24"/>
        </w:rPr>
      </w:pPr>
      <w:r w:rsidRPr="00620506">
        <w:rPr>
          <w:rFonts w:ascii="Times New Roman" w:hAnsi="Times New Roman" w:cs="Times New Roman"/>
          <w:color w:val="000000" w:themeColor="text1"/>
          <w:sz w:val="24"/>
          <w:szCs w:val="24"/>
        </w:rPr>
        <w:t>Duke marrë parasysh ngjarjet e fundit në ekonominë globale dhe vendore dhe implementimin e Buxhetit 2019 deri në fund të tetorit të këtij viti, parashikimet janë rishikuar në PRE 2020.</w:t>
      </w:r>
    </w:p>
    <w:p w14:paraId="79CA56D8" w14:textId="77777777" w:rsidR="00085F16" w:rsidRPr="00620506" w:rsidRDefault="00085F16" w:rsidP="00085F16">
      <w:pPr>
        <w:spacing w:before="240" w:after="120" w:line="276" w:lineRule="auto"/>
        <w:jc w:val="both"/>
        <w:rPr>
          <w:rFonts w:ascii="Times New Roman" w:hAnsi="Times New Roman" w:cs="Times New Roman"/>
          <w:color w:val="000000" w:themeColor="text1"/>
          <w:sz w:val="24"/>
          <w:szCs w:val="24"/>
        </w:rPr>
      </w:pPr>
      <w:r w:rsidRPr="00620506">
        <w:rPr>
          <w:rFonts w:ascii="Times New Roman" w:hAnsi="Times New Roman" w:cs="Times New Roman"/>
          <w:color w:val="000000" w:themeColor="text1"/>
          <w:sz w:val="24"/>
          <w:szCs w:val="24"/>
        </w:rPr>
        <w:t>Krahasuar me PRE 2019, PRE 2020 parashikon arkëtim më të lartë të të hyrave për vitin 2020 prej 1.1%, që rezulton nga pritjet më të larta për të hyra tatimore dhe jo-tatimore. Tutje, në vitin 2021, të hyra pak më të ulta parashikohet të mblidhen në krahasim me programin e kaluar (me 0.8%), si rezultat i të hyrave më të ulta tatimore.</w:t>
      </w:r>
    </w:p>
    <w:p w14:paraId="62728358" w14:textId="77777777" w:rsidR="00085F16" w:rsidRPr="00620506" w:rsidRDefault="00085F16" w:rsidP="00085F16">
      <w:pPr>
        <w:spacing w:before="240" w:after="120" w:line="276" w:lineRule="auto"/>
        <w:jc w:val="both"/>
        <w:rPr>
          <w:rFonts w:ascii="Times New Roman" w:hAnsi="Times New Roman" w:cs="Times New Roman"/>
          <w:color w:val="000000" w:themeColor="text1"/>
          <w:sz w:val="24"/>
          <w:szCs w:val="24"/>
        </w:rPr>
      </w:pPr>
      <w:r w:rsidRPr="00620506">
        <w:rPr>
          <w:rFonts w:ascii="Times New Roman" w:hAnsi="Times New Roman" w:cs="Times New Roman"/>
          <w:color w:val="000000" w:themeColor="text1"/>
          <w:sz w:val="24"/>
          <w:szCs w:val="24"/>
        </w:rPr>
        <w:t>Në anën tjetër, shpenzimet në përgjithësi janë rishikuar lartë me 1.8% dhe 2.3%, për vitet 2020 dhe 2021, përkatësisht. Kjo vjen si rezultat i shpenzimeve më të larta përsëritëse në të dy vitet në krahasim me vitet e kaluara, ndërsa shpenzimet kapitale për të dy vitet janë rishikuar poshtë, me rreth 2%.</w:t>
      </w:r>
    </w:p>
    <w:p w14:paraId="5E25AFF1" w14:textId="77777777" w:rsidR="00085F16" w:rsidRPr="00620506" w:rsidRDefault="00085F16" w:rsidP="00085F16">
      <w:pPr>
        <w:spacing w:before="240" w:after="120" w:line="276" w:lineRule="auto"/>
        <w:jc w:val="both"/>
        <w:rPr>
          <w:rFonts w:ascii="Times New Roman" w:hAnsi="Times New Roman" w:cs="Times New Roman"/>
          <w:color w:val="000000" w:themeColor="text1"/>
          <w:sz w:val="24"/>
          <w:szCs w:val="24"/>
        </w:rPr>
      </w:pPr>
      <w:r w:rsidRPr="00620506">
        <w:rPr>
          <w:rFonts w:ascii="Times New Roman" w:hAnsi="Times New Roman" w:cs="Times New Roman"/>
          <w:color w:val="000000" w:themeColor="text1"/>
          <w:sz w:val="24"/>
          <w:szCs w:val="24"/>
        </w:rPr>
        <w:t>Deficiti buxhetor parashikohet të mbetet brenda rregullit fiskal prej 2 përqind për vitet 2020 dhe 2021, ndërsa është pak më i lartë se niveli i parashikuar në programin e mëparshëm. Bilanci bankar si përqindje e BPV-së pritet të arrijë në 4.5% në vitin 2020 (kjo është në përputhje me legjislacionin aktual që ndalon një bilanc bankar më të ulët se 4.5% në rastet kur të hyrat nga AKP përdoren si burim financimi), pasuar nga 3.1 % e BPV-së në 2021 (rregulli i bilancit bankar nuk aplikohet në këtë rast për shkak se nuk do të përdoren fondet nga AKP për financim). Në përputhje me ecurinë e pritshme të deficitit buxhetor, bilanci bankar si përqindje e BPV-së, në versionin aktual të PRE, është më i ulët se bilanci i parashikuar gjatë përgatitjes së PRE të vitit të kaluar.</w:t>
      </w:r>
    </w:p>
    <w:p w14:paraId="66DB9CBF" w14:textId="77777777" w:rsidR="00085F16" w:rsidRPr="00620506" w:rsidRDefault="00085F16" w:rsidP="00085F16">
      <w:pPr>
        <w:spacing w:before="240" w:after="120" w:line="276" w:lineRule="auto"/>
        <w:jc w:val="both"/>
        <w:rPr>
          <w:rFonts w:ascii="Times New Roman" w:hAnsi="Times New Roman" w:cs="Times New Roman"/>
          <w:color w:val="000000" w:themeColor="text1"/>
          <w:sz w:val="24"/>
          <w:szCs w:val="24"/>
        </w:rPr>
      </w:pPr>
      <w:r w:rsidRPr="00620506">
        <w:rPr>
          <w:rFonts w:ascii="Times New Roman" w:hAnsi="Times New Roman" w:cs="Times New Roman"/>
          <w:color w:val="000000" w:themeColor="text1"/>
          <w:sz w:val="24"/>
          <w:szCs w:val="24"/>
        </w:rPr>
        <w:t>Së fundmi, disa ndryshime të politikave dhe zhvillime të cilat nuk u llogaritën (plotësisht) gjatë përgatitjes së parashikimeve të PRE të vitit të kaluar, por që ishin të pranishme në procesin e parashikimeve të PRE të këtij viti, kanë të bëjnë me: i) miratimin e Ligjit për ndalimin e lojërave të fatit në Mars 2019, i cili pati një ndikim negativ në mbledhjen e akcizave gjatë këtij viti; ii) vendosja e tarifës 100% për mallrat nga Serbia dhe Bosnje dhe Hercegovina; dhe iii) pasiguria që lidhet me zgjedhjet e parakohshme të qeverisë të mbajtura në tetor 2019.</w:t>
      </w:r>
    </w:p>
    <w:p w14:paraId="12193051" w14:textId="77777777" w:rsidR="00085F16" w:rsidRPr="00620506" w:rsidRDefault="00085F16" w:rsidP="00085F16">
      <w:pPr>
        <w:spacing w:before="240" w:after="120" w:line="276" w:lineRule="auto"/>
        <w:jc w:val="both"/>
        <w:rPr>
          <w:rFonts w:ascii="Times New Roman" w:hAnsi="Times New Roman" w:cs="Times New Roman"/>
          <w:color w:val="000000" w:themeColor="text1"/>
          <w:sz w:val="24"/>
          <w:szCs w:val="24"/>
        </w:rPr>
      </w:pPr>
      <w:r w:rsidRPr="00620506">
        <w:rPr>
          <w:rFonts w:ascii="Times New Roman" w:hAnsi="Times New Roman" w:cs="Times New Roman"/>
          <w:color w:val="000000" w:themeColor="text1"/>
          <w:sz w:val="24"/>
          <w:szCs w:val="24"/>
        </w:rPr>
        <w:t>Një krahasim më i gjërë me programin e mëparshëm është paraqitur në aneksin 1, tabela 10.</w:t>
      </w:r>
    </w:p>
    <w:p w14:paraId="6B5F6099" w14:textId="77777777" w:rsidR="00085F16" w:rsidRPr="00620506" w:rsidRDefault="00085F16" w:rsidP="00802FB3">
      <w:pPr>
        <w:pStyle w:val="ERPL20"/>
        <w:numPr>
          <w:ilvl w:val="1"/>
          <w:numId w:val="97"/>
        </w:numPr>
        <w:ind w:left="426"/>
        <w:rPr>
          <w:rFonts w:ascii="Times New Roman" w:hAnsi="Times New Roman"/>
        </w:rPr>
      </w:pPr>
      <w:bookmarkStart w:id="172" w:name="_Toc531359901"/>
      <w:bookmarkStart w:id="173" w:name="_Toc25873742"/>
      <w:r w:rsidRPr="00620506">
        <w:rPr>
          <w:rFonts w:ascii="Times New Roman" w:hAnsi="Times New Roman"/>
        </w:rPr>
        <w:t>Qeverisja fiskale dhe kornizat buxhetore</w:t>
      </w:r>
      <w:bookmarkEnd w:id="172"/>
      <w:bookmarkEnd w:id="173"/>
    </w:p>
    <w:p w14:paraId="4509D13B" w14:textId="77777777" w:rsidR="00085F16" w:rsidRPr="00620506" w:rsidRDefault="00085F16" w:rsidP="00085F16">
      <w:pPr>
        <w:spacing w:before="240" w:after="120" w:line="276" w:lineRule="auto"/>
        <w:jc w:val="both"/>
        <w:rPr>
          <w:rFonts w:ascii="Times New Roman" w:hAnsi="Times New Roman" w:cs="Times New Roman"/>
          <w:sz w:val="24"/>
          <w:szCs w:val="24"/>
        </w:rPr>
      </w:pPr>
      <w:r w:rsidRPr="00620506">
        <w:rPr>
          <w:rFonts w:ascii="Times New Roman" w:hAnsi="Times New Roman" w:cs="Times New Roman"/>
          <w:sz w:val="24"/>
          <w:szCs w:val="24"/>
        </w:rPr>
        <w:t>Nuk ka pasur ndryshime/azhurnime lidhur me qeverisjen fiskale dhe kornizat buxhetore të cilat do të ndryshonin thelbësisht nga ajo çka është raportuar në versionin e vitet të kaluar.</w:t>
      </w:r>
    </w:p>
    <w:p w14:paraId="24ACA3D2" w14:textId="77777777" w:rsidR="00085F16" w:rsidRPr="00620506" w:rsidRDefault="00085F16" w:rsidP="00802FB3">
      <w:pPr>
        <w:pStyle w:val="ERPL20"/>
        <w:numPr>
          <w:ilvl w:val="1"/>
          <w:numId w:val="97"/>
        </w:numPr>
        <w:ind w:left="426"/>
        <w:rPr>
          <w:rFonts w:ascii="Times New Roman" w:hAnsi="Times New Roman"/>
        </w:rPr>
      </w:pPr>
      <w:bookmarkStart w:id="174" w:name="_Toc531359902"/>
      <w:r w:rsidRPr="00620506">
        <w:rPr>
          <w:rFonts w:ascii="Times New Roman" w:hAnsi="Times New Roman"/>
        </w:rPr>
        <w:t xml:space="preserve"> </w:t>
      </w:r>
      <w:bookmarkStart w:id="175" w:name="_Toc25873743"/>
      <w:r w:rsidRPr="00620506">
        <w:rPr>
          <w:rFonts w:ascii="Times New Roman" w:hAnsi="Times New Roman"/>
        </w:rPr>
        <w:t>Qëndrueshmëria e financave publike</w:t>
      </w:r>
      <w:bookmarkStart w:id="176" w:name="_Toc504051229"/>
      <w:bookmarkStart w:id="177" w:name="_Toc504051426"/>
      <w:bookmarkStart w:id="178" w:name="_Toc504338931"/>
      <w:bookmarkEnd w:id="174"/>
      <w:bookmarkEnd w:id="175"/>
      <w:r w:rsidRPr="00620506">
        <w:rPr>
          <w:rFonts w:ascii="Times New Roman" w:hAnsi="Times New Roman"/>
        </w:rPr>
        <w:t xml:space="preserve"> </w:t>
      </w:r>
    </w:p>
    <w:bookmarkEnd w:id="176"/>
    <w:bookmarkEnd w:id="177"/>
    <w:bookmarkEnd w:id="178"/>
    <w:p w14:paraId="0E156B89" w14:textId="77777777" w:rsidR="00085F16" w:rsidRPr="00620506" w:rsidRDefault="00085F16" w:rsidP="00085F16">
      <w:pPr>
        <w:spacing w:line="276" w:lineRule="auto"/>
        <w:rPr>
          <w:rFonts w:ascii="Times New Roman" w:hAnsi="Times New Roman" w:cs="Times New Roman"/>
          <w:color w:val="FF0000"/>
          <w:sz w:val="24"/>
          <w:szCs w:val="24"/>
        </w:rPr>
      </w:pPr>
      <w:r w:rsidRPr="00620506">
        <w:rPr>
          <w:rFonts w:ascii="Times New Roman" w:hAnsi="Times New Roman" w:cs="Times New Roman"/>
          <w:color w:val="FF0000"/>
          <w:sz w:val="24"/>
          <w:szCs w:val="24"/>
        </w:rPr>
        <w:t>Do të përfshihet në versionin final….</w:t>
      </w:r>
    </w:p>
    <w:p w14:paraId="59EB7AFA" w14:textId="12A2EB10" w:rsidR="00F40B38" w:rsidRDefault="00F40B38"/>
    <w:p w14:paraId="5C35019E" w14:textId="77777777" w:rsidR="00620506" w:rsidRDefault="00620506"/>
    <w:p w14:paraId="788BF984" w14:textId="77777777" w:rsidR="00620506" w:rsidRDefault="00620506"/>
    <w:p w14:paraId="2CF0251B" w14:textId="77777777" w:rsidR="00620506" w:rsidRDefault="00620506"/>
    <w:p w14:paraId="13CC42DF" w14:textId="77777777" w:rsidR="00620506" w:rsidRDefault="00620506"/>
    <w:p w14:paraId="1E2E121F" w14:textId="77777777" w:rsidR="00620506" w:rsidRDefault="00620506"/>
    <w:p w14:paraId="6879F013" w14:textId="77777777" w:rsidR="00620506" w:rsidRDefault="00620506"/>
    <w:p w14:paraId="28FBE750" w14:textId="77777777" w:rsidR="00620506" w:rsidRDefault="00620506"/>
    <w:p w14:paraId="62E5BCCE" w14:textId="77777777" w:rsidR="00620506" w:rsidRDefault="00620506"/>
    <w:p w14:paraId="22891563" w14:textId="77777777" w:rsidR="00620506" w:rsidRDefault="00620506"/>
    <w:p w14:paraId="000635AF" w14:textId="77777777" w:rsidR="00620506" w:rsidRDefault="00620506"/>
    <w:p w14:paraId="09462F54" w14:textId="77777777" w:rsidR="00620506" w:rsidRDefault="00620506"/>
    <w:p w14:paraId="64925832" w14:textId="77777777" w:rsidR="00620506" w:rsidRDefault="00620506"/>
    <w:p w14:paraId="5D4E63E0" w14:textId="77777777" w:rsidR="00620506" w:rsidRDefault="00620506"/>
    <w:p w14:paraId="235A7DB7" w14:textId="77777777" w:rsidR="00620506" w:rsidRDefault="00620506"/>
    <w:p w14:paraId="61959A30" w14:textId="77777777" w:rsidR="00620506" w:rsidRDefault="00620506"/>
    <w:p w14:paraId="434912EE" w14:textId="77777777" w:rsidR="00620506" w:rsidRDefault="00620506"/>
    <w:p w14:paraId="65681916" w14:textId="77777777" w:rsidR="00620506" w:rsidRDefault="00620506"/>
    <w:p w14:paraId="65975F05" w14:textId="77777777" w:rsidR="00620506" w:rsidRPr="00554FAF" w:rsidRDefault="00620506"/>
    <w:p w14:paraId="6CB7ABF8" w14:textId="77777777" w:rsidR="00BD633D" w:rsidRPr="00FC648F" w:rsidRDefault="006114F2" w:rsidP="00085F16">
      <w:pPr>
        <w:pStyle w:val="ERPL1"/>
        <w:rPr>
          <w:lang w:val="sq-AL"/>
        </w:rPr>
      </w:pPr>
      <w:bookmarkStart w:id="179" w:name="_Toc25533238"/>
      <w:bookmarkStart w:id="180" w:name="_Toc25873744"/>
      <w:r w:rsidRPr="00FC648F">
        <w:rPr>
          <w:spacing w:val="-1"/>
          <w:lang w:val="sq-AL"/>
        </w:rPr>
        <w:t>4. REFORMAT</w:t>
      </w:r>
      <w:r w:rsidRPr="00FC648F">
        <w:rPr>
          <w:lang w:val="sq-AL"/>
        </w:rPr>
        <w:t xml:space="preserve"> </w:t>
      </w:r>
      <w:r w:rsidRPr="00FC648F">
        <w:rPr>
          <w:spacing w:val="-1"/>
          <w:lang w:val="sq-AL"/>
        </w:rPr>
        <w:t>S</w:t>
      </w:r>
      <w:r w:rsidRPr="00FC648F">
        <w:rPr>
          <w:lang w:val="sq-AL"/>
        </w:rPr>
        <w:t>TRUKTURORE PËR 2020-2022</w:t>
      </w:r>
      <w:bookmarkEnd w:id="179"/>
      <w:bookmarkEnd w:id="180"/>
    </w:p>
    <w:p w14:paraId="5D4D32E4" w14:textId="77777777" w:rsidR="006114F2" w:rsidRPr="00FC648F" w:rsidRDefault="006114F2" w:rsidP="00085F16">
      <w:pPr>
        <w:pStyle w:val="ERPL20"/>
        <w:rPr>
          <w:lang w:val="sq-AL"/>
        </w:rPr>
      </w:pPr>
      <w:bookmarkStart w:id="181" w:name="_Toc25533239"/>
      <w:bookmarkStart w:id="182" w:name="_Toc25873745"/>
      <w:r w:rsidRPr="00FC648F">
        <w:rPr>
          <w:lang w:val="sq-AL"/>
        </w:rPr>
        <w:t>4.1. Identifikimi i pengesave kryesore për konkurrueshmërinë dhe rritjen gjithëpërfshirëse</w:t>
      </w:r>
      <w:bookmarkEnd w:id="181"/>
      <w:bookmarkEnd w:id="182"/>
    </w:p>
    <w:p w14:paraId="2DF8116B" w14:textId="339600C7" w:rsidR="000F7CAF" w:rsidRPr="00554FAF" w:rsidRDefault="000F7CAF"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sz w:val="24"/>
          <w:szCs w:val="24"/>
        </w:rPr>
        <w:t>Kjo pjes</w:t>
      </w:r>
      <w:r w:rsidR="000B4160" w:rsidRPr="00554FAF">
        <w:rPr>
          <w:rFonts w:ascii="Times New Roman" w:hAnsi="Times New Roman" w:cs="Times New Roman"/>
          <w:sz w:val="24"/>
          <w:szCs w:val="24"/>
        </w:rPr>
        <w:t>ë</w:t>
      </w:r>
      <w:r w:rsidRPr="00554FAF">
        <w:rPr>
          <w:rFonts w:ascii="Times New Roman" w:hAnsi="Times New Roman" w:cs="Times New Roman"/>
          <w:sz w:val="24"/>
          <w:szCs w:val="24"/>
        </w:rPr>
        <w:t xml:space="preserve"> raporton </w:t>
      </w:r>
      <w:r w:rsidR="005016DD" w:rsidRPr="00554FAF">
        <w:rPr>
          <w:rFonts w:ascii="Times New Roman" w:hAnsi="Times New Roman" w:cs="Times New Roman"/>
          <w:sz w:val="24"/>
          <w:szCs w:val="24"/>
        </w:rPr>
        <w:t xml:space="preserve">mbi </w:t>
      </w:r>
      <w:r w:rsidRPr="00554FAF">
        <w:rPr>
          <w:rFonts w:ascii="Times New Roman" w:hAnsi="Times New Roman" w:cs="Times New Roman"/>
          <w:sz w:val="24"/>
          <w:szCs w:val="24"/>
        </w:rPr>
        <w:t>zhvillimet</w:t>
      </w:r>
      <w:r w:rsidR="00E31E6E" w:rsidRPr="00554FAF">
        <w:rPr>
          <w:rFonts w:ascii="Times New Roman" w:hAnsi="Times New Roman" w:cs="Times New Roman"/>
          <w:sz w:val="24"/>
          <w:szCs w:val="24"/>
        </w:rPr>
        <w:t xml:space="preserve"> </w:t>
      </w:r>
      <w:r w:rsidR="005016DD" w:rsidRPr="00554FAF">
        <w:rPr>
          <w:rFonts w:ascii="Times New Roman" w:hAnsi="Times New Roman" w:cs="Times New Roman"/>
          <w:sz w:val="24"/>
          <w:szCs w:val="24"/>
        </w:rPr>
        <w:t>sa i p</w:t>
      </w:r>
      <w:r w:rsidR="004A2969" w:rsidRPr="00554FAF">
        <w:rPr>
          <w:rFonts w:ascii="Times New Roman" w:hAnsi="Times New Roman" w:cs="Times New Roman"/>
          <w:sz w:val="24"/>
          <w:szCs w:val="24"/>
        </w:rPr>
        <w:t>ë</w:t>
      </w:r>
      <w:r w:rsidR="005016DD" w:rsidRPr="00554FAF">
        <w:rPr>
          <w:rFonts w:ascii="Times New Roman" w:hAnsi="Times New Roman" w:cs="Times New Roman"/>
          <w:sz w:val="24"/>
          <w:szCs w:val="24"/>
        </w:rPr>
        <w:t>rket pengesave</w:t>
      </w:r>
      <w:r w:rsidR="00E31E6E" w:rsidRPr="00554FAF">
        <w:rPr>
          <w:rFonts w:ascii="Times New Roman" w:hAnsi="Times New Roman" w:cs="Times New Roman"/>
          <w:sz w:val="24"/>
          <w:szCs w:val="24"/>
        </w:rPr>
        <w:t xml:space="preserve"> kryesore t</w:t>
      </w:r>
      <w:r w:rsidR="004A2969" w:rsidRPr="00554FAF">
        <w:rPr>
          <w:rFonts w:ascii="Times New Roman" w:hAnsi="Times New Roman" w:cs="Times New Roman"/>
          <w:sz w:val="24"/>
          <w:szCs w:val="24"/>
        </w:rPr>
        <w:t>ë</w:t>
      </w:r>
      <w:r w:rsidR="00E31E6E" w:rsidRPr="00554FAF">
        <w:rPr>
          <w:rFonts w:ascii="Times New Roman" w:hAnsi="Times New Roman" w:cs="Times New Roman"/>
          <w:sz w:val="24"/>
          <w:szCs w:val="24"/>
        </w:rPr>
        <w:t xml:space="preserve"> identifikuara q</w:t>
      </w:r>
      <w:r w:rsidR="004A2969" w:rsidRPr="00554FAF">
        <w:rPr>
          <w:rFonts w:ascii="Times New Roman" w:hAnsi="Times New Roman" w:cs="Times New Roman"/>
          <w:sz w:val="24"/>
          <w:szCs w:val="24"/>
        </w:rPr>
        <w:t>ë</w:t>
      </w:r>
      <w:r w:rsidR="00E31E6E" w:rsidRPr="00554FAF">
        <w:rPr>
          <w:rFonts w:ascii="Times New Roman" w:hAnsi="Times New Roman" w:cs="Times New Roman"/>
          <w:sz w:val="24"/>
          <w:szCs w:val="24"/>
        </w:rPr>
        <w:t xml:space="preserve"> nga cikli i kaluar i PRE. </w:t>
      </w:r>
      <w:r w:rsidRPr="00554FAF">
        <w:rPr>
          <w:rFonts w:ascii="Times New Roman" w:hAnsi="Times New Roman" w:cs="Times New Roman"/>
          <w:sz w:val="24"/>
          <w:szCs w:val="24"/>
        </w:rPr>
        <w:t>Sipas Agjencis</w:t>
      </w:r>
      <w:r w:rsidR="000B4160" w:rsidRPr="00554FAF">
        <w:rPr>
          <w:rFonts w:ascii="Times New Roman" w:hAnsi="Times New Roman" w:cs="Times New Roman"/>
          <w:sz w:val="24"/>
          <w:szCs w:val="24"/>
        </w:rPr>
        <w:t>ë</w:t>
      </w:r>
      <w:r w:rsidRPr="00554FAF">
        <w:rPr>
          <w:rFonts w:ascii="Times New Roman" w:hAnsi="Times New Roman" w:cs="Times New Roman"/>
          <w:sz w:val="24"/>
          <w:szCs w:val="24"/>
        </w:rPr>
        <w:t xml:space="preserve"> t</w:t>
      </w:r>
      <w:r w:rsidR="000B4160" w:rsidRPr="00554FAF">
        <w:rPr>
          <w:rFonts w:ascii="Times New Roman" w:hAnsi="Times New Roman" w:cs="Times New Roman"/>
          <w:sz w:val="24"/>
          <w:szCs w:val="24"/>
        </w:rPr>
        <w:t>ë</w:t>
      </w:r>
      <w:r w:rsidRPr="00554FAF">
        <w:rPr>
          <w:rFonts w:ascii="Times New Roman" w:hAnsi="Times New Roman" w:cs="Times New Roman"/>
          <w:sz w:val="24"/>
          <w:szCs w:val="24"/>
        </w:rPr>
        <w:t xml:space="preserve"> Statistikave t</w:t>
      </w:r>
      <w:r w:rsidR="000B4160" w:rsidRPr="00554FAF">
        <w:rPr>
          <w:rFonts w:ascii="Times New Roman" w:hAnsi="Times New Roman" w:cs="Times New Roman"/>
          <w:sz w:val="24"/>
          <w:szCs w:val="24"/>
        </w:rPr>
        <w:t>ë</w:t>
      </w:r>
      <w:r w:rsidRPr="00554FAF">
        <w:rPr>
          <w:rFonts w:ascii="Times New Roman" w:hAnsi="Times New Roman" w:cs="Times New Roman"/>
          <w:sz w:val="24"/>
          <w:szCs w:val="24"/>
        </w:rPr>
        <w:t xml:space="preserve"> Kosov</w:t>
      </w:r>
      <w:r w:rsidR="000B4160" w:rsidRPr="00554FAF">
        <w:rPr>
          <w:rFonts w:ascii="Times New Roman" w:hAnsi="Times New Roman" w:cs="Times New Roman"/>
          <w:sz w:val="24"/>
          <w:szCs w:val="24"/>
        </w:rPr>
        <w:t>ë</w:t>
      </w:r>
      <w:r w:rsidRPr="00554FAF">
        <w:rPr>
          <w:rFonts w:ascii="Times New Roman" w:hAnsi="Times New Roman" w:cs="Times New Roman"/>
          <w:sz w:val="24"/>
          <w:szCs w:val="24"/>
        </w:rPr>
        <w:t>s (ASK) rritja e BPV gjat</w:t>
      </w:r>
      <w:r w:rsidR="000B4160" w:rsidRPr="00554FAF">
        <w:rPr>
          <w:rFonts w:ascii="Times New Roman" w:hAnsi="Times New Roman" w:cs="Times New Roman"/>
          <w:sz w:val="24"/>
          <w:szCs w:val="24"/>
        </w:rPr>
        <w:t>ë</w:t>
      </w:r>
      <w:r w:rsidRPr="00554FAF">
        <w:rPr>
          <w:rFonts w:ascii="Times New Roman" w:hAnsi="Times New Roman" w:cs="Times New Roman"/>
          <w:sz w:val="24"/>
          <w:szCs w:val="24"/>
        </w:rPr>
        <w:t xml:space="preserve"> 2018 ishte 3.8% n</w:t>
      </w:r>
      <w:r w:rsidR="000B4160" w:rsidRPr="00554FAF">
        <w:rPr>
          <w:rFonts w:ascii="Times New Roman" w:hAnsi="Times New Roman" w:cs="Times New Roman"/>
          <w:sz w:val="24"/>
          <w:szCs w:val="24"/>
        </w:rPr>
        <w:t>ë</w:t>
      </w:r>
      <w:r w:rsidRPr="00554FAF">
        <w:rPr>
          <w:rFonts w:ascii="Times New Roman" w:hAnsi="Times New Roman" w:cs="Times New Roman"/>
          <w:sz w:val="24"/>
          <w:szCs w:val="24"/>
        </w:rPr>
        <w:t xml:space="preserve"> terma real dhe 4.9% n</w:t>
      </w:r>
      <w:r w:rsidR="000B4160" w:rsidRPr="00554FAF">
        <w:rPr>
          <w:rFonts w:ascii="Times New Roman" w:hAnsi="Times New Roman" w:cs="Times New Roman"/>
          <w:sz w:val="24"/>
          <w:szCs w:val="24"/>
        </w:rPr>
        <w:t>ë</w:t>
      </w:r>
      <w:r w:rsidRPr="00554FAF">
        <w:rPr>
          <w:rFonts w:ascii="Times New Roman" w:hAnsi="Times New Roman" w:cs="Times New Roman"/>
          <w:sz w:val="24"/>
          <w:szCs w:val="24"/>
        </w:rPr>
        <w:t xml:space="preserve"> terma nominal. Kosova vazhdon reformat </w:t>
      </w:r>
      <w:r w:rsidR="003A7429" w:rsidRPr="00554FAF">
        <w:rPr>
          <w:rFonts w:ascii="Times New Roman" w:hAnsi="Times New Roman" w:cs="Times New Roman"/>
          <w:sz w:val="24"/>
          <w:szCs w:val="24"/>
        </w:rPr>
        <w:t>për të siguruar një</w:t>
      </w:r>
      <w:r w:rsidRPr="00554FAF">
        <w:rPr>
          <w:rFonts w:ascii="Times New Roman" w:hAnsi="Times New Roman" w:cs="Times New Roman"/>
          <w:sz w:val="24"/>
          <w:szCs w:val="24"/>
        </w:rPr>
        <w:t xml:space="preserve"> rritje dhe konku</w:t>
      </w:r>
      <w:r w:rsidR="003A7429" w:rsidRPr="00554FAF">
        <w:rPr>
          <w:rFonts w:ascii="Times New Roman" w:hAnsi="Times New Roman" w:cs="Times New Roman"/>
          <w:sz w:val="24"/>
          <w:szCs w:val="24"/>
        </w:rPr>
        <w:t>r</w:t>
      </w:r>
      <w:r w:rsidRPr="00554FAF">
        <w:rPr>
          <w:rFonts w:ascii="Times New Roman" w:hAnsi="Times New Roman" w:cs="Times New Roman"/>
          <w:sz w:val="24"/>
          <w:szCs w:val="24"/>
        </w:rPr>
        <w:t>rueshm</w:t>
      </w:r>
      <w:r w:rsidR="000B4160" w:rsidRPr="00554FAF">
        <w:rPr>
          <w:rFonts w:ascii="Times New Roman" w:hAnsi="Times New Roman" w:cs="Times New Roman"/>
          <w:sz w:val="24"/>
          <w:szCs w:val="24"/>
        </w:rPr>
        <w:t>ë</w:t>
      </w:r>
      <w:r w:rsidRPr="00554FAF">
        <w:rPr>
          <w:rFonts w:ascii="Times New Roman" w:hAnsi="Times New Roman" w:cs="Times New Roman"/>
          <w:sz w:val="24"/>
          <w:szCs w:val="24"/>
        </w:rPr>
        <w:t xml:space="preserve">ri </w:t>
      </w:r>
      <w:r w:rsidR="005016DD" w:rsidRPr="00554FAF">
        <w:rPr>
          <w:rFonts w:ascii="Times New Roman" w:hAnsi="Times New Roman" w:cs="Times New Roman"/>
          <w:sz w:val="24"/>
          <w:szCs w:val="24"/>
        </w:rPr>
        <w:t>t</w:t>
      </w:r>
      <w:r w:rsidR="004A2969" w:rsidRPr="00554FAF">
        <w:rPr>
          <w:rFonts w:ascii="Times New Roman" w:hAnsi="Times New Roman" w:cs="Times New Roman"/>
          <w:sz w:val="24"/>
          <w:szCs w:val="24"/>
        </w:rPr>
        <w:t>ë</w:t>
      </w:r>
      <w:r w:rsidRPr="00554FAF">
        <w:rPr>
          <w:rFonts w:ascii="Times New Roman" w:hAnsi="Times New Roman" w:cs="Times New Roman"/>
          <w:sz w:val="24"/>
          <w:szCs w:val="24"/>
        </w:rPr>
        <w:t xml:space="preserve"> q</w:t>
      </w:r>
      <w:r w:rsidR="000B4160" w:rsidRPr="00554FAF">
        <w:rPr>
          <w:rFonts w:ascii="Times New Roman" w:hAnsi="Times New Roman" w:cs="Times New Roman"/>
          <w:sz w:val="24"/>
          <w:szCs w:val="24"/>
        </w:rPr>
        <w:t>ë</w:t>
      </w:r>
      <w:r w:rsidRPr="00554FAF">
        <w:rPr>
          <w:rFonts w:ascii="Times New Roman" w:hAnsi="Times New Roman" w:cs="Times New Roman"/>
          <w:sz w:val="24"/>
          <w:szCs w:val="24"/>
        </w:rPr>
        <w:t xml:space="preserve">ndrueshme. </w:t>
      </w:r>
    </w:p>
    <w:p w14:paraId="20C0FC3B" w14:textId="33244C3F" w:rsidR="000F7CAF" w:rsidRPr="00554FAF" w:rsidRDefault="000F7CAF"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sz w:val="24"/>
          <w:szCs w:val="24"/>
        </w:rPr>
        <w:t>Vlerësimi i KE për Ekonomi</w:t>
      </w:r>
      <w:r w:rsidR="00E31E6E" w:rsidRPr="00554FAF">
        <w:rPr>
          <w:rFonts w:ascii="Times New Roman" w:hAnsi="Times New Roman" w:cs="Times New Roman"/>
          <w:sz w:val="24"/>
          <w:szCs w:val="24"/>
        </w:rPr>
        <w:t>në e</w:t>
      </w:r>
      <w:r w:rsidRPr="00554FAF">
        <w:rPr>
          <w:rFonts w:ascii="Times New Roman" w:hAnsi="Times New Roman" w:cs="Times New Roman"/>
          <w:sz w:val="24"/>
          <w:szCs w:val="24"/>
        </w:rPr>
        <w:t xml:space="preserve"> Kosovës dhe raporti</w:t>
      </w:r>
      <w:r w:rsidR="00E31E6E" w:rsidRPr="00554FAF">
        <w:rPr>
          <w:rFonts w:ascii="Times New Roman" w:hAnsi="Times New Roman" w:cs="Times New Roman"/>
          <w:sz w:val="24"/>
          <w:szCs w:val="24"/>
        </w:rPr>
        <w:t xml:space="preserve"> i</w:t>
      </w:r>
      <w:r w:rsidRPr="00554FAF">
        <w:rPr>
          <w:rFonts w:ascii="Times New Roman" w:hAnsi="Times New Roman" w:cs="Times New Roman"/>
          <w:sz w:val="24"/>
          <w:szCs w:val="24"/>
        </w:rPr>
        <w:t xml:space="preserve"> Bankës Botërore </w:t>
      </w:r>
      <w:r w:rsidR="003A7429" w:rsidRPr="00554FAF">
        <w:rPr>
          <w:rFonts w:ascii="Times New Roman" w:hAnsi="Times New Roman" w:cs="Times New Roman"/>
          <w:sz w:val="24"/>
          <w:szCs w:val="24"/>
        </w:rPr>
        <w:t>për</w:t>
      </w:r>
      <w:r w:rsidRPr="00554FAF">
        <w:rPr>
          <w:rFonts w:ascii="Times New Roman" w:hAnsi="Times New Roman" w:cs="Times New Roman"/>
          <w:sz w:val="24"/>
          <w:szCs w:val="24"/>
        </w:rPr>
        <w:t xml:space="preserve"> të bërit biznes, thekson se Kosova ka përmirësuar mjedisin e biznesit dhe e ka diversifikuar tregtinë. Banka Botërore e rendit Ko</w:t>
      </w:r>
      <w:r w:rsidR="00EA0B1C" w:rsidRPr="00554FAF">
        <w:rPr>
          <w:rFonts w:ascii="Times New Roman" w:hAnsi="Times New Roman" w:cs="Times New Roman"/>
          <w:sz w:val="24"/>
          <w:szCs w:val="24"/>
        </w:rPr>
        <w:t>sovën në mesin e 20 përmirësues</w:t>
      </w:r>
      <w:r w:rsidRPr="00554FAF">
        <w:rPr>
          <w:rFonts w:ascii="Times New Roman" w:hAnsi="Times New Roman" w:cs="Times New Roman"/>
          <w:sz w:val="24"/>
          <w:szCs w:val="24"/>
        </w:rPr>
        <w:t xml:space="preserve">ve më të mirë në të bërit biznes </w:t>
      </w:r>
      <w:r w:rsidR="003A7429" w:rsidRPr="00554FAF">
        <w:rPr>
          <w:rFonts w:ascii="Times New Roman" w:hAnsi="Times New Roman" w:cs="Times New Roman"/>
          <w:sz w:val="24"/>
          <w:szCs w:val="24"/>
        </w:rPr>
        <w:t xml:space="preserve">për vitin </w:t>
      </w:r>
      <w:r w:rsidRPr="00554FAF">
        <w:rPr>
          <w:rFonts w:ascii="Times New Roman" w:hAnsi="Times New Roman" w:cs="Times New Roman"/>
          <w:sz w:val="24"/>
          <w:szCs w:val="24"/>
        </w:rPr>
        <w:t xml:space="preserve">2020, dhe thekson se “Kosova e bëri më të lehtë të bërit biznes në fushat e trajtimit të lejeve të ndërtimit, </w:t>
      </w:r>
      <w:r w:rsidR="005016DD" w:rsidRPr="00554FAF">
        <w:rPr>
          <w:rFonts w:ascii="Times New Roman" w:hAnsi="Times New Roman" w:cs="Times New Roman"/>
          <w:sz w:val="24"/>
          <w:szCs w:val="24"/>
        </w:rPr>
        <w:t>qasjes n</w:t>
      </w:r>
      <w:r w:rsidR="004A2969" w:rsidRPr="00554FAF">
        <w:rPr>
          <w:rFonts w:ascii="Times New Roman" w:hAnsi="Times New Roman" w:cs="Times New Roman"/>
          <w:sz w:val="24"/>
          <w:szCs w:val="24"/>
        </w:rPr>
        <w:t>ë</w:t>
      </w:r>
      <w:r w:rsidRPr="00554FAF">
        <w:rPr>
          <w:rFonts w:ascii="Times New Roman" w:hAnsi="Times New Roman" w:cs="Times New Roman"/>
          <w:sz w:val="24"/>
          <w:szCs w:val="24"/>
        </w:rPr>
        <w:t xml:space="preserve"> energji elektrike, mbrojtjes së investitorëve të </w:t>
      </w:r>
      <w:r w:rsidR="005016DD" w:rsidRPr="00554FAF">
        <w:rPr>
          <w:rFonts w:ascii="Times New Roman" w:hAnsi="Times New Roman" w:cs="Times New Roman"/>
          <w:sz w:val="24"/>
          <w:szCs w:val="24"/>
        </w:rPr>
        <w:t>vegj</w:t>
      </w:r>
      <w:r w:rsidR="004A2969" w:rsidRPr="00554FAF">
        <w:rPr>
          <w:rFonts w:ascii="Times New Roman" w:hAnsi="Times New Roman" w:cs="Times New Roman"/>
          <w:sz w:val="24"/>
          <w:szCs w:val="24"/>
        </w:rPr>
        <w:t>ë</w:t>
      </w:r>
      <w:r w:rsidR="005016DD" w:rsidRPr="00554FAF">
        <w:rPr>
          <w:rFonts w:ascii="Times New Roman" w:hAnsi="Times New Roman" w:cs="Times New Roman"/>
          <w:sz w:val="24"/>
          <w:szCs w:val="24"/>
        </w:rPr>
        <w:t xml:space="preserve">l </w:t>
      </w:r>
      <w:r w:rsidRPr="00554FAF">
        <w:rPr>
          <w:rFonts w:ascii="Times New Roman" w:hAnsi="Times New Roman" w:cs="Times New Roman"/>
          <w:sz w:val="24"/>
          <w:szCs w:val="24"/>
        </w:rPr>
        <w:t>dhe zbatimit të kontratave. Gjithashtu</w:t>
      </w:r>
      <w:r w:rsidR="003A7429" w:rsidRPr="00554FAF">
        <w:rPr>
          <w:rFonts w:ascii="Times New Roman" w:hAnsi="Times New Roman" w:cs="Times New Roman"/>
          <w:sz w:val="24"/>
          <w:szCs w:val="24"/>
        </w:rPr>
        <w:t>,</w:t>
      </w:r>
      <w:r w:rsidRPr="00554FAF">
        <w:rPr>
          <w:rFonts w:ascii="Times New Roman" w:hAnsi="Times New Roman" w:cs="Times New Roman"/>
          <w:sz w:val="24"/>
          <w:szCs w:val="24"/>
        </w:rPr>
        <w:t xml:space="preserve"> Kosova përmirësoi besueshmërinë e furnizimit me energji duke investuar shumë në rrjetin </w:t>
      </w:r>
      <w:r w:rsidR="00A356E8" w:rsidRPr="00554FAF">
        <w:rPr>
          <w:rFonts w:ascii="Times New Roman" w:hAnsi="Times New Roman" w:cs="Times New Roman"/>
          <w:sz w:val="24"/>
          <w:szCs w:val="24"/>
        </w:rPr>
        <w:t>infrastrukturor</w:t>
      </w:r>
      <w:r w:rsidRPr="00554FAF">
        <w:rPr>
          <w:rFonts w:ascii="Times New Roman" w:hAnsi="Times New Roman" w:cs="Times New Roman"/>
          <w:sz w:val="24"/>
          <w:szCs w:val="24"/>
        </w:rPr>
        <w:t xml:space="preserve"> dhe duke zbatuar një sistem automatik të menaxhimit të energjisë për monitorimin e ndërprerjeve dhe restaurimin e shërbimit."</w:t>
      </w:r>
    </w:p>
    <w:p w14:paraId="2505138E" w14:textId="72A7775A" w:rsidR="005016DD" w:rsidRPr="00554FAF" w:rsidRDefault="000F7CAF"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sz w:val="24"/>
          <w:szCs w:val="24"/>
        </w:rPr>
        <w:t xml:space="preserve">Megjithatë, për të rritur konkurrencën dhe krijimin e vendeve të punës, duhet të përmirësohen treguesit tjerë, </w:t>
      </w:r>
      <w:r w:rsidRPr="00554FAF">
        <w:rPr>
          <w:rFonts w:ascii="Times New Roman" w:hAnsi="Times New Roman" w:cs="Times New Roman"/>
          <w:b/>
          <w:sz w:val="24"/>
          <w:szCs w:val="24"/>
        </w:rPr>
        <w:t xml:space="preserve">veçanërisht zbatimi i kontratave / sundimi i ligjit, </w:t>
      </w:r>
      <w:r w:rsidR="003A7429" w:rsidRPr="00554FAF">
        <w:rPr>
          <w:rFonts w:ascii="Times New Roman" w:hAnsi="Times New Roman" w:cs="Times New Roman"/>
          <w:b/>
          <w:sz w:val="24"/>
          <w:szCs w:val="24"/>
        </w:rPr>
        <w:t>ekonomia joformale</w:t>
      </w:r>
      <w:r w:rsidR="00E31E6E" w:rsidRPr="00554FAF">
        <w:rPr>
          <w:rFonts w:ascii="Times New Roman" w:hAnsi="Times New Roman" w:cs="Times New Roman"/>
          <w:b/>
          <w:sz w:val="24"/>
          <w:szCs w:val="24"/>
        </w:rPr>
        <w:t xml:space="preserve"> </w:t>
      </w:r>
      <w:r w:rsidRPr="00554FAF">
        <w:rPr>
          <w:rFonts w:ascii="Times New Roman" w:hAnsi="Times New Roman" w:cs="Times New Roman"/>
          <w:b/>
          <w:sz w:val="24"/>
          <w:szCs w:val="24"/>
        </w:rPr>
        <w:t>dhe mjedisi rregullator. Tërheqja e më shumë investimeve për të arritur nivele më të larta të rritjes</w:t>
      </w:r>
      <w:r w:rsidRPr="00554FAF">
        <w:rPr>
          <w:rFonts w:ascii="Times New Roman" w:hAnsi="Times New Roman" w:cs="Times New Roman"/>
          <w:sz w:val="24"/>
          <w:szCs w:val="24"/>
        </w:rPr>
        <w:t xml:space="preserve"> do të jetë e nevojshme për të përmirësuar standardet e jetesës drejt niveleve të BE-së.</w:t>
      </w:r>
      <w:r w:rsidR="005016DD" w:rsidRPr="00554FAF">
        <w:rPr>
          <w:rFonts w:ascii="Times New Roman" w:hAnsi="Times New Roman" w:cs="Times New Roman"/>
          <w:sz w:val="24"/>
          <w:szCs w:val="24"/>
        </w:rPr>
        <w:t xml:space="preserve"> </w:t>
      </w:r>
    </w:p>
    <w:p w14:paraId="5D49B533" w14:textId="38D3473F" w:rsidR="000F7CAF" w:rsidRPr="00554FAF" w:rsidRDefault="000F7CAF"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sz w:val="24"/>
          <w:szCs w:val="24"/>
        </w:rPr>
        <w:t xml:space="preserve">Përveç kësaj, Komisioni Evropian kreu një analizë të pavarur të Ekonomisë së Kosovës dhe identifikoi sfidat kryesore të </w:t>
      </w:r>
      <w:r w:rsidR="00CB0275" w:rsidRPr="00554FAF">
        <w:rPr>
          <w:rFonts w:ascii="Times New Roman" w:hAnsi="Times New Roman" w:cs="Times New Roman"/>
          <w:sz w:val="24"/>
          <w:szCs w:val="24"/>
        </w:rPr>
        <w:t>konkurrueshm</w:t>
      </w:r>
      <w:r w:rsidR="004A2969" w:rsidRPr="00554FAF">
        <w:rPr>
          <w:rFonts w:ascii="Times New Roman" w:hAnsi="Times New Roman" w:cs="Times New Roman"/>
          <w:sz w:val="24"/>
          <w:szCs w:val="24"/>
        </w:rPr>
        <w:t>ë</w:t>
      </w:r>
      <w:r w:rsidR="00CB0275" w:rsidRPr="00554FAF">
        <w:rPr>
          <w:rFonts w:ascii="Times New Roman" w:hAnsi="Times New Roman" w:cs="Times New Roman"/>
          <w:sz w:val="24"/>
          <w:szCs w:val="24"/>
        </w:rPr>
        <w:t>ris</w:t>
      </w:r>
      <w:r w:rsidR="004A2969" w:rsidRPr="00554FAF">
        <w:rPr>
          <w:rFonts w:ascii="Times New Roman" w:hAnsi="Times New Roman" w:cs="Times New Roman"/>
          <w:sz w:val="24"/>
          <w:szCs w:val="24"/>
        </w:rPr>
        <w:t>ë</w:t>
      </w:r>
      <w:r w:rsidR="00CB0275" w:rsidRPr="00554FAF">
        <w:rPr>
          <w:rFonts w:ascii="Times New Roman" w:hAnsi="Times New Roman" w:cs="Times New Roman"/>
          <w:sz w:val="24"/>
          <w:szCs w:val="24"/>
        </w:rPr>
        <w:t xml:space="preserve"> </w:t>
      </w:r>
      <w:r w:rsidRPr="00554FAF">
        <w:rPr>
          <w:rFonts w:ascii="Times New Roman" w:hAnsi="Times New Roman" w:cs="Times New Roman"/>
          <w:sz w:val="24"/>
          <w:szCs w:val="24"/>
        </w:rPr>
        <w:t>dhe rritjes gjithëpërfshirëse.</w:t>
      </w:r>
      <w:r w:rsidR="009F61BF" w:rsidRPr="00554FAF">
        <w:rPr>
          <w:rStyle w:val="FootnoteReference"/>
          <w:rFonts w:ascii="Times New Roman" w:hAnsi="Times New Roman" w:cs="Times New Roman"/>
          <w:sz w:val="24"/>
          <w:szCs w:val="24"/>
        </w:rPr>
        <w:footnoteReference w:id="27"/>
      </w:r>
      <w:r w:rsidR="005016DD" w:rsidRPr="00554FAF">
        <w:rPr>
          <w:rFonts w:ascii="Times New Roman" w:hAnsi="Times New Roman" w:cs="Times New Roman"/>
          <w:sz w:val="24"/>
          <w:szCs w:val="24"/>
        </w:rPr>
        <w:t xml:space="preserve"> </w:t>
      </w:r>
      <w:r w:rsidRPr="00554FAF">
        <w:rPr>
          <w:rFonts w:ascii="Times New Roman" w:hAnsi="Times New Roman" w:cs="Times New Roman"/>
          <w:sz w:val="24"/>
          <w:szCs w:val="24"/>
        </w:rPr>
        <w:t>Sfidat kryesore të identifikuara janë:</w:t>
      </w:r>
    </w:p>
    <w:p w14:paraId="6FB9456F" w14:textId="20BBE4C5" w:rsidR="000F7CAF" w:rsidRPr="00554FAF" w:rsidRDefault="000F7CAF"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b/>
          <w:sz w:val="24"/>
          <w:szCs w:val="24"/>
        </w:rPr>
        <w:t>Rritja e aktivitetit dhe niveleve të punësimit</w:t>
      </w:r>
      <w:r w:rsidRPr="00554FAF">
        <w:rPr>
          <w:rFonts w:ascii="Times New Roman" w:hAnsi="Times New Roman" w:cs="Times New Roman"/>
          <w:sz w:val="24"/>
          <w:szCs w:val="24"/>
        </w:rPr>
        <w:t xml:space="preserve"> </w:t>
      </w:r>
      <w:r w:rsidR="00E31E6E" w:rsidRPr="00554FAF">
        <w:rPr>
          <w:rFonts w:ascii="Times New Roman" w:hAnsi="Times New Roman" w:cs="Times New Roman"/>
          <w:sz w:val="24"/>
          <w:szCs w:val="24"/>
        </w:rPr>
        <w:t>–</w:t>
      </w:r>
      <w:r w:rsidRPr="00554FAF">
        <w:rPr>
          <w:rFonts w:ascii="Times New Roman" w:hAnsi="Times New Roman" w:cs="Times New Roman"/>
          <w:sz w:val="24"/>
          <w:szCs w:val="24"/>
        </w:rPr>
        <w:t xml:space="preserve"> </w:t>
      </w:r>
      <w:r w:rsidR="00E31E6E" w:rsidRPr="00554FAF">
        <w:rPr>
          <w:rFonts w:ascii="Times New Roman" w:hAnsi="Times New Roman" w:cs="Times New Roman"/>
          <w:sz w:val="24"/>
          <w:szCs w:val="24"/>
        </w:rPr>
        <w:t>Vler</w:t>
      </w:r>
      <w:r w:rsidR="003A7429" w:rsidRPr="00554FAF">
        <w:rPr>
          <w:rFonts w:ascii="Times New Roman" w:hAnsi="Times New Roman" w:cs="Times New Roman"/>
          <w:sz w:val="24"/>
          <w:szCs w:val="24"/>
        </w:rPr>
        <w:t>ë</w:t>
      </w:r>
      <w:r w:rsidR="00E31E6E" w:rsidRPr="00554FAF">
        <w:rPr>
          <w:rFonts w:ascii="Times New Roman" w:hAnsi="Times New Roman" w:cs="Times New Roman"/>
          <w:sz w:val="24"/>
          <w:szCs w:val="24"/>
        </w:rPr>
        <w:t xml:space="preserve">simi i Komisionit thekson se </w:t>
      </w:r>
      <w:r w:rsidR="00CB0275" w:rsidRPr="00554FAF">
        <w:rPr>
          <w:rFonts w:ascii="Times New Roman" w:hAnsi="Times New Roman" w:cs="Times New Roman"/>
          <w:sz w:val="24"/>
          <w:szCs w:val="24"/>
        </w:rPr>
        <w:t>përkundër papunësisë kronike të lartë</w:t>
      </w:r>
      <w:r w:rsidR="00CB0275" w:rsidRPr="00554FAF" w:rsidDel="00E31E6E">
        <w:rPr>
          <w:rFonts w:ascii="Times New Roman" w:hAnsi="Times New Roman" w:cs="Times New Roman"/>
          <w:sz w:val="24"/>
          <w:szCs w:val="24"/>
        </w:rPr>
        <w:t xml:space="preserve"> </w:t>
      </w:r>
      <w:r w:rsidR="00E31E6E" w:rsidRPr="00554FAF">
        <w:rPr>
          <w:rFonts w:ascii="Times New Roman" w:hAnsi="Times New Roman" w:cs="Times New Roman"/>
          <w:sz w:val="24"/>
          <w:szCs w:val="24"/>
        </w:rPr>
        <w:t>p</w:t>
      </w:r>
      <w:r w:rsidRPr="00554FAF">
        <w:rPr>
          <w:rFonts w:ascii="Times New Roman" w:hAnsi="Times New Roman" w:cs="Times New Roman"/>
          <w:sz w:val="24"/>
          <w:szCs w:val="24"/>
        </w:rPr>
        <w:t xml:space="preserve">jesëmarrja e </w:t>
      </w:r>
      <w:r w:rsidR="00E31E6E" w:rsidRPr="00554FAF">
        <w:rPr>
          <w:rFonts w:ascii="Times New Roman" w:hAnsi="Times New Roman" w:cs="Times New Roman"/>
          <w:sz w:val="24"/>
          <w:szCs w:val="24"/>
        </w:rPr>
        <w:t>fuqis</w:t>
      </w:r>
      <w:r w:rsidR="003A7429" w:rsidRPr="00554FAF">
        <w:rPr>
          <w:rFonts w:ascii="Times New Roman" w:hAnsi="Times New Roman" w:cs="Times New Roman"/>
          <w:sz w:val="24"/>
          <w:szCs w:val="24"/>
        </w:rPr>
        <w:t>ë</w:t>
      </w:r>
      <w:r w:rsidR="00E31E6E" w:rsidRPr="00554FAF">
        <w:rPr>
          <w:rFonts w:ascii="Times New Roman" w:hAnsi="Times New Roman" w:cs="Times New Roman"/>
          <w:sz w:val="24"/>
          <w:szCs w:val="24"/>
        </w:rPr>
        <w:t xml:space="preserve"> pun</w:t>
      </w:r>
      <w:r w:rsidR="003A7429" w:rsidRPr="00554FAF">
        <w:rPr>
          <w:rFonts w:ascii="Times New Roman" w:hAnsi="Times New Roman" w:cs="Times New Roman"/>
          <w:sz w:val="24"/>
          <w:szCs w:val="24"/>
        </w:rPr>
        <w:t>ë</w:t>
      </w:r>
      <w:r w:rsidR="00E31E6E" w:rsidRPr="00554FAF">
        <w:rPr>
          <w:rFonts w:ascii="Times New Roman" w:hAnsi="Times New Roman" w:cs="Times New Roman"/>
          <w:sz w:val="24"/>
          <w:szCs w:val="24"/>
        </w:rPr>
        <w:t xml:space="preserve">tore </w:t>
      </w:r>
      <w:r w:rsidRPr="00554FAF">
        <w:rPr>
          <w:rFonts w:ascii="Times New Roman" w:hAnsi="Times New Roman" w:cs="Times New Roman"/>
          <w:sz w:val="24"/>
          <w:szCs w:val="24"/>
        </w:rPr>
        <w:t xml:space="preserve">vazhdon të jetë e ulët. </w:t>
      </w:r>
      <w:r w:rsidRPr="00554FAF">
        <w:rPr>
          <w:rFonts w:ascii="Times New Roman" w:hAnsi="Times New Roman" w:cs="Times New Roman"/>
          <w:b/>
          <w:sz w:val="24"/>
          <w:szCs w:val="24"/>
        </w:rPr>
        <w:t xml:space="preserve">Zhvillimi socio-ekonomik i Kosovës nuk po përparon, pasi </w:t>
      </w:r>
      <w:r w:rsidR="003A7429" w:rsidRPr="00554FAF">
        <w:rPr>
          <w:rFonts w:ascii="Times New Roman" w:hAnsi="Times New Roman" w:cs="Times New Roman"/>
          <w:b/>
          <w:sz w:val="24"/>
          <w:szCs w:val="24"/>
        </w:rPr>
        <w:t xml:space="preserve">që </w:t>
      </w:r>
      <w:r w:rsidRPr="00554FAF">
        <w:rPr>
          <w:rFonts w:ascii="Times New Roman" w:hAnsi="Times New Roman" w:cs="Times New Roman"/>
          <w:b/>
          <w:sz w:val="24"/>
          <w:szCs w:val="24"/>
        </w:rPr>
        <w:t>tregu i punës nuk po zgjerohet</w:t>
      </w:r>
      <w:r w:rsidRPr="00554FAF">
        <w:rPr>
          <w:rFonts w:ascii="Times New Roman" w:hAnsi="Times New Roman" w:cs="Times New Roman"/>
          <w:sz w:val="24"/>
          <w:szCs w:val="24"/>
        </w:rPr>
        <w:t xml:space="preserve">. Aktiviteti dhe niveli shumë i ulët i punësimit dhe prania </w:t>
      </w:r>
      <w:r w:rsidR="003A7429" w:rsidRPr="00554FAF">
        <w:rPr>
          <w:rFonts w:ascii="Times New Roman" w:hAnsi="Times New Roman" w:cs="Times New Roman"/>
          <w:sz w:val="24"/>
          <w:szCs w:val="24"/>
        </w:rPr>
        <w:t xml:space="preserve">e kufizuar </w:t>
      </w:r>
      <w:r w:rsidRPr="00554FAF">
        <w:rPr>
          <w:rFonts w:ascii="Times New Roman" w:hAnsi="Times New Roman" w:cs="Times New Roman"/>
          <w:sz w:val="24"/>
          <w:szCs w:val="24"/>
        </w:rPr>
        <w:t xml:space="preserve">e grave në tregun e punës janë disa nga sfidat më të </w:t>
      </w:r>
      <w:r w:rsidR="00CB0275" w:rsidRPr="00554FAF">
        <w:rPr>
          <w:rFonts w:ascii="Times New Roman" w:hAnsi="Times New Roman" w:cs="Times New Roman"/>
          <w:sz w:val="24"/>
          <w:szCs w:val="24"/>
        </w:rPr>
        <w:t>dukshme</w:t>
      </w:r>
      <w:r w:rsidRPr="00554FAF">
        <w:rPr>
          <w:rFonts w:ascii="Times New Roman" w:hAnsi="Times New Roman" w:cs="Times New Roman"/>
          <w:sz w:val="24"/>
          <w:szCs w:val="24"/>
        </w:rPr>
        <w:t xml:space="preserve">, </w:t>
      </w:r>
      <w:r w:rsidR="00CB0275" w:rsidRPr="00554FAF">
        <w:rPr>
          <w:rFonts w:ascii="Times New Roman" w:hAnsi="Times New Roman" w:cs="Times New Roman"/>
          <w:sz w:val="24"/>
          <w:szCs w:val="24"/>
        </w:rPr>
        <w:t>s</w:t>
      </w:r>
      <w:r w:rsidR="004A2969" w:rsidRPr="00554FAF">
        <w:rPr>
          <w:rFonts w:ascii="Times New Roman" w:hAnsi="Times New Roman" w:cs="Times New Roman"/>
          <w:sz w:val="24"/>
          <w:szCs w:val="24"/>
        </w:rPr>
        <w:t>ë</w:t>
      </w:r>
      <w:r w:rsidR="00CB0275" w:rsidRPr="00554FAF">
        <w:rPr>
          <w:rFonts w:ascii="Times New Roman" w:hAnsi="Times New Roman" w:cs="Times New Roman"/>
          <w:sz w:val="24"/>
          <w:szCs w:val="24"/>
        </w:rPr>
        <w:t xml:space="preserve"> bashku me  </w:t>
      </w:r>
      <w:r w:rsidRPr="00554FAF">
        <w:rPr>
          <w:rFonts w:ascii="Times New Roman" w:hAnsi="Times New Roman" w:cs="Times New Roman"/>
          <w:sz w:val="24"/>
          <w:szCs w:val="24"/>
        </w:rPr>
        <w:t>punësimi</w:t>
      </w:r>
      <w:r w:rsidR="00353828" w:rsidRPr="00554FAF">
        <w:rPr>
          <w:rFonts w:ascii="Times New Roman" w:hAnsi="Times New Roman" w:cs="Times New Roman"/>
          <w:sz w:val="24"/>
          <w:szCs w:val="24"/>
        </w:rPr>
        <w:t xml:space="preserve">n </w:t>
      </w:r>
      <w:r w:rsidRPr="00554FAF">
        <w:rPr>
          <w:rFonts w:ascii="Times New Roman" w:hAnsi="Times New Roman" w:cs="Times New Roman"/>
          <w:sz w:val="24"/>
          <w:szCs w:val="24"/>
        </w:rPr>
        <w:t xml:space="preserve">përhapur </w:t>
      </w:r>
      <w:r w:rsidR="003A7429" w:rsidRPr="00554FAF">
        <w:rPr>
          <w:rFonts w:ascii="Times New Roman" w:hAnsi="Times New Roman" w:cs="Times New Roman"/>
          <w:sz w:val="24"/>
          <w:szCs w:val="24"/>
        </w:rPr>
        <w:t xml:space="preserve">joformal </w:t>
      </w:r>
      <w:r w:rsidRPr="00554FAF">
        <w:rPr>
          <w:rFonts w:ascii="Times New Roman" w:hAnsi="Times New Roman" w:cs="Times New Roman"/>
          <w:sz w:val="24"/>
          <w:szCs w:val="24"/>
        </w:rPr>
        <w:t>dhe cilësi</w:t>
      </w:r>
      <w:r w:rsidR="00353828" w:rsidRPr="00554FAF">
        <w:rPr>
          <w:rFonts w:ascii="Times New Roman" w:hAnsi="Times New Roman" w:cs="Times New Roman"/>
          <w:sz w:val="24"/>
          <w:szCs w:val="24"/>
        </w:rPr>
        <w:t>n</w:t>
      </w:r>
      <w:r w:rsidR="004A2969" w:rsidRPr="00554FAF">
        <w:rPr>
          <w:rFonts w:ascii="Times New Roman" w:hAnsi="Times New Roman" w:cs="Times New Roman"/>
          <w:sz w:val="24"/>
          <w:szCs w:val="24"/>
        </w:rPr>
        <w:t>ë</w:t>
      </w:r>
      <w:r w:rsidR="00353828" w:rsidRPr="00554FAF">
        <w:rPr>
          <w:rFonts w:ascii="Times New Roman" w:hAnsi="Times New Roman" w:cs="Times New Roman"/>
          <w:sz w:val="24"/>
          <w:szCs w:val="24"/>
        </w:rPr>
        <w:t xml:space="preserve"> e </w:t>
      </w:r>
      <w:r w:rsidRPr="00554FAF">
        <w:rPr>
          <w:rFonts w:ascii="Times New Roman" w:hAnsi="Times New Roman" w:cs="Times New Roman"/>
          <w:sz w:val="24"/>
          <w:szCs w:val="24"/>
        </w:rPr>
        <w:t>dobët të punës në sektorin privat.</w:t>
      </w:r>
    </w:p>
    <w:p w14:paraId="31A9A059" w14:textId="65330945" w:rsidR="000F7CAF" w:rsidRPr="00554FAF" w:rsidRDefault="000F7CAF"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b/>
          <w:sz w:val="24"/>
          <w:szCs w:val="24"/>
        </w:rPr>
        <w:t>Performanca e tregut të punës mbetet konsiderueshëm prapa rajonit dhe BE-së, pa asnjë shenjë drejt përmirësimit</w:t>
      </w:r>
      <w:r w:rsidRPr="00554FAF">
        <w:rPr>
          <w:rFonts w:ascii="Times New Roman" w:hAnsi="Times New Roman" w:cs="Times New Roman"/>
          <w:sz w:val="24"/>
          <w:szCs w:val="24"/>
        </w:rPr>
        <w:t>. Rritja ekonomike nuk ka kontribuar në punësim</w:t>
      </w:r>
      <w:r w:rsidR="003A7429" w:rsidRPr="00554FAF">
        <w:rPr>
          <w:rFonts w:ascii="Times New Roman" w:hAnsi="Times New Roman" w:cs="Times New Roman"/>
          <w:sz w:val="24"/>
          <w:szCs w:val="24"/>
        </w:rPr>
        <w:t>.</w:t>
      </w:r>
      <w:r w:rsidRPr="00554FAF">
        <w:rPr>
          <w:rFonts w:ascii="Times New Roman" w:hAnsi="Times New Roman" w:cs="Times New Roman"/>
          <w:sz w:val="24"/>
          <w:szCs w:val="24"/>
        </w:rPr>
        <w:t xml:space="preserve"> </w:t>
      </w:r>
      <w:r w:rsidR="003A7429" w:rsidRPr="00554FAF">
        <w:rPr>
          <w:rFonts w:ascii="Times New Roman" w:hAnsi="Times New Roman" w:cs="Times New Roman"/>
          <w:sz w:val="24"/>
          <w:szCs w:val="24"/>
        </w:rPr>
        <w:t>R</w:t>
      </w:r>
      <w:r w:rsidRPr="00554FAF">
        <w:rPr>
          <w:rFonts w:ascii="Times New Roman" w:hAnsi="Times New Roman" w:cs="Times New Roman"/>
          <w:sz w:val="24"/>
          <w:szCs w:val="24"/>
        </w:rPr>
        <w:t>ritja e vazhdueshme e popullsisë</w:t>
      </w:r>
      <w:r w:rsidR="003A7429" w:rsidRPr="00554FAF">
        <w:rPr>
          <w:rFonts w:ascii="Times New Roman" w:hAnsi="Times New Roman" w:cs="Times New Roman"/>
          <w:sz w:val="24"/>
          <w:szCs w:val="24"/>
        </w:rPr>
        <w:t>,</w:t>
      </w:r>
      <w:r w:rsidRPr="00554FAF">
        <w:rPr>
          <w:rFonts w:ascii="Times New Roman" w:hAnsi="Times New Roman" w:cs="Times New Roman"/>
          <w:sz w:val="24"/>
          <w:szCs w:val="24"/>
        </w:rPr>
        <w:t xml:space="preserve"> </w:t>
      </w:r>
      <w:r w:rsidR="00EA0B1C" w:rsidRPr="00554FAF">
        <w:rPr>
          <w:rFonts w:ascii="Times New Roman" w:hAnsi="Times New Roman" w:cs="Times New Roman"/>
          <w:sz w:val="24"/>
          <w:szCs w:val="24"/>
        </w:rPr>
        <w:t>sa i përket</w:t>
      </w:r>
      <w:r w:rsidRPr="00554FAF">
        <w:rPr>
          <w:rFonts w:ascii="Times New Roman" w:hAnsi="Times New Roman" w:cs="Times New Roman"/>
          <w:sz w:val="24"/>
          <w:szCs w:val="24"/>
        </w:rPr>
        <w:t xml:space="preserve"> moshë</w:t>
      </w:r>
      <w:r w:rsidR="003A7429" w:rsidRPr="00554FAF">
        <w:rPr>
          <w:rFonts w:ascii="Times New Roman" w:hAnsi="Times New Roman" w:cs="Times New Roman"/>
          <w:sz w:val="24"/>
          <w:szCs w:val="24"/>
        </w:rPr>
        <w:t>s</w:t>
      </w:r>
      <w:r w:rsidRPr="00554FAF">
        <w:rPr>
          <w:rFonts w:ascii="Times New Roman" w:hAnsi="Times New Roman" w:cs="Times New Roman"/>
          <w:sz w:val="24"/>
          <w:szCs w:val="24"/>
        </w:rPr>
        <w:t xml:space="preserve"> </w:t>
      </w:r>
      <w:r w:rsidR="003A7429" w:rsidRPr="00554FAF">
        <w:rPr>
          <w:rFonts w:ascii="Times New Roman" w:hAnsi="Times New Roman" w:cs="Times New Roman"/>
          <w:sz w:val="24"/>
          <w:szCs w:val="24"/>
        </w:rPr>
        <w:t xml:space="preserve">për </w:t>
      </w:r>
      <w:r w:rsidRPr="00554FAF">
        <w:rPr>
          <w:rFonts w:ascii="Times New Roman" w:hAnsi="Times New Roman" w:cs="Times New Roman"/>
          <w:sz w:val="24"/>
          <w:szCs w:val="24"/>
        </w:rPr>
        <w:t>pun</w:t>
      </w:r>
      <w:r w:rsidR="003A7429" w:rsidRPr="00554FAF">
        <w:rPr>
          <w:rFonts w:ascii="Times New Roman" w:hAnsi="Times New Roman" w:cs="Times New Roman"/>
          <w:sz w:val="24"/>
          <w:szCs w:val="24"/>
        </w:rPr>
        <w:t>ë,</w:t>
      </w:r>
      <w:r w:rsidRPr="00554FAF">
        <w:rPr>
          <w:rFonts w:ascii="Times New Roman" w:hAnsi="Times New Roman" w:cs="Times New Roman"/>
          <w:sz w:val="24"/>
          <w:szCs w:val="24"/>
        </w:rPr>
        <w:t xml:space="preserve"> është duke bërë presion në tregun e punës dhe është </w:t>
      </w:r>
      <w:r w:rsidR="003A7429" w:rsidRPr="00554FAF">
        <w:rPr>
          <w:rFonts w:ascii="Times New Roman" w:hAnsi="Times New Roman" w:cs="Times New Roman"/>
          <w:sz w:val="24"/>
          <w:szCs w:val="24"/>
        </w:rPr>
        <w:t xml:space="preserve">zbehur </w:t>
      </w:r>
      <w:r w:rsidRPr="00554FAF">
        <w:rPr>
          <w:rFonts w:ascii="Times New Roman" w:hAnsi="Times New Roman" w:cs="Times New Roman"/>
          <w:sz w:val="24"/>
          <w:szCs w:val="24"/>
        </w:rPr>
        <w:t xml:space="preserve">vetëm pjesërisht nga </w:t>
      </w:r>
      <w:r w:rsidR="003A7429" w:rsidRPr="00554FAF">
        <w:rPr>
          <w:rFonts w:ascii="Times New Roman" w:hAnsi="Times New Roman" w:cs="Times New Roman"/>
          <w:sz w:val="24"/>
          <w:szCs w:val="24"/>
        </w:rPr>
        <w:t>emigrimi</w:t>
      </w:r>
      <w:r w:rsidRPr="00554FAF">
        <w:rPr>
          <w:rFonts w:ascii="Times New Roman" w:hAnsi="Times New Roman" w:cs="Times New Roman"/>
          <w:sz w:val="24"/>
          <w:szCs w:val="24"/>
        </w:rPr>
        <w:t xml:space="preserve">. Struktura aktuale ekonomike, kryesisht e bazuar në produkte dhe shërbime të pa sofistikuara dhe me vlerë të shtuar, nuk është në gjendje të krijojë një numër të mjaftueshëm të </w:t>
      </w:r>
      <w:r w:rsidR="00353828" w:rsidRPr="00554FAF">
        <w:rPr>
          <w:rFonts w:ascii="Times New Roman" w:hAnsi="Times New Roman" w:cs="Times New Roman"/>
          <w:sz w:val="24"/>
          <w:szCs w:val="24"/>
        </w:rPr>
        <w:t>vendeve t</w:t>
      </w:r>
      <w:r w:rsidR="004A2969" w:rsidRPr="00554FAF">
        <w:rPr>
          <w:rFonts w:ascii="Times New Roman" w:hAnsi="Times New Roman" w:cs="Times New Roman"/>
          <w:sz w:val="24"/>
          <w:szCs w:val="24"/>
        </w:rPr>
        <w:t>ë</w:t>
      </w:r>
      <w:r w:rsidR="00353828" w:rsidRPr="00554FAF">
        <w:rPr>
          <w:rFonts w:ascii="Times New Roman" w:hAnsi="Times New Roman" w:cs="Times New Roman"/>
          <w:sz w:val="24"/>
          <w:szCs w:val="24"/>
        </w:rPr>
        <w:t xml:space="preserve"> pun</w:t>
      </w:r>
      <w:r w:rsidR="004A2969" w:rsidRPr="00554FAF">
        <w:rPr>
          <w:rFonts w:ascii="Times New Roman" w:hAnsi="Times New Roman" w:cs="Times New Roman"/>
          <w:sz w:val="24"/>
          <w:szCs w:val="24"/>
        </w:rPr>
        <w:t>ë</w:t>
      </w:r>
      <w:r w:rsidR="00353828" w:rsidRPr="00554FAF">
        <w:rPr>
          <w:rFonts w:ascii="Times New Roman" w:hAnsi="Times New Roman" w:cs="Times New Roman"/>
          <w:sz w:val="24"/>
          <w:szCs w:val="24"/>
        </w:rPr>
        <w:t xml:space="preserve">s </w:t>
      </w:r>
      <w:r w:rsidRPr="00554FAF">
        <w:rPr>
          <w:rFonts w:ascii="Times New Roman" w:hAnsi="Times New Roman" w:cs="Times New Roman"/>
          <w:sz w:val="24"/>
          <w:szCs w:val="24"/>
        </w:rPr>
        <w:t xml:space="preserve">që </w:t>
      </w:r>
      <w:r w:rsidR="00353828" w:rsidRPr="00554FAF">
        <w:rPr>
          <w:rFonts w:ascii="Times New Roman" w:hAnsi="Times New Roman" w:cs="Times New Roman"/>
          <w:sz w:val="24"/>
          <w:szCs w:val="24"/>
        </w:rPr>
        <w:t>k</w:t>
      </w:r>
      <w:r w:rsidR="004A2969" w:rsidRPr="00554FAF">
        <w:rPr>
          <w:rFonts w:ascii="Times New Roman" w:hAnsi="Times New Roman" w:cs="Times New Roman"/>
          <w:sz w:val="24"/>
          <w:szCs w:val="24"/>
        </w:rPr>
        <w:t>ë</w:t>
      </w:r>
      <w:r w:rsidR="00353828" w:rsidRPr="00554FAF">
        <w:rPr>
          <w:rFonts w:ascii="Times New Roman" w:hAnsi="Times New Roman" w:cs="Times New Roman"/>
          <w:sz w:val="24"/>
          <w:szCs w:val="24"/>
        </w:rPr>
        <w:t xml:space="preserve">rkon </w:t>
      </w:r>
      <w:r w:rsidRPr="00554FAF">
        <w:rPr>
          <w:rFonts w:ascii="Times New Roman" w:hAnsi="Times New Roman" w:cs="Times New Roman"/>
          <w:sz w:val="24"/>
          <w:szCs w:val="24"/>
        </w:rPr>
        <w:t xml:space="preserve">aftësi të larta. Përdorimi i përhapur i kanaleve </w:t>
      </w:r>
      <w:r w:rsidR="00255276" w:rsidRPr="00554FAF">
        <w:rPr>
          <w:rFonts w:ascii="Times New Roman" w:hAnsi="Times New Roman" w:cs="Times New Roman"/>
          <w:sz w:val="24"/>
          <w:szCs w:val="24"/>
        </w:rPr>
        <w:t xml:space="preserve">joformale </w:t>
      </w:r>
      <w:r w:rsidRPr="00554FAF">
        <w:rPr>
          <w:rFonts w:ascii="Times New Roman" w:hAnsi="Times New Roman" w:cs="Times New Roman"/>
          <w:sz w:val="24"/>
          <w:szCs w:val="24"/>
        </w:rPr>
        <w:t xml:space="preserve">nga kompanitë kur kërkojnë punëtorë, e zvogëlon hapësirën për vendet e punës nga shërbimet e punësimit. Remitencat e rrisin nivelin e pagës </w:t>
      </w:r>
      <w:r w:rsidR="00A356E8" w:rsidRPr="00554FAF">
        <w:rPr>
          <w:rFonts w:ascii="Times New Roman" w:hAnsi="Times New Roman" w:cs="Times New Roman"/>
          <w:sz w:val="24"/>
          <w:szCs w:val="24"/>
        </w:rPr>
        <w:t>rezervë</w:t>
      </w:r>
      <w:r w:rsidRPr="00554FAF">
        <w:rPr>
          <w:rFonts w:ascii="Times New Roman" w:hAnsi="Times New Roman" w:cs="Times New Roman"/>
          <w:sz w:val="24"/>
          <w:szCs w:val="24"/>
        </w:rPr>
        <w:t xml:space="preserve"> </w:t>
      </w:r>
      <w:r w:rsidR="00255276" w:rsidRPr="00554FAF">
        <w:rPr>
          <w:rFonts w:ascii="Times New Roman" w:hAnsi="Times New Roman" w:cs="Times New Roman"/>
          <w:sz w:val="24"/>
          <w:szCs w:val="24"/>
        </w:rPr>
        <w:t xml:space="preserve">kurse ekonomia joformale </w:t>
      </w:r>
      <w:r w:rsidRPr="00554FAF">
        <w:rPr>
          <w:rFonts w:ascii="Times New Roman" w:hAnsi="Times New Roman" w:cs="Times New Roman"/>
          <w:sz w:val="24"/>
          <w:szCs w:val="24"/>
        </w:rPr>
        <w:t xml:space="preserve">zvogëlon numrin e </w:t>
      </w:r>
      <w:r w:rsidR="00255276" w:rsidRPr="00554FAF">
        <w:rPr>
          <w:rFonts w:ascii="Times New Roman" w:hAnsi="Times New Roman" w:cs="Times New Roman"/>
          <w:sz w:val="24"/>
          <w:szCs w:val="24"/>
        </w:rPr>
        <w:t xml:space="preserve">vendeve </w:t>
      </w:r>
      <w:r w:rsidRPr="00554FAF">
        <w:rPr>
          <w:rFonts w:ascii="Times New Roman" w:hAnsi="Times New Roman" w:cs="Times New Roman"/>
          <w:sz w:val="24"/>
          <w:szCs w:val="24"/>
        </w:rPr>
        <w:t>formale</w:t>
      </w:r>
      <w:r w:rsidR="00255276" w:rsidRPr="00554FAF">
        <w:rPr>
          <w:rFonts w:ascii="Times New Roman" w:hAnsi="Times New Roman" w:cs="Times New Roman"/>
          <w:sz w:val="24"/>
          <w:szCs w:val="24"/>
        </w:rPr>
        <w:t xml:space="preserve"> të punës</w:t>
      </w:r>
      <w:r w:rsidRPr="00554FAF">
        <w:rPr>
          <w:rFonts w:ascii="Times New Roman" w:hAnsi="Times New Roman" w:cs="Times New Roman"/>
          <w:sz w:val="24"/>
          <w:szCs w:val="24"/>
        </w:rPr>
        <w:t>. Mungesa e mjediseve të kujdesit për fëmijë dhe përkujdesja institucionale për të moshuarit, e kombinuar me mungesën e fleksibilitetit në punë dhe paragjykime</w:t>
      </w:r>
      <w:r w:rsidR="00255276" w:rsidRPr="00554FAF">
        <w:rPr>
          <w:rFonts w:ascii="Times New Roman" w:hAnsi="Times New Roman" w:cs="Times New Roman"/>
          <w:sz w:val="24"/>
          <w:szCs w:val="24"/>
        </w:rPr>
        <w:t>ve</w:t>
      </w:r>
      <w:r w:rsidRPr="00554FAF">
        <w:rPr>
          <w:rFonts w:ascii="Times New Roman" w:hAnsi="Times New Roman" w:cs="Times New Roman"/>
          <w:sz w:val="24"/>
          <w:szCs w:val="24"/>
        </w:rPr>
        <w:t xml:space="preserve"> kulturore,</w:t>
      </w:r>
      <w:r w:rsidR="00255276" w:rsidRPr="00554FAF">
        <w:rPr>
          <w:rFonts w:ascii="Times New Roman" w:hAnsi="Times New Roman" w:cs="Times New Roman"/>
          <w:sz w:val="24"/>
          <w:szCs w:val="24"/>
        </w:rPr>
        <w:t xml:space="preserve"> e</w:t>
      </w:r>
      <w:r w:rsidRPr="00554FAF">
        <w:rPr>
          <w:rFonts w:ascii="Times New Roman" w:hAnsi="Times New Roman" w:cs="Times New Roman"/>
          <w:sz w:val="24"/>
          <w:szCs w:val="24"/>
        </w:rPr>
        <w:t xml:space="preserve"> dekurajon pjesëmarrjen e </w:t>
      </w:r>
      <w:r w:rsidR="002E4330" w:rsidRPr="00554FAF">
        <w:rPr>
          <w:rFonts w:ascii="Times New Roman" w:hAnsi="Times New Roman" w:cs="Times New Roman"/>
          <w:sz w:val="24"/>
          <w:szCs w:val="24"/>
        </w:rPr>
        <w:t>grave n</w:t>
      </w:r>
      <w:r w:rsidR="004A2969" w:rsidRPr="00554FAF">
        <w:rPr>
          <w:rFonts w:ascii="Times New Roman" w:hAnsi="Times New Roman" w:cs="Times New Roman"/>
          <w:sz w:val="24"/>
          <w:szCs w:val="24"/>
        </w:rPr>
        <w:t>ë</w:t>
      </w:r>
      <w:r w:rsidR="002E4330" w:rsidRPr="00554FAF">
        <w:rPr>
          <w:rFonts w:ascii="Times New Roman" w:hAnsi="Times New Roman" w:cs="Times New Roman"/>
          <w:sz w:val="24"/>
          <w:szCs w:val="24"/>
        </w:rPr>
        <w:t xml:space="preserve"> tregun e pun</w:t>
      </w:r>
      <w:r w:rsidR="004A2969" w:rsidRPr="00554FAF">
        <w:rPr>
          <w:rFonts w:ascii="Times New Roman" w:hAnsi="Times New Roman" w:cs="Times New Roman"/>
          <w:sz w:val="24"/>
          <w:szCs w:val="24"/>
        </w:rPr>
        <w:t>ë</w:t>
      </w:r>
      <w:r w:rsidR="002E4330" w:rsidRPr="00554FAF">
        <w:rPr>
          <w:rFonts w:ascii="Times New Roman" w:hAnsi="Times New Roman" w:cs="Times New Roman"/>
          <w:sz w:val="24"/>
          <w:szCs w:val="24"/>
        </w:rPr>
        <w:t>s</w:t>
      </w:r>
      <w:r w:rsidRPr="00554FAF">
        <w:rPr>
          <w:rFonts w:ascii="Times New Roman" w:hAnsi="Times New Roman" w:cs="Times New Roman"/>
          <w:sz w:val="24"/>
          <w:szCs w:val="24"/>
        </w:rPr>
        <w:t>.</w:t>
      </w:r>
    </w:p>
    <w:p w14:paraId="537934E5" w14:textId="6FA1D38F" w:rsidR="000F7CAF" w:rsidRPr="00554FAF" w:rsidRDefault="000F7CAF"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sz w:val="24"/>
          <w:szCs w:val="24"/>
        </w:rPr>
        <w:t xml:space="preserve">Përveç këtyre sfidave, Komisioni theksoi edhe </w:t>
      </w:r>
      <w:r w:rsidRPr="00554FAF">
        <w:rPr>
          <w:rFonts w:ascii="Times New Roman" w:hAnsi="Times New Roman" w:cs="Times New Roman"/>
          <w:b/>
          <w:sz w:val="24"/>
          <w:szCs w:val="24"/>
        </w:rPr>
        <w:t>lidhjen e dobët midis arsimit dhe tregut të punës</w:t>
      </w:r>
      <w:r w:rsidR="00255276" w:rsidRPr="00554FAF">
        <w:rPr>
          <w:rFonts w:ascii="Times New Roman" w:hAnsi="Times New Roman" w:cs="Times New Roman"/>
          <w:b/>
          <w:sz w:val="24"/>
          <w:szCs w:val="24"/>
        </w:rPr>
        <w:t>,</w:t>
      </w:r>
      <w:r w:rsidRPr="00554FAF">
        <w:rPr>
          <w:rFonts w:ascii="Times New Roman" w:hAnsi="Times New Roman" w:cs="Times New Roman"/>
          <w:b/>
          <w:sz w:val="24"/>
          <w:szCs w:val="24"/>
        </w:rPr>
        <w:t xml:space="preserve"> si një sfidë e rëndësishme</w:t>
      </w:r>
      <w:r w:rsidRPr="00554FAF">
        <w:rPr>
          <w:rFonts w:ascii="Times New Roman" w:hAnsi="Times New Roman" w:cs="Times New Roman"/>
          <w:sz w:val="24"/>
          <w:szCs w:val="24"/>
        </w:rPr>
        <w:t xml:space="preserve">, në veçanti </w:t>
      </w:r>
      <w:r w:rsidR="00255276" w:rsidRPr="00554FAF">
        <w:rPr>
          <w:rFonts w:ascii="Times New Roman" w:hAnsi="Times New Roman" w:cs="Times New Roman"/>
          <w:sz w:val="24"/>
          <w:szCs w:val="24"/>
        </w:rPr>
        <w:t xml:space="preserve">theksoi se </w:t>
      </w:r>
      <w:r w:rsidRPr="00554FAF">
        <w:rPr>
          <w:rFonts w:ascii="Times New Roman" w:hAnsi="Times New Roman" w:cs="Times New Roman"/>
          <w:sz w:val="24"/>
          <w:szCs w:val="24"/>
        </w:rPr>
        <w:t>mungesa e aftësive vazhdon të mbetet një pengesë për rritjen, ndërsa cilësia e përgjithshme e arsimit dhe kapitalit njerëzor mbetet një sfidë e rëndësishme.</w:t>
      </w:r>
    </w:p>
    <w:p w14:paraId="6BEF28BA" w14:textId="311BC3D0" w:rsidR="000F7CAF" w:rsidRPr="00554FAF" w:rsidRDefault="00255276"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b/>
          <w:sz w:val="24"/>
          <w:szCs w:val="24"/>
        </w:rPr>
        <w:t>Hendeku i</w:t>
      </w:r>
      <w:r w:rsidR="000F7CAF" w:rsidRPr="00554FAF">
        <w:rPr>
          <w:rFonts w:ascii="Times New Roman" w:hAnsi="Times New Roman" w:cs="Times New Roman"/>
          <w:b/>
          <w:sz w:val="24"/>
          <w:szCs w:val="24"/>
        </w:rPr>
        <w:t xml:space="preserve"> </w:t>
      </w:r>
      <w:r w:rsidR="002E4330" w:rsidRPr="00554FAF">
        <w:rPr>
          <w:rFonts w:ascii="Times New Roman" w:hAnsi="Times New Roman" w:cs="Times New Roman"/>
          <w:b/>
          <w:sz w:val="24"/>
          <w:szCs w:val="24"/>
        </w:rPr>
        <w:t>shkatht</w:t>
      </w:r>
      <w:r w:rsidR="004A2969" w:rsidRPr="00554FAF">
        <w:rPr>
          <w:rFonts w:ascii="Times New Roman" w:hAnsi="Times New Roman" w:cs="Times New Roman"/>
          <w:b/>
          <w:sz w:val="24"/>
          <w:szCs w:val="24"/>
        </w:rPr>
        <w:t>ë</w:t>
      </w:r>
      <w:r w:rsidR="002E4330" w:rsidRPr="00554FAF">
        <w:rPr>
          <w:rFonts w:ascii="Times New Roman" w:hAnsi="Times New Roman" w:cs="Times New Roman"/>
          <w:b/>
          <w:sz w:val="24"/>
          <w:szCs w:val="24"/>
        </w:rPr>
        <w:t xml:space="preserve">sive  </w:t>
      </w:r>
      <w:r w:rsidRPr="00554FAF">
        <w:rPr>
          <w:rFonts w:ascii="Times New Roman" w:hAnsi="Times New Roman" w:cs="Times New Roman"/>
          <w:b/>
          <w:sz w:val="24"/>
          <w:szCs w:val="24"/>
        </w:rPr>
        <w:t>ndërmjet</w:t>
      </w:r>
      <w:r w:rsidR="000F7CAF" w:rsidRPr="00554FAF">
        <w:rPr>
          <w:rFonts w:ascii="Times New Roman" w:hAnsi="Times New Roman" w:cs="Times New Roman"/>
          <w:b/>
          <w:sz w:val="24"/>
          <w:szCs w:val="24"/>
        </w:rPr>
        <w:t xml:space="preserve"> arsimit / trajnimit dhe nevojave të tregut të punës mbetet një pengesë </w:t>
      </w:r>
      <w:r w:rsidRPr="00554FAF">
        <w:rPr>
          <w:rFonts w:ascii="Times New Roman" w:hAnsi="Times New Roman" w:cs="Times New Roman"/>
          <w:b/>
          <w:sz w:val="24"/>
          <w:szCs w:val="24"/>
        </w:rPr>
        <w:t xml:space="preserve">e </w:t>
      </w:r>
      <w:r w:rsidR="002E4330" w:rsidRPr="00554FAF">
        <w:rPr>
          <w:rFonts w:ascii="Times New Roman" w:hAnsi="Times New Roman" w:cs="Times New Roman"/>
          <w:b/>
          <w:sz w:val="24"/>
          <w:szCs w:val="24"/>
        </w:rPr>
        <w:t>detyrueshme</w:t>
      </w:r>
      <w:r w:rsidRPr="00554FAF">
        <w:rPr>
          <w:rFonts w:ascii="Times New Roman" w:hAnsi="Times New Roman" w:cs="Times New Roman"/>
          <w:b/>
          <w:sz w:val="24"/>
          <w:szCs w:val="24"/>
        </w:rPr>
        <w:t xml:space="preserve"> </w:t>
      </w:r>
      <w:r w:rsidR="000F7CAF" w:rsidRPr="00554FAF">
        <w:rPr>
          <w:rFonts w:ascii="Times New Roman" w:hAnsi="Times New Roman" w:cs="Times New Roman"/>
          <w:b/>
          <w:sz w:val="24"/>
          <w:szCs w:val="24"/>
        </w:rPr>
        <w:t>për rritje dhe punësim</w:t>
      </w:r>
      <w:r w:rsidR="000F7CAF" w:rsidRPr="00554FAF">
        <w:rPr>
          <w:rFonts w:ascii="Times New Roman" w:hAnsi="Times New Roman" w:cs="Times New Roman"/>
          <w:sz w:val="24"/>
          <w:szCs w:val="24"/>
        </w:rPr>
        <w:t>. Një studim i kryer në fund të vitit 2015 i konfirmoi gjetjet e mëparshme të Raportit BEEPS të vitit 2013.</w:t>
      </w:r>
      <w:r w:rsidR="009F61BF" w:rsidRPr="00554FAF">
        <w:rPr>
          <w:rStyle w:val="FootnoteReference"/>
          <w:rFonts w:ascii="Times New Roman" w:hAnsi="Times New Roman" w:cs="Times New Roman"/>
          <w:sz w:val="24"/>
          <w:szCs w:val="24"/>
        </w:rPr>
        <w:footnoteReference w:id="28"/>
      </w:r>
      <w:r w:rsidR="000F7CAF" w:rsidRPr="00554FAF">
        <w:rPr>
          <w:rFonts w:ascii="Times New Roman" w:hAnsi="Times New Roman" w:cs="Times New Roman"/>
          <w:sz w:val="24"/>
          <w:szCs w:val="24"/>
        </w:rPr>
        <w:t xml:space="preserve"> Më shumë se një e treta e firmave raportuan se kishin probleme në gjetjen e </w:t>
      </w:r>
      <w:r w:rsidR="00EA0B1C" w:rsidRPr="00554FAF">
        <w:rPr>
          <w:rFonts w:ascii="Times New Roman" w:hAnsi="Times New Roman" w:cs="Times New Roman"/>
          <w:sz w:val="24"/>
          <w:szCs w:val="24"/>
        </w:rPr>
        <w:t>shkathtësive</w:t>
      </w:r>
      <w:r w:rsidR="002E4330" w:rsidRPr="00554FAF">
        <w:rPr>
          <w:rFonts w:ascii="Times New Roman" w:hAnsi="Times New Roman" w:cs="Times New Roman"/>
          <w:sz w:val="24"/>
          <w:szCs w:val="24"/>
        </w:rPr>
        <w:t xml:space="preserve"> </w:t>
      </w:r>
      <w:r w:rsidR="000F7CAF" w:rsidRPr="00554FAF">
        <w:rPr>
          <w:rFonts w:ascii="Times New Roman" w:hAnsi="Times New Roman" w:cs="Times New Roman"/>
          <w:sz w:val="24"/>
          <w:szCs w:val="24"/>
        </w:rPr>
        <w:t xml:space="preserve">të kërkuara kur punësojnë teknikë, profesionistë, </w:t>
      </w:r>
      <w:r w:rsidR="002E4330" w:rsidRPr="00554FAF">
        <w:rPr>
          <w:rFonts w:ascii="Times New Roman" w:hAnsi="Times New Roman" w:cs="Times New Roman"/>
          <w:sz w:val="24"/>
          <w:szCs w:val="24"/>
        </w:rPr>
        <w:t>pun</w:t>
      </w:r>
      <w:r w:rsidR="004A2969" w:rsidRPr="00554FAF">
        <w:rPr>
          <w:rFonts w:ascii="Times New Roman" w:hAnsi="Times New Roman" w:cs="Times New Roman"/>
          <w:sz w:val="24"/>
          <w:szCs w:val="24"/>
        </w:rPr>
        <w:t>ë</w:t>
      </w:r>
      <w:r w:rsidR="002E4330" w:rsidRPr="00554FAF">
        <w:rPr>
          <w:rFonts w:ascii="Times New Roman" w:hAnsi="Times New Roman" w:cs="Times New Roman"/>
          <w:sz w:val="24"/>
          <w:szCs w:val="24"/>
        </w:rPr>
        <w:t>tor</w:t>
      </w:r>
      <w:r w:rsidR="004A2969" w:rsidRPr="00554FAF">
        <w:rPr>
          <w:rFonts w:ascii="Times New Roman" w:hAnsi="Times New Roman" w:cs="Times New Roman"/>
          <w:sz w:val="24"/>
          <w:szCs w:val="24"/>
        </w:rPr>
        <w:t>ë</w:t>
      </w:r>
      <w:r w:rsidR="002E4330" w:rsidRPr="00554FAF">
        <w:rPr>
          <w:rFonts w:ascii="Times New Roman" w:hAnsi="Times New Roman" w:cs="Times New Roman"/>
          <w:sz w:val="24"/>
          <w:szCs w:val="24"/>
        </w:rPr>
        <w:t xml:space="preserve"> zyreje </w:t>
      </w:r>
      <w:r w:rsidR="000F7CAF" w:rsidRPr="00554FAF">
        <w:rPr>
          <w:rFonts w:ascii="Times New Roman" w:hAnsi="Times New Roman" w:cs="Times New Roman"/>
          <w:sz w:val="24"/>
          <w:szCs w:val="24"/>
        </w:rPr>
        <w:t xml:space="preserve">dhe shërbimesh dhe punëtorë artizanalë bujqësorë, ndërtimorë dhe të </w:t>
      </w:r>
      <w:r w:rsidR="002E4330" w:rsidRPr="00554FAF">
        <w:rPr>
          <w:rFonts w:ascii="Times New Roman" w:hAnsi="Times New Roman" w:cs="Times New Roman"/>
          <w:sz w:val="24"/>
          <w:szCs w:val="24"/>
        </w:rPr>
        <w:t>tjer</w:t>
      </w:r>
      <w:r w:rsidR="004A2969" w:rsidRPr="00554FAF">
        <w:rPr>
          <w:rFonts w:ascii="Times New Roman" w:hAnsi="Times New Roman" w:cs="Times New Roman"/>
          <w:sz w:val="24"/>
          <w:szCs w:val="24"/>
        </w:rPr>
        <w:t>ë</w:t>
      </w:r>
      <w:r w:rsidR="000F7CAF" w:rsidRPr="00554FAF">
        <w:rPr>
          <w:rFonts w:ascii="Times New Roman" w:hAnsi="Times New Roman" w:cs="Times New Roman"/>
          <w:sz w:val="24"/>
          <w:szCs w:val="24"/>
        </w:rPr>
        <w:t xml:space="preserve">. Kompetencat e tjera që mungonin ishin gjuha, kompjuteri dhe të ashtuquajturat </w:t>
      </w:r>
      <w:r w:rsidR="002E4330" w:rsidRPr="00554FAF">
        <w:rPr>
          <w:rFonts w:ascii="Times New Roman" w:hAnsi="Times New Roman" w:cs="Times New Roman"/>
          <w:sz w:val="24"/>
          <w:szCs w:val="24"/>
        </w:rPr>
        <w:t>shkatht</w:t>
      </w:r>
      <w:r w:rsidR="004A2969" w:rsidRPr="00554FAF">
        <w:rPr>
          <w:rFonts w:ascii="Times New Roman" w:hAnsi="Times New Roman" w:cs="Times New Roman"/>
          <w:sz w:val="24"/>
          <w:szCs w:val="24"/>
        </w:rPr>
        <w:t>ë</w:t>
      </w:r>
      <w:r w:rsidR="002E4330" w:rsidRPr="00554FAF">
        <w:rPr>
          <w:rFonts w:ascii="Times New Roman" w:hAnsi="Times New Roman" w:cs="Times New Roman"/>
          <w:sz w:val="24"/>
          <w:szCs w:val="24"/>
        </w:rPr>
        <w:t xml:space="preserve">si </w:t>
      </w:r>
      <w:r w:rsidR="000F7CAF" w:rsidRPr="00554FAF">
        <w:rPr>
          <w:rFonts w:ascii="Times New Roman" w:hAnsi="Times New Roman" w:cs="Times New Roman"/>
          <w:sz w:val="24"/>
          <w:szCs w:val="24"/>
        </w:rPr>
        <w:t xml:space="preserve">të buta. Analiza e </w:t>
      </w:r>
      <w:r w:rsidR="00EA0B1C" w:rsidRPr="00554FAF">
        <w:rPr>
          <w:rFonts w:ascii="Times New Roman" w:hAnsi="Times New Roman" w:cs="Times New Roman"/>
          <w:sz w:val="24"/>
          <w:szCs w:val="24"/>
        </w:rPr>
        <w:t>pengesave</w:t>
      </w:r>
      <w:r w:rsidR="002E4330" w:rsidRPr="00554FAF">
        <w:rPr>
          <w:rFonts w:ascii="Times New Roman" w:hAnsi="Times New Roman" w:cs="Times New Roman"/>
          <w:sz w:val="24"/>
          <w:szCs w:val="24"/>
        </w:rPr>
        <w:t xml:space="preserve"> e </w:t>
      </w:r>
      <w:r w:rsidR="00EA0B1C" w:rsidRPr="00554FAF">
        <w:rPr>
          <w:rFonts w:ascii="Times New Roman" w:hAnsi="Times New Roman" w:cs="Times New Roman"/>
          <w:sz w:val="24"/>
          <w:szCs w:val="24"/>
        </w:rPr>
        <w:t>strukturore</w:t>
      </w:r>
      <w:r w:rsidR="002E4330" w:rsidRPr="00554FAF">
        <w:rPr>
          <w:rFonts w:ascii="Times New Roman" w:hAnsi="Times New Roman" w:cs="Times New Roman"/>
          <w:sz w:val="24"/>
          <w:szCs w:val="24"/>
        </w:rPr>
        <w:t xml:space="preserve"> e Korporat</w:t>
      </w:r>
      <w:r w:rsidR="004A2969" w:rsidRPr="00554FAF">
        <w:rPr>
          <w:rFonts w:ascii="Times New Roman" w:hAnsi="Times New Roman" w:cs="Times New Roman"/>
          <w:sz w:val="24"/>
          <w:szCs w:val="24"/>
        </w:rPr>
        <w:t>ë</w:t>
      </w:r>
      <w:r w:rsidR="002E4330" w:rsidRPr="00554FAF">
        <w:rPr>
          <w:rFonts w:ascii="Times New Roman" w:hAnsi="Times New Roman" w:cs="Times New Roman"/>
          <w:sz w:val="24"/>
          <w:szCs w:val="24"/>
        </w:rPr>
        <w:t>s s</w:t>
      </w:r>
      <w:r w:rsidR="004A2969" w:rsidRPr="00554FAF">
        <w:rPr>
          <w:rFonts w:ascii="Times New Roman" w:hAnsi="Times New Roman" w:cs="Times New Roman"/>
          <w:sz w:val="24"/>
          <w:szCs w:val="24"/>
        </w:rPr>
        <w:t>ë</w:t>
      </w:r>
      <w:r w:rsidR="002E4330" w:rsidRPr="00554FAF">
        <w:rPr>
          <w:rFonts w:ascii="Times New Roman" w:hAnsi="Times New Roman" w:cs="Times New Roman"/>
          <w:sz w:val="24"/>
          <w:szCs w:val="24"/>
        </w:rPr>
        <w:t xml:space="preserve"> Sfidave t</w:t>
      </w:r>
      <w:r w:rsidR="004A2969" w:rsidRPr="00554FAF">
        <w:rPr>
          <w:rFonts w:ascii="Times New Roman" w:hAnsi="Times New Roman" w:cs="Times New Roman"/>
          <w:sz w:val="24"/>
          <w:szCs w:val="24"/>
        </w:rPr>
        <w:t>ë</w:t>
      </w:r>
      <w:r w:rsidR="002E4330" w:rsidRPr="00554FAF">
        <w:rPr>
          <w:rFonts w:ascii="Times New Roman" w:hAnsi="Times New Roman" w:cs="Times New Roman"/>
          <w:sz w:val="24"/>
          <w:szCs w:val="24"/>
        </w:rPr>
        <w:t xml:space="preserve"> </w:t>
      </w:r>
      <w:r w:rsidR="00EA0B1C" w:rsidRPr="00554FAF">
        <w:rPr>
          <w:rFonts w:ascii="Times New Roman" w:hAnsi="Times New Roman" w:cs="Times New Roman"/>
          <w:sz w:val="24"/>
          <w:szCs w:val="24"/>
        </w:rPr>
        <w:t>Mijëvjeçarit</w:t>
      </w:r>
      <w:r w:rsidR="002E4330" w:rsidRPr="00554FAF">
        <w:rPr>
          <w:rFonts w:ascii="Times New Roman" w:hAnsi="Times New Roman" w:cs="Times New Roman"/>
          <w:sz w:val="24"/>
          <w:szCs w:val="24"/>
        </w:rPr>
        <w:t xml:space="preserve"> (MCC) </w:t>
      </w:r>
      <w:r w:rsidR="000F7CAF" w:rsidRPr="00554FAF">
        <w:rPr>
          <w:rFonts w:ascii="Times New Roman" w:hAnsi="Times New Roman" w:cs="Times New Roman"/>
          <w:sz w:val="24"/>
          <w:szCs w:val="24"/>
        </w:rPr>
        <w:t xml:space="preserve"> vlerësoi shkallët e kthimit të arsimit në Kosovë dhe arriti në përfundimin se ato janë në përputhje me hipotezën se </w:t>
      </w:r>
      <w:r w:rsidR="000F7CAF" w:rsidRPr="00554FAF">
        <w:rPr>
          <w:rFonts w:ascii="Times New Roman" w:hAnsi="Times New Roman" w:cs="Times New Roman"/>
          <w:b/>
          <w:sz w:val="24"/>
          <w:szCs w:val="24"/>
        </w:rPr>
        <w:t xml:space="preserve">cilësia e ulët </w:t>
      </w:r>
      <w:r w:rsidR="006C0D08" w:rsidRPr="00554FAF">
        <w:rPr>
          <w:rFonts w:ascii="Times New Roman" w:hAnsi="Times New Roman" w:cs="Times New Roman"/>
          <w:b/>
          <w:sz w:val="24"/>
          <w:szCs w:val="24"/>
        </w:rPr>
        <w:t>në</w:t>
      </w:r>
      <w:r w:rsidR="000F7CAF" w:rsidRPr="00554FAF">
        <w:rPr>
          <w:rFonts w:ascii="Times New Roman" w:hAnsi="Times New Roman" w:cs="Times New Roman"/>
          <w:b/>
          <w:sz w:val="24"/>
          <w:szCs w:val="24"/>
        </w:rPr>
        <w:t xml:space="preserve"> arsim</w:t>
      </w:r>
      <w:r w:rsidR="000F7CAF" w:rsidRPr="00554FAF">
        <w:rPr>
          <w:rFonts w:ascii="Times New Roman" w:hAnsi="Times New Roman" w:cs="Times New Roman"/>
          <w:sz w:val="24"/>
          <w:szCs w:val="24"/>
        </w:rPr>
        <w:t xml:space="preserve"> është një pengesë </w:t>
      </w:r>
      <w:r w:rsidR="006C0D08" w:rsidRPr="00554FAF">
        <w:rPr>
          <w:rFonts w:ascii="Times New Roman" w:hAnsi="Times New Roman" w:cs="Times New Roman"/>
          <w:sz w:val="24"/>
          <w:szCs w:val="24"/>
        </w:rPr>
        <w:t xml:space="preserve">e </w:t>
      </w:r>
      <w:r w:rsidR="002E4330" w:rsidRPr="00554FAF">
        <w:rPr>
          <w:rFonts w:ascii="Times New Roman" w:hAnsi="Times New Roman" w:cs="Times New Roman"/>
          <w:sz w:val="24"/>
          <w:szCs w:val="24"/>
        </w:rPr>
        <w:t>detyrueshme</w:t>
      </w:r>
      <w:r w:rsidR="006C0D08" w:rsidRPr="00554FAF">
        <w:rPr>
          <w:rFonts w:ascii="Times New Roman" w:hAnsi="Times New Roman" w:cs="Times New Roman"/>
          <w:sz w:val="24"/>
          <w:szCs w:val="24"/>
        </w:rPr>
        <w:t xml:space="preserve"> </w:t>
      </w:r>
      <w:r w:rsidR="000F7CAF" w:rsidRPr="00554FAF">
        <w:rPr>
          <w:rFonts w:ascii="Times New Roman" w:hAnsi="Times New Roman" w:cs="Times New Roman"/>
          <w:sz w:val="24"/>
          <w:szCs w:val="24"/>
        </w:rPr>
        <w:t>për rritjen, e cila u konfirmua edhe nga rezultatet e studimit PISA 2015. Kjo</w:t>
      </w:r>
      <w:r w:rsidR="006C0D08" w:rsidRPr="00554FAF">
        <w:rPr>
          <w:rFonts w:ascii="Times New Roman" w:hAnsi="Times New Roman" w:cs="Times New Roman"/>
          <w:sz w:val="24"/>
          <w:szCs w:val="24"/>
        </w:rPr>
        <w:t xml:space="preserve"> analizë</w:t>
      </w:r>
      <w:r w:rsidR="000F7CAF" w:rsidRPr="00554FAF">
        <w:rPr>
          <w:rFonts w:ascii="Times New Roman" w:hAnsi="Times New Roman" w:cs="Times New Roman"/>
          <w:sz w:val="24"/>
          <w:szCs w:val="24"/>
        </w:rPr>
        <w:t xml:space="preserve"> tregon se problemi i mungesës së </w:t>
      </w:r>
      <w:r w:rsidR="00EA0B1C" w:rsidRPr="00554FAF">
        <w:rPr>
          <w:rFonts w:ascii="Times New Roman" w:hAnsi="Times New Roman" w:cs="Times New Roman"/>
          <w:sz w:val="24"/>
          <w:szCs w:val="24"/>
        </w:rPr>
        <w:t>shkathtësive</w:t>
      </w:r>
      <w:r w:rsidR="002E4330" w:rsidRPr="00554FAF">
        <w:rPr>
          <w:rFonts w:ascii="Times New Roman" w:hAnsi="Times New Roman" w:cs="Times New Roman"/>
          <w:sz w:val="24"/>
          <w:szCs w:val="24"/>
        </w:rPr>
        <w:t xml:space="preserve"> </w:t>
      </w:r>
      <w:r w:rsidR="000F7CAF" w:rsidRPr="00554FAF">
        <w:rPr>
          <w:rFonts w:ascii="Times New Roman" w:hAnsi="Times New Roman" w:cs="Times New Roman"/>
          <w:sz w:val="24"/>
          <w:szCs w:val="24"/>
        </w:rPr>
        <w:t xml:space="preserve">ka të bëjë me nivelet e arritjeve arsimore, me kompetencat dhe </w:t>
      </w:r>
      <w:r w:rsidR="00EA0B1C" w:rsidRPr="00554FAF">
        <w:rPr>
          <w:rFonts w:ascii="Times New Roman" w:hAnsi="Times New Roman" w:cs="Times New Roman"/>
          <w:sz w:val="24"/>
          <w:szCs w:val="24"/>
        </w:rPr>
        <w:t>shkathtësitë</w:t>
      </w:r>
      <w:r w:rsidR="002E4330" w:rsidRPr="00554FAF">
        <w:rPr>
          <w:rFonts w:ascii="Times New Roman" w:hAnsi="Times New Roman" w:cs="Times New Roman"/>
          <w:sz w:val="24"/>
          <w:szCs w:val="24"/>
        </w:rPr>
        <w:t xml:space="preserve"> </w:t>
      </w:r>
      <w:r w:rsidR="000F7CAF" w:rsidRPr="00554FAF">
        <w:rPr>
          <w:rFonts w:ascii="Times New Roman" w:hAnsi="Times New Roman" w:cs="Times New Roman"/>
          <w:sz w:val="24"/>
          <w:szCs w:val="24"/>
        </w:rPr>
        <w:t>specifike dhe me cilësinë e përgjithshme të arsimit.</w:t>
      </w:r>
    </w:p>
    <w:p w14:paraId="50FA6B38" w14:textId="0AF1EBBE" w:rsidR="000F7CAF" w:rsidRPr="00554FAF" w:rsidRDefault="000F7CAF"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b/>
          <w:sz w:val="24"/>
          <w:szCs w:val="24"/>
        </w:rPr>
        <w:t xml:space="preserve">Shfrytëzimi e potencialeve </w:t>
      </w:r>
      <w:r w:rsidR="009A2F3A" w:rsidRPr="00554FAF">
        <w:rPr>
          <w:rFonts w:ascii="Times New Roman" w:hAnsi="Times New Roman" w:cs="Times New Roman"/>
          <w:b/>
          <w:sz w:val="24"/>
          <w:szCs w:val="24"/>
        </w:rPr>
        <w:t>për kursimin e energjisë, energjisë</w:t>
      </w:r>
      <w:r w:rsidRPr="00554FAF">
        <w:rPr>
          <w:rFonts w:ascii="Times New Roman" w:hAnsi="Times New Roman" w:cs="Times New Roman"/>
          <w:b/>
          <w:sz w:val="24"/>
          <w:szCs w:val="24"/>
        </w:rPr>
        <w:t xml:space="preserve"> </w:t>
      </w:r>
      <w:r w:rsidR="009A2F3A" w:rsidRPr="00554FAF">
        <w:rPr>
          <w:rFonts w:ascii="Times New Roman" w:hAnsi="Times New Roman" w:cs="Times New Roman"/>
          <w:b/>
          <w:sz w:val="24"/>
          <w:szCs w:val="24"/>
        </w:rPr>
        <w:t>s</w:t>
      </w:r>
      <w:r w:rsidRPr="00554FAF">
        <w:rPr>
          <w:rFonts w:ascii="Times New Roman" w:hAnsi="Times New Roman" w:cs="Times New Roman"/>
          <w:b/>
          <w:sz w:val="24"/>
          <w:szCs w:val="24"/>
        </w:rPr>
        <w:t>ë ripërtëritshme dhe hapja e plotë e tregut të energjisë</w:t>
      </w:r>
      <w:r w:rsidRPr="00554FAF">
        <w:rPr>
          <w:rFonts w:ascii="Times New Roman" w:hAnsi="Times New Roman" w:cs="Times New Roman"/>
          <w:sz w:val="24"/>
          <w:szCs w:val="24"/>
        </w:rPr>
        <w:t xml:space="preserve"> - Në infrastrukturë, furnizimi i pamjaftueshëm dhe jo i besueshëm i energjisë është akoma një pengesë e madhe. Linja e re e </w:t>
      </w:r>
      <w:r w:rsidR="00EA0B1C" w:rsidRPr="00554FAF">
        <w:rPr>
          <w:rFonts w:ascii="Times New Roman" w:hAnsi="Times New Roman" w:cs="Times New Roman"/>
          <w:sz w:val="24"/>
          <w:szCs w:val="24"/>
        </w:rPr>
        <w:t>transmisionit</w:t>
      </w:r>
      <w:r w:rsidR="002E4330" w:rsidRPr="00554FAF">
        <w:rPr>
          <w:rFonts w:ascii="Times New Roman" w:hAnsi="Times New Roman" w:cs="Times New Roman"/>
          <w:sz w:val="24"/>
          <w:szCs w:val="24"/>
        </w:rPr>
        <w:t xml:space="preserve"> </w:t>
      </w:r>
      <w:r w:rsidRPr="00554FAF">
        <w:rPr>
          <w:rFonts w:ascii="Times New Roman" w:hAnsi="Times New Roman" w:cs="Times New Roman"/>
          <w:sz w:val="24"/>
          <w:szCs w:val="24"/>
        </w:rPr>
        <w:t>të energjisë në Shqipëri e ndërtuar në vitin 2016</w:t>
      </w:r>
      <w:r w:rsidR="009A2F3A" w:rsidRPr="00554FAF">
        <w:rPr>
          <w:rFonts w:ascii="Times New Roman" w:hAnsi="Times New Roman" w:cs="Times New Roman"/>
          <w:sz w:val="24"/>
          <w:szCs w:val="24"/>
        </w:rPr>
        <w:t>,</w:t>
      </w:r>
      <w:r w:rsidRPr="00554FAF">
        <w:rPr>
          <w:rFonts w:ascii="Times New Roman" w:hAnsi="Times New Roman" w:cs="Times New Roman"/>
          <w:sz w:val="24"/>
          <w:szCs w:val="24"/>
        </w:rPr>
        <w:t xml:space="preserve"> e përmirësoi sigurinë e furnizimit dhe e lidhi vendin me tregjet rajonale të energjisë, por kjo do të </w:t>
      </w:r>
      <w:r w:rsidR="009A2F3A" w:rsidRPr="00554FAF">
        <w:rPr>
          <w:rFonts w:ascii="Times New Roman" w:hAnsi="Times New Roman" w:cs="Times New Roman"/>
          <w:sz w:val="24"/>
          <w:szCs w:val="24"/>
        </w:rPr>
        <w:t>funksionalizohet</w:t>
      </w:r>
      <w:r w:rsidRPr="00554FAF">
        <w:rPr>
          <w:rFonts w:ascii="Times New Roman" w:hAnsi="Times New Roman" w:cs="Times New Roman"/>
          <w:sz w:val="24"/>
          <w:szCs w:val="24"/>
        </w:rPr>
        <w:t xml:space="preserve"> vetëm pasi </w:t>
      </w:r>
      <w:r w:rsidR="009A2F3A" w:rsidRPr="00554FAF">
        <w:rPr>
          <w:rFonts w:ascii="Times New Roman" w:hAnsi="Times New Roman" w:cs="Times New Roman"/>
          <w:sz w:val="24"/>
          <w:szCs w:val="24"/>
        </w:rPr>
        <w:t xml:space="preserve">që </w:t>
      </w:r>
      <w:r w:rsidRPr="00554FAF">
        <w:rPr>
          <w:rFonts w:ascii="Times New Roman" w:hAnsi="Times New Roman" w:cs="Times New Roman"/>
          <w:sz w:val="24"/>
          <w:szCs w:val="24"/>
        </w:rPr>
        <w:t>Kosova të pranohet në ENTSO-E</w:t>
      </w:r>
      <w:r w:rsidRPr="00554FAF">
        <w:rPr>
          <w:rFonts w:ascii="Times New Roman" w:hAnsi="Times New Roman" w:cs="Times New Roman"/>
          <w:b/>
          <w:sz w:val="24"/>
          <w:szCs w:val="24"/>
        </w:rPr>
        <w:t>. Konkur</w:t>
      </w:r>
      <w:r w:rsidR="009A2F3A" w:rsidRPr="00554FAF">
        <w:rPr>
          <w:rFonts w:ascii="Times New Roman" w:hAnsi="Times New Roman" w:cs="Times New Roman"/>
          <w:b/>
          <w:sz w:val="24"/>
          <w:szCs w:val="24"/>
        </w:rPr>
        <w:t>r</w:t>
      </w:r>
      <w:r w:rsidRPr="00554FAF">
        <w:rPr>
          <w:rFonts w:ascii="Times New Roman" w:hAnsi="Times New Roman" w:cs="Times New Roman"/>
          <w:b/>
          <w:sz w:val="24"/>
          <w:szCs w:val="24"/>
        </w:rPr>
        <w:t>ueshmëria e Kosovës vazhdon të pengohet nga furnizimi</w:t>
      </w:r>
      <w:r w:rsidR="00F92602" w:rsidRPr="00554FAF">
        <w:rPr>
          <w:rFonts w:ascii="Times New Roman" w:hAnsi="Times New Roman" w:cs="Times New Roman"/>
          <w:b/>
          <w:sz w:val="24"/>
          <w:szCs w:val="24"/>
        </w:rPr>
        <w:t xml:space="preserve"> i paq</w:t>
      </w:r>
      <w:r w:rsidR="004A2969" w:rsidRPr="00554FAF">
        <w:rPr>
          <w:rFonts w:ascii="Times New Roman" w:hAnsi="Times New Roman" w:cs="Times New Roman"/>
          <w:b/>
          <w:sz w:val="24"/>
          <w:szCs w:val="24"/>
        </w:rPr>
        <w:t>ë</w:t>
      </w:r>
      <w:r w:rsidR="00F92602" w:rsidRPr="00554FAF">
        <w:rPr>
          <w:rFonts w:ascii="Times New Roman" w:hAnsi="Times New Roman" w:cs="Times New Roman"/>
          <w:b/>
          <w:sz w:val="24"/>
          <w:szCs w:val="24"/>
        </w:rPr>
        <w:t>ndruesh</w:t>
      </w:r>
      <w:r w:rsidR="004A2969" w:rsidRPr="00554FAF">
        <w:rPr>
          <w:rFonts w:ascii="Times New Roman" w:hAnsi="Times New Roman" w:cs="Times New Roman"/>
          <w:b/>
          <w:sz w:val="24"/>
          <w:szCs w:val="24"/>
        </w:rPr>
        <w:t>ë</w:t>
      </w:r>
      <w:r w:rsidR="00F92602" w:rsidRPr="00554FAF">
        <w:rPr>
          <w:rFonts w:ascii="Times New Roman" w:hAnsi="Times New Roman" w:cs="Times New Roman"/>
          <w:b/>
          <w:sz w:val="24"/>
          <w:szCs w:val="24"/>
        </w:rPr>
        <w:t>m dhe i padiversivikuar i energjis</w:t>
      </w:r>
      <w:r w:rsidR="004A2969" w:rsidRPr="00554FAF">
        <w:rPr>
          <w:rFonts w:ascii="Times New Roman" w:hAnsi="Times New Roman" w:cs="Times New Roman"/>
          <w:b/>
          <w:sz w:val="24"/>
          <w:szCs w:val="24"/>
        </w:rPr>
        <w:t>ë</w:t>
      </w:r>
      <w:r w:rsidR="00F92602" w:rsidRPr="00554FAF">
        <w:rPr>
          <w:rFonts w:ascii="Times New Roman" w:hAnsi="Times New Roman" w:cs="Times New Roman"/>
          <w:b/>
          <w:sz w:val="24"/>
          <w:szCs w:val="24"/>
        </w:rPr>
        <w:t xml:space="preserve">. </w:t>
      </w:r>
      <w:r w:rsidRPr="00554FAF">
        <w:rPr>
          <w:rFonts w:ascii="Times New Roman" w:hAnsi="Times New Roman" w:cs="Times New Roman"/>
          <w:sz w:val="24"/>
          <w:szCs w:val="24"/>
        </w:rPr>
        <w:t xml:space="preserve">Sistemi i </w:t>
      </w:r>
      <w:r w:rsidR="00A356E8" w:rsidRPr="00554FAF">
        <w:rPr>
          <w:rFonts w:ascii="Times New Roman" w:hAnsi="Times New Roman" w:cs="Times New Roman"/>
          <w:sz w:val="24"/>
          <w:szCs w:val="24"/>
        </w:rPr>
        <w:t>vjetërsuar</w:t>
      </w:r>
      <w:r w:rsidRPr="00554FAF">
        <w:rPr>
          <w:rFonts w:ascii="Times New Roman" w:hAnsi="Times New Roman" w:cs="Times New Roman"/>
          <w:sz w:val="24"/>
          <w:szCs w:val="24"/>
        </w:rPr>
        <w:t xml:space="preserve"> i energjisë mbështetet në dy termocentrale të</w:t>
      </w:r>
      <w:r w:rsidR="00F92602" w:rsidRPr="00554FAF">
        <w:rPr>
          <w:rFonts w:ascii="Times New Roman" w:hAnsi="Times New Roman" w:cs="Times New Roman"/>
          <w:sz w:val="24"/>
          <w:szCs w:val="24"/>
        </w:rPr>
        <w:t xml:space="preserve"> vjetra, joefikas dhe shumë ndotës t</w:t>
      </w:r>
      <w:r w:rsidR="004A2969" w:rsidRPr="00554FAF">
        <w:rPr>
          <w:rFonts w:ascii="Times New Roman" w:hAnsi="Times New Roman" w:cs="Times New Roman"/>
          <w:sz w:val="24"/>
          <w:szCs w:val="24"/>
        </w:rPr>
        <w:t>ë</w:t>
      </w:r>
      <w:r w:rsidRPr="00554FAF">
        <w:rPr>
          <w:rFonts w:ascii="Times New Roman" w:hAnsi="Times New Roman" w:cs="Times New Roman"/>
          <w:sz w:val="24"/>
          <w:szCs w:val="24"/>
        </w:rPr>
        <w:t xml:space="preserve"> linjitit, me </w:t>
      </w:r>
      <w:r w:rsidR="009A2F3A" w:rsidRPr="00554FAF">
        <w:rPr>
          <w:rFonts w:ascii="Times New Roman" w:hAnsi="Times New Roman" w:cs="Times New Roman"/>
          <w:sz w:val="24"/>
          <w:szCs w:val="24"/>
        </w:rPr>
        <w:t xml:space="preserve">një </w:t>
      </w:r>
      <w:r w:rsidRPr="00554FAF">
        <w:rPr>
          <w:rFonts w:ascii="Times New Roman" w:hAnsi="Times New Roman" w:cs="Times New Roman"/>
          <w:sz w:val="24"/>
          <w:szCs w:val="24"/>
        </w:rPr>
        <w:t>kapacitet total të instaluar prej 1</w:t>
      </w:r>
      <w:r w:rsidR="00F92602" w:rsidRPr="00554FAF">
        <w:rPr>
          <w:rFonts w:ascii="Times New Roman" w:hAnsi="Times New Roman" w:cs="Times New Roman"/>
          <w:sz w:val="24"/>
          <w:szCs w:val="24"/>
        </w:rPr>
        <w:t>,</w:t>
      </w:r>
      <w:r w:rsidRPr="00554FAF">
        <w:rPr>
          <w:rFonts w:ascii="Times New Roman" w:hAnsi="Times New Roman" w:cs="Times New Roman"/>
          <w:sz w:val="24"/>
          <w:szCs w:val="24"/>
        </w:rPr>
        <w:t>560 M</w:t>
      </w:r>
      <w:r w:rsidR="009A2F3A" w:rsidRPr="00554FAF">
        <w:rPr>
          <w:rFonts w:ascii="Times New Roman" w:hAnsi="Times New Roman" w:cs="Times New Roman"/>
          <w:sz w:val="24"/>
          <w:szCs w:val="24"/>
        </w:rPr>
        <w:t xml:space="preserve">W </w:t>
      </w:r>
      <w:r w:rsidRPr="00554FAF">
        <w:rPr>
          <w:rFonts w:ascii="Times New Roman" w:hAnsi="Times New Roman" w:cs="Times New Roman"/>
          <w:sz w:val="24"/>
          <w:szCs w:val="24"/>
        </w:rPr>
        <w:t>dhe që mbulon rreth 92% të prodhimit të energjisë elektrike.</w:t>
      </w:r>
    </w:p>
    <w:p w14:paraId="31F022BB" w14:textId="71139739" w:rsidR="000F7CAF" w:rsidRPr="00554FAF" w:rsidRDefault="000F7CAF"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b/>
          <w:sz w:val="24"/>
          <w:szCs w:val="24"/>
        </w:rPr>
        <w:t>Kohëzgjatja dhe shpeshtësia e ndërprerjeve të energjisë janë zvogëluar, por besueshmëria e furnizimit me energji është akoma nën nivelin e mesatares për Evropën dhe Azinë Qendrore.</w:t>
      </w:r>
      <w:r w:rsidRPr="00554FAF">
        <w:rPr>
          <w:rFonts w:ascii="Times New Roman" w:hAnsi="Times New Roman" w:cs="Times New Roman"/>
          <w:sz w:val="24"/>
          <w:szCs w:val="24"/>
        </w:rPr>
        <w:t xml:space="preserve"> Kosova renditet e 90-ta në botë për lehtësinë e marrjes së energjisë elektrike </w:t>
      </w:r>
      <w:r w:rsidR="00F92602" w:rsidRPr="00554FAF">
        <w:rPr>
          <w:rFonts w:ascii="Times New Roman" w:hAnsi="Times New Roman" w:cs="Times New Roman"/>
          <w:sz w:val="24"/>
          <w:szCs w:val="24"/>
        </w:rPr>
        <w:t>(BB</w:t>
      </w:r>
      <w:r w:rsidRPr="00554FAF">
        <w:rPr>
          <w:rFonts w:ascii="Times New Roman" w:hAnsi="Times New Roman" w:cs="Times New Roman"/>
          <w:sz w:val="24"/>
          <w:szCs w:val="24"/>
        </w:rPr>
        <w:t>, 2020).</w:t>
      </w:r>
    </w:p>
    <w:p w14:paraId="64711C2D" w14:textId="5729D5A9" w:rsidR="000F7CAF" w:rsidRPr="00554FAF" w:rsidRDefault="000F7CAF"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b/>
          <w:sz w:val="24"/>
          <w:szCs w:val="24"/>
        </w:rPr>
        <w:t xml:space="preserve">Kosova nuk e ka diversifikuar </w:t>
      </w:r>
      <w:r w:rsidR="009A2F3A" w:rsidRPr="00554FAF">
        <w:rPr>
          <w:rFonts w:ascii="Times New Roman" w:hAnsi="Times New Roman" w:cs="Times New Roman"/>
          <w:b/>
          <w:sz w:val="24"/>
          <w:szCs w:val="24"/>
        </w:rPr>
        <w:t>prodhimin e saj</w:t>
      </w:r>
      <w:r w:rsidRPr="00554FAF">
        <w:rPr>
          <w:rFonts w:ascii="Times New Roman" w:hAnsi="Times New Roman" w:cs="Times New Roman"/>
          <w:b/>
          <w:sz w:val="24"/>
          <w:szCs w:val="24"/>
        </w:rPr>
        <w:t xml:space="preserve"> të energjisë dhe kapacitetet </w:t>
      </w:r>
      <w:r w:rsidR="009A2F3A" w:rsidRPr="00554FAF">
        <w:rPr>
          <w:rFonts w:ascii="Times New Roman" w:hAnsi="Times New Roman" w:cs="Times New Roman"/>
          <w:b/>
          <w:sz w:val="24"/>
          <w:szCs w:val="24"/>
        </w:rPr>
        <w:t>e</w:t>
      </w:r>
      <w:r w:rsidR="009F61BF" w:rsidRPr="00554FAF">
        <w:rPr>
          <w:rFonts w:ascii="Times New Roman" w:hAnsi="Times New Roman" w:cs="Times New Roman"/>
          <w:b/>
          <w:sz w:val="24"/>
          <w:szCs w:val="24"/>
        </w:rPr>
        <w:t xml:space="preserve"> </w:t>
      </w:r>
      <w:r w:rsidRPr="00554FAF">
        <w:rPr>
          <w:rFonts w:ascii="Times New Roman" w:hAnsi="Times New Roman" w:cs="Times New Roman"/>
          <w:b/>
          <w:sz w:val="24"/>
          <w:szCs w:val="24"/>
        </w:rPr>
        <w:t xml:space="preserve">reja të gjenerimit vazhdojnë të mbështeten në </w:t>
      </w:r>
      <w:r w:rsidR="009F61BF" w:rsidRPr="00554FAF">
        <w:rPr>
          <w:rFonts w:ascii="Times New Roman" w:hAnsi="Times New Roman" w:cs="Times New Roman"/>
          <w:b/>
          <w:sz w:val="24"/>
          <w:szCs w:val="24"/>
        </w:rPr>
        <w:t>thëngjill</w:t>
      </w:r>
      <w:r w:rsidRPr="00554FAF">
        <w:rPr>
          <w:rFonts w:ascii="Times New Roman" w:hAnsi="Times New Roman" w:cs="Times New Roman"/>
          <w:sz w:val="24"/>
          <w:szCs w:val="24"/>
        </w:rPr>
        <w:t>. Ndërtimi i planifikuar i Kosov</w:t>
      </w:r>
      <w:r w:rsidR="009A2F3A" w:rsidRPr="00554FAF">
        <w:rPr>
          <w:rFonts w:ascii="Times New Roman" w:hAnsi="Times New Roman" w:cs="Times New Roman"/>
          <w:sz w:val="24"/>
          <w:szCs w:val="24"/>
        </w:rPr>
        <w:t>ës</w:t>
      </w:r>
      <w:r w:rsidRPr="00554FAF">
        <w:rPr>
          <w:rFonts w:ascii="Times New Roman" w:hAnsi="Times New Roman" w:cs="Times New Roman"/>
          <w:sz w:val="24"/>
          <w:szCs w:val="24"/>
        </w:rPr>
        <w:t xml:space="preserve"> </w:t>
      </w:r>
      <w:r w:rsidR="009A2F3A" w:rsidRPr="00554FAF">
        <w:rPr>
          <w:rFonts w:ascii="Times New Roman" w:hAnsi="Times New Roman" w:cs="Times New Roman"/>
          <w:sz w:val="24"/>
          <w:szCs w:val="24"/>
        </w:rPr>
        <w:t>së</w:t>
      </w:r>
      <w:r w:rsidRPr="00554FAF">
        <w:rPr>
          <w:rFonts w:ascii="Times New Roman" w:hAnsi="Times New Roman" w:cs="Times New Roman"/>
          <w:sz w:val="24"/>
          <w:szCs w:val="24"/>
        </w:rPr>
        <w:t xml:space="preserve"> Re (450 M</w:t>
      </w:r>
      <w:r w:rsidR="009A2F3A" w:rsidRPr="00554FAF">
        <w:rPr>
          <w:rFonts w:ascii="Times New Roman" w:hAnsi="Times New Roman" w:cs="Times New Roman"/>
          <w:sz w:val="24"/>
          <w:szCs w:val="24"/>
        </w:rPr>
        <w:t>W</w:t>
      </w:r>
      <w:r w:rsidRPr="00554FAF">
        <w:rPr>
          <w:rFonts w:ascii="Times New Roman" w:hAnsi="Times New Roman" w:cs="Times New Roman"/>
          <w:sz w:val="24"/>
          <w:szCs w:val="24"/>
        </w:rPr>
        <w:t>), me një kosto totale të vlerësuar prej mbi 1 miliard EUR</w:t>
      </w:r>
      <w:r w:rsidR="009A2F3A" w:rsidRPr="00554FAF">
        <w:rPr>
          <w:rFonts w:ascii="Times New Roman" w:hAnsi="Times New Roman" w:cs="Times New Roman"/>
          <w:sz w:val="24"/>
          <w:szCs w:val="24"/>
        </w:rPr>
        <w:t>,</w:t>
      </w:r>
      <w:r w:rsidRPr="00554FAF">
        <w:rPr>
          <w:rFonts w:ascii="Times New Roman" w:hAnsi="Times New Roman" w:cs="Times New Roman"/>
          <w:sz w:val="24"/>
          <w:szCs w:val="24"/>
        </w:rPr>
        <w:t xml:space="preserve"> </w:t>
      </w:r>
      <w:r w:rsidR="009A2F3A" w:rsidRPr="00554FAF">
        <w:rPr>
          <w:rFonts w:ascii="Times New Roman" w:hAnsi="Times New Roman" w:cs="Times New Roman"/>
          <w:sz w:val="24"/>
          <w:szCs w:val="24"/>
        </w:rPr>
        <w:t>nënkupton se</w:t>
      </w:r>
      <w:r w:rsidRPr="00554FAF">
        <w:rPr>
          <w:rFonts w:ascii="Times New Roman" w:hAnsi="Times New Roman" w:cs="Times New Roman"/>
          <w:sz w:val="24"/>
          <w:szCs w:val="24"/>
        </w:rPr>
        <w:t xml:space="preserve"> termocentrali ndotës 50 vjeçar "Kosova A", mund të mbyllet. Komuniteti i Energjisë pritet të miratojë objektiva të reja të energjisë së </w:t>
      </w:r>
      <w:r w:rsidR="009A2F3A" w:rsidRPr="00554FAF">
        <w:rPr>
          <w:rFonts w:ascii="Times New Roman" w:hAnsi="Times New Roman" w:cs="Times New Roman"/>
          <w:sz w:val="24"/>
          <w:szCs w:val="24"/>
        </w:rPr>
        <w:t xml:space="preserve">ripërtëritshme </w:t>
      </w:r>
      <w:r w:rsidRPr="00554FAF">
        <w:rPr>
          <w:rFonts w:ascii="Times New Roman" w:hAnsi="Times New Roman" w:cs="Times New Roman"/>
          <w:sz w:val="24"/>
          <w:szCs w:val="24"/>
        </w:rPr>
        <w:t xml:space="preserve">për vitin 2030 në përputhje me objektivat e BE-së </w:t>
      </w:r>
      <w:r w:rsidR="009A2F3A" w:rsidRPr="00554FAF">
        <w:rPr>
          <w:rFonts w:ascii="Times New Roman" w:hAnsi="Times New Roman" w:cs="Times New Roman"/>
          <w:sz w:val="24"/>
          <w:szCs w:val="24"/>
        </w:rPr>
        <w:t>që</w:t>
      </w:r>
      <w:r w:rsidRPr="00554FAF">
        <w:rPr>
          <w:rFonts w:ascii="Times New Roman" w:hAnsi="Times New Roman" w:cs="Times New Roman"/>
          <w:sz w:val="24"/>
          <w:szCs w:val="24"/>
        </w:rPr>
        <w:t xml:space="preserve"> do të kërkojë përpjekje</w:t>
      </w:r>
      <w:r w:rsidR="009A2F3A" w:rsidRPr="00554FAF">
        <w:rPr>
          <w:rFonts w:ascii="Times New Roman" w:hAnsi="Times New Roman" w:cs="Times New Roman"/>
          <w:sz w:val="24"/>
          <w:szCs w:val="24"/>
        </w:rPr>
        <w:t xml:space="preserve"> shtesë</w:t>
      </w:r>
      <w:r w:rsidRPr="00554FAF">
        <w:rPr>
          <w:rFonts w:ascii="Times New Roman" w:hAnsi="Times New Roman" w:cs="Times New Roman"/>
          <w:sz w:val="24"/>
          <w:szCs w:val="24"/>
        </w:rPr>
        <w:t xml:space="preserve"> të konsiderueshme nga Kosova.</w:t>
      </w:r>
    </w:p>
    <w:p w14:paraId="6252C5AF" w14:textId="49B21464" w:rsidR="000F7CAF" w:rsidRPr="00554FAF" w:rsidRDefault="000F7CAF"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b/>
          <w:sz w:val="24"/>
          <w:szCs w:val="24"/>
        </w:rPr>
        <w:t xml:space="preserve">Formalizimi i ekonomisë - Ekonomia </w:t>
      </w:r>
      <w:r w:rsidR="009A2F3A" w:rsidRPr="00554FAF">
        <w:rPr>
          <w:rFonts w:ascii="Times New Roman" w:hAnsi="Times New Roman" w:cs="Times New Roman"/>
          <w:b/>
          <w:sz w:val="24"/>
          <w:szCs w:val="24"/>
        </w:rPr>
        <w:t xml:space="preserve">joformale </w:t>
      </w:r>
      <w:r w:rsidRPr="00554FAF">
        <w:rPr>
          <w:rFonts w:ascii="Times New Roman" w:hAnsi="Times New Roman" w:cs="Times New Roman"/>
          <w:b/>
          <w:sz w:val="24"/>
          <w:szCs w:val="24"/>
        </w:rPr>
        <w:t>e përhapur paraqet një dobësi të madhe strukturore</w:t>
      </w:r>
      <w:r w:rsidRPr="00554FAF">
        <w:rPr>
          <w:rFonts w:ascii="Times New Roman" w:hAnsi="Times New Roman" w:cs="Times New Roman"/>
          <w:sz w:val="24"/>
          <w:szCs w:val="24"/>
        </w:rPr>
        <w:t>. Një studim i fundit</w:t>
      </w:r>
      <w:r w:rsidR="009F61BF" w:rsidRPr="00554FAF">
        <w:rPr>
          <w:rStyle w:val="FootnoteReference"/>
          <w:rFonts w:ascii="Times New Roman" w:hAnsi="Times New Roman" w:cs="Times New Roman"/>
          <w:sz w:val="24"/>
          <w:szCs w:val="24"/>
        </w:rPr>
        <w:footnoteReference w:id="29"/>
      </w:r>
      <w:r w:rsidRPr="00554FAF">
        <w:rPr>
          <w:rFonts w:ascii="Times New Roman" w:hAnsi="Times New Roman" w:cs="Times New Roman"/>
          <w:sz w:val="24"/>
          <w:szCs w:val="24"/>
        </w:rPr>
        <w:t xml:space="preserve"> </w:t>
      </w:r>
      <w:r w:rsidR="009A2F3A" w:rsidRPr="00554FAF">
        <w:rPr>
          <w:rFonts w:ascii="Times New Roman" w:hAnsi="Times New Roman" w:cs="Times New Roman"/>
          <w:sz w:val="24"/>
          <w:szCs w:val="24"/>
        </w:rPr>
        <w:t xml:space="preserve">e </w:t>
      </w:r>
      <w:r w:rsidRPr="00554FAF">
        <w:rPr>
          <w:rFonts w:ascii="Times New Roman" w:hAnsi="Times New Roman" w:cs="Times New Roman"/>
          <w:sz w:val="24"/>
          <w:szCs w:val="24"/>
        </w:rPr>
        <w:t xml:space="preserve">vlerësoi madhësinë e ekonomisë </w:t>
      </w:r>
      <w:r w:rsidR="009A2F3A" w:rsidRPr="00554FAF">
        <w:rPr>
          <w:rFonts w:ascii="Times New Roman" w:hAnsi="Times New Roman" w:cs="Times New Roman"/>
          <w:sz w:val="24"/>
          <w:szCs w:val="24"/>
        </w:rPr>
        <w:t xml:space="preserve">joformale </w:t>
      </w:r>
      <w:r w:rsidRPr="00554FAF">
        <w:rPr>
          <w:rFonts w:ascii="Times New Roman" w:hAnsi="Times New Roman" w:cs="Times New Roman"/>
          <w:sz w:val="24"/>
          <w:szCs w:val="24"/>
        </w:rPr>
        <w:t>(</w:t>
      </w:r>
      <w:r w:rsidR="009A2F3A" w:rsidRPr="00554FAF">
        <w:rPr>
          <w:rFonts w:ascii="Times New Roman" w:hAnsi="Times New Roman" w:cs="Times New Roman"/>
          <w:sz w:val="24"/>
          <w:szCs w:val="24"/>
        </w:rPr>
        <w:t xml:space="preserve">të hirtë </w:t>
      </w:r>
      <w:r w:rsidRPr="00554FAF">
        <w:rPr>
          <w:rFonts w:ascii="Times New Roman" w:hAnsi="Times New Roman" w:cs="Times New Roman"/>
          <w:sz w:val="24"/>
          <w:szCs w:val="24"/>
        </w:rPr>
        <w:t xml:space="preserve">dhe të zezë) në vitin 2015 në 32% të BPV, e cila është dukshëm më e ulët se 43% e BPV-së e vlerësuar për 2013 </w:t>
      </w:r>
      <w:r w:rsidR="009F61BF" w:rsidRPr="00554FAF">
        <w:rPr>
          <w:rFonts w:ascii="Times New Roman" w:hAnsi="Times New Roman" w:cs="Times New Roman"/>
          <w:sz w:val="24"/>
          <w:szCs w:val="24"/>
        </w:rPr>
        <w:t>sipas një</w:t>
      </w:r>
      <w:r w:rsidRPr="00554FAF">
        <w:rPr>
          <w:rFonts w:ascii="Times New Roman" w:hAnsi="Times New Roman" w:cs="Times New Roman"/>
          <w:sz w:val="24"/>
          <w:szCs w:val="24"/>
        </w:rPr>
        <w:t xml:space="preserve"> metodologji të krahasueshme.</w:t>
      </w:r>
      <w:r w:rsidR="009F61BF" w:rsidRPr="00554FAF">
        <w:rPr>
          <w:rStyle w:val="FootnoteReference"/>
          <w:rFonts w:ascii="Times New Roman" w:hAnsi="Times New Roman" w:cs="Times New Roman"/>
          <w:sz w:val="24"/>
          <w:szCs w:val="24"/>
        </w:rPr>
        <w:footnoteReference w:id="30"/>
      </w:r>
      <w:r w:rsidRPr="00554FAF">
        <w:rPr>
          <w:rFonts w:ascii="Times New Roman" w:hAnsi="Times New Roman" w:cs="Times New Roman"/>
          <w:sz w:val="24"/>
          <w:szCs w:val="24"/>
        </w:rPr>
        <w:t xml:space="preserve"> Vlera e taksave direkte të </w:t>
      </w:r>
      <w:r w:rsidR="004A2969" w:rsidRPr="00554FAF">
        <w:rPr>
          <w:rFonts w:ascii="Times New Roman" w:hAnsi="Times New Roman" w:cs="Times New Roman"/>
          <w:sz w:val="24"/>
          <w:szCs w:val="24"/>
        </w:rPr>
        <w:t>përmbledhura</w:t>
      </w:r>
      <w:r w:rsidRPr="00554FAF">
        <w:rPr>
          <w:rFonts w:ascii="Times New Roman" w:hAnsi="Times New Roman" w:cs="Times New Roman"/>
          <w:sz w:val="24"/>
          <w:szCs w:val="24"/>
        </w:rPr>
        <w:t xml:space="preserve"> u vlerësua në 107 milion EUR, ose 1.8% e BPV-së. Ekonomia </w:t>
      </w:r>
      <w:r w:rsidR="009F61BF" w:rsidRPr="00554FAF">
        <w:rPr>
          <w:rFonts w:ascii="Times New Roman" w:hAnsi="Times New Roman" w:cs="Times New Roman"/>
          <w:sz w:val="24"/>
          <w:szCs w:val="24"/>
        </w:rPr>
        <w:t xml:space="preserve">joformale </w:t>
      </w:r>
      <w:r w:rsidRPr="00554FAF">
        <w:rPr>
          <w:rFonts w:ascii="Times New Roman" w:hAnsi="Times New Roman" w:cs="Times New Roman"/>
          <w:sz w:val="24"/>
          <w:szCs w:val="24"/>
        </w:rPr>
        <w:t>është identifikuar si një sfidë kryesore në Raportin e Konku</w:t>
      </w:r>
      <w:r w:rsidR="009F61BF" w:rsidRPr="00554FAF">
        <w:rPr>
          <w:rFonts w:ascii="Times New Roman" w:hAnsi="Times New Roman" w:cs="Times New Roman"/>
          <w:sz w:val="24"/>
          <w:szCs w:val="24"/>
        </w:rPr>
        <w:t>r</w:t>
      </w:r>
      <w:r w:rsidRPr="00554FAF">
        <w:rPr>
          <w:rFonts w:ascii="Times New Roman" w:hAnsi="Times New Roman" w:cs="Times New Roman"/>
          <w:sz w:val="24"/>
          <w:szCs w:val="24"/>
        </w:rPr>
        <w:t>rueshmërisë, veçanërisht në lidhje me “</w:t>
      </w:r>
      <w:r w:rsidR="002E7C3A" w:rsidRPr="00554FAF">
        <w:rPr>
          <w:rFonts w:ascii="Times New Roman" w:hAnsi="Times New Roman" w:cs="Times New Roman"/>
          <w:sz w:val="24"/>
          <w:szCs w:val="24"/>
        </w:rPr>
        <w:t>bazën tatimore</w:t>
      </w:r>
      <w:r w:rsidRPr="00554FAF">
        <w:rPr>
          <w:rFonts w:ascii="Times New Roman" w:hAnsi="Times New Roman" w:cs="Times New Roman"/>
          <w:sz w:val="24"/>
          <w:szCs w:val="24"/>
        </w:rPr>
        <w:t xml:space="preserve">” </w:t>
      </w:r>
      <w:r w:rsidR="00A111C4" w:rsidRPr="00554FAF">
        <w:rPr>
          <w:rFonts w:ascii="Times New Roman" w:hAnsi="Times New Roman" w:cs="Times New Roman"/>
          <w:sz w:val="24"/>
          <w:szCs w:val="24"/>
        </w:rPr>
        <w:t>dhe që</w:t>
      </w:r>
      <w:r w:rsidRPr="00554FAF">
        <w:rPr>
          <w:rFonts w:ascii="Times New Roman" w:hAnsi="Times New Roman" w:cs="Times New Roman"/>
          <w:sz w:val="24"/>
          <w:szCs w:val="24"/>
        </w:rPr>
        <w:t xml:space="preserve"> </w:t>
      </w:r>
      <w:r w:rsidR="00A111C4" w:rsidRPr="00554FAF">
        <w:rPr>
          <w:rFonts w:ascii="Times New Roman" w:hAnsi="Times New Roman" w:cs="Times New Roman"/>
          <w:sz w:val="24"/>
          <w:szCs w:val="24"/>
        </w:rPr>
        <w:t xml:space="preserve">gjithashtu </w:t>
      </w:r>
      <w:r w:rsidR="009F61BF" w:rsidRPr="00554FAF">
        <w:rPr>
          <w:rFonts w:ascii="Times New Roman" w:hAnsi="Times New Roman" w:cs="Times New Roman"/>
          <w:sz w:val="24"/>
          <w:szCs w:val="24"/>
        </w:rPr>
        <w:t xml:space="preserve">përfshinë </w:t>
      </w:r>
      <w:r w:rsidRPr="00554FAF">
        <w:rPr>
          <w:rFonts w:ascii="Times New Roman" w:hAnsi="Times New Roman" w:cs="Times New Roman"/>
          <w:sz w:val="24"/>
          <w:szCs w:val="24"/>
        </w:rPr>
        <w:t>rezultate të ulëta</w:t>
      </w:r>
      <w:r w:rsidR="00A111C4" w:rsidRPr="00554FAF">
        <w:rPr>
          <w:rFonts w:ascii="Times New Roman" w:hAnsi="Times New Roman" w:cs="Times New Roman"/>
          <w:sz w:val="24"/>
          <w:szCs w:val="24"/>
        </w:rPr>
        <w:t xml:space="preserve"> </w:t>
      </w:r>
      <w:r w:rsidRPr="00554FAF">
        <w:rPr>
          <w:rFonts w:ascii="Times New Roman" w:hAnsi="Times New Roman" w:cs="Times New Roman"/>
          <w:sz w:val="24"/>
          <w:szCs w:val="24"/>
        </w:rPr>
        <w:t>nën treguesin e zvogëlimit të punësimit.</w:t>
      </w:r>
    </w:p>
    <w:p w14:paraId="1C76B486" w14:textId="1DE2E504" w:rsidR="000F7CAF" w:rsidRPr="00554FAF" w:rsidRDefault="000F7CAF" w:rsidP="005737E0">
      <w:pPr>
        <w:spacing w:after="60" w:line="240" w:lineRule="auto"/>
        <w:jc w:val="both"/>
        <w:rPr>
          <w:rFonts w:ascii="Times New Roman" w:hAnsi="Times New Roman" w:cs="Times New Roman"/>
          <w:sz w:val="24"/>
          <w:szCs w:val="24"/>
        </w:rPr>
      </w:pPr>
      <w:r w:rsidRPr="00554FAF">
        <w:rPr>
          <w:rFonts w:ascii="Times New Roman" w:hAnsi="Times New Roman" w:cs="Times New Roman"/>
          <w:b/>
          <w:sz w:val="24"/>
          <w:szCs w:val="24"/>
        </w:rPr>
        <w:t xml:space="preserve">Një numër i madh faktorësh kontribuojnë në </w:t>
      </w:r>
      <w:r w:rsidR="009F61BF" w:rsidRPr="00554FAF">
        <w:rPr>
          <w:rFonts w:ascii="Times New Roman" w:hAnsi="Times New Roman" w:cs="Times New Roman"/>
          <w:b/>
          <w:sz w:val="24"/>
          <w:szCs w:val="24"/>
        </w:rPr>
        <w:t>ekonominë joformale</w:t>
      </w:r>
      <w:r w:rsidRPr="00554FAF">
        <w:rPr>
          <w:rFonts w:ascii="Times New Roman" w:hAnsi="Times New Roman" w:cs="Times New Roman"/>
          <w:sz w:val="24"/>
          <w:szCs w:val="24"/>
        </w:rPr>
        <w:t xml:space="preserve">. Faktorët që kontribuojnë në </w:t>
      </w:r>
      <w:r w:rsidR="009F61BF" w:rsidRPr="00554FAF">
        <w:rPr>
          <w:rFonts w:ascii="Times New Roman" w:hAnsi="Times New Roman" w:cs="Times New Roman"/>
          <w:sz w:val="24"/>
          <w:szCs w:val="24"/>
        </w:rPr>
        <w:t>ekonominë joformale</w:t>
      </w:r>
      <w:r w:rsidRPr="00554FAF">
        <w:rPr>
          <w:rFonts w:ascii="Times New Roman" w:hAnsi="Times New Roman" w:cs="Times New Roman"/>
          <w:sz w:val="24"/>
          <w:szCs w:val="24"/>
        </w:rPr>
        <w:t xml:space="preserve"> duket se janë dobësi institucionale në </w:t>
      </w:r>
      <w:r w:rsidR="009F61BF" w:rsidRPr="00554FAF">
        <w:rPr>
          <w:rFonts w:ascii="Times New Roman" w:hAnsi="Times New Roman" w:cs="Times New Roman"/>
          <w:sz w:val="24"/>
          <w:szCs w:val="24"/>
        </w:rPr>
        <w:t xml:space="preserve">përditësimin </w:t>
      </w:r>
      <w:r w:rsidRPr="00554FAF">
        <w:rPr>
          <w:rFonts w:ascii="Times New Roman" w:hAnsi="Times New Roman" w:cs="Times New Roman"/>
          <w:sz w:val="24"/>
          <w:szCs w:val="24"/>
        </w:rPr>
        <w:t xml:space="preserve">dhe shkëmbimin e informacionit të biznesit, </w:t>
      </w:r>
      <w:r w:rsidR="005737E0" w:rsidRPr="00554FAF">
        <w:rPr>
          <w:rFonts w:ascii="Times New Roman" w:hAnsi="Times New Roman" w:cs="Times New Roman"/>
          <w:sz w:val="24"/>
          <w:szCs w:val="24"/>
        </w:rPr>
        <w:t>ngarkesa q</w:t>
      </w:r>
      <w:r w:rsidR="004A2969" w:rsidRPr="00554FAF">
        <w:rPr>
          <w:rFonts w:ascii="Times New Roman" w:hAnsi="Times New Roman" w:cs="Times New Roman"/>
          <w:sz w:val="24"/>
          <w:szCs w:val="24"/>
        </w:rPr>
        <w:t>ë</w:t>
      </w:r>
      <w:r w:rsidR="005737E0" w:rsidRPr="00554FAF">
        <w:rPr>
          <w:rFonts w:ascii="Times New Roman" w:hAnsi="Times New Roman" w:cs="Times New Roman"/>
          <w:sz w:val="24"/>
          <w:szCs w:val="24"/>
        </w:rPr>
        <w:t xml:space="preserve"> inspektimet shkaktojn</w:t>
      </w:r>
      <w:r w:rsidR="004A2969" w:rsidRPr="00554FAF">
        <w:rPr>
          <w:rFonts w:ascii="Times New Roman" w:hAnsi="Times New Roman" w:cs="Times New Roman"/>
          <w:sz w:val="24"/>
          <w:szCs w:val="24"/>
        </w:rPr>
        <w:t>ë</w:t>
      </w:r>
      <w:r w:rsidR="005737E0" w:rsidRPr="00554FAF">
        <w:rPr>
          <w:rFonts w:ascii="Times New Roman" w:hAnsi="Times New Roman" w:cs="Times New Roman"/>
          <w:sz w:val="24"/>
          <w:szCs w:val="24"/>
        </w:rPr>
        <w:t xml:space="preserve"> tek bizneset formale </w:t>
      </w:r>
      <w:r w:rsidRPr="00554FAF">
        <w:rPr>
          <w:rFonts w:ascii="Times New Roman" w:hAnsi="Times New Roman" w:cs="Times New Roman"/>
          <w:sz w:val="24"/>
          <w:szCs w:val="24"/>
        </w:rPr>
        <w:t xml:space="preserve">dhe numrin e madh të </w:t>
      </w:r>
      <w:r w:rsidR="009F61BF" w:rsidRPr="00554FAF">
        <w:rPr>
          <w:rFonts w:ascii="Times New Roman" w:hAnsi="Times New Roman" w:cs="Times New Roman"/>
          <w:sz w:val="24"/>
          <w:szCs w:val="24"/>
        </w:rPr>
        <w:t xml:space="preserve">lejeve dhe licencave </w:t>
      </w:r>
      <w:r w:rsidRPr="00554FAF">
        <w:rPr>
          <w:rFonts w:ascii="Times New Roman" w:hAnsi="Times New Roman" w:cs="Times New Roman"/>
          <w:sz w:val="24"/>
          <w:szCs w:val="24"/>
        </w:rPr>
        <w:t>me të cilat</w:t>
      </w:r>
      <w:r w:rsidR="00A111C4" w:rsidRPr="00554FAF">
        <w:rPr>
          <w:rFonts w:ascii="Times New Roman" w:hAnsi="Times New Roman" w:cs="Times New Roman"/>
          <w:sz w:val="24"/>
          <w:szCs w:val="24"/>
        </w:rPr>
        <w:t xml:space="preserve"> </w:t>
      </w:r>
      <w:r w:rsidRPr="00554FAF">
        <w:rPr>
          <w:rFonts w:ascii="Times New Roman" w:hAnsi="Times New Roman" w:cs="Times New Roman"/>
          <w:sz w:val="24"/>
          <w:szCs w:val="24"/>
        </w:rPr>
        <w:t xml:space="preserve">përballen bizneset. Gjithashtu, besimi i ulët në qeveri dhe perceptimi i cilësisë së dobët në shërbimet publike siç është kujdesi shëndetësor dhe arsimi, dekurajojnë </w:t>
      </w:r>
      <w:r w:rsidR="005737E0" w:rsidRPr="00554FAF">
        <w:rPr>
          <w:rFonts w:ascii="Times New Roman" w:hAnsi="Times New Roman" w:cs="Times New Roman"/>
          <w:sz w:val="24"/>
          <w:szCs w:val="24"/>
        </w:rPr>
        <w:t>p</w:t>
      </w:r>
      <w:r w:rsidR="004A2969" w:rsidRPr="00554FAF">
        <w:rPr>
          <w:rFonts w:ascii="Times New Roman" w:hAnsi="Times New Roman" w:cs="Times New Roman"/>
          <w:sz w:val="24"/>
          <w:szCs w:val="24"/>
        </w:rPr>
        <w:t>ë</w:t>
      </w:r>
      <w:r w:rsidR="005737E0" w:rsidRPr="00554FAF">
        <w:rPr>
          <w:rFonts w:ascii="Times New Roman" w:hAnsi="Times New Roman" w:cs="Times New Roman"/>
          <w:sz w:val="24"/>
          <w:szCs w:val="24"/>
        </w:rPr>
        <w:t>rputhshm</w:t>
      </w:r>
      <w:r w:rsidR="004A2969" w:rsidRPr="00554FAF">
        <w:rPr>
          <w:rFonts w:ascii="Times New Roman" w:hAnsi="Times New Roman" w:cs="Times New Roman"/>
          <w:sz w:val="24"/>
          <w:szCs w:val="24"/>
        </w:rPr>
        <w:t>ë</w:t>
      </w:r>
      <w:r w:rsidR="005737E0" w:rsidRPr="00554FAF">
        <w:rPr>
          <w:rFonts w:ascii="Times New Roman" w:hAnsi="Times New Roman" w:cs="Times New Roman"/>
          <w:sz w:val="24"/>
          <w:szCs w:val="24"/>
        </w:rPr>
        <w:t>rin</w:t>
      </w:r>
      <w:r w:rsidR="004A2969" w:rsidRPr="00554FAF">
        <w:rPr>
          <w:rFonts w:ascii="Times New Roman" w:hAnsi="Times New Roman" w:cs="Times New Roman"/>
          <w:sz w:val="24"/>
          <w:szCs w:val="24"/>
        </w:rPr>
        <w:t>ë</w:t>
      </w:r>
      <w:r w:rsidR="005737E0" w:rsidRPr="00554FAF">
        <w:rPr>
          <w:rFonts w:ascii="Times New Roman" w:hAnsi="Times New Roman" w:cs="Times New Roman"/>
          <w:sz w:val="24"/>
          <w:szCs w:val="24"/>
        </w:rPr>
        <w:t xml:space="preserve"> me taksa</w:t>
      </w:r>
      <w:r w:rsidRPr="00554FAF">
        <w:rPr>
          <w:rFonts w:ascii="Times New Roman" w:hAnsi="Times New Roman" w:cs="Times New Roman"/>
          <w:sz w:val="24"/>
          <w:szCs w:val="24"/>
        </w:rPr>
        <w:t>.</w:t>
      </w:r>
    </w:p>
    <w:p w14:paraId="23DC5D85" w14:textId="57FC6C84" w:rsidR="00BA1A1D" w:rsidRPr="00554FAF" w:rsidRDefault="00A111C4" w:rsidP="00BA1A1D">
      <w:pPr>
        <w:spacing w:after="120" w:line="240" w:lineRule="auto"/>
        <w:jc w:val="both"/>
        <w:rPr>
          <w:rFonts w:ascii="Times New Roman" w:hAnsi="Times New Roman" w:cs="Times New Roman"/>
          <w:sz w:val="24"/>
          <w:szCs w:val="24"/>
        </w:rPr>
      </w:pPr>
      <w:r w:rsidRPr="00554FAF">
        <w:rPr>
          <w:rFonts w:ascii="Times New Roman" w:hAnsi="Times New Roman" w:cs="Times New Roman"/>
          <w:sz w:val="24"/>
          <w:szCs w:val="24"/>
        </w:rPr>
        <w:t xml:space="preserve">Ekonomia joformale </w:t>
      </w:r>
      <w:r w:rsidR="000F7CAF" w:rsidRPr="00554FAF">
        <w:rPr>
          <w:rFonts w:ascii="Times New Roman" w:hAnsi="Times New Roman" w:cs="Times New Roman"/>
          <w:sz w:val="24"/>
          <w:szCs w:val="24"/>
        </w:rPr>
        <w:t>ka shumë efekte negativ</w:t>
      </w:r>
      <w:r w:rsidR="005737E0" w:rsidRPr="00554FAF">
        <w:rPr>
          <w:rFonts w:ascii="Times New Roman" w:hAnsi="Times New Roman" w:cs="Times New Roman"/>
          <w:sz w:val="24"/>
          <w:szCs w:val="24"/>
        </w:rPr>
        <w:t>e, a</w:t>
      </w:r>
      <w:r w:rsidRPr="00554FAF">
        <w:rPr>
          <w:rFonts w:ascii="Times New Roman" w:hAnsi="Times New Roman" w:cs="Times New Roman"/>
          <w:sz w:val="24"/>
          <w:szCs w:val="24"/>
        </w:rPr>
        <w:t>jo k</w:t>
      </w:r>
      <w:r w:rsidR="000F7CAF" w:rsidRPr="00554FAF">
        <w:rPr>
          <w:rFonts w:ascii="Times New Roman" w:hAnsi="Times New Roman" w:cs="Times New Roman"/>
          <w:sz w:val="24"/>
          <w:szCs w:val="24"/>
        </w:rPr>
        <w:t xml:space="preserve">rijon konkurrencë të padrejtë për bizneset formale, duke </w:t>
      </w:r>
      <w:r w:rsidRPr="00554FAF">
        <w:rPr>
          <w:rFonts w:ascii="Times New Roman" w:hAnsi="Times New Roman" w:cs="Times New Roman"/>
          <w:sz w:val="24"/>
          <w:szCs w:val="24"/>
        </w:rPr>
        <w:t xml:space="preserve">i </w:t>
      </w:r>
      <w:r w:rsidR="000F7CAF" w:rsidRPr="00554FAF">
        <w:rPr>
          <w:rFonts w:ascii="Times New Roman" w:hAnsi="Times New Roman" w:cs="Times New Roman"/>
          <w:sz w:val="24"/>
          <w:szCs w:val="24"/>
        </w:rPr>
        <w:t>kufizuar mundësitë e tyre për zgjerim dhe investime të mëtejshme në zhvillimin, inovacionin dhe produktivitetin e tyre. Gjithashtu</w:t>
      </w:r>
      <w:r w:rsidRPr="00554FAF">
        <w:rPr>
          <w:rFonts w:ascii="Times New Roman" w:hAnsi="Times New Roman" w:cs="Times New Roman"/>
          <w:sz w:val="24"/>
          <w:szCs w:val="24"/>
        </w:rPr>
        <w:t>, ajo i</w:t>
      </w:r>
      <w:r w:rsidR="000F7CAF" w:rsidRPr="00554FAF">
        <w:rPr>
          <w:rFonts w:ascii="Times New Roman" w:hAnsi="Times New Roman" w:cs="Times New Roman"/>
          <w:sz w:val="24"/>
          <w:szCs w:val="24"/>
        </w:rPr>
        <w:t xml:space="preserve"> zvogëlon mundësitë që lidhen me punësimin zyrtar, </w:t>
      </w:r>
      <w:r w:rsidRPr="00554FAF">
        <w:rPr>
          <w:rFonts w:ascii="Times New Roman" w:hAnsi="Times New Roman" w:cs="Times New Roman"/>
          <w:sz w:val="24"/>
          <w:szCs w:val="24"/>
        </w:rPr>
        <w:t xml:space="preserve">ku </w:t>
      </w:r>
      <w:r w:rsidR="000F7CAF" w:rsidRPr="00554FAF">
        <w:rPr>
          <w:rFonts w:ascii="Times New Roman" w:hAnsi="Times New Roman" w:cs="Times New Roman"/>
          <w:sz w:val="24"/>
          <w:szCs w:val="24"/>
        </w:rPr>
        <w:t>përfshi</w:t>
      </w:r>
      <w:r w:rsidRPr="00554FAF">
        <w:rPr>
          <w:rFonts w:ascii="Times New Roman" w:hAnsi="Times New Roman" w:cs="Times New Roman"/>
          <w:sz w:val="24"/>
          <w:szCs w:val="24"/>
        </w:rPr>
        <w:t>het</w:t>
      </w:r>
      <w:r w:rsidR="000F7CAF" w:rsidRPr="00554FAF">
        <w:rPr>
          <w:rFonts w:ascii="Times New Roman" w:hAnsi="Times New Roman" w:cs="Times New Roman"/>
          <w:sz w:val="24"/>
          <w:szCs w:val="24"/>
        </w:rPr>
        <w:t xml:space="preserve"> </w:t>
      </w:r>
      <w:r w:rsidRPr="00554FAF">
        <w:rPr>
          <w:rFonts w:ascii="Times New Roman" w:hAnsi="Times New Roman" w:cs="Times New Roman"/>
          <w:sz w:val="24"/>
          <w:szCs w:val="24"/>
        </w:rPr>
        <w:t>sigurimi i</w:t>
      </w:r>
      <w:r w:rsidR="000F7CAF" w:rsidRPr="00554FAF">
        <w:rPr>
          <w:rFonts w:ascii="Times New Roman" w:hAnsi="Times New Roman" w:cs="Times New Roman"/>
          <w:sz w:val="24"/>
          <w:szCs w:val="24"/>
        </w:rPr>
        <w:t xml:space="preserve"> </w:t>
      </w:r>
      <w:r w:rsidR="005737E0" w:rsidRPr="00554FAF">
        <w:rPr>
          <w:rFonts w:ascii="Times New Roman" w:hAnsi="Times New Roman" w:cs="Times New Roman"/>
          <w:sz w:val="24"/>
          <w:szCs w:val="24"/>
        </w:rPr>
        <w:t>vendit t</w:t>
      </w:r>
      <w:r w:rsidR="004A2969" w:rsidRPr="00554FAF">
        <w:rPr>
          <w:rFonts w:ascii="Times New Roman" w:hAnsi="Times New Roman" w:cs="Times New Roman"/>
          <w:sz w:val="24"/>
          <w:szCs w:val="24"/>
        </w:rPr>
        <w:t>ë</w:t>
      </w:r>
      <w:r w:rsidR="005737E0" w:rsidRPr="00554FAF">
        <w:rPr>
          <w:rFonts w:ascii="Times New Roman" w:hAnsi="Times New Roman" w:cs="Times New Roman"/>
          <w:sz w:val="24"/>
          <w:szCs w:val="24"/>
        </w:rPr>
        <w:t xml:space="preserve"> </w:t>
      </w:r>
      <w:r w:rsidR="000F7CAF" w:rsidRPr="00554FAF">
        <w:rPr>
          <w:rFonts w:ascii="Times New Roman" w:hAnsi="Times New Roman" w:cs="Times New Roman"/>
          <w:sz w:val="24"/>
          <w:szCs w:val="24"/>
        </w:rPr>
        <w:t>punë</w:t>
      </w:r>
      <w:r w:rsidRPr="00554FAF">
        <w:rPr>
          <w:rFonts w:ascii="Times New Roman" w:hAnsi="Times New Roman" w:cs="Times New Roman"/>
          <w:sz w:val="24"/>
          <w:szCs w:val="24"/>
        </w:rPr>
        <w:t>s</w:t>
      </w:r>
      <w:r w:rsidR="000F7CAF" w:rsidRPr="00554FAF">
        <w:rPr>
          <w:rFonts w:ascii="Times New Roman" w:hAnsi="Times New Roman" w:cs="Times New Roman"/>
          <w:sz w:val="24"/>
          <w:szCs w:val="24"/>
        </w:rPr>
        <w:t xml:space="preserve"> dhe siguri</w:t>
      </w:r>
      <w:r w:rsidRPr="00554FAF">
        <w:rPr>
          <w:rFonts w:ascii="Times New Roman" w:hAnsi="Times New Roman" w:cs="Times New Roman"/>
          <w:sz w:val="24"/>
          <w:szCs w:val="24"/>
        </w:rPr>
        <w:t>a</w:t>
      </w:r>
      <w:r w:rsidR="000F7CAF" w:rsidRPr="00554FAF">
        <w:rPr>
          <w:rFonts w:ascii="Times New Roman" w:hAnsi="Times New Roman" w:cs="Times New Roman"/>
          <w:sz w:val="24"/>
          <w:szCs w:val="24"/>
        </w:rPr>
        <w:t xml:space="preserve"> në punë.</w:t>
      </w:r>
    </w:p>
    <w:p w14:paraId="1694EE29" w14:textId="77777777" w:rsidR="006114F2" w:rsidRPr="00FC648F" w:rsidRDefault="006114F2" w:rsidP="00085F16">
      <w:pPr>
        <w:pStyle w:val="ERPL20"/>
        <w:rPr>
          <w:lang w:val="sq-AL"/>
        </w:rPr>
      </w:pPr>
      <w:bookmarkStart w:id="183" w:name="_Toc25533240"/>
      <w:bookmarkStart w:id="184" w:name="_Toc25873746"/>
      <w:r w:rsidRPr="00FC648F">
        <w:rPr>
          <w:lang w:val="sq-AL"/>
        </w:rPr>
        <w:t>4.2. Përmbledhje e prioriteteve të reformave</w:t>
      </w:r>
      <w:bookmarkEnd w:id="183"/>
      <w:bookmarkEnd w:id="184"/>
    </w:p>
    <w:p w14:paraId="5598FDBA" w14:textId="52A1E9C9" w:rsidR="000702CB" w:rsidRPr="00554FAF" w:rsidRDefault="00A111C4"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sz w:val="24"/>
          <w:szCs w:val="24"/>
        </w:rPr>
        <w:t xml:space="preserve">Pjesa </w:t>
      </w:r>
      <w:r w:rsidR="000702CB" w:rsidRPr="00554FAF">
        <w:rPr>
          <w:rFonts w:ascii="Times New Roman" w:hAnsi="Times New Roman" w:cs="Times New Roman"/>
          <w:sz w:val="24"/>
          <w:szCs w:val="24"/>
        </w:rPr>
        <w:t>vijues</w:t>
      </w:r>
      <w:r w:rsidRPr="00554FAF">
        <w:rPr>
          <w:rFonts w:ascii="Times New Roman" w:hAnsi="Times New Roman" w:cs="Times New Roman"/>
          <w:sz w:val="24"/>
          <w:szCs w:val="24"/>
        </w:rPr>
        <w:t>e</w:t>
      </w:r>
      <w:r w:rsidR="000702CB" w:rsidRPr="00554FAF">
        <w:rPr>
          <w:rFonts w:ascii="Times New Roman" w:hAnsi="Times New Roman" w:cs="Times New Roman"/>
          <w:sz w:val="24"/>
          <w:szCs w:val="24"/>
        </w:rPr>
        <w:t xml:space="preserve"> paraqet 20 masa</w:t>
      </w:r>
      <w:r w:rsidR="000A7D61" w:rsidRPr="00554FAF">
        <w:rPr>
          <w:rFonts w:ascii="Times New Roman" w:hAnsi="Times New Roman" w:cs="Times New Roman"/>
          <w:sz w:val="24"/>
          <w:szCs w:val="24"/>
        </w:rPr>
        <w:t xml:space="preserve"> prioritare t</w:t>
      </w:r>
      <w:r w:rsidR="004A2969" w:rsidRPr="00554FAF">
        <w:rPr>
          <w:rFonts w:ascii="Times New Roman" w:hAnsi="Times New Roman" w:cs="Times New Roman"/>
          <w:sz w:val="24"/>
          <w:szCs w:val="24"/>
        </w:rPr>
        <w:t>ë</w:t>
      </w:r>
      <w:r w:rsidR="000A7D61" w:rsidRPr="00554FAF">
        <w:rPr>
          <w:rFonts w:ascii="Times New Roman" w:hAnsi="Times New Roman" w:cs="Times New Roman"/>
          <w:sz w:val="24"/>
          <w:szCs w:val="24"/>
        </w:rPr>
        <w:t xml:space="preserve"> reformave strukturore</w:t>
      </w:r>
      <w:r w:rsidRPr="00554FAF">
        <w:rPr>
          <w:rFonts w:ascii="Times New Roman" w:hAnsi="Times New Roman" w:cs="Times New Roman"/>
          <w:sz w:val="24"/>
          <w:szCs w:val="24"/>
        </w:rPr>
        <w:t>,</w:t>
      </w:r>
      <w:r w:rsidR="000702CB" w:rsidRPr="00554FAF">
        <w:rPr>
          <w:rFonts w:ascii="Times New Roman" w:hAnsi="Times New Roman" w:cs="Times New Roman"/>
          <w:sz w:val="24"/>
          <w:szCs w:val="24"/>
        </w:rPr>
        <w:t xml:space="preserve"> të identifikuara për Programin e Reformave n</w:t>
      </w:r>
      <w:r w:rsidRPr="00554FAF">
        <w:rPr>
          <w:rFonts w:ascii="Times New Roman" w:hAnsi="Times New Roman" w:cs="Times New Roman"/>
          <w:sz w:val="24"/>
          <w:szCs w:val="24"/>
        </w:rPr>
        <w:t>ë</w:t>
      </w:r>
      <w:r w:rsidR="000702CB" w:rsidRPr="00554FAF">
        <w:rPr>
          <w:rFonts w:ascii="Times New Roman" w:hAnsi="Times New Roman" w:cs="Times New Roman"/>
          <w:sz w:val="24"/>
          <w:szCs w:val="24"/>
        </w:rPr>
        <w:t xml:space="preserve"> Ekonomi që mbulon periudhën 2020-2022. Masat e zgjedhura paraqesin </w:t>
      </w:r>
      <w:r w:rsidR="00BD48CB" w:rsidRPr="00554FAF">
        <w:rPr>
          <w:rFonts w:ascii="Times New Roman" w:hAnsi="Times New Roman" w:cs="Times New Roman"/>
          <w:sz w:val="24"/>
          <w:szCs w:val="24"/>
        </w:rPr>
        <w:t>prioritetet</w:t>
      </w:r>
      <w:r w:rsidR="000702CB" w:rsidRPr="00554FAF">
        <w:rPr>
          <w:rFonts w:ascii="Times New Roman" w:hAnsi="Times New Roman" w:cs="Times New Roman"/>
          <w:sz w:val="24"/>
          <w:szCs w:val="24"/>
        </w:rPr>
        <w:t xml:space="preserve"> strategjike ekzistuese dhe të reja që Kosova i ka identifikuar si më të rëndësishmet për të adresuar pengesat kryesore të rritjes </w:t>
      </w:r>
      <w:r w:rsidR="000A7D61" w:rsidRPr="00554FAF">
        <w:rPr>
          <w:rFonts w:ascii="Times New Roman" w:hAnsi="Times New Roman" w:cs="Times New Roman"/>
          <w:sz w:val="24"/>
          <w:szCs w:val="24"/>
        </w:rPr>
        <w:t xml:space="preserve">ekonomike </w:t>
      </w:r>
      <w:r w:rsidR="000702CB" w:rsidRPr="00554FAF">
        <w:rPr>
          <w:rFonts w:ascii="Times New Roman" w:hAnsi="Times New Roman" w:cs="Times New Roman"/>
          <w:sz w:val="24"/>
          <w:szCs w:val="24"/>
        </w:rPr>
        <w:t xml:space="preserve">dhe </w:t>
      </w:r>
      <w:r w:rsidR="000A7D61" w:rsidRPr="00554FAF">
        <w:rPr>
          <w:rFonts w:ascii="Times New Roman" w:hAnsi="Times New Roman" w:cs="Times New Roman"/>
          <w:sz w:val="24"/>
          <w:szCs w:val="24"/>
        </w:rPr>
        <w:t>konkurrueshm</w:t>
      </w:r>
      <w:r w:rsidR="004A2969" w:rsidRPr="00554FAF">
        <w:rPr>
          <w:rFonts w:ascii="Times New Roman" w:hAnsi="Times New Roman" w:cs="Times New Roman"/>
          <w:sz w:val="24"/>
          <w:szCs w:val="24"/>
        </w:rPr>
        <w:t>ë</w:t>
      </w:r>
      <w:r w:rsidR="000A7D61" w:rsidRPr="00554FAF">
        <w:rPr>
          <w:rFonts w:ascii="Times New Roman" w:hAnsi="Times New Roman" w:cs="Times New Roman"/>
          <w:sz w:val="24"/>
          <w:szCs w:val="24"/>
        </w:rPr>
        <w:t>ris</w:t>
      </w:r>
      <w:r w:rsidR="004A2969" w:rsidRPr="00554FAF">
        <w:rPr>
          <w:rFonts w:ascii="Times New Roman" w:hAnsi="Times New Roman" w:cs="Times New Roman"/>
          <w:sz w:val="24"/>
          <w:szCs w:val="24"/>
        </w:rPr>
        <w:t>ë</w:t>
      </w:r>
      <w:r w:rsidR="000702CB" w:rsidRPr="00554FAF">
        <w:rPr>
          <w:rFonts w:ascii="Times New Roman" w:hAnsi="Times New Roman" w:cs="Times New Roman"/>
          <w:sz w:val="24"/>
          <w:szCs w:val="24"/>
        </w:rPr>
        <w:t xml:space="preserve">, siç përshkruhet në </w:t>
      </w:r>
      <w:r w:rsidRPr="00554FAF">
        <w:rPr>
          <w:rFonts w:ascii="Times New Roman" w:hAnsi="Times New Roman" w:cs="Times New Roman"/>
          <w:sz w:val="24"/>
          <w:szCs w:val="24"/>
        </w:rPr>
        <w:t xml:space="preserve">pjesën </w:t>
      </w:r>
      <w:r w:rsidR="000702CB" w:rsidRPr="00554FAF">
        <w:rPr>
          <w:rFonts w:ascii="Times New Roman" w:hAnsi="Times New Roman" w:cs="Times New Roman"/>
          <w:sz w:val="24"/>
          <w:szCs w:val="24"/>
        </w:rPr>
        <w:t xml:space="preserve">4.1. </w:t>
      </w:r>
      <w:r w:rsidRPr="00554FAF">
        <w:rPr>
          <w:rFonts w:ascii="Times New Roman" w:hAnsi="Times New Roman" w:cs="Times New Roman"/>
          <w:sz w:val="24"/>
          <w:szCs w:val="24"/>
        </w:rPr>
        <w:t>Gjithashtu, k</w:t>
      </w:r>
      <w:r w:rsidR="000702CB" w:rsidRPr="00554FAF">
        <w:rPr>
          <w:rFonts w:ascii="Times New Roman" w:hAnsi="Times New Roman" w:cs="Times New Roman"/>
          <w:sz w:val="24"/>
          <w:szCs w:val="24"/>
        </w:rPr>
        <w:t>ëto masa përfshijnë një listë të Treguesve të Performancës të cil</w:t>
      </w:r>
      <w:r w:rsidR="00E958A3" w:rsidRPr="00554FAF">
        <w:rPr>
          <w:rFonts w:ascii="Times New Roman" w:hAnsi="Times New Roman" w:cs="Times New Roman"/>
          <w:sz w:val="24"/>
          <w:szCs w:val="24"/>
        </w:rPr>
        <w:t>ë</w:t>
      </w:r>
      <w:r w:rsidR="000702CB" w:rsidRPr="00554FAF">
        <w:rPr>
          <w:rFonts w:ascii="Times New Roman" w:hAnsi="Times New Roman" w:cs="Times New Roman"/>
          <w:sz w:val="24"/>
          <w:szCs w:val="24"/>
        </w:rPr>
        <w:t>t janë identifikuar për monitorimin dhe vlerësimin e efekteve të masave të reformës në segmente ose sektorë të veçantë të ekonomisë. Masat e paraqitura</w:t>
      </w:r>
      <w:r w:rsidR="00E958A3" w:rsidRPr="00554FAF">
        <w:rPr>
          <w:rFonts w:ascii="Times New Roman" w:hAnsi="Times New Roman" w:cs="Times New Roman"/>
          <w:sz w:val="24"/>
          <w:szCs w:val="24"/>
        </w:rPr>
        <w:t xml:space="preserve"> </w:t>
      </w:r>
      <w:r w:rsidR="000702CB" w:rsidRPr="00554FAF">
        <w:rPr>
          <w:rFonts w:ascii="Times New Roman" w:hAnsi="Times New Roman" w:cs="Times New Roman"/>
          <w:sz w:val="24"/>
          <w:szCs w:val="24"/>
        </w:rPr>
        <w:t xml:space="preserve">janë shtjelluar brenda një dialogu gjithëpërfshirës të politikave nëpër strukturat e qeverisjes qendrore dhe lokale, sektorin privat dhe shoqërinë civile. Në përgjithësi, ato rrjedhin nga dokumentet kryesore strategjike, </w:t>
      </w:r>
      <w:r w:rsidR="00E958A3" w:rsidRPr="00554FAF">
        <w:rPr>
          <w:rFonts w:ascii="Times New Roman" w:hAnsi="Times New Roman" w:cs="Times New Roman"/>
          <w:sz w:val="24"/>
          <w:szCs w:val="24"/>
        </w:rPr>
        <w:t>si</w:t>
      </w:r>
      <w:r w:rsidR="000702CB" w:rsidRPr="00554FAF">
        <w:rPr>
          <w:rFonts w:ascii="Times New Roman" w:hAnsi="Times New Roman" w:cs="Times New Roman"/>
          <w:sz w:val="24"/>
          <w:szCs w:val="24"/>
        </w:rPr>
        <w:t xml:space="preserve"> Strategjia Kombëtare e Zhvillimit 2016-2021, Programi Kombëtar për Zbatimin e MSA-së, Agjenda e Reformës Evropiane dhe strategjitë sektoriale përkatëse të vendit.</w:t>
      </w:r>
    </w:p>
    <w:tbl>
      <w:tblPr>
        <w:tblStyle w:val="TableGrid"/>
        <w:tblW w:w="0" w:type="auto"/>
        <w:tblInd w:w="-5" w:type="dxa"/>
        <w:tblLook w:val="04A0" w:firstRow="1" w:lastRow="0" w:firstColumn="1" w:lastColumn="0" w:noHBand="0" w:noVBand="1"/>
      </w:tblPr>
      <w:tblGrid>
        <w:gridCol w:w="9355"/>
      </w:tblGrid>
      <w:tr w:rsidR="00E63960" w:rsidRPr="00554FAF" w14:paraId="11E7BC0C" w14:textId="77777777" w:rsidTr="00F40B38">
        <w:trPr>
          <w:trHeight w:val="1160"/>
        </w:trPr>
        <w:tc>
          <w:tcPr>
            <w:tcW w:w="9355" w:type="dxa"/>
          </w:tcPr>
          <w:tbl>
            <w:tblPr>
              <w:tblW w:w="9702" w:type="dxa"/>
              <w:tblLook w:val="04A0" w:firstRow="1" w:lastRow="0" w:firstColumn="1" w:lastColumn="0" w:noHBand="0" w:noVBand="1"/>
            </w:tblPr>
            <w:tblGrid>
              <w:gridCol w:w="9702"/>
            </w:tblGrid>
            <w:tr w:rsidR="00E63960" w:rsidRPr="00554FAF" w14:paraId="629CEA3C" w14:textId="77777777" w:rsidTr="00E63960">
              <w:tc>
                <w:tcPr>
                  <w:tcW w:w="9702" w:type="dxa"/>
                  <w:shd w:val="clear" w:color="auto" w:fill="5B9BD5" w:themeFill="accent1"/>
                </w:tcPr>
                <w:p w14:paraId="0D8C837C" w14:textId="77777777" w:rsidR="00E63960" w:rsidRPr="00554FAF" w:rsidRDefault="00E63960" w:rsidP="000702CB">
                  <w:pPr>
                    <w:spacing w:after="60" w:line="240" w:lineRule="auto"/>
                    <w:rPr>
                      <w:rFonts w:ascii="Times New Roman" w:hAnsi="Times New Roman" w:cs="Times New Roman"/>
                      <w:b/>
                      <w:sz w:val="24"/>
                      <w:szCs w:val="24"/>
                    </w:rPr>
                  </w:pPr>
                  <w:r w:rsidRPr="00554FAF">
                    <w:rPr>
                      <w:rFonts w:ascii="Times New Roman" w:hAnsi="Times New Roman" w:cs="Times New Roman"/>
                      <w:b/>
                      <w:sz w:val="24"/>
                      <w:szCs w:val="24"/>
                    </w:rPr>
                    <w:t xml:space="preserve">I. Reforma e tregjeve të energjisë dhe transportit  </w:t>
                  </w:r>
                </w:p>
              </w:tc>
            </w:tr>
          </w:tbl>
          <w:p w14:paraId="356F2392" w14:textId="74281A6C" w:rsidR="000F7CAF" w:rsidRPr="00554FAF" w:rsidRDefault="000F7CAF" w:rsidP="00660459">
            <w:pPr>
              <w:spacing w:after="60"/>
              <w:jc w:val="both"/>
              <w:rPr>
                <w:rFonts w:ascii="Times New Roman" w:hAnsi="Times New Roman" w:cs="Times New Roman"/>
                <w:sz w:val="24"/>
                <w:szCs w:val="24"/>
              </w:rPr>
            </w:pPr>
            <w:r w:rsidRPr="00554FAF">
              <w:rPr>
                <w:rFonts w:ascii="Times New Roman" w:hAnsi="Times New Roman" w:cs="Times New Roman"/>
                <w:b/>
                <w:sz w:val="24"/>
                <w:szCs w:val="24"/>
              </w:rPr>
              <w:t>Masa #1: Ulja e konsumit të energjisë me anë të masave të efiçiencës së energjisë</w:t>
            </w:r>
            <w:r w:rsidR="002E6B1F" w:rsidRPr="00554FAF">
              <w:rPr>
                <w:rFonts w:ascii="Times New Roman" w:hAnsi="Times New Roman" w:cs="Times New Roman"/>
                <w:b/>
                <w:sz w:val="24"/>
                <w:szCs w:val="24"/>
              </w:rPr>
              <w:t>:</w:t>
            </w:r>
            <w:r w:rsidRPr="00554FAF">
              <w:rPr>
                <w:rFonts w:ascii="Times New Roman" w:hAnsi="Times New Roman" w:cs="Times New Roman"/>
                <w:sz w:val="24"/>
                <w:szCs w:val="24"/>
              </w:rPr>
              <w:t xml:space="preserve"> </w:t>
            </w:r>
            <w:r w:rsidR="002E6B1F" w:rsidRPr="00554FAF">
              <w:rPr>
                <w:rFonts w:ascii="Times New Roman" w:hAnsi="Times New Roman" w:cs="Times New Roman"/>
                <w:sz w:val="24"/>
                <w:szCs w:val="24"/>
              </w:rPr>
              <w:t>qëllimi kryesor i kësaj mase është</w:t>
            </w:r>
            <w:r w:rsidRPr="00554FAF">
              <w:rPr>
                <w:rFonts w:ascii="Times New Roman" w:hAnsi="Times New Roman" w:cs="Times New Roman"/>
                <w:sz w:val="24"/>
                <w:szCs w:val="24"/>
              </w:rPr>
              <w:t xml:space="preserve"> </w:t>
            </w:r>
            <w:r w:rsidR="002E6B1F" w:rsidRPr="00554FAF">
              <w:rPr>
                <w:rFonts w:ascii="Times New Roman" w:hAnsi="Times New Roman" w:cs="Times New Roman"/>
                <w:sz w:val="24"/>
                <w:szCs w:val="24"/>
              </w:rPr>
              <w:t>z</w:t>
            </w:r>
            <w:r w:rsidRPr="00554FAF">
              <w:rPr>
                <w:rFonts w:ascii="Times New Roman" w:hAnsi="Times New Roman" w:cs="Times New Roman"/>
                <w:sz w:val="24"/>
                <w:szCs w:val="24"/>
              </w:rPr>
              <w:t>batimi i masave të EE në ndërtesat publike</w:t>
            </w:r>
            <w:r w:rsidR="002E6B1F" w:rsidRPr="00554FAF">
              <w:rPr>
                <w:rFonts w:ascii="Times New Roman" w:hAnsi="Times New Roman" w:cs="Times New Roman"/>
                <w:sz w:val="24"/>
                <w:szCs w:val="24"/>
              </w:rPr>
              <w:t xml:space="preserve">, </w:t>
            </w:r>
            <w:r w:rsidRPr="00554FAF">
              <w:rPr>
                <w:rFonts w:ascii="Times New Roman" w:hAnsi="Times New Roman" w:cs="Times New Roman"/>
                <w:sz w:val="24"/>
                <w:szCs w:val="24"/>
              </w:rPr>
              <w:t xml:space="preserve">private dhe amvisëri, arritja e objektivave të kursimit të energjisë dhe rritja e investimeve në projekte përmes fondit të EE. </w:t>
            </w:r>
          </w:p>
          <w:p w14:paraId="03B459D5" w14:textId="3070EF4A" w:rsidR="000F7CAF" w:rsidRPr="00554FAF" w:rsidRDefault="000F7CAF" w:rsidP="00660459">
            <w:pPr>
              <w:spacing w:after="60"/>
              <w:jc w:val="both"/>
              <w:rPr>
                <w:rFonts w:ascii="Times New Roman" w:hAnsi="Times New Roman" w:cs="Times New Roman"/>
                <w:sz w:val="24"/>
                <w:szCs w:val="24"/>
              </w:rPr>
            </w:pPr>
            <w:r w:rsidRPr="00554FAF">
              <w:rPr>
                <w:rFonts w:ascii="Times New Roman" w:hAnsi="Times New Roman" w:cs="Times New Roman"/>
                <w:b/>
                <w:sz w:val="24"/>
                <w:szCs w:val="24"/>
              </w:rPr>
              <w:t>Masa # 2: Rritja e diversitetit të burimeve të energjisë:</w:t>
            </w:r>
            <w:r w:rsidRPr="00554FAF">
              <w:rPr>
                <w:rFonts w:ascii="Times New Roman" w:hAnsi="Times New Roman" w:cs="Times New Roman"/>
                <w:sz w:val="24"/>
                <w:szCs w:val="24"/>
              </w:rPr>
              <w:t xml:space="preserve"> </w:t>
            </w:r>
            <w:r w:rsidR="002E6B1F" w:rsidRPr="00554FAF">
              <w:rPr>
                <w:rFonts w:ascii="Times New Roman" w:hAnsi="Times New Roman" w:cs="Times New Roman"/>
                <w:sz w:val="24"/>
                <w:szCs w:val="24"/>
              </w:rPr>
              <w:t xml:space="preserve">qëllimi kryesor i kësaj mase është të adresojë pengesat në sektorin e BRE, gazit dhe ngrohjes qendrore. Investimet në këto fusha do të balancojnë </w:t>
            </w:r>
            <w:r w:rsidR="000A7D61" w:rsidRPr="00554FAF">
              <w:rPr>
                <w:rFonts w:ascii="Times New Roman" w:hAnsi="Times New Roman" w:cs="Times New Roman"/>
                <w:sz w:val="24"/>
                <w:szCs w:val="24"/>
              </w:rPr>
              <w:t>k</w:t>
            </w:r>
            <w:r w:rsidR="004A2969" w:rsidRPr="00554FAF">
              <w:rPr>
                <w:rFonts w:ascii="Times New Roman" w:hAnsi="Times New Roman" w:cs="Times New Roman"/>
                <w:sz w:val="24"/>
                <w:szCs w:val="24"/>
              </w:rPr>
              <w:t>ë</w:t>
            </w:r>
            <w:r w:rsidR="000A7D61" w:rsidRPr="00554FAF">
              <w:rPr>
                <w:rFonts w:ascii="Times New Roman" w:hAnsi="Times New Roman" w:cs="Times New Roman"/>
                <w:sz w:val="24"/>
                <w:szCs w:val="24"/>
              </w:rPr>
              <w:t>rkes</w:t>
            </w:r>
            <w:r w:rsidR="004A2969" w:rsidRPr="00554FAF">
              <w:rPr>
                <w:rFonts w:ascii="Times New Roman" w:hAnsi="Times New Roman" w:cs="Times New Roman"/>
                <w:sz w:val="24"/>
                <w:szCs w:val="24"/>
              </w:rPr>
              <w:t>ë</w:t>
            </w:r>
            <w:r w:rsidR="000A7D61" w:rsidRPr="00554FAF">
              <w:rPr>
                <w:rFonts w:ascii="Times New Roman" w:hAnsi="Times New Roman" w:cs="Times New Roman"/>
                <w:sz w:val="24"/>
                <w:szCs w:val="24"/>
              </w:rPr>
              <w:t>n shtes</w:t>
            </w:r>
            <w:r w:rsidR="004A2969" w:rsidRPr="00554FAF">
              <w:rPr>
                <w:rFonts w:ascii="Times New Roman" w:hAnsi="Times New Roman" w:cs="Times New Roman"/>
                <w:sz w:val="24"/>
                <w:szCs w:val="24"/>
              </w:rPr>
              <w:t>ë</w:t>
            </w:r>
            <w:r w:rsidR="008D267F" w:rsidRPr="00554FAF">
              <w:rPr>
                <w:rFonts w:ascii="Times New Roman" w:hAnsi="Times New Roman" w:cs="Times New Roman"/>
                <w:sz w:val="24"/>
                <w:szCs w:val="24"/>
              </w:rPr>
              <w:t xml:space="preserve">, që rezulton në energji më të qëndrueshme dhe ndihmon në arritjen e </w:t>
            </w:r>
            <w:r w:rsidR="000A7D61" w:rsidRPr="00554FAF">
              <w:rPr>
                <w:rFonts w:ascii="Times New Roman" w:hAnsi="Times New Roman" w:cs="Times New Roman"/>
                <w:sz w:val="24"/>
                <w:szCs w:val="24"/>
              </w:rPr>
              <w:t>caqeve</w:t>
            </w:r>
            <w:r w:rsidR="008D267F" w:rsidRPr="00554FAF">
              <w:rPr>
                <w:rFonts w:ascii="Times New Roman" w:hAnsi="Times New Roman" w:cs="Times New Roman"/>
                <w:sz w:val="24"/>
                <w:szCs w:val="24"/>
              </w:rPr>
              <w:t xml:space="preserve"> të energjisë së ripërtëritshme dhe emetimit</w:t>
            </w:r>
            <w:r w:rsidR="000A7D61" w:rsidRPr="00554FAF">
              <w:rPr>
                <w:rFonts w:ascii="Times New Roman" w:hAnsi="Times New Roman" w:cs="Times New Roman"/>
                <w:sz w:val="24"/>
                <w:szCs w:val="24"/>
              </w:rPr>
              <w:t xml:space="preserve"> t</w:t>
            </w:r>
            <w:r w:rsidR="004A2969" w:rsidRPr="00554FAF">
              <w:rPr>
                <w:rFonts w:ascii="Times New Roman" w:hAnsi="Times New Roman" w:cs="Times New Roman"/>
                <w:sz w:val="24"/>
                <w:szCs w:val="24"/>
              </w:rPr>
              <w:t>ë</w:t>
            </w:r>
            <w:r w:rsidR="000A7D61" w:rsidRPr="00554FAF">
              <w:rPr>
                <w:rFonts w:ascii="Times New Roman" w:hAnsi="Times New Roman" w:cs="Times New Roman"/>
                <w:sz w:val="24"/>
                <w:szCs w:val="24"/>
              </w:rPr>
              <w:t xml:space="preserve"> gazrave</w:t>
            </w:r>
            <w:r w:rsidR="008D267F" w:rsidRPr="00554FAF">
              <w:rPr>
                <w:rFonts w:ascii="Times New Roman" w:hAnsi="Times New Roman" w:cs="Times New Roman"/>
                <w:sz w:val="24"/>
                <w:szCs w:val="24"/>
              </w:rPr>
              <w:t xml:space="preserve">. </w:t>
            </w:r>
          </w:p>
          <w:tbl>
            <w:tblPr>
              <w:tblW w:w="9702" w:type="dxa"/>
              <w:tblLook w:val="04A0" w:firstRow="1" w:lastRow="0" w:firstColumn="1" w:lastColumn="0" w:noHBand="0" w:noVBand="1"/>
            </w:tblPr>
            <w:tblGrid>
              <w:gridCol w:w="9702"/>
            </w:tblGrid>
            <w:tr w:rsidR="00E63960" w:rsidRPr="00554FAF" w14:paraId="40F0ABAE" w14:textId="77777777" w:rsidTr="00E63960">
              <w:tc>
                <w:tcPr>
                  <w:tcW w:w="9702" w:type="dxa"/>
                  <w:shd w:val="clear" w:color="auto" w:fill="5B9BD5" w:themeFill="accent1"/>
                </w:tcPr>
                <w:p w14:paraId="37EE02DD" w14:textId="77777777" w:rsidR="00E63960" w:rsidRPr="00554FAF" w:rsidRDefault="00E63960" w:rsidP="000702CB">
                  <w:pPr>
                    <w:spacing w:after="60" w:line="240" w:lineRule="auto"/>
                    <w:rPr>
                      <w:rFonts w:ascii="Times New Roman" w:hAnsi="Times New Roman" w:cs="Times New Roman"/>
                      <w:b/>
                      <w:sz w:val="24"/>
                      <w:szCs w:val="24"/>
                    </w:rPr>
                  </w:pPr>
                  <w:r w:rsidRPr="00554FAF">
                    <w:rPr>
                      <w:rFonts w:ascii="Times New Roman" w:hAnsi="Times New Roman" w:cs="Times New Roman"/>
                      <w:b/>
                      <w:sz w:val="24"/>
                      <w:szCs w:val="24"/>
                    </w:rPr>
                    <w:t>II.  Bujqësia, Industria dhe Shërbimet</w:t>
                  </w:r>
                </w:p>
              </w:tc>
            </w:tr>
          </w:tbl>
          <w:p w14:paraId="6BF7126B" w14:textId="297232C6" w:rsidR="00E63960" w:rsidRPr="00554FAF" w:rsidRDefault="00E63960" w:rsidP="000702CB">
            <w:pPr>
              <w:spacing w:after="60"/>
              <w:jc w:val="both"/>
              <w:rPr>
                <w:rFonts w:ascii="Times New Roman" w:hAnsi="Times New Roman" w:cs="Times New Roman"/>
                <w:sz w:val="24"/>
                <w:szCs w:val="24"/>
              </w:rPr>
            </w:pPr>
            <w:r w:rsidRPr="00554FAF">
              <w:rPr>
                <w:rFonts w:ascii="Times New Roman" w:hAnsi="Times New Roman" w:cs="Times New Roman"/>
                <w:b/>
                <w:sz w:val="24"/>
                <w:szCs w:val="24"/>
              </w:rPr>
              <w:t xml:space="preserve">Masa #3: Ndryshimet strukturore në sektorin </w:t>
            </w:r>
            <w:r w:rsidR="007019EF" w:rsidRPr="00554FAF">
              <w:rPr>
                <w:rFonts w:ascii="Times New Roman" w:hAnsi="Times New Roman" w:cs="Times New Roman"/>
                <w:b/>
                <w:sz w:val="24"/>
                <w:szCs w:val="24"/>
              </w:rPr>
              <w:t>e bujqësisë</w:t>
            </w:r>
            <w:r w:rsidR="002E6B1F" w:rsidRPr="00554FAF">
              <w:rPr>
                <w:rFonts w:ascii="Times New Roman" w:hAnsi="Times New Roman" w:cs="Times New Roman"/>
                <w:sz w:val="24"/>
                <w:szCs w:val="24"/>
              </w:rPr>
              <w:t xml:space="preserve">: </w:t>
            </w:r>
            <w:r w:rsidR="008D267F" w:rsidRPr="00554FAF">
              <w:rPr>
                <w:rFonts w:ascii="Times New Roman" w:hAnsi="Times New Roman" w:cs="Times New Roman"/>
                <w:sz w:val="24"/>
                <w:szCs w:val="24"/>
              </w:rPr>
              <w:t>qëllimi kryesor i kësaj mase është</w:t>
            </w:r>
            <w:r w:rsidRPr="00554FAF">
              <w:rPr>
                <w:rFonts w:ascii="Times New Roman" w:hAnsi="Times New Roman" w:cs="Times New Roman"/>
                <w:sz w:val="24"/>
                <w:szCs w:val="24"/>
              </w:rPr>
              <w:t xml:space="preserve"> rritj</w:t>
            </w:r>
            <w:r w:rsidR="008D267F" w:rsidRPr="00554FAF">
              <w:rPr>
                <w:rFonts w:ascii="Times New Roman" w:hAnsi="Times New Roman" w:cs="Times New Roman"/>
                <w:sz w:val="24"/>
                <w:szCs w:val="24"/>
              </w:rPr>
              <w:t>a</w:t>
            </w:r>
            <w:r w:rsidRPr="00554FAF">
              <w:rPr>
                <w:rFonts w:ascii="Times New Roman" w:hAnsi="Times New Roman" w:cs="Times New Roman"/>
                <w:sz w:val="24"/>
                <w:szCs w:val="24"/>
              </w:rPr>
              <w:t xml:space="preserve"> e </w:t>
            </w:r>
            <w:r w:rsidR="002E6B1F" w:rsidRPr="00554FAF">
              <w:rPr>
                <w:rFonts w:ascii="Times New Roman" w:hAnsi="Times New Roman" w:cs="Times New Roman"/>
                <w:sz w:val="24"/>
                <w:szCs w:val="24"/>
              </w:rPr>
              <w:t xml:space="preserve">prodhimtarisë </w:t>
            </w:r>
            <w:r w:rsidRPr="00554FAF">
              <w:rPr>
                <w:rFonts w:ascii="Times New Roman" w:hAnsi="Times New Roman" w:cs="Times New Roman"/>
                <w:sz w:val="24"/>
                <w:szCs w:val="24"/>
              </w:rPr>
              <w:t>dhe ristrukturimi agro-rural, zhvillimi i sektorit agro-ushqimor përmes përmirësimit të aftësive konkurruese, inovacioneve dhe rritjes së prodhimtarisë.</w:t>
            </w:r>
          </w:p>
          <w:p w14:paraId="008A7568" w14:textId="34540504" w:rsidR="00E63960" w:rsidRPr="00554FAF" w:rsidRDefault="00E63960" w:rsidP="000702CB">
            <w:pPr>
              <w:spacing w:after="60"/>
              <w:jc w:val="both"/>
              <w:rPr>
                <w:rFonts w:ascii="Times New Roman" w:hAnsi="Times New Roman" w:cs="Times New Roman"/>
                <w:sz w:val="24"/>
                <w:szCs w:val="24"/>
              </w:rPr>
            </w:pPr>
            <w:r w:rsidRPr="00554FAF">
              <w:rPr>
                <w:rFonts w:ascii="Times New Roman" w:hAnsi="Times New Roman" w:cs="Times New Roman"/>
                <w:b/>
                <w:bCs/>
                <w:sz w:val="24"/>
                <w:szCs w:val="24"/>
              </w:rPr>
              <w:t>Masa #4: Rritja e konkurrueshmërisë në industrinë prodhuese</w:t>
            </w:r>
            <w:r w:rsidR="002E6B1F" w:rsidRPr="00554FAF">
              <w:rPr>
                <w:rFonts w:ascii="Times New Roman" w:hAnsi="Times New Roman" w:cs="Times New Roman"/>
                <w:b/>
                <w:bCs/>
                <w:sz w:val="24"/>
                <w:szCs w:val="24"/>
              </w:rPr>
              <w:t xml:space="preserve">: </w:t>
            </w:r>
            <w:r w:rsidR="008D267F" w:rsidRPr="00554FAF">
              <w:rPr>
                <w:rFonts w:ascii="Times New Roman" w:hAnsi="Times New Roman" w:cs="Times New Roman"/>
                <w:bCs/>
                <w:sz w:val="24"/>
                <w:szCs w:val="24"/>
              </w:rPr>
              <w:t xml:space="preserve">qëllimi kryesor i kësaj mase është të </w:t>
            </w:r>
            <w:r w:rsidRPr="00554FAF">
              <w:rPr>
                <w:rFonts w:ascii="Times New Roman" w:hAnsi="Times New Roman" w:cs="Times New Roman"/>
                <w:bCs/>
                <w:sz w:val="24"/>
                <w:szCs w:val="24"/>
              </w:rPr>
              <w:t>ndihmo</w:t>
            </w:r>
            <w:r w:rsidR="002E6B1F" w:rsidRPr="00554FAF">
              <w:rPr>
                <w:rFonts w:ascii="Times New Roman" w:hAnsi="Times New Roman" w:cs="Times New Roman"/>
                <w:bCs/>
                <w:sz w:val="24"/>
                <w:szCs w:val="24"/>
              </w:rPr>
              <w:t>jë</w:t>
            </w:r>
            <w:r w:rsidRPr="00554FAF">
              <w:rPr>
                <w:rFonts w:ascii="Times New Roman" w:hAnsi="Times New Roman" w:cs="Times New Roman"/>
                <w:bCs/>
                <w:sz w:val="24"/>
                <w:szCs w:val="24"/>
              </w:rPr>
              <w:t xml:space="preserve"> </w:t>
            </w:r>
            <w:r w:rsidR="002E6B1F" w:rsidRPr="00554FAF">
              <w:rPr>
                <w:rFonts w:ascii="Times New Roman" w:hAnsi="Times New Roman" w:cs="Times New Roman"/>
                <w:bCs/>
                <w:sz w:val="24"/>
                <w:szCs w:val="24"/>
              </w:rPr>
              <w:t>në krijimin e</w:t>
            </w:r>
            <w:r w:rsidRPr="00554FAF">
              <w:rPr>
                <w:rFonts w:ascii="Times New Roman" w:hAnsi="Times New Roman" w:cs="Times New Roman"/>
                <w:bCs/>
                <w:sz w:val="24"/>
                <w:szCs w:val="24"/>
              </w:rPr>
              <w:t xml:space="preserve"> një politik</w:t>
            </w:r>
            <w:r w:rsidR="008D267F" w:rsidRPr="00554FAF">
              <w:rPr>
                <w:rFonts w:ascii="Times New Roman" w:hAnsi="Times New Roman" w:cs="Times New Roman"/>
                <w:bCs/>
                <w:sz w:val="24"/>
                <w:szCs w:val="24"/>
              </w:rPr>
              <w:t>e</w:t>
            </w:r>
            <w:r w:rsidRPr="00554FAF">
              <w:rPr>
                <w:rFonts w:ascii="Times New Roman" w:hAnsi="Times New Roman" w:cs="Times New Roman"/>
                <w:bCs/>
                <w:sz w:val="24"/>
                <w:szCs w:val="24"/>
              </w:rPr>
              <w:t xml:space="preserve"> më të koordinuar për zhvillimin e industrisë në tërë zingjirin e furnizimit, </w:t>
            </w:r>
            <w:r w:rsidR="008D267F" w:rsidRPr="00554FAF">
              <w:rPr>
                <w:rFonts w:ascii="Times New Roman" w:hAnsi="Times New Roman" w:cs="Times New Roman"/>
                <w:bCs/>
                <w:sz w:val="24"/>
                <w:szCs w:val="24"/>
              </w:rPr>
              <w:t xml:space="preserve">të </w:t>
            </w:r>
            <w:r w:rsidR="002E6B1F" w:rsidRPr="00554FAF">
              <w:rPr>
                <w:rFonts w:ascii="Times New Roman" w:hAnsi="Times New Roman" w:cs="Times New Roman"/>
                <w:bCs/>
                <w:sz w:val="24"/>
                <w:szCs w:val="24"/>
              </w:rPr>
              <w:t>ndihm</w:t>
            </w:r>
            <w:r w:rsidR="008D267F" w:rsidRPr="00554FAF">
              <w:rPr>
                <w:rFonts w:ascii="Times New Roman" w:hAnsi="Times New Roman" w:cs="Times New Roman"/>
                <w:bCs/>
                <w:sz w:val="24"/>
                <w:szCs w:val="24"/>
              </w:rPr>
              <w:t>ojë</w:t>
            </w:r>
            <w:r w:rsidR="002E6B1F" w:rsidRPr="00554FAF">
              <w:rPr>
                <w:rFonts w:ascii="Times New Roman" w:hAnsi="Times New Roman" w:cs="Times New Roman"/>
                <w:bCs/>
                <w:sz w:val="24"/>
                <w:szCs w:val="24"/>
              </w:rPr>
              <w:t xml:space="preserve"> </w:t>
            </w:r>
            <w:r w:rsidRPr="00554FAF">
              <w:rPr>
                <w:rFonts w:ascii="Times New Roman" w:hAnsi="Times New Roman" w:cs="Times New Roman"/>
                <w:bCs/>
                <w:sz w:val="24"/>
                <w:szCs w:val="24"/>
              </w:rPr>
              <w:t>industri</w:t>
            </w:r>
            <w:r w:rsidR="002E6B1F" w:rsidRPr="00554FAF">
              <w:rPr>
                <w:rFonts w:ascii="Times New Roman" w:hAnsi="Times New Roman" w:cs="Times New Roman"/>
                <w:bCs/>
                <w:sz w:val="24"/>
                <w:szCs w:val="24"/>
              </w:rPr>
              <w:t>n</w:t>
            </w:r>
            <w:r w:rsidRPr="00554FAF">
              <w:rPr>
                <w:rFonts w:ascii="Times New Roman" w:hAnsi="Times New Roman" w:cs="Times New Roman"/>
                <w:bCs/>
                <w:sz w:val="24"/>
                <w:szCs w:val="24"/>
              </w:rPr>
              <w:t>ë përpunuese,</w:t>
            </w:r>
            <w:r w:rsidR="008D267F" w:rsidRPr="00554FAF">
              <w:rPr>
                <w:rFonts w:ascii="Times New Roman" w:hAnsi="Times New Roman" w:cs="Times New Roman"/>
                <w:bCs/>
                <w:sz w:val="24"/>
                <w:szCs w:val="24"/>
              </w:rPr>
              <w:t xml:space="preserve"> të</w:t>
            </w:r>
            <w:r w:rsidRPr="00554FAF">
              <w:rPr>
                <w:rFonts w:ascii="Times New Roman" w:hAnsi="Times New Roman" w:cs="Times New Roman"/>
                <w:bCs/>
                <w:sz w:val="24"/>
                <w:szCs w:val="24"/>
              </w:rPr>
              <w:t xml:space="preserve"> rri</w:t>
            </w:r>
            <w:r w:rsidR="008D267F" w:rsidRPr="00554FAF">
              <w:rPr>
                <w:rFonts w:ascii="Times New Roman" w:hAnsi="Times New Roman" w:cs="Times New Roman"/>
                <w:bCs/>
                <w:sz w:val="24"/>
                <w:szCs w:val="24"/>
              </w:rPr>
              <w:t xml:space="preserve">s </w:t>
            </w:r>
            <w:r w:rsidRPr="00554FAF">
              <w:rPr>
                <w:rFonts w:ascii="Times New Roman" w:hAnsi="Times New Roman" w:cs="Times New Roman"/>
                <w:bCs/>
                <w:sz w:val="24"/>
                <w:szCs w:val="24"/>
              </w:rPr>
              <w:t>konkurrueshmëri</w:t>
            </w:r>
            <w:r w:rsidR="008D267F" w:rsidRPr="00554FAF">
              <w:rPr>
                <w:rFonts w:ascii="Times New Roman" w:hAnsi="Times New Roman" w:cs="Times New Roman"/>
                <w:bCs/>
                <w:sz w:val="24"/>
                <w:szCs w:val="24"/>
              </w:rPr>
              <w:t>n</w:t>
            </w:r>
            <w:r w:rsidRPr="00554FAF">
              <w:rPr>
                <w:rFonts w:ascii="Times New Roman" w:hAnsi="Times New Roman" w:cs="Times New Roman"/>
                <w:bCs/>
                <w:sz w:val="24"/>
                <w:szCs w:val="24"/>
              </w:rPr>
              <w:t xml:space="preserve">ë dhe </w:t>
            </w:r>
            <w:r w:rsidR="008D267F" w:rsidRPr="00554FAF">
              <w:rPr>
                <w:rFonts w:ascii="Times New Roman" w:hAnsi="Times New Roman" w:cs="Times New Roman"/>
                <w:bCs/>
                <w:sz w:val="24"/>
                <w:szCs w:val="24"/>
              </w:rPr>
              <w:t xml:space="preserve">të </w:t>
            </w:r>
            <w:r w:rsidRPr="00554FAF">
              <w:rPr>
                <w:rFonts w:ascii="Times New Roman" w:hAnsi="Times New Roman" w:cs="Times New Roman"/>
                <w:bCs/>
                <w:sz w:val="24"/>
                <w:szCs w:val="24"/>
              </w:rPr>
              <w:t>ndërkombëtariz</w:t>
            </w:r>
            <w:r w:rsidR="008D267F" w:rsidRPr="00554FAF">
              <w:rPr>
                <w:rFonts w:ascii="Times New Roman" w:hAnsi="Times New Roman" w:cs="Times New Roman"/>
                <w:bCs/>
                <w:sz w:val="24"/>
                <w:szCs w:val="24"/>
              </w:rPr>
              <w:t>ojë</w:t>
            </w:r>
            <w:r w:rsidRPr="00554FAF">
              <w:rPr>
                <w:rFonts w:ascii="Times New Roman" w:hAnsi="Times New Roman" w:cs="Times New Roman"/>
                <w:bCs/>
                <w:sz w:val="24"/>
                <w:szCs w:val="24"/>
              </w:rPr>
              <w:t xml:space="preserve"> NVM-</w:t>
            </w:r>
            <w:r w:rsidR="008D267F" w:rsidRPr="00554FAF">
              <w:rPr>
                <w:rFonts w:ascii="Times New Roman" w:hAnsi="Times New Roman" w:cs="Times New Roman"/>
                <w:bCs/>
                <w:sz w:val="24"/>
                <w:szCs w:val="24"/>
              </w:rPr>
              <w:t>të</w:t>
            </w:r>
            <w:r w:rsidRPr="00554FAF">
              <w:rPr>
                <w:rFonts w:ascii="Times New Roman" w:hAnsi="Times New Roman" w:cs="Times New Roman"/>
                <w:bCs/>
                <w:sz w:val="24"/>
                <w:szCs w:val="24"/>
              </w:rPr>
              <w:t>.</w:t>
            </w:r>
          </w:p>
          <w:p w14:paraId="5AC6C4DC" w14:textId="7E01B961" w:rsidR="00E63960" w:rsidRPr="00554FAF" w:rsidRDefault="00E63960" w:rsidP="000702CB">
            <w:pPr>
              <w:spacing w:after="60"/>
              <w:jc w:val="both"/>
              <w:rPr>
                <w:rFonts w:ascii="Times New Roman" w:hAnsi="Times New Roman" w:cs="Times New Roman"/>
                <w:sz w:val="24"/>
                <w:szCs w:val="24"/>
              </w:rPr>
            </w:pPr>
            <w:r w:rsidRPr="00554FAF">
              <w:rPr>
                <w:rFonts w:ascii="Times New Roman" w:hAnsi="Times New Roman" w:cs="Times New Roman"/>
                <w:b/>
                <w:bCs/>
                <w:sz w:val="24"/>
                <w:szCs w:val="24"/>
              </w:rPr>
              <w:t xml:space="preserve">Masa #5: Ngritja e </w:t>
            </w:r>
            <w:r w:rsidR="00242A57" w:rsidRPr="00554FAF">
              <w:rPr>
                <w:rFonts w:ascii="Times New Roman" w:hAnsi="Times New Roman" w:cs="Times New Roman"/>
                <w:b/>
                <w:bCs/>
                <w:sz w:val="24"/>
                <w:szCs w:val="24"/>
              </w:rPr>
              <w:t>k</w:t>
            </w:r>
            <w:r w:rsidRPr="00554FAF">
              <w:rPr>
                <w:rFonts w:ascii="Times New Roman" w:hAnsi="Times New Roman" w:cs="Times New Roman"/>
                <w:b/>
                <w:bCs/>
                <w:sz w:val="24"/>
                <w:szCs w:val="24"/>
              </w:rPr>
              <w:t xml:space="preserve">onkurueshmërisë në </w:t>
            </w:r>
            <w:r w:rsidR="00242A57" w:rsidRPr="00554FAF">
              <w:rPr>
                <w:rFonts w:ascii="Times New Roman" w:hAnsi="Times New Roman" w:cs="Times New Roman"/>
                <w:b/>
                <w:bCs/>
                <w:sz w:val="24"/>
                <w:szCs w:val="24"/>
              </w:rPr>
              <w:t>s</w:t>
            </w:r>
            <w:r w:rsidRPr="00554FAF">
              <w:rPr>
                <w:rFonts w:ascii="Times New Roman" w:hAnsi="Times New Roman" w:cs="Times New Roman"/>
                <w:b/>
                <w:bCs/>
                <w:sz w:val="24"/>
                <w:szCs w:val="24"/>
              </w:rPr>
              <w:t xml:space="preserve">ektorin e </w:t>
            </w:r>
            <w:r w:rsidR="00242A57" w:rsidRPr="00554FAF">
              <w:rPr>
                <w:rFonts w:ascii="Times New Roman" w:hAnsi="Times New Roman" w:cs="Times New Roman"/>
                <w:b/>
                <w:bCs/>
                <w:sz w:val="24"/>
                <w:szCs w:val="24"/>
              </w:rPr>
              <w:t>t</w:t>
            </w:r>
            <w:r w:rsidRPr="00554FAF">
              <w:rPr>
                <w:rFonts w:ascii="Times New Roman" w:hAnsi="Times New Roman" w:cs="Times New Roman"/>
                <w:b/>
                <w:bCs/>
                <w:sz w:val="24"/>
                <w:szCs w:val="24"/>
              </w:rPr>
              <w:t xml:space="preserve">urizmit dhe </w:t>
            </w:r>
            <w:r w:rsidR="00242A57" w:rsidRPr="00554FAF">
              <w:rPr>
                <w:rFonts w:ascii="Times New Roman" w:hAnsi="Times New Roman" w:cs="Times New Roman"/>
                <w:b/>
                <w:bCs/>
                <w:sz w:val="24"/>
                <w:szCs w:val="24"/>
              </w:rPr>
              <w:t>h</w:t>
            </w:r>
            <w:r w:rsidRPr="00554FAF">
              <w:rPr>
                <w:rFonts w:ascii="Times New Roman" w:hAnsi="Times New Roman" w:cs="Times New Roman"/>
                <w:b/>
                <w:bCs/>
                <w:sz w:val="24"/>
                <w:szCs w:val="24"/>
              </w:rPr>
              <w:t>otelerisë</w:t>
            </w:r>
            <w:r w:rsidR="002E6B1F" w:rsidRPr="00554FAF">
              <w:rPr>
                <w:rFonts w:ascii="Times New Roman" w:hAnsi="Times New Roman" w:cs="Times New Roman"/>
                <w:b/>
                <w:bCs/>
                <w:sz w:val="24"/>
                <w:szCs w:val="24"/>
              </w:rPr>
              <w:t>:</w:t>
            </w:r>
            <w:r w:rsidRPr="00554FAF">
              <w:rPr>
                <w:rFonts w:ascii="Times New Roman" w:hAnsi="Times New Roman" w:cs="Times New Roman"/>
                <w:b/>
                <w:bCs/>
                <w:sz w:val="24"/>
                <w:szCs w:val="24"/>
              </w:rPr>
              <w:t xml:space="preserve"> </w:t>
            </w:r>
            <w:r w:rsidRPr="00554FAF">
              <w:rPr>
                <w:rFonts w:ascii="Times New Roman" w:hAnsi="Times New Roman" w:cs="Times New Roman"/>
                <w:bCs/>
                <w:sz w:val="24"/>
                <w:szCs w:val="24"/>
              </w:rPr>
              <w:t>qëllimi kryesor i kësaj mase është nxitja e zhvillimit te konkurueshmërisë në sektorin e turizmit e cila do të ndiko</w:t>
            </w:r>
            <w:r w:rsidR="002E6B1F" w:rsidRPr="00554FAF">
              <w:rPr>
                <w:rFonts w:ascii="Times New Roman" w:hAnsi="Times New Roman" w:cs="Times New Roman"/>
                <w:bCs/>
                <w:sz w:val="24"/>
                <w:szCs w:val="24"/>
              </w:rPr>
              <w:t>jë</w:t>
            </w:r>
            <w:r w:rsidRPr="00554FAF">
              <w:rPr>
                <w:rFonts w:ascii="Times New Roman" w:hAnsi="Times New Roman" w:cs="Times New Roman"/>
                <w:bCs/>
                <w:sz w:val="24"/>
                <w:szCs w:val="24"/>
              </w:rPr>
              <w:t xml:space="preserve"> pastaj në rritjen e vlerës ekonomike të turizmit dhe rritjen e punësimit.</w:t>
            </w:r>
          </w:p>
          <w:p w14:paraId="167B20F7" w14:textId="7CA13C5E" w:rsidR="00E63960" w:rsidRPr="00554FAF" w:rsidRDefault="00E63960" w:rsidP="000702CB">
            <w:pPr>
              <w:spacing w:after="60"/>
              <w:jc w:val="both"/>
              <w:rPr>
                <w:rFonts w:ascii="Times New Roman" w:hAnsi="Times New Roman" w:cs="Times New Roman"/>
                <w:b/>
                <w:bCs/>
                <w:sz w:val="24"/>
                <w:szCs w:val="24"/>
              </w:rPr>
            </w:pPr>
            <w:r w:rsidRPr="00554FAF">
              <w:rPr>
                <w:rFonts w:ascii="Times New Roman" w:hAnsi="Times New Roman" w:cs="Times New Roman"/>
                <w:b/>
                <w:bCs/>
                <w:sz w:val="24"/>
                <w:szCs w:val="24"/>
              </w:rPr>
              <w:t>Masa #6: Rritja e konkurrueshmërisë në sektorin e tregtisë në shërbime</w:t>
            </w:r>
            <w:r w:rsidR="002E6B1F" w:rsidRPr="00554FAF">
              <w:rPr>
                <w:rFonts w:ascii="Times New Roman" w:hAnsi="Times New Roman" w:cs="Times New Roman"/>
                <w:bCs/>
                <w:sz w:val="24"/>
                <w:szCs w:val="24"/>
              </w:rPr>
              <w:t xml:space="preserve">: </w:t>
            </w:r>
            <w:r w:rsidR="008D267F" w:rsidRPr="00554FAF">
              <w:rPr>
                <w:rFonts w:ascii="Times New Roman" w:hAnsi="Times New Roman" w:cs="Times New Roman"/>
                <w:bCs/>
                <w:sz w:val="24"/>
                <w:szCs w:val="24"/>
              </w:rPr>
              <w:t>qëllimi kryesor i kësaj mase është</w:t>
            </w:r>
            <w:r w:rsidRPr="00554FAF">
              <w:rPr>
                <w:rFonts w:ascii="Times New Roman" w:hAnsi="Times New Roman" w:cs="Times New Roman"/>
                <w:bCs/>
                <w:sz w:val="24"/>
                <w:szCs w:val="24"/>
              </w:rPr>
              <w:t xml:space="preserve"> të përmirësojë efikasitetin dhe konkurrueshmërinë e veprimtarive të shërbimeve të tregtueshme në Kosovë dhe të nxisë rëndësinë e tyre në nivel me sektorët si bujqësia dhe industria. </w:t>
            </w:r>
          </w:p>
          <w:tbl>
            <w:tblPr>
              <w:tblW w:w="9702" w:type="dxa"/>
              <w:tblLook w:val="04A0" w:firstRow="1" w:lastRow="0" w:firstColumn="1" w:lastColumn="0" w:noHBand="0" w:noVBand="1"/>
            </w:tblPr>
            <w:tblGrid>
              <w:gridCol w:w="9702"/>
            </w:tblGrid>
            <w:tr w:rsidR="00E63960" w:rsidRPr="00554FAF" w14:paraId="4AB9FC81" w14:textId="77777777" w:rsidTr="00E63960">
              <w:tc>
                <w:tcPr>
                  <w:tcW w:w="9702" w:type="dxa"/>
                  <w:shd w:val="clear" w:color="auto" w:fill="5B9BD5" w:themeFill="accent1"/>
                </w:tcPr>
                <w:p w14:paraId="0CAC5809" w14:textId="5095DD2E" w:rsidR="00E63960" w:rsidRPr="00554FAF" w:rsidRDefault="00E63960" w:rsidP="000702CB">
                  <w:pPr>
                    <w:spacing w:after="60" w:line="240" w:lineRule="auto"/>
                    <w:rPr>
                      <w:rFonts w:ascii="Times New Roman" w:hAnsi="Times New Roman" w:cs="Times New Roman"/>
                      <w:b/>
                      <w:sz w:val="24"/>
                      <w:szCs w:val="24"/>
                    </w:rPr>
                  </w:pPr>
                  <w:r w:rsidRPr="00554FAF">
                    <w:rPr>
                      <w:rFonts w:ascii="Times New Roman" w:hAnsi="Times New Roman" w:cs="Times New Roman"/>
                      <w:b/>
                      <w:sz w:val="24"/>
                      <w:szCs w:val="24"/>
                    </w:rPr>
                    <w:t>III.  Mjedisi i të bërit biznes dhe ulja e ekonomisë joformale</w:t>
                  </w:r>
                </w:p>
              </w:tc>
            </w:tr>
          </w:tbl>
          <w:p w14:paraId="5C18B348" w14:textId="74DA7F9B" w:rsidR="00E63960" w:rsidRPr="00554FAF" w:rsidRDefault="00E63960" w:rsidP="000702CB">
            <w:pPr>
              <w:spacing w:after="60"/>
              <w:jc w:val="both"/>
              <w:rPr>
                <w:rFonts w:ascii="Times New Roman" w:hAnsi="Times New Roman" w:cs="Times New Roman"/>
                <w:sz w:val="24"/>
                <w:szCs w:val="24"/>
              </w:rPr>
            </w:pPr>
            <w:r w:rsidRPr="00554FAF">
              <w:rPr>
                <w:rFonts w:ascii="Times New Roman" w:hAnsi="Times New Roman" w:cs="Times New Roman"/>
                <w:b/>
                <w:sz w:val="24"/>
                <w:szCs w:val="24"/>
              </w:rPr>
              <w:t xml:space="preserve">Masa #7: Miratimi i </w:t>
            </w:r>
            <w:r w:rsidR="00242A57" w:rsidRPr="00554FAF">
              <w:rPr>
                <w:rFonts w:ascii="Times New Roman" w:hAnsi="Times New Roman" w:cs="Times New Roman"/>
                <w:b/>
                <w:sz w:val="24"/>
                <w:szCs w:val="24"/>
              </w:rPr>
              <w:t>p</w:t>
            </w:r>
            <w:r w:rsidRPr="00554FAF">
              <w:rPr>
                <w:rFonts w:ascii="Times New Roman" w:hAnsi="Times New Roman" w:cs="Times New Roman"/>
                <w:b/>
                <w:sz w:val="24"/>
                <w:szCs w:val="24"/>
              </w:rPr>
              <w:t xml:space="preserve">olitikave </w:t>
            </w:r>
            <w:r w:rsidR="00242A57" w:rsidRPr="00554FAF">
              <w:rPr>
                <w:rFonts w:ascii="Times New Roman" w:hAnsi="Times New Roman" w:cs="Times New Roman"/>
                <w:b/>
                <w:sz w:val="24"/>
                <w:szCs w:val="24"/>
              </w:rPr>
              <w:t>b</w:t>
            </w:r>
            <w:r w:rsidRPr="00554FAF">
              <w:rPr>
                <w:rFonts w:ascii="Times New Roman" w:hAnsi="Times New Roman" w:cs="Times New Roman"/>
                <w:b/>
                <w:sz w:val="24"/>
                <w:szCs w:val="24"/>
              </w:rPr>
              <w:t xml:space="preserve">azuar në të </w:t>
            </w:r>
            <w:r w:rsidR="00242A57" w:rsidRPr="00554FAF">
              <w:rPr>
                <w:rFonts w:ascii="Times New Roman" w:hAnsi="Times New Roman" w:cs="Times New Roman"/>
                <w:b/>
                <w:sz w:val="24"/>
                <w:szCs w:val="24"/>
              </w:rPr>
              <w:t>d</w:t>
            </w:r>
            <w:r w:rsidRPr="00554FAF">
              <w:rPr>
                <w:rFonts w:ascii="Times New Roman" w:hAnsi="Times New Roman" w:cs="Times New Roman"/>
                <w:b/>
                <w:sz w:val="24"/>
                <w:szCs w:val="24"/>
              </w:rPr>
              <w:t xml:space="preserve">hëna dhe </w:t>
            </w:r>
            <w:r w:rsidR="00242A57" w:rsidRPr="00554FAF">
              <w:rPr>
                <w:rFonts w:ascii="Times New Roman" w:hAnsi="Times New Roman" w:cs="Times New Roman"/>
                <w:b/>
                <w:sz w:val="24"/>
                <w:szCs w:val="24"/>
              </w:rPr>
              <w:t>z</w:t>
            </w:r>
            <w:r w:rsidR="00A356E8" w:rsidRPr="00554FAF">
              <w:rPr>
                <w:rFonts w:ascii="Times New Roman" w:hAnsi="Times New Roman" w:cs="Times New Roman"/>
                <w:b/>
                <w:sz w:val="24"/>
                <w:szCs w:val="24"/>
              </w:rPr>
              <w:t>vogëlimi</w:t>
            </w:r>
            <w:r w:rsidRPr="00554FAF">
              <w:rPr>
                <w:rFonts w:ascii="Times New Roman" w:hAnsi="Times New Roman" w:cs="Times New Roman"/>
                <w:b/>
                <w:sz w:val="24"/>
                <w:szCs w:val="24"/>
              </w:rPr>
              <w:t xml:space="preserve"> i </w:t>
            </w:r>
            <w:r w:rsidR="00242A57" w:rsidRPr="00554FAF">
              <w:rPr>
                <w:rFonts w:ascii="Times New Roman" w:hAnsi="Times New Roman" w:cs="Times New Roman"/>
                <w:b/>
                <w:sz w:val="24"/>
                <w:szCs w:val="24"/>
              </w:rPr>
              <w:t>b</w:t>
            </w:r>
            <w:r w:rsidR="00A356E8" w:rsidRPr="00554FAF">
              <w:rPr>
                <w:rFonts w:ascii="Times New Roman" w:hAnsi="Times New Roman" w:cs="Times New Roman"/>
                <w:b/>
                <w:sz w:val="24"/>
                <w:szCs w:val="24"/>
              </w:rPr>
              <w:t>arrës</w:t>
            </w:r>
            <w:r w:rsidRPr="00554FAF">
              <w:rPr>
                <w:rFonts w:ascii="Times New Roman" w:hAnsi="Times New Roman" w:cs="Times New Roman"/>
                <w:b/>
                <w:sz w:val="24"/>
                <w:szCs w:val="24"/>
              </w:rPr>
              <w:t xml:space="preserve"> </w:t>
            </w:r>
            <w:r w:rsidR="00242A57" w:rsidRPr="00554FAF">
              <w:rPr>
                <w:rFonts w:ascii="Times New Roman" w:hAnsi="Times New Roman" w:cs="Times New Roman"/>
                <w:b/>
                <w:sz w:val="24"/>
                <w:szCs w:val="24"/>
              </w:rPr>
              <w:t>a</w:t>
            </w:r>
            <w:r w:rsidRPr="00554FAF">
              <w:rPr>
                <w:rFonts w:ascii="Times New Roman" w:hAnsi="Times New Roman" w:cs="Times New Roman"/>
                <w:b/>
                <w:sz w:val="24"/>
                <w:szCs w:val="24"/>
              </w:rPr>
              <w:t>dministrative</w:t>
            </w:r>
            <w:r w:rsidR="00E95A0C" w:rsidRPr="00554FAF">
              <w:rPr>
                <w:rFonts w:ascii="Times New Roman" w:hAnsi="Times New Roman" w:cs="Times New Roman"/>
                <w:b/>
                <w:sz w:val="24"/>
                <w:szCs w:val="24"/>
              </w:rPr>
              <w:t>:</w:t>
            </w:r>
            <w:r w:rsidRPr="00554FAF">
              <w:rPr>
                <w:rFonts w:ascii="Times New Roman" w:hAnsi="Times New Roman" w:cs="Times New Roman"/>
                <w:b/>
                <w:sz w:val="24"/>
                <w:szCs w:val="24"/>
              </w:rPr>
              <w:t xml:space="preserve"> </w:t>
            </w:r>
            <w:r w:rsidR="008D267F" w:rsidRPr="00554FAF">
              <w:rPr>
                <w:rFonts w:ascii="Times New Roman" w:hAnsi="Times New Roman" w:cs="Times New Roman"/>
                <w:bCs/>
                <w:sz w:val="24"/>
                <w:szCs w:val="24"/>
              </w:rPr>
              <w:t>qëllimi kryesor i kësaj mase është</w:t>
            </w:r>
            <w:r w:rsidRPr="00554FAF">
              <w:rPr>
                <w:rFonts w:ascii="Times New Roman" w:hAnsi="Times New Roman" w:cs="Times New Roman"/>
                <w:sz w:val="24"/>
                <w:szCs w:val="24"/>
              </w:rPr>
              <w:t xml:space="preserve"> përmirësimi</w:t>
            </w:r>
            <w:r w:rsidR="008D267F" w:rsidRPr="00554FAF">
              <w:rPr>
                <w:rFonts w:ascii="Times New Roman" w:hAnsi="Times New Roman" w:cs="Times New Roman"/>
                <w:sz w:val="24"/>
                <w:szCs w:val="24"/>
              </w:rPr>
              <w:t xml:space="preserve"> i</w:t>
            </w:r>
            <w:r w:rsidRPr="00554FAF">
              <w:rPr>
                <w:rFonts w:ascii="Times New Roman" w:hAnsi="Times New Roman" w:cs="Times New Roman"/>
                <w:sz w:val="24"/>
                <w:szCs w:val="24"/>
              </w:rPr>
              <w:t xml:space="preserve"> zhvillimit të politikave dhe legjislacionit të ri bazuar në të dhëna, si dhe thjeshtimi dhe harmonizimi e legjislacionit lidhur me lejet dhe licencat. </w:t>
            </w:r>
          </w:p>
          <w:p w14:paraId="3AA2C9DE" w14:textId="5B554787" w:rsidR="00E63960" w:rsidRPr="00554FAF" w:rsidRDefault="00E63960" w:rsidP="000702CB">
            <w:pPr>
              <w:spacing w:after="60"/>
              <w:jc w:val="both"/>
              <w:rPr>
                <w:rFonts w:ascii="Times New Roman" w:hAnsi="Times New Roman" w:cs="Times New Roman"/>
                <w:sz w:val="24"/>
                <w:szCs w:val="24"/>
              </w:rPr>
            </w:pPr>
            <w:r w:rsidRPr="00554FAF">
              <w:rPr>
                <w:rFonts w:ascii="Times New Roman" w:hAnsi="Times New Roman" w:cs="Times New Roman"/>
                <w:b/>
                <w:sz w:val="24"/>
                <w:szCs w:val="24"/>
              </w:rPr>
              <w:t xml:space="preserve">Masa #8: Reforma e </w:t>
            </w:r>
            <w:r w:rsidR="00242A57" w:rsidRPr="00554FAF">
              <w:rPr>
                <w:rFonts w:ascii="Times New Roman" w:hAnsi="Times New Roman" w:cs="Times New Roman"/>
                <w:b/>
                <w:sz w:val="24"/>
                <w:szCs w:val="24"/>
              </w:rPr>
              <w:t>p</w:t>
            </w:r>
            <w:r w:rsidRPr="00554FAF">
              <w:rPr>
                <w:rFonts w:ascii="Times New Roman" w:hAnsi="Times New Roman" w:cs="Times New Roman"/>
                <w:b/>
                <w:sz w:val="24"/>
                <w:szCs w:val="24"/>
              </w:rPr>
              <w:t xml:space="preserve">ërgjithshme e </w:t>
            </w:r>
            <w:r w:rsidR="00242A57" w:rsidRPr="00554FAF">
              <w:rPr>
                <w:rFonts w:ascii="Times New Roman" w:hAnsi="Times New Roman" w:cs="Times New Roman"/>
                <w:b/>
                <w:sz w:val="24"/>
                <w:szCs w:val="24"/>
              </w:rPr>
              <w:t>i</w:t>
            </w:r>
            <w:r w:rsidRPr="00554FAF">
              <w:rPr>
                <w:rFonts w:ascii="Times New Roman" w:hAnsi="Times New Roman" w:cs="Times New Roman"/>
                <w:b/>
                <w:sz w:val="24"/>
                <w:szCs w:val="24"/>
              </w:rPr>
              <w:t>nspektimeve</w:t>
            </w:r>
            <w:r w:rsidR="00E95A0C" w:rsidRPr="00554FAF">
              <w:rPr>
                <w:rFonts w:ascii="Times New Roman" w:hAnsi="Times New Roman" w:cs="Times New Roman"/>
                <w:b/>
                <w:sz w:val="24"/>
                <w:szCs w:val="24"/>
              </w:rPr>
              <w:t xml:space="preserve">: </w:t>
            </w:r>
            <w:r w:rsidR="008D267F" w:rsidRPr="00554FAF">
              <w:rPr>
                <w:rFonts w:ascii="Times New Roman" w:hAnsi="Times New Roman" w:cs="Times New Roman"/>
                <w:bCs/>
                <w:sz w:val="24"/>
                <w:szCs w:val="24"/>
              </w:rPr>
              <w:t>qëllimi kryesor i kësaj mase është</w:t>
            </w:r>
            <w:r w:rsidR="008D267F" w:rsidRPr="00554FAF" w:rsidDel="008D267F">
              <w:rPr>
                <w:rFonts w:ascii="Times New Roman" w:hAnsi="Times New Roman" w:cs="Times New Roman"/>
                <w:sz w:val="24"/>
                <w:szCs w:val="24"/>
              </w:rPr>
              <w:t xml:space="preserve"> </w:t>
            </w:r>
            <w:r w:rsidRPr="00554FAF">
              <w:rPr>
                <w:rFonts w:ascii="Times New Roman" w:hAnsi="Times New Roman" w:cs="Times New Roman"/>
                <w:sz w:val="24"/>
                <w:szCs w:val="24"/>
              </w:rPr>
              <w:t>reform</w:t>
            </w:r>
            <w:r w:rsidR="008D267F" w:rsidRPr="00554FAF">
              <w:rPr>
                <w:rFonts w:ascii="Times New Roman" w:hAnsi="Times New Roman" w:cs="Times New Roman"/>
                <w:sz w:val="24"/>
                <w:szCs w:val="24"/>
              </w:rPr>
              <w:t>a</w:t>
            </w:r>
            <w:r w:rsidRPr="00554FAF">
              <w:rPr>
                <w:rFonts w:ascii="Times New Roman" w:hAnsi="Times New Roman" w:cs="Times New Roman"/>
                <w:sz w:val="24"/>
                <w:szCs w:val="24"/>
              </w:rPr>
              <w:t xml:space="preserve"> e inspektimeve me qëllim realizimin e dy objektivave: </w:t>
            </w:r>
            <w:r w:rsidR="008D267F" w:rsidRPr="00554FAF">
              <w:rPr>
                <w:rFonts w:ascii="Times New Roman" w:hAnsi="Times New Roman" w:cs="Times New Roman"/>
                <w:sz w:val="24"/>
                <w:szCs w:val="24"/>
              </w:rPr>
              <w:t>p</w:t>
            </w:r>
            <w:r w:rsidRPr="00554FAF">
              <w:rPr>
                <w:rFonts w:ascii="Times New Roman" w:hAnsi="Times New Roman" w:cs="Times New Roman"/>
                <w:sz w:val="24"/>
                <w:szCs w:val="24"/>
              </w:rPr>
              <w:t>ërmirësimin e koordinimit ndërinstitucional sa i përket inspektimeve të aktiviteteve të bizneseve dhe digjitalizimin e procesit të inspektimeve.</w:t>
            </w:r>
          </w:p>
          <w:p w14:paraId="12271508" w14:textId="00508445" w:rsidR="00E63960" w:rsidRPr="00554FAF" w:rsidRDefault="00E63960" w:rsidP="000702CB">
            <w:pPr>
              <w:spacing w:after="60"/>
              <w:jc w:val="both"/>
              <w:rPr>
                <w:rFonts w:ascii="Times New Roman" w:hAnsi="Times New Roman" w:cs="Times New Roman"/>
                <w:bCs/>
                <w:sz w:val="24"/>
                <w:szCs w:val="24"/>
              </w:rPr>
            </w:pPr>
            <w:r w:rsidRPr="00554FAF">
              <w:rPr>
                <w:rFonts w:ascii="Times New Roman" w:hAnsi="Times New Roman" w:cs="Times New Roman"/>
                <w:b/>
                <w:bCs/>
                <w:sz w:val="24"/>
                <w:szCs w:val="24"/>
              </w:rPr>
              <w:t>Masa #9: Themelimi dhe funksionalizimi i Gjykatës Komerciale</w:t>
            </w:r>
            <w:r w:rsidR="00E95A0C" w:rsidRPr="00554FAF">
              <w:rPr>
                <w:rFonts w:ascii="Times New Roman" w:hAnsi="Times New Roman" w:cs="Times New Roman"/>
                <w:b/>
                <w:bCs/>
                <w:sz w:val="24"/>
                <w:szCs w:val="24"/>
              </w:rPr>
              <w:t>:</w:t>
            </w:r>
            <w:r w:rsidRPr="00554FAF">
              <w:rPr>
                <w:rFonts w:ascii="Times New Roman" w:hAnsi="Times New Roman" w:cs="Times New Roman"/>
                <w:b/>
                <w:bCs/>
                <w:sz w:val="24"/>
                <w:szCs w:val="24"/>
              </w:rPr>
              <w:t xml:space="preserve"> </w:t>
            </w:r>
            <w:r w:rsidR="008D267F" w:rsidRPr="00554FAF">
              <w:rPr>
                <w:rFonts w:ascii="Times New Roman" w:hAnsi="Times New Roman" w:cs="Times New Roman"/>
                <w:bCs/>
                <w:sz w:val="24"/>
                <w:szCs w:val="24"/>
              </w:rPr>
              <w:t>qëllimi kryesor i kësaj mase është</w:t>
            </w:r>
            <w:r w:rsidR="008D267F" w:rsidRPr="00554FAF" w:rsidDel="008D267F">
              <w:rPr>
                <w:rFonts w:ascii="Times New Roman" w:hAnsi="Times New Roman" w:cs="Times New Roman"/>
                <w:bCs/>
                <w:sz w:val="24"/>
                <w:szCs w:val="24"/>
              </w:rPr>
              <w:t xml:space="preserve"> </w:t>
            </w:r>
            <w:r w:rsidRPr="00554FAF">
              <w:rPr>
                <w:rFonts w:ascii="Times New Roman" w:hAnsi="Times New Roman" w:cs="Times New Roman"/>
                <w:bCs/>
                <w:sz w:val="24"/>
                <w:szCs w:val="24"/>
              </w:rPr>
              <w:t>rritja e efikasitetit në zgjedhjen e kontesteve komerciale përmes themelimit të Gjykatës Komerciale, si  adresë e vetme për zgjidhjen e të gjitha kontesteve komerciale të bizneseve dhe investitorëve të huaj.</w:t>
            </w:r>
          </w:p>
          <w:p w14:paraId="005E7D0C" w14:textId="779877F8" w:rsidR="00E63960" w:rsidRPr="00554FAF" w:rsidRDefault="00E63960" w:rsidP="000702CB">
            <w:pPr>
              <w:spacing w:after="60"/>
              <w:jc w:val="both"/>
              <w:rPr>
                <w:rFonts w:ascii="Times New Roman" w:hAnsi="Times New Roman" w:cs="Times New Roman"/>
                <w:bCs/>
                <w:iCs/>
                <w:sz w:val="24"/>
                <w:szCs w:val="24"/>
              </w:rPr>
            </w:pPr>
            <w:r w:rsidRPr="00554FAF">
              <w:rPr>
                <w:rFonts w:ascii="Times New Roman" w:hAnsi="Times New Roman" w:cs="Times New Roman"/>
                <w:b/>
                <w:bCs/>
                <w:sz w:val="24"/>
                <w:szCs w:val="24"/>
              </w:rPr>
              <w:t xml:space="preserve">Masa #10: </w:t>
            </w:r>
            <w:r w:rsidRPr="00554FAF">
              <w:rPr>
                <w:rFonts w:ascii="Times New Roman" w:hAnsi="Times New Roman" w:cs="Times New Roman"/>
                <w:b/>
                <w:bCs/>
                <w:iCs/>
                <w:sz w:val="24"/>
                <w:szCs w:val="24"/>
              </w:rPr>
              <w:t xml:space="preserve">Ulja e </w:t>
            </w:r>
            <w:r w:rsidR="0084160C" w:rsidRPr="00554FAF">
              <w:rPr>
                <w:rFonts w:ascii="Times New Roman" w:hAnsi="Times New Roman" w:cs="Times New Roman"/>
                <w:b/>
                <w:bCs/>
                <w:iCs/>
                <w:sz w:val="24"/>
                <w:szCs w:val="24"/>
              </w:rPr>
              <w:t xml:space="preserve">informalitetit </w:t>
            </w:r>
            <w:r w:rsidRPr="00554FAF">
              <w:rPr>
                <w:rFonts w:ascii="Times New Roman" w:hAnsi="Times New Roman" w:cs="Times New Roman"/>
                <w:b/>
                <w:bCs/>
                <w:iCs/>
                <w:sz w:val="24"/>
                <w:szCs w:val="24"/>
              </w:rPr>
              <w:t>në sektorin e pronave të paluajtshme</w:t>
            </w:r>
            <w:r w:rsidR="00E95A0C" w:rsidRPr="00554FAF">
              <w:rPr>
                <w:rFonts w:ascii="Times New Roman" w:hAnsi="Times New Roman" w:cs="Times New Roman"/>
                <w:b/>
                <w:bCs/>
                <w:iCs/>
                <w:sz w:val="24"/>
                <w:szCs w:val="24"/>
              </w:rPr>
              <w:t>:</w:t>
            </w:r>
            <w:r w:rsidRPr="00554FAF">
              <w:rPr>
                <w:rFonts w:ascii="Times New Roman" w:hAnsi="Times New Roman" w:cs="Times New Roman"/>
                <w:b/>
                <w:bCs/>
                <w:iCs/>
                <w:sz w:val="24"/>
                <w:szCs w:val="24"/>
              </w:rPr>
              <w:t xml:space="preserve"> </w:t>
            </w:r>
            <w:r w:rsidR="008D267F" w:rsidRPr="00554FAF">
              <w:rPr>
                <w:rFonts w:ascii="Times New Roman" w:hAnsi="Times New Roman" w:cs="Times New Roman"/>
                <w:bCs/>
                <w:sz w:val="24"/>
                <w:szCs w:val="24"/>
              </w:rPr>
              <w:t>qëllimi kryesor i kësaj mase është</w:t>
            </w:r>
            <w:r w:rsidRPr="00554FAF">
              <w:rPr>
                <w:rFonts w:ascii="Times New Roman" w:hAnsi="Times New Roman" w:cs="Times New Roman"/>
                <w:bCs/>
                <w:iCs/>
                <w:sz w:val="24"/>
                <w:szCs w:val="24"/>
              </w:rPr>
              <w:t xml:space="preserve"> shkarkimi </w:t>
            </w:r>
            <w:r w:rsidR="008D267F" w:rsidRPr="00554FAF">
              <w:rPr>
                <w:rFonts w:ascii="Times New Roman" w:hAnsi="Times New Roman" w:cs="Times New Roman"/>
                <w:bCs/>
                <w:iCs/>
                <w:sz w:val="24"/>
                <w:szCs w:val="24"/>
              </w:rPr>
              <w:t>i</w:t>
            </w:r>
            <w:r w:rsidRPr="00554FAF">
              <w:rPr>
                <w:rFonts w:ascii="Times New Roman" w:hAnsi="Times New Roman" w:cs="Times New Roman"/>
                <w:bCs/>
                <w:iCs/>
                <w:sz w:val="24"/>
                <w:szCs w:val="24"/>
              </w:rPr>
              <w:t xml:space="preserve"> gjykatave nga kërkesat për formalizim, si dhe i ofron qytetarëve një zgjidhje të shpejtë të kërkesave të tyre për formalizmin e të drejtave pronësore.</w:t>
            </w:r>
          </w:p>
          <w:p w14:paraId="43EFDE1F" w14:textId="4194C518" w:rsidR="00E63960" w:rsidRPr="00554FAF" w:rsidRDefault="00E63960" w:rsidP="000702CB">
            <w:pPr>
              <w:spacing w:after="60"/>
              <w:jc w:val="both"/>
              <w:rPr>
                <w:rFonts w:ascii="Times New Roman" w:hAnsi="Times New Roman" w:cs="Times New Roman"/>
                <w:bCs/>
                <w:sz w:val="24"/>
                <w:szCs w:val="24"/>
              </w:rPr>
            </w:pPr>
            <w:r w:rsidRPr="00554FAF">
              <w:rPr>
                <w:rFonts w:ascii="Times New Roman" w:hAnsi="Times New Roman" w:cs="Times New Roman"/>
                <w:b/>
                <w:bCs/>
                <w:sz w:val="24"/>
                <w:szCs w:val="24"/>
              </w:rPr>
              <w:t xml:space="preserve">Masa #11: Zvogëlimi i </w:t>
            </w:r>
            <w:r w:rsidR="00242A57" w:rsidRPr="00554FAF">
              <w:rPr>
                <w:rFonts w:ascii="Times New Roman" w:hAnsi="Times New Roman" w:cs="Times New Roman"/>
                <w:b/>
                <w:bCs/>
                <w:sz w:val="24"/>
                <w:szCs w:val="24"/>
              </w:rPr>
              <w:t>ekonomisë jo</w:t>
            </w:r>
            <w:r w:rsidR="00E95A0C" w:rsidRPr="00554FAF">
              <w:rPr>
                <w:rFonts w:ascii="Times New Roman" w:hAnsi="Times New Roman" w:cs="Times New Roman"/>
                <w:b/>
                <w:bCs/>
                <w:sz w:val="24"/>
                <w:szCs w:val="24"/>
              </w:rPr>
              <w:t>formale:</w:t>
            </w:r>
            <w:r w:rsidRPr="00554FAF">
              <w:rPr>
                <w:rFonts w:ascii="Times New Roman" w:hAnsi="Times New Roman" w:cs="Times New Roman"/>
                <w:b/>
                <w:bCs/>
                <w:sz w:val="24"/>
                <w:szCs w:val="24"/>
              </w:rPr>
              <w:t xml:space="preserve"> </w:t>
            </w:r>
            <w:r w:rsidR="008D267F" w:rsidRPr="00554FAF">
              <w:rPr>
                <w:rFonts w:ascii="Times New Roman" w:hAnsi="Times New Roman" w:cs="Times New Roman"/>
                <w:bCs/>
                <w:sz w:val="24"/>
                <w:szCs w:val="24"/>
              </w:rPr>
              <w:t>qëllimi kryesor i kësaj mase është</w:t>
            </w:r>
            <w:r w:rsidR="008D267F" w:rsidRPr="00554FAF" w:rsidDel="008D267F">
              <w:rPr>
                <w:rFonts w:ascii="Times New Roman" w:hAnsi="Times New Roman" w:cs="Times New Roman"/>
                <w:bCs/>
                <w:sz w:val="24"/>
                <w:szCs w:val="24"/>
              </w:rPr>
              <w:t xml:space="preserve"> </w:t>
            </w:r>
            <w:r w:rsidRPr="00554FAF">
              <w:rPr>
                <w:rFonts w:ascii="Times New Roman" w:hAnsi="Times New Roman" w:cs="Times New Roman"/>
                <w:bCs/>
                <w:sz w:val="24"/>
                <w:szCs w:val="24"/>
              </w:rPr>
              <w:t>luftimi i ekonomisë joformale, përmes përmirësimi</w:t>
            </w:r>
            <w:r w:rsidR="008D267F" w:rsidRPr="00554FAF">
              <w:rPr>
                <w:rFonts w:ascii="Times New Roman" w:hAnsi="Times New Roman" w:cs="Times New Roman"/>
                <w:bCs/>
                <w:sz w:val="24"/>
                <w:szCs w:val="24"/>
              </w:rPr>
              <w:t>t</w:t>
            </w:r>
            <w:r w:rsidRPr="00554FAF">
              <w:rPr>
                <w:rFonts w:ascii="Times New Roman" w:hAnsi="Times New Roman" w:cs="Times New Roman"/>
                <w:bCs/>
                <w:sz w:val="24"/>
                <w:szCs w:val="24"/>
              </w:rPr>
              <w:t xml:space="preserve"> </w:t>
            </w:r>
            <w:r w:rsidR="008D267F" w:rsidRPr="00554FAF">
              <w:rPr>
                <w:rFonts w:ascii="Times New Roman" w:hAnsi="Times New Roman" w:cs="Times New Roman"/>
                <w:bCs/>
                <w:sz w:val="24"/>
                <w:szCs w:val="24"/>
              </w:rPr>
              <w:t>të</w:t>
            </w:r>
            <w:r w:rsidRPr="00554FAF">
              <w:rPr>
                <w:rFonts w:ascii="Times New Roman" w:hAnsi="Times New Roman" w:cs="Times New Roman"/>
                <w:bCs/>
                <w:sz w:val="24"/>
                <w:szCs w:val="24"/>
              </w:rPr>
              <w:t xml:space="preserve"> sundimit të ligjit dhe qeverisjes ekonomike në Kosovë, me qëllim të rritjes </w:t>
            </w:r>
            <w:r w:rsidR="008D267F" w:rsidRPr="00554FAF">
              <w:rPr>
                <w:rFonts w:ascii="Times New Roman" w:hAnsi="Times New Roman" w:cs="Times New Roman"/>
                <w:bCs/>
                <w:sz w:val="24"/>
                <w:szCs w:val="24"/>
              </w:rPr>
              <w:t>t</w:t>
            </w:r>
            <w:r w:rsidRPr="00554FAF">
              <w:rPr>
                <w:rFonts w:ascii="Times New Roman" w:hAnsi="Times New Roman" w:cs="Times New Roman"/>
                <w:bCs/>
                <w:sz w:val="24"/>
                <w:szCs w:val="24"/>
              </w:rPr>
              <w:t>ë të ardhurave tatimore si dhe formalizmit të punësimit.</w:t>
            </w:r>
          </w:p>
          <w:tbl>
            <w:tblPr>
              <w:tblW w:w="9702" w:type="dxa"/>
              <w:tblLook w:val="04A0" w:firstRow="1" w:lastRow="0" w:firstColumn="1" w:lastColumn="0" w:noHBand="0" w:noVBand="1"/>
            </w:tblPr>
            <w:tblGrid>
              <w:gridCol w:w="9702"/>
            </w:tblGrid>
            <w:tr w:rsidR="00E63960" w:rsidRPr="00554FAF" w14:paraId="186D42EC" w14:textId="77777777" w:rsidTr="00E63960">
              <w:tc>
                <w:tcPr>
                  <w:tcW w:w="9702" w:type="dxa"/>
                  <w:shd w:val="clear" w:color="auto" w:fill="5B9BD5" w:themeFill="accent1"/>
                </w:tcPr>
                <w:p w14:paraId="64291DE8" w14:textId="77777777" w:rsidR="00E63960" w:rsidRPr="00554FAF" w:rsidRDefault="00E63960" w:rsidP="000702CB">
                  <w:pPr>
                    <w:spacing w:after="60" w:line="240" w:lineRule="auto"/>
                    <w:rPr>
                      <w:rFonts w:ascii="Times New Roman" w:hAnsi="Times New Roman" w:cs="Times New Roman"/>
                      <w:b/>
                      <w:sz w:val="24"/>
                      <w:szCs w:val="24"/>
                    </w:rPr>
                  </w:pPr>
                  <w:r w:rsidRPr="00554FAF">
                    <w:rPr>
                      <w:rFonts w:ascii="Times New Roman" w:hAnsi="Times New Roman" w:cs="Times New Roman"/>
                      <w:b/>
                      <w:sz w:val="24"/>
                      <w:szCs w:val="24"/>
                    </w:rPr>
                    <w:t>IV. Inovacioni, zhvillimi dhe hulumtimet dhe ekonomi digjitale</w:t>
                  </w:r>
                </w:p>
              </w:tc>
            </w:tr>
          </w:tbl>
          <w:p w14:paraId="32AD11F4" w14:textId="6D777A93" w:rsidR="00E63960" w:rsidRPr="00554FAF" w:rsidRDefault="00E63960" w:rsidP="000702CB">
            <w:pPr>
              <w:spacing w:after="60"/>
              <w:jc w:val="both"/>
              <w:rPr>
                <w:rFonts w:ascii="Times New Roman" w:hAnsi="Times New Roman" w:cs="Times New Roman"/>
                <w:bCs/>
                <w:sz w:val="24"/>
                <w:szCs w:val="24"/>
              </w:rPr>
            </w:pPr>
            <w:r w:rsidRPr="00554FAF">
              <w:rPr>
                <w:rFonts w:ascii="Times New Roman" w:hAnsi="Times New Roman" w:cs="Times New Roman"/>
                <w:b/>
                <w:bCs/>
                <w:sz w:val="24"/>
                <w:szCs w:val="24"/>
              </w:rPr>
              <w:t xml:space="preserve">Masa #12: Përmirësimi i mjedisit për </w:t>
            </w:r>
            <w:r w:rsidR="00242A57" w:rsidRPr="00554FAF">
              <w:rPr>
                <w:rFonts w:ascii="Times New Roman" w:hAnsi="Times New Roman" w:cs="Times New Roman"/>
                <w:b/>
                <w:bCs/>
                <w:sz w:val="24"/>
                <w:szCs w:val="24"/>
              </w:rPr>
              <w:t>i</w:t>
            </w:r>
            <w:r w:rsidRPr="00554FAF">
              <w:rPr>
                <w:rFonts w:ascii="Times New Roman" w:hAnsi="Times New Roman" w:cs="Times New Roman"/>
                <w:b/>
                <w:bCs/>
                <w:sz w:val="24"/>
                <w:szCs w:val="24"/>
              </w:rPr>
              <w:t xml:space="preserve">novacion dhe </w:t>
            </w:r>
            <w:r w:rsidR="00242A57" w:rsidRPr="00554FAF">
              <w:rPr>
                <w:rFonts w:ascii="Times New Roman" w:hAnsi="Times New Roman" w:cs="Times New Roman"/>
                <w:b/>
                <w:bCs/>
                <w:sz w:val="24"/>
                <w:szCs w:val="24"/>
              </w:rPr>
              <w:t>n</w:t>
            </w:r>
            <w:r w:rsidRPr="00554FAF">
              <w:rPr>
                <w:rFonts w:ascii="Times New Roman" w:hAnsi="Times New Roman" w:cs="Times New Roman"/>
                <w:b/>
                <w:bCs/>
                <w:sz w:val="24"/>
                <w:szCs w:val="24"/>
              </w:rPr>
              <w:t>dërmarrësi</w:t>
            </w:r>
            <w:r w:rsidR="00E95A0C" w:rsidRPr="00554FAF">
              <w:rPr>
                <w:rFonts w:ascii="Times New Roman" w:hAnsi="Times New Roman" w:cs="Times New Roman"/>
                <w:b/>
                <w:bCs/>
                <w:sz w:val="24"/>
                <w:szCs w:val="24"/>
              </w:rPr>
              <w:t>:</w:t>
            </w:r>
            <w:r w:rsidRPr="00554FAF">
              <w:rPr>
                <w:rFonts w:ascii="Times New Roman" w:hAnsi="Times New Roman" w:cs="Times New Roman"/>
                <w:b/>
                <w:bCs/>
                <w:sz w:val="24"/>
                <w:szCs w:val="24"/>
              </w:rPr>
              <w:t xml:space="preserve"> </w:t>
            </w:r>
            <w:r w:rsidR="008D267F" w:rsidRPr="00554FAF">
              <w:rPr>
                <w:rFonts w:ascii="Times New Roman" w:hAnsi="Times New Roman" w:cs="Times New Roman"/>
                <w:bCs/>
                <w:sz w:val="24"/>
                <w:szCs w:val="24"/>
              </w:rPr>
              <w:t>qëllimi kryesor i kësaj mase është</w:t>
            </w:r>
            <w:r w:rsidR="008D267F" w:rsidRPr="00554FAF" w:rsidDel="008D267F">
              <w:rPr>
                <w:rFonts w:ascii="Times New Roman" w:hAnsi="Times New Roman" w:cs="Times New Roman"/>
                <w:bCs/>
                <w:sz w:val="24"/>
                <w:szCs w:val="24"/>
              </w:rPr>
              <w:t xml:space="preserve"> </w:t>
            </w:r>
            <w:r w:rsidRPr="00554FAF">
              <w:rPr>
                <w:rFonts w:ascii="Times New Roman" w:hAnsi="Times New Roman" w:cs="Times New Roman"/>
                <w:bCs/>
                <w:sz w:val="24"/>
                <w:szCs w:val="24"/>
              </w:rPr>
              <w:t xml:space="preserve">stimulimi dhe zbatimi </w:t>
            </w:r>
            <w:r w:rsidR="008D267F" w:rsidRPr="00554FAF">
              <w:rPr>
                <w:rFonts w:ascii="Times New Roman" w:hAnsi="Times New Roman" w:cs="Times New Roman"/>
                <w:bCs/>
                <w:sz w:val="24"/>
                <w:szCs w:val="24"/>
              </w:rPr>
              <w:t>i</w:t>
            </w:r>
            <w:r w:rsidRPr="00554FAF">
              <w:rPr>
                <w:rFonts w:ascii="Times New Roman" w:hAnsi="Times New Roman" w:cs="Times New Roman"/>
                <w:bCs/>
                <w:sz w:val="24"/>
                <w:szCs w:val="24"/>
              </w:rPr>
              <w:t xml:space="preserve"> ideve dhe projekteve inovative të ekosistemit dhe ekselencës n</w:t>
            </w:r>
            <w:r w:rsidR="0084160C" w:rsidRPr="00554FAF">
              <w:rPr>
                <w:rFonts w:ascii="Times New Roman" w:hAnsi="Times New Roman" w:cs="Times New Roman"/>
                <w:bCs/>
                <w:sz w:val="24"/>
                <w:szCs w:val="24"/>
              </w:rPr>
              <w:t>ë</w:t>
            </w:r>
            <w:r w:rsidRPr="00554FAF">
              <w:rPr>
                <w:rFonts w:ascii="Times New Roman" w:hAnsi="Times New Roman" w:cs="Times New Roman"/>
                <w:bCs/>
                <w:sz w:val="24"/>
                <w:szCs w:val="24"/>
              </w:rPr>
              <w:t xml:space="preserve"> hulumtim, </w:t>
            </w:r>
            <w:r w:rsidR="008D267F" w:rsidRPr="00554FAF">
              <w:rPr>
                <w:rFonts w:ascii="Times New Roman" w:hAnsi="Times New Roman" w:cs="Times New Roman"/>
                <w:bCs/>
                <w:sz w:val="24"/>
                <w:szCs w:val="24"/>
              </w:rPr>
              <w:t>fuqizimi i</w:t>
            </w:r>
            <w:r w:rsidRPr="00554FAF">
              <w:rPr>
                <w:rFonts w:ascii="Times New Roman" w:hAnsi="Times New Roman" w:cs="Times New Roman"/>
                <w:bCs/>
                <w:sz w:val="24"/>
                <w:szCs w:val="24"/>
              </w:rPr>
              <w:t xml:space="preserve"> shkathtësi</w:t>
            </w:r>
            <w:r w:rsidR="008D267F" w:rsidRPr="00554FAF">
              <w:rPr>
                <w:rFonts w:ascii="Times New Roman" w:hAnsi="Times New Roman" w:cs="Times New Roman"/>
                <w:bCs/>
                <w:sz w:val="24"/>
                <w:szCs w:val="24"/>
              </w:rPr>
              <w:t>ve</w:t>
            </w:r>
            <w:r w:rsidRPr="00554FAF">
              <w:rPr>
                <w:rFonts w:ascii="Times New Roman" w:hAnsi="Times New Roman" w:cs="Times New Roman"/>
                <w:bCs/>
                <w:sz w:val="24"/>
                <w:szCs w:val="24"/>
              </w:rPr>
              <w:t xml:space="preserve"> </w:t>
            </w:r>
            <w:r w:rsidR="008D267F" w:rsidRPr="00554FAF">
              <w:rPr>
                <w:rFonts w:ascii="Times New Roman" w:hAnsi="Times New Roman" w:cs="Times New Roman"/>
                <w:bCs/>
                <w:sz w:val="24"/>
                <w:szCs w:val="24"/>
              </w:rPr>
              <w:t>të</w:t>
            </w:r>
            <w:r w:rsidRPr="00554FAF">
              <w:rPr>
                <w:rFonts w:ascii="Times New Roman" w:hAnsi="Times New Roman" w:cs="Times New Roman"/>
                <w:bCs/>
                <w:sz w:val="24"/>
                <w:szCs w:val="24"/>
              </w:rPr>
              <w:t xml:space="preserve"> ndërmarrësisë, n</w:t>
            </w:r>
            <w:r w:rsidR="008D267F" w:rsidRPr="00554FAF">
              <w:rPr>
                <w:rFonts w:ascii="Times New Roman" w:hAnsi="Times New Roman" w:cs="Times New Roman"/>
                <w:bCs/>
                <w:sz w:val="24"/>
                <w:szCs w:val="24"/>
              </w:rPr>
              <w:t>ë</w:t>
            </w:r>
            <w:r w:rsidRPr="00554FAF">
              <w:rPr>
                <w:rFonts w:ascii="Times New Roman" w:hAnsi="Times New Roman" w:cs="Times New Roman"/>
                <w:bCs/>
                <w:sz w:val="24"/>
                <w:szCs w:val="24"/>
              </w:rPr>
              <w:t xml:space="preserve"> veçanti për NMVM-të dhe t</w:t>
            </w:r>
            <w:r w:rsidR="008D267F" w:rsidRPr="00554FAF">
              <w:rPr>
                <w:rFonts w:ascii="Times New Roman" w:hAnsi="Times New Roman" w:cs="Times New Roman"/>
                <w:bCs/>
                <w:sz w:val="24"/>
                <w:szCs w:val="24"/>
              </w:rPr>
              <w:t>ë</w:t>
            </w:r>
            <w:r w:rsidRPr="00554FAF">
              <w:rPr>
                <w:rFonts w:ascii="Times New Roman" w:hAnsi="Times New Roman" w:cs="Times New Roman"/>
                <w:bCs/>
                <w:sz w:val="24"/>
                <w:szCs w:val="24"/>
              </w:rPr>
              <w:t xml:space="preserve"> bizneseve fillestare </w:t>
            </w:r>
            <w:r w:rsidR="0084160C" w:rsidRPr="00554FAF">
              <w:rPr>
                <w:rFonts w:ascii="Times New Roman" w:hAnsi="Times New Roman" w:cs="Times New Roman"/>
                <w:bCs/>
                <w:sz w:val="24"/>
                <w:szCs w:val="24"/>
              </w:rPr>
              <w:t>(</w:t>
            </w:r>
            <w:r w:rsidRPr="00554FAF">
              <w:rPr>
                <w:rFonts w:ascii="Times New Roman" w:hAnsi="Times New Roman" w:cs="Times New Roman"/>
                <w:bCs/>
                <w:sz w:val="24"/>
                <w:szCs w:val="24"/>
              </w:rPr>
              <w:t>Start-Up</w:t>
            </w:r>
            <w:r w:rsidR="0084160C" w:rsidRPr="00554FAF">
              <w:rPr>
                <w:rFonts w:ascii="Times New Roman" w:hAnsi="Times New Roman" w:cs="Times New Roman"/>
                <w:bCs/>
                <w:sz w:val="24"/>
                <w:szCs w:val="24"/>
              </w:rPr>
              <w:t>)</w:t>
            </w:r>
            <w:r w:rsidR="008D267F" w:rsidRPr="00554FAF">
              <w:rPr>
                <w:rFonts w:ascii="Times New Roman" w:hAnsi="Times New Roman" w:cs="Times New Roman"/>
                <w:bCs/>
                <w:sz w:val="24"/>
                <w:szCs w:val="24"/>
              </w:rPr>
              <w:t>,</w:t>
            </w:r>
            <w:r w:rsidRPr="00554FAF">
              <w:rPr>
                <w:rFonts w:ascii="Times New Roman" w:hAnsi="Times New Roman" w:cs="Times New Roman"/>
                <w:bCs/>
                <w:sz w:val="24"/>
                <w:szCs w:val="24"/>
              </w:rPr>
              <w:t xml:space="preserve"> si dhe të rris mobilitetin e studentëve.</w:t>
            </w:r>
          </w:p>
          <w:p w14:paraId="34969CA7" w14:textId="21501D0E" w:rsidR="00E63960" w:rsidRPr="00554FAF" w:rsidRDefault="00E63960" w:rsidP="000702CB">
            <w:pPr>
              <w:spacing w:after="60"/>
              <w:jc w:val="both"/>
              <w:rPr>
                <w:rFonts w:ascii="Times New Roman" w:hAnsi="Times New Roman" w:cs="Times New Roman"/>
                <w:bCs/>
                <w:sz w:val="24"/>
                <w:szCs w:val="24"/>
              </w:rPr>
            </w:pPr>
            <w:r w:rsidRPr="00554FAF">
              <w:rPr>
                <w:rFonts w:ascii="Times New Roman" w:hAnsi="Times New Roman" w:cs="Times New Roman"/>
                <w:b/>
                <w:bCs/>
                <w:sz w:val="24"/>
                <w:szCs w:val="24"/>
              </w:rPr>
              <w:t>Masa #13: Shtrirja e infrastrukturës përkatëse të rrjet</w:t>
            </w:r>
            <w:r w:rsidR="00242A57" w:rsidRPr="00554FAF">
              <w:rPr>
                <w:rFonts w:ascii="Times New Roman" w:hAnsi="Times New Roman" w:cs="Times New Roman"/>
                <w:b/>
                <w:bCs/>
                <w:sz w:val="24"/>
                <w:szCs w:val="24"/>
              </w:rPr>
              <w:t>e</w:t>
            </w:r>
            <w:r w:rsidRPr="00554FAF">
              <w:rPr>
                <w:rFonts w:ascii="Times New Roman" w:hAnsi="Times New Roman" w:cs="Times New Roman"/>
                <w:b/>
                <w:bCs/>
                <w:sz w:val="24"/>
                <w:szCs w:val="24"/>
              </w:rPr>
              <w:t>ve dhe shërbimeve të TIK-ut për zhvillim socio-ekonomik</w:t>
            </w:r>
            <w:r w:rsidR="00E95A0C" w:rsidRPr="00554FAF">
              <w:rPr>
                <w:rFonts w:ascii="Times New Roman" w:hAnsi="Times New Roman" w:cs="Times New Roman"/>
                <w:b/>
                <w:bCs/>
                <w:sz w:val="24"/>
                <w:szCs w:val="24"/>
              </w:rPr>
              <w:t>:</w:t>
            </w:r>
            <w:r w:rsidRPr="00554FAF">
              <w:rPr>
                <w:rFonts w:ascii="Times New Roman" w:hAnsi="Times New Roman" w:cs="Times New Roman"/>
                <w:b/>
                <w:bCs/>
                <w:sz w:val="24"/>
                <w:szCs w:val="24"/>
              </w:rPr>
              <w:t xml:space="preserve"> </w:t>
            </w:r>
            <w:r w:rsidR="008D267F" w:rsidRPr="00554FAF">
              <w:rPr>
                <w:rFonts w:ascii="Times New Roman" w:hAnsi="Times New Roman" w:cs="Times New Roman"/>
                <w:bCs/>
                <w:sz w:val="24"/>
                <w:szCs w:val="24"/>
              </w:rPr>
              <w:t>qëllimi kryesor i kësaj mase është</w:t>
            </w:r>
            <w:r w:rsidR="008D267F" w:rsidRPr="00554FAF" w:rsidDel="008D267F">
              <w:rPr>
                <w:rFonts w:ascii="Times New Roman" w:hAnsi="Times New Roman" w:cs="Times New Roman"/>
                <w:bCs/>
                <w:sz w:val="24"/>
                <w:szCs w:val="24"/>
              </w:rPr>
              <w:t xml:space="preserve"> </w:t>
            </w:r>
            <w:r w:rsidRPr="00554FAF">
              <w:rPr>
                <w:rFonts w:ascii="Times New Roman" w:hAnsi="Times New Roman" w:cs="Times New Roman"/>
                <w:bCs/>
                <w:sz w:val="24"/>
                <w:szCs w:val="24"/>
              </w:rPr>
              <w:t xml:space="preserve">zgjerimi </w:t>
            </w:r>
            <w:r w:rsidR="008D267F" w:rsidRPr="00554FAF">
              <w:rPr>
                <w:rFonts w:ascii="Times New Roman" w:hAnsi="Times New Roman" w:cs="Times New Roman"/>
                <w:bCs/>
                <w:sz w:val="24"/>
                <w:szCs w:val="24"/>
              </w:rPr>
              <w:t>i</w:t>
            </w:r>
            <w:r w:rsidRPr="00554FAF">
              <w:rPr>
                <w:rFonts w:ascii="Times New Roman" w:hAnsi="Times New Roman" w:cs="Times New Roman"/>
                <w:bCs/>
                <w:sz w:val="24"/>
                <w:szCs w:val="24"/>
              </w:rPr>
              <w:t xml:space="preserve"> qasjes dhe përdorimi </w:t>
            </w:r>
            <w:r w:rsidR="008D267F" w:rsidRPr="00554FAF">
              <w:rPr>
                <w:rFonts w:ascii="Times New Roman" w:hAnsi="Times New Roman" w:cs="Times New Roman"/>
                <w:bCs/>
                <w:sz w:val="24"/>
                <w:szCs w:val="24"/>
              </w:rPr>
              <w:t>i</w:t>
            </w:r>
            <w:r w:rsidRPr="00554FAF">
              <w:rPr>
                <w:rFonts w:ascii="Times New Roman" w:hAnsi="Times New Roman" w:cs="Times New Roman"/>
                <w:bCs/>
                <w:sz w:val="24"/>
                <w:szCs w:val="24"/>
              </w:rPr>
              <w:t xml:space="preserve"> TIK-ut përmes shtrirjes së infrastrukturës brezgjerë në viset e pambuluara, përkrahj</w:t>
            </w:r>
            <w:r w:rsidR="008D267F" w:rsidRPr="00554FAF">
              <w:rPr>
                <w:rFonts w:ascii="Times New Roman" w:hAnsi="Times New Roman" w:cs="Times New Roman"/>
                <w:bCs/>
                <w:sz w:val="24"/>
                <w:szCs w:val="24"/>
              </w:rPr>
              <w:t>a</w:t>
            </w:r>
            <w:r w:rsidRPr="00554FAF">
              <w:rPr>
                <w:rFonts w:ascii="Times New Roman" w:hAnsi="Times New Roman" w:cs="Times New Roman"/>
                <w:bCs/>
                <w:sz w:val="24"/>
                <w:szCs w:val="24"/>
              </w:rPr>
              <w:t xml:space="preserve"> për shtrirjen e infrastrukturës mobile 5G, krijimi </w:t>
            </w:r>
            <w:r w:rsidR="008D267F" w:rsidRPr="00554FAF">
              <w:rPr>
                <w:rFonts w:ascii="Times New Roman" w:hAnsi="Times New Roman" w:cs="Times New Roman"/>
                <w:bCs/>
                <w:sz w:val="24"/>
                <w:szCs w:val="24"/>
              </w:rPr>
              <w:t>i</w:t>
            </w:r>
            <w:r w:rsidRPr="00554FAF">
              <w:rPr>
                <w:rFonts w:ascii="Times New Roman" w:hAnsi="Times New Roman" w:cs="Times New Roman"/>
                <w:bCs/>
                <w:sz w:val="24"/>
                <w:szCs w:val="24"/>
              </w:rPr>
              <w:t xml:space="preserve"> kushteve për hulumtim dhe zhvillim në TIK, forcimi</w:t>
            </w:r>
            <w:r w:rsidR="008D267F" w:rsidRPr="00554FAF">
              <w:rPr>
                <w:rFonts w:ascii="Times New Roman" w:hAnsi="Times New Roman" w:cs="Times New Roman"/>
                <w:bCs/>
                <w:sz w:val="24"/>
                <w:szCs w:val="24"/>
              </w:rPr>
              <w:t xml:space="preserve"> i</w:t>
            </w:r>
            <w:r w:rsidRPr="00554FAF">
              <w:rPr>
                <w:rFonts w:ascii="Times New Roman" w:hAnsi="Times New Roman" w:cs="Times New Roman"/>
                <w:bCs/>
                <w:sz w:val="24"/>
                <w:szCs w:val="24"/>
              </w:rPr>
              <w:t xml:space="preserve"> kapitalit njerëzor dhe mbështetjes së bizneseve dixhitale, si dhe dixhitalizimi</w:t>
            </w:r>
            <w:r w:rsidR="008D267F" w:rsidRPr="00554FAF">
              <w:rPr>
                <w:rFonts w:ascii="Times New Roman" w:hAnsi="Times New Roman" w:cs="Times New Roman"/>
                <w:bCs/>
                <w:sz w:val="24"/>
                <w:szCs w:val="24"/>
              </w:rPr>
              <w:t xml:space="preserve"> i</w:t>
            </w:r>
            <w:r w:rsidRPr="00554FAF">
              <w:rPr>
                <w:rFonts w:ascii="Times New Roman" w:hAnsi="Times New Roman" w:cs="Times New Roman"/>
                <w:bCs/>
                <w:sz w:val="24"/>
                <w:szCs w:val="24"/>
              </w:rPr>
              <w:t xml:space="preserve"> bizneseve tjera.</w:t>
            </w:r>
          </w:p>
          <w:tbl>
            <w:tblPr>
              <w:tblW w:w="9702" w:type="dxa"/>
              <w:tblLook w:val="04A0" w:firstRow="1" w:lastRow="0" w:firstColumn="1" w:lastColumn="0" w:noHBand="0" w:noVBand="1"/>
            </w:tblPr>
            <w:tblGrid>
              <w:gridCol w:w="9702"/>
            </w:tblGrid>
            <w:tr w:rsidR="00E63960" w:rsidRPr="00554FAF" w14:paraId="72A6D5E7" w14:textId="77777777" w:rsidTr="00E63960">
              <w:tc>
                <w:tcPr>
                  <w:tcW w:w="9702" w:type="dxa"/>
                  <w:shd w:val="clear" w:color="auto" w:fill="5B9BD5" w:themeFill="accent1"/>
                </w:tcPr>
                <w:p w14:paraId="1104726F" w14:textId="77777777" w:rsidR="00E63960" w:rsidRPr="00554FAF" w:rsidRDefault="00E63960" w:rsidP="000702CB">
                  <w:pPr>
                    <w:spacing w:after="60" w:line="240" w:lineRule="auto"/>
                    <w:rPr>
                      <w:rFonts w:ascii="Times New Roman" w:hAnsi="Times New Roman" w:cs="Times New Roman"/>
                      <w:b/>
                      <w:sz w:val="24"/>
                      <w:szCs w:val="24"/>
                    </w:rPr>
                  </w:pPr>
                  <w:r w:rsidRPr="00554FAF">
                    <w:rPr>
                      <w:rFonts w:ascii="Times New Roman" w:hAnsi="Times New Roman" w:cs="Times New Roman"/>
                      <w:b/>
                      <w:sz w:val="24"/>
                      <w:szCs w:val="24"/>
                    </w:rPr>
                    <w:t>V. Reformat lidhur me tregtinë</w:t>
                  </w:r>
                </w:p>
              </w:tc>
            </w:tr>
          </w:tbl>
          <w:p w14:paraId="247283A7" w14:textId="5686A078" w:rsidR="00E63960" w:rsidRPr="00554FAF" w:rsidRDefault="00E63960" w:rsidP="000702CB">
            <w:pPr>
              <w:spacing w:after="60"/>
              <w:jc w:val="both"/>
              <w:rPr>
                <w:rFonts w:ascii="Times New Roman" w:hAnsi="Times New Roman" w:cs="Times New Roman"/>
                <w:bCs/>
                <w:sz w:val="24"/>
                <w:szCs w:val="24"/>
              </w:rPr>
            </w:pPr>
            <w:r w:rsidRPr="00554FAF">
              <w:rPr>
                <w:rFonts w:ascii="Times New Roman" w:hAnsi="Times New Roman" w:cs="Times New Roman"/>
                <w:b/>
                <w:bCs/>
                <w:sz w:val="24"/>
                <w:szCs w:val="24"/>
              </w:rPr>
              <w:t>Masa #14: Lehtësimi i tregtisë përmes uljes së kostos së transaksioneve tregtare</w:t>
            </w:r>
            <w:r w:rsidR="00E95A0C" w:rsidRPr="00554FAF">
              <w:rPr>
                <w:rFonts w:ascii="Times New Roman" w:hAnsi="Times New Roman" w:cs="Times New Roman"/>
                <w:b/>
                <w:bCs/>
                <w:sz w:val="24"/>
                <w:szCs w:val="24"/>
              </w:rPr>
              <w:t>:</w:t>
            </w:r>
            <w:r w:rsidR="00A301D2" w:rsidRPr="00554FAF">
              <w:rPr>
                <w:rFonts w:ascii="Times New Roman" w:hAnsi="Times New Roman" w:cs="Times New Roman"/>
                <w:bCs/>
                <w:sz w:val="24"/>
                <w:szCs w:val="24"/>
              </w:rPr>
              <w:t xml:space="preserve"> </w:t>
            </w:r>
            <w:r w:rsidR="00E95A0C" w:rsidRPr="00554FAF">
              <w:rPr>
                <w:rFonts w:ascii="Times New Roman" w:hAnsi="Times New Roman" w:cs="Times New Roman"/>
                <w:bCs/>
                <w:sz w:val="24"/>
                <w:szCs w:val="24"/>
              </w:rPr>
              <w:t>qëllimi kryesor i kësaj mase është</w:t>
            </w:r>
            <w:r w:rsidR="0084160C" w:rsidRPr="00554FAF">
              <w:rPr>
                <w:rFonts w:ascii="Times New Roman" w:hAnsi="Times New Roman" w:cs="Times New Roman"/>
                <w:bCs/>
                <w:sz w:val="24"/>
                <w:szCs w:val="24"/>
              </w:rPr>
              <w:t xml:space="preserve"> ulja e</w:t>
            </w:r>
            <w:r w:rsidRPr="00554FAF">
              <w:rPr>
                <w:rFonts w:ascii="Times New Roman" w:hAnsi="Times New Roman" w:cs="Times New Roman"/>
                <w:bCs/>
                <w:sz w:val="24"/>
                <w:szCs w:val="24"/>
              </w:rPr>
              <w:t xml:space="preserve"> kosto</w:t>
            </w:r>
            <w:r w:rsidR="0084160C" w:rsidRPr="00554FAF">
              <w:rPr>
                <w:rFonts w:ascii="Times New Roman" w:hAnsi="Times New Roman" w:cs="Times New Roman"/>
                <w:bCs/>
                <w:sz w:val="24"/>
                <w:szCs w:val="24"/>
              </w:rPr>
              <w:t>s</w:t>
            </w:r>
            <w:r w:rsidRPr="00554FAF">
              <w:rPr>
                <w:rFonts w:ascii="Times New Roman" w:hAnsi="Times New Roman" w:cs="Times New Roman"/>
                <w:bCs/>
                <w:sz w:val="24"/>
                <w:szCs w:val="24"/>
              </w:rPr>
              <w:t xml:space="preserve"> </w:t>
            </w:r>
            <w:r w:rsidR="0084160C" w:rsidRPr="00554FAF">
              <w:rPr>
                <w:rFonts w:ascii="Times New Roman" w:hAnsi="Times New Roman" w:cs="Times New Roman"/>
                <w:bCs/>
                <w:sz w:val="24"/>
                <w:szCs w:val="24"/>
              </w:rPr>
              <w:t>së</w:t>
            </w:r>
            <w:r w:rsidRPr="00554FAF">
              <w:rPr>
                <w:rFonts w:ascii="Times New Roman" w:hAnsi="Times New Roman" w:cs="Times New Roman"/>
                <w:bCs/>
                <w:sz w:val="24"/>
                <w:szCs w:val="24"/>
              </w:rPr>
              <w:t xml:space="preserve"> transaksioneve ndërkufitare dhe kohë</w:t>
            </w:r>
            <w:r w:rsidR="0084160C" w:rsidRPr="00554FAF">
              <w:rPr>
                <w:rFonts w:ascii="Times New Roman" w:hAnsi="Times New Roman" w:cs="Times New Roman"/>
                <w:bCs/>
                <w:sz w:val="24"/>
                <w:szCs w:val="24"/>
              </w:rPr>
              <w:t>s</w:t>
            </w:r>
            <w:r w:rsidRPr="00554FAF">
              <w:rPr>
                <w:rFonts w:ascii="Times New Roman" w:hAnsi="Times New Roman" w:cs="Times New Roman"/>
                <w:bCs/>
                <w:sz w:val="24"/>
                <w:szCs w:val="24"/>
              </w:rPr>
              <w:t xml:space="preserve"> për të përmirësuar kushtet e hyrjes në treg për eksportet e Kosovës në tregjet e zgjedhura (targetuara).</w:t>
            </w:r>
          </w:p>
          <w:p w14:paraId="58316E4A" w14:textId="527BED29" w:rsidR="00E63960" w:rsidRPr="00554FAF" w:rsidRDefault="00E63960" w:rsidP="000702CB">
            <w:pPr>
              <w:spacing w:after="60"/>
              <w:jc w:val="both"/>
              <w:rPr>
                <w:rFonts w:ascii="Times New Roman" w:hAnsi="Times New Roman" w:cs="Times New Roman"/>
                <w:bCs/>
                <w:sz w:val="24"/>
                <w:szCs w:val="24"/>
              </w:rPr>
            </w:pPr>
            <w:r w:rsidRPr="00554FAF">
              <w:rPr>
                <w:rFonts w:ascii="Times New Roman" w:hAnsi="Times New Roman" w:cs="Times New Roman"/>
                <w:b/>
                <w:bCs/>
                <w:sz w:val="24"/>
                <w:szCs w:val="24"/>
              </w:rPr>
              <w:t>Masa #15: Zhvillimi i mëtutjeshëm i infrastrukturës së cilësisë dhe fuqizimi i rolit të autoriteteve për mbikëqyrjen e tregut</w:t>
            </w:r>
            <w:r w:rsidRPr="00554FAF">
              <w:rPr>
                <w:rFonts w:ascii="Times New Roman" w:hAnsi="Times New Roman" w:cs="Times New Roman"/>
                <w:b/>
                <w:bCs/>
                <w:i/>
                <w:sz w:val="24"/>
                <w:szCs w:val="24"/>
              </w:rPr>
              <w:t xml:space="preserve"> </w:t>
            </w:r>
            <w:r w:rsidRPr="00554FAF">
              <w:rPr>
                <w:rFonts w:ascii="Times New Roman" w:hAnsi="Times New Roman" w:cs="Times New Roman"/>
                <w:b/>
                <w:bCs/>
                <w:sz w:val="24"/>
                <w:szCs w:val="24"/>
              </w:rPr>
              <w:t xml:space="preserve">me fokus </w:t>
            </w:r>
            <w:r w:rsidR="00242A57" w:rsidRPr="00554FAF">
              <w:rPr>
                <w:rFonts w:ascii="Times New Roman" w:hAnsi="Times New Roman" w:cs="Times New Roman"/>
                <w:b/>
                <w:bCs/>
                <w:sz w:val="24"/>
                <w:szCs w:val="24"/>
              </w:rPr>
              <w:t xml:space="preserve">në </w:t>
            </w:r>
            <w:r w:rsidRPr="00554FAF">
              <w:rPr>
                <w:rFonts w:ascii="Times New Roman" w:hAnsi="Times New Roman" w:cs="Times New Roman"/>
                <w:b/>
                <w:bCs/>
                <w:sz w:val="24"/>
                <w:szCs w:val="24"/>
              </w:rPr>
              <w:t>produktet e ndërtimit</w:t>
            </w:r>
            <w:r w:rsidR="00E95A0C" w:rsidRPr="00554FAF">
              <w:rPr>
                <w:rFonts w:ascii="Times New Roman" w:hAnsi="Times New Roman" w:cs="Times New Roman"/>
                <w:b/>
                <w:bCs/>
                <w:sz w:val="24"/>
                <w:szCs w:val="24"/>
              </w:rPr>
              <w:t xml:space="preserve">: </w:t>
            </w:r>
            <w:r w:rsidR="00E95A0C" w:rsidRPr="00554FAF">
              <w:rPr>
                <w:rFonts w:ascii="Times New Roman" w:hAnsi="Times New Roman" w:cs="Times New Roman"/>
                <w:bCs/>
                <w:sz w:val="24"/>
                <w:szCs w:val="24"/>
              </w:rPr>
              <w:t>qëllimi kryesor i kësaj mase është</w:t>
            </w:r>
            <w:r w:rsidRPr="00554FAF">
              <w:rPr>
                <w:rFonts w:ascii="Times New Roman" w:hAnsi="Times New Roman" w:cs="Times New Roman"/>
                <w:bCs/>
                <w:sz w:val="24"/>
                <w:szCs w:val="24"/>
              </w:rPr>
              <w:t xml:space="preserve"> përafrimi</w:t>
            </w:r>
            <w:r w:rsidR="00E95A0C" w:rsidRPr="00554FAF">
              <w:rPr>
                <w:rFonts w:ascii="Times New Roman" w:hAnsi="Times New Roman" w:cs="Times New Roman"/>
                <w:bCs/>
                <w:sz w:val="24"/>
                <w:szCs w:val="24"/>
              </w:rPr>
              <w:t xml:space="preserve"> i</w:t>
            </w:r>
            <w:r w:rsidRPr="00554FAF">
              <w:rPr>
                <w:rFonts w:ascii="Times New Roman" w:hAnsi="Times New Roman" w:cs="Times New Roman"/>
                <w:bCs/>
                <w:sz w:val="24"/>
                <w:szCs w:val="24"/>
              </w:rPr>
              <w:t xml:space="preserve"> mëtutjeshëm dhe </w:t>
            </w:r>
            <w:r w:rsidR="0084160C" w:rsidRPr="00554FAF">
              <w:rPr>
                <w:rFonts w:ascii="Times New Roman" w:hAnsi="Times New Roman" w:cs="Times New Roman"/>
                <w:bCs/>
                <w:sz w:val="24"/>
                <w:szCs w:val="24"/>
              </w:rPr>
              <w:t>zbatimit</w:t>
            </w:r>
            <w:r w:rsidRPr="00554FAF">
              <w:rPr>
                <w:rFonts w:ascii="Times New Roman" w:hAnsi="Times New Roman" w:cs="Times New Roman"/>
                <w:bCs/>
                <w:sz w:val="24"/>
                <w:szCs w:val="24"/>
              </w:rPr>
              <w:t xml:space="preserve"> </w:t>
            </w:r>
            <w:r w:rsidR="00E95A0C" w:rsidRPr="00554FAF">
              <w:rPr>
                <w:rFonts w:ascii="Times New Roman" w:hAnsi="Times New Roman" w:cs="Times New Roman"/>
                <w:bCs/>
                <w:sz w:val="24"/>
                <w:szCs w:val="24"/>
              </w:rPr>
              <w:t>i</w:t>
            </w:r>
            <w:r w:rsidRPr="00554FAF">
              <w:rPr>
                <w:rFonts w:ascii="Times New Roman" w:hAnsi="Times New Roman" w:cs="Times New Roman"/>
                <w:bCs/>
                <w:sz w:val="24"/>
                <w:szCs w:val="24"/>
              </w:rPr>
              <w:t xml:space="preserve"> legjislacionit të BE-së me qëllim të</w:t>
            </w:r>
            <w:r w:rsidR="00E95A0C" w:rsidRPr="00554FAF">
              <w:rPr>
                <w:rFonts w:ascii="Times New Roman" w:hAnsi="Times New Roman" w:cs="Times New Roman"/>
                <w:bCs/>
                <w:sz w:val="24"/>
                <w:szCs w:val="24"/>
              </w:rPr>
              <w:t xml:space="preserve"> </w:t>
            </w:r>
            <w:r w:rsidRPr="00554FAF">
              <w:rPr>
                <w:rFonts w:ascii="Times New Roman" w:hAnsi="Times New Roman" w:cs="Times New Roman"/>
                <w:bCs/>
                <w:sz w:val="24"/>
                <w:szCs w:val="24"/>
              </w:rPr>
              <w:t>rritjes së sigurisë dhe cilësisë së produkteve të ndërtimit, shërbimeve të ofruara në tregun vendor si dhe integrimin në tregun e BE-së dhe vendeve tjera</w:t>
            </w:r>
            <w:r w:rsidR="00E95A0C" w:rsidRPr="00554FAF">
              <w:rPr>
                <w:rFonts w:ascii="Times New Roman" w:hAnsi="Times New Roman" w:cs="Times New Roman"/>
                <w:bCs/>
                <w:sz w:val="24"/>
                <w:szCs w:val="24"/>
              </w:rPr>
              <w:t>. Poashtu synon</w:t>
            </w:r>
            <w:r w:rsidRPr="00554FAF">
              <w:rPr>
                <w:rFonts w:ascii="Times New Roman" w:hAnsi="Times New Roman" w:cs="Times New Roman"/>
                <w:bCs/>
                <w:sz w:val="24"/>
                <w:szCs w:val="24"/>
              </w:rPr>
              <w:t xml:space="preserve"> eliminimin e barrierave teknike në tregti dhe mbikëqyrjen efektive të tregut nga autoritetet e  mbikëqyrjes së tregut.</w:t>
            </w:r>
          </w:p>
          <w:tbl>
            <w:tblPr>
              <w:tblW w:w="9702" w:type="dxa"/>
              <w:tblLook w:val="04A0" w:firstRow="1" w:lastRow="0" w:firstColumn="1" w:lastColumn="0" w:noHBand="0" w:noVBand="1"/>
            </w:tblPr>
            <w:tblGrid>
              <w:gridCol w:w="9702"/>
            </w:tblGrid>
            <w:tr w:rsidR="00E63960" w:rsidRPr="00554FAF" w14:paraId="520F7B64" w14:textId="77777777" w:rsidTr="00E63960">
              <w:tc>
                <w:tcPr>
                  <w:tcW w:w="9702" w:type="dxa"/>
                  <w:shd w:val="clear" w:color="auto" w:fill="5B9BD5" w:themeFill="accent1"/>
                </w:tcPr>
                <w:p w14:paraId="7B60F7CD" w14:textId="77777777" w:rsidR="00E63960" w:rsidRPr="00554FAF" w:rsidRDefault="00E63960" w:rsidP="000702CB">
                  <w:pPr>
                    <w:spacing w:after="60" w:line="240" w:lineRule="auto"/>
                    <w:rPr>
                      <w:rFonts w:ascii="Times New Roman" w:hAnsi="Times New Roman" w:cs="Times New Roman"/>
                      <w:b/>
                      <w:sz w:val="24"/>
                      <w:szCs w:val="24"/>
                    </w:rPr>
                  </w:pPr>
                  <w:r w:rsidRPr="00554FAF">
                    <w:rPr>
                      <w:rFonts w:ascii="Times New Roman" w:hAnsi="Times New Roman" w:cs="Times New Roman"/>
                      <w:b/>
                      <w:sz w:val="24"/>
                      <w:szCs w:val="24"/>
                    </w:rPr>
                    <w:t>VI. Arsimi dhe shkathtësitë</w:t>
                  </w:r>
                </w:p>
              </w:tc>
            </w:tr>
          </w:tbl>
          <w:p w14:paraId="36FD985A" w14:textId="3F86DABF" w:rsidR="00E63960" w:rsidRPr="00554FAF" w:rsidRDefault="00E63960" w:rsidP="000702CB">
            <w:pPr>
              <w:spacing w:after="60"/>
              <w:jc w:val="both"/>
              <w:rPr>
                <w:rFonts w:ascii="Times New Roman" w:hAnsi="Times New Roman" w:cs="Times New Roman"/>
                <w:b/>
                <w:bCs/>
                <w:sz w:val="24"/>
                <w:szCs w:val="24"/>
              </w:rPr>
            </w:pPr>
            <w:r w:rsidRPr="00554FAF">
              <w:rPr>
                <w:rFonts w:ascii="Times New Roman" w:hAnsi="Times New Roman" w:cs="Times New Roman"/>
                <w:b/>
                <w:bCs/>
                <w:sz w:val="24"/>
                <w:szCs w:val="24"/>
              </w:rPr>
              <w:t xml:space="preserve">Masa #16: Zhvillimi i edukimit në fëmijërinë e hershme me qasje gjithëpërfshirëse përmes plotësimit të infrastrukturës ligjore dhe </w:t>
            </w:r>
            <w:r w:rsidR="00242A57" w:rsidRPr="00554FAF">
              <w:rPr>
                <w:rFonts w:ascii="Times New Roman" w:hAnsi="Times New Roman" w:cs="Times New Roman"/>
                <w:b/>
                <w:bCs/>
                <w:sz w:val="24"/>
                <w:szCs w:val="24"/>
              </w:rPr>
              <w:t xml:space="preserve">fizike dhe </w:t>
            </w:r>
            <w:r w:rsidR="0084160C" w:rsidRPr="00554FAF">
              <w:rPr>
                <w:rFonts w:ascii="Times New Roman" w:hAnsi="Times New Roman" w:cs="Times New Roman"/>
                <w:b/>
                <w:bCs/>
                <w:sz w:val="24"/>
                <w:szCs w:val="24"/>
              </w:rPr>
              <w:t>reform</w:t>
            </w:r>
            <w:r w:rsidR="004A2969" w:rsidRPr="00554FAF">
              <w:rPr>
                <w:rFonts w:ascii="Times New Roman" w:hAnsi="Times New Roman" w:cs="Times New Roman"/>
                <w:b/>
                <w:bCs/>
                <w:sz w:val="24"/>
                <w:szCs w:val="24"/>
              </w:rPr>
              <w:t>ë</w:t>
            </w:r>
            <w:r w:rsidR="0084160C" w:rsidRPr="00554FAF">
              <w:rPr>
                <w:rFonts w:ascii="Times New Roman" w:hAnsi="Times New Roman" w:cs="Times New Roman"/>
                <w:b/>
                <w:bCs/>
                <w:sz w:val="24"/>
                <w:szCs w:val="24"/>
              </w:rPr>
              <w:t>s s</w:t>
            </w:r>
            <w:r w:rsidR="004A2969" w:rsidRPr="00554FAF">
              <w:rPr>
                <w:rFonts w:ascii="Times New Roman" w:hAnsi="Times New Roman" w:cs="Times New Roman"/>
                <w:b/>
                <w:bCs/>
                <w:sz w:val="24"/>
                <w:szCs w:val="24"/>
              </w:rPr>
              <w:t>ë</w:t>
            </w:r>
            <w:r w:rsidR="0084160C" w:rsidRPr="00554FAF">
              <w:rPr>
                <w:rFonts w:ascii="Times New Roman" w:hAnsi="Times New Roman" w:cs="Times New Roman"/>
                <w:b/>
                <w:bCs/>
                <w:sz w:val="24"/>
                <w:szCs w:val="24"/>
              </w:rPr>
              <w:t xml:space="preserve"> </w:t>
            </w:r>
            <w:r w:rsidRPr="00554FAF">
              <w:rPr>
                <w:rFonts w:ascii="Times New Roman" w:hAnsi="Times New Roman" w:cs="Times New Roman"/>
                <w:b/>
                <w:bCs/>
                <w:sz w:val="24"/>
                <w:szCs w:val="24"/>
              </w:rPr>
              <w:t>kurriku</w:t>
            </w:r>
            <w:r w:rsidR="00242A57" w:rsidRPr="00554FAF">
              <w:rPr>
                <w:rFonts w:ascii="Times New Roman" w:hAnsi="Times New Roman" w:cs="Times New Roman"/>
                <w:b/>
                <w:bCs/>
                <w:sz w:val="24"/>
                <w:szCs w:val="24"/>
              </w:rPr>
              <w:t>lës</w:t>
            </w:r>
            <w:r w:rsidR="00E95A0C" w:rsidRPr="00554FAF">
              <w:rPr>
                <w:rFonts w:ascii="Times New Roman" w:hAnsi="Times New Roman" w:cs="Times New Roman"/>
                <w:b/>
                <w:bCs/>
                <w:sz w:val="24"/>
                <w:szCs w:val="24"/>
              </w:rPr>
              <w:t>:</w:t>
            </w:r>
            <w:r w:rsidRPr="00554FAF">
              <w:rPr>
                <w:rFonts w:ascii="Times New Roman" w:hAnsi="Times New Roman" w:cs="Times New Roman"/>
                <w:b/>
                <w:bCs/>
                <w:sz w:val="24"/>
                <w:szCs w:val="24"/>
              </w:rPr>
              <w:t xml:space="preserve"> </w:t>
            </w:r>
            <w:r w:rsidR="00E95A0C" w:rsidRPr="00554FAF">
              <w:rPr>
                <w:rFonts w:ascii="Times New Roman" w:hAnsi="Times New Roman" w:cs="Times New Roman"/>
                <w:bCs/>
                <w:sz w:val="24"/>
                <w:szCs w:val="24"/>
              </w:rPr>
              <w:t>qëllimi kryesor i kësaj mase është</w:t>
            </w:r>
            <w:r w:rsidR="00E95A0C" w:rsidRPr="00554FAF" w:rsidDel="00E95A0C">
              <w:rPr>
                <w:rFonts w:ascii="Times New Roman" w:hAnsi="Times New Roman" w:cs="Times New Roman"/>
                <w:bCs/>
                <w:sz w:val="24"/>
                <w:szCs w:val="24"/>
              </w:rPr>
              <w:t xml:space="preserve"> </w:t>
            </w:r>
            <w:r w:rsidRPr="00554FAF">
              <w:rPr>
                <w:rFonts w:ascii="Times New Roman" w:hAnsi="Times New Roman" w:cs="Times New Roman"/>
                <w:bCs/>
                <w:sz w:val="24"/>
                <w:szCs w:val="24"/>
              </w:rPr>
              <w:t>ngritj</w:t>
            </w:r>
            <w:r w:rsidR="00E95A0C" w:rsidRPr="00554FAF">
              <w:rPr>
                <w:rFonts w:ascii="Times New Roman" w:hAnsi="Times New Roman" w:cs="Times New Roman"/>
                <w:bCs/>
                <w:sz w:val="24"/>
                <w:szCs w:val="24"/>
              </w:rPr>
              <w:t>a</w:t>
            </w:r>
            <w:r w:rsidRPr="00554FAF">
              <w:rPr>
                <w:rFonts w:ascii="Times New Roman" w:hAnsi="Times New Roman" w:cs="Times New Roman"/>
                <w:bCs/>
                <w:sz w:val="24"/>
                <w:szCs w:val="24"/>
              </w:rPr>
              <w:t xml:space="preserve"> e </w:t>
            </w:r>
            <w:r w:rsidR="00A356E8" w:rsidRPr="00554FAF">
              <w:rPr>
                <w:rFonts w:ascii="Times New Roman" w:hAnsi="Times New Roman" w:cs="Times New Roman"/>
                <w:bCs/>
                <w:sz w:val="24"/>
                <w:szCs w:val="24"/>
              </w:rPr>
              <w:t>vijueshmërisë</w:t>
            </w:r>
            <w:r w:rsidRPr="00554FAF">
              <w:rPr>
                <w:rFonts w:ascii="Times New Roman" w:hAnsi="Times New Roman" w:cs="Times New Roman"/>
                <w:bCs/>
                <w:sz w:val="24"/>
                <w:szCs w:val="24"/>
              </w:rPr>
              <w:t xml:space="preserve"> së fëmijëve në edukimin e hershëm, duke përfshirë zbatimin e qasjes gjithëpërfshirëse për fëmijët nga grupet e </w:t>
            </w:r>
            <w:r w:rsidR="00A356E8" w:rsidRPr="00554FAF">
              <w:rPr>
                <w:rFonts w:ascii="Times New Roman" w:hAnsi="Times New Roman" w:cs="Times New Roman"/>
                <w:bCs/>
                <w:sz w:val="24"/>
                <w:szCs w:val="24"/>
              </w:rPr>
              <w:t>cenuara</w:t>
            </w:r>
            <w:r w:rsidRPr="00554FAF">
              <w:rPr>
                <w:rFonts w:ascii="Times New Roman" w:hAnsi="Times New Roman" w:cs="Times New Roman"/>
                <w:bCs/>
                <w:sz w:val="24"/>
                <w:szCs w:val="24"/>
              </w:rPr>
              <w:t xml:space="preserve">. </w:t>
            </w:r>
          </w:p>
          <w:p w14:paraId="39CA7330" w14:textId="51C66126" w:rsidR="00E63960" w:rsidRPr="00554FAF" w:rsidRDefault="00E63960" w:rsidP="000702CB">
            <w:pPr>
              <w:spacing w:after="60"/>
              <w:jc w:val="both"/>
              <w:rPr>
                <w:rFonts w:ascii="Times New Roman" w:hAnsi="Times New Roman" w:cs="Times New Roman"/>
                <w:bCs/>
                <w:sz w:val="24"/>
                <w:szCs w:val="24"/>
              </w:rPr>
            </w:pPr>
            <w:r w:rsidRPr="00554FAF">
              <w:rPr>
                <w:rFonts w:ascii="Times New Roman" w:hAnsi="Times New Roman" w:cs="Times New Roman"/>
                <w:b/>
                <w:bCs/>
                <w:sz w:val="24"/>
                <w:szCs w:val="24"/>
              </w:rPr>
              <w:t xml:space="preserve">Masa #17: Zbatimi i kornizës së re kurrikulare në sistemin e </w:t>
            </w:r>
            <w:r w:rsidR="00242A57" w:rsidRPr="00554FAF">
              <w:rPr>
                <w:rFonts w:ascii="Times New Roman" w:hAnsi="Times New Roman" w:cs="Times New Roman"/>
                <w:b/>
                <w:bCs/>
                <w:sz w:val="24"/>
                <w:szCs w:val="24"/>
              </w:rPr>
              <w:t xml:space="preserve">edukimit dhe </w:t>
            </w:r>
            <w:r w:rsidRPr="00554FAF">
              <w:rPr>
                <w:rFonts w:ascii="Times New Roman" w:hAnsi="Times New Roman" w:cs="Times New Roman"/>
                <w:b/>
                <w:bCs/>
                <w:sz w:val="24"/>
                <w:szCs w:val="24"/>
              </w:rPr>
              <w:t>aftësimit profesional</w:t>
            </w:r>
            <w:r w:rsidR="00E95A0C" w:rsidRPr="00554FAF">
              <w:rPr>
                <w:rFonts w:ascii="Times New Roman" w:hAnsi="Times New Roman" w:cs="Times New Roman"/>
                <w:b/>
                <w:bCs/>
                <w:sz w:val="24"/>
                <w:szCs w:val="24"/>
              </w:rPr>
              <w:t xml:space="preserve">: </w:t>
            </w:r>
            <w:r w:rsidR="00E95A0C" w:rsidRPr="00554FAF">
              <w:rPr>
                <w:rFonts w:ascii="Times New Roman" w:hAnsi="Times New Roman" w:cs="Times New Roman"/>
                <w:bCs/>
                <w:sz w:val="24"/>
                <w:szCs w:val="24"/>
              </w:rPr>
              <w:t>qëllimi kryesor i kësaj mase është</w:t>
            </w:r>
            <w:r w:rsidR="00E95A0C" w:rsidRPr="00554FAF" w:rsidDel="00E95A0C">
              <w:rPr>
                <w:rFonts w:ascii="Times New Roman" w:hAnsi="Times New Roman" w:cs="Times New Roman"/>
                <w:bCs/>
                <w:sz w:val="24"/>
                <w:szCs w:val="24"/>
              </w:rPr>
              <w:t xml:space="preserve"> </w:t>
            </w:r>
            <w:r w:rsidRPr="00554FAF">
              <w:rPr>
                <w:rFonts w:ascii="Times New Roman" w:hAnsi="Times New Roman" w:cs="Times New Roman"/>
                <w:bCs/>
                <w:sz w:val="24"/>
                <w:szCs w:val="24"/>
              </w:rPr>
              <w:t>ngritj</w:t>
            </w:r>
            <w:r w:rsidR="00E95A0C" w:rsidRPr="00554FAF">
              <w:rPr>
                <w:rFonts w:ascii="Times New Roman" w:hAnsi="Times New Roman" w:cs="Times New Roman"/>
                <w:bCs/>
                <w:sz w:val="24"/>
                <w:szCs w:val="24"/>
              </w:rPr>
              <w:t>a</w:t>
            </w:r>
            <w:r w:rsidRPr="00554FAF">
              <w:rPr>
                <w:rFonts w:ascii="Times New Roman" w:hAnsi="Times New Roman" w:cs="Times New Roman"/>
                <w:bCs/>
                <w:sz w:val="24"/>
                <w:szCs w:val="24"/>
              </w:rPr>
              <w:t xml:space="preserve"> e përputhshmërisë së arsimit dhe aftësimit profesional me kërkesat e tregut të punës. </w:t>
            </w:r>
          </w:p>
          <w:p w14:paraId="26B1BEA6" w14:textId="3E499AD9" w:rsidR="00E63960" w:rsidRPr="00554FAF" w:rsidRDefault="00E63960" w:rsidP="000702CB">
            <w:pPr>
              <w:spacing w:after="60"/>
              <w:jc w:val="both"/>
              <w:rPr>
                <w:rFonts w:ascii="Times New Roman" w:hAnsi="Times New Roman" w:cs="Times New Roman"/>
                <w:bCs/>
                <w:sz w:val="24"/>
                <w:szCs w:val="24"/>
              </w:rPr>
            </w:pPr>
            <w:r w:rsidRPr="00554FAF">
              <w:rPr>
                <w:rFonts w:ascii="Times New Roman" w:hAnsi="Times New Roman" w:cs="Times New Roman"/>
                <w:b/>
                <w:bCs/>
                <w:sz w:val="24"/>
                <w:szCs w:val="24"/>
              </w:rPr>
              <w:t xml:space="preserve">Masa #18: Ngritja dhe sigurimi i cilësisë në arsimin e lartë </w:t>
            </w:r>
            <w:r w:rsidR="00242A57" w:rsidRPr="00554FAF">
              <w:rPr>
                <w:rFonts w:ascii="Times New Roman" w:hAnsi="Times New Roman" w:cs="Times New Roman"/>
                <w:b/>
                <w:bCs/>
                <w:sz w:val="24"/>
                <w:szCs w:val="24"/>
              </w:rPr>
              <w:t xml:space="preserve">duke e fuqizuar </w:t>
            </w:r>
            <w:r w:rsidR="0084160C" w:rsidRPr="00554FAF">
              <w:rPr>
                <w:rFonts w:ascii="Times New Roman" w:hAnsi="Times New Roman" w:cs="Times New Roman"/>
                <w:b/>
                <w:bCs/>
                <w:sz w:val="24"/>
                <w:szCs w:val="24"/>
              </w:rPr>
              <w:t>cil</w:t>
            </w:r>
            <w:r w:rsidR="004A2969" w:rsidRPr="00554FAF">
              <w:rPr>
                <w:rFonts w:ascii="Times New Roman" w:hAnsi="Times New Roman" w:cs="Times New Roman"/>
                <w:b/>
                <w:bCs/>
                <w:sz w:val="24"/>
                <w:szCs w:val="24"/>
              </w:rPr>
              <w:t>ë</w:t>
            </w:r>
            <w:r w:rsidR="0084160C" w:rsidRPr="00554FAF">
              <w:rPr>
                <w:rFonts w:ascii="Times New Roman" w:hAnsi="Times New Roman" w:cs="Times New Roman"/>
                <w:b/>
                <w:bCs/>
                <w:sz w:val="24"/>
                <w:szCs w:val="24"/>
              </w:rPr>
              <w:t>sin</w:t>
            </w:r>
            <w:r w:rsidR="004A2969" w:rsidRPr="00554FAF">
              <w:rPr>
                <w:rFonts w:ascii="Times New Roman" w:hAnsi="Times New Roman" w:cs="Times New Roman"/>
                <w:b/>
                <w:bCs/>
                <w:sz w:val="24"/>
                <w:szCs w:val="24"/>
              </w:rPr>
              <w:t>ë</w:t>
            </w:r>
            <w:r w:rsidR="00242A57" w:rsidRPr="00554FAF">
              <w:rPr>
                <w:rFonts w:ascii="Times New Roman" w:hAnsi="Times New Roman" w:cs="Times New Roman"/>
                <w:b/>
                <w:bCs/>
                <w:sz w:val="24"/>
                <w:szCs w:val="24"/>
              </w:rPr>
              <w:t xml:space="preserve"> e mekanizmit mbikëqyrës</w:t>
            </w:r>
            <w:r w:rsidRPr="00554FAF">
              <w:rPr>
                <w:rFonts w:ascii="Times New Roman" w:hAnsi="Times New Roman" w:cs="Times New Roman"/>
                <w:b/>
                <w:bCs/>
                <w:sz w:val="24"/>
                <w:szCs w:val="24"/>
              </w:rPr>
              <w:t xml:space="preserve">, </w:t>
            </w:r>
            <w:r w:rsidR="00242A57" w:rsidRPr="00554FAF">
              <w:rPr>
                <w:rFonts w:ascii="Times New Roman" w:hAnsi="Times New Roman" w:cs="Times New Roman"/>
                <w:b/>
                <w:bCs/>
                <w:sz w:val="24"/>
                <w:szCs w:val="24"/>
              </w:rPr>
              <w:t xml:space="preserve">duke e </w:t>
            </w:r>
            <w:r w:rsidRPr="00554FAF">
              <w:rPr>
                <w:rFonts w:ascii="Times New Roman" w:hAnsi="Times New Roman" w:cs="Times New Roman"/>
                <w:b/>
                <w:bCs/>
                <w:sz w:val="24"/>
                <w:szCs w:val="24"/>
              </w:rPr>
              <w:t>përmirë</w:t>
            </w:r>
            <w:r w:rsidR="00242A57" w:rsidRPr="00554FAF">
              <w:rPr>
                <w:rFonts w:ascii="Times New Roman" w:hAnsi="Times New Roman" w:cs="Times New Roman"/>
                <w:b/>
                <w:bCs/>
                <w:sz w:val="24"/>
                <w:szCs w:val="24"/>
              </w:rPr>
              <w:t>suar</w:t>
            </w:r>
            <w:r w:rsidRPr="00554FAF">
              <w:rPr>
                <w:rFonts w:ascii="Times New Roman" w:hAnsi="Times New Roman" w:cs="Times New Roman"/>
                <w:b/>
                <w:bCs/>
                <w:sz w:val="24"/>
                <w:szCs w:val="24"/>
              </w:rPr>
              <w:t xml:space="preserve"> formulë</w:t>
            </w:r>
            <w:r w:rsidR="00242A57" w:rsidRPr="00554FAF">
              <w:rPr>
                <w:rFonts w:ascii="Times New Roman" w:hAnsi="Times New Roman" w:cs="Times New Roman"/>
                <w:b/>
                <w:bCs/>
                <w:sz w:val="24"/>
                <w:szCs w:val="24"/>
              </w:rPr>
              <w:t>n</w:t>
            </w:r>
            <w:r w:rsidRPr="00554FAF">
              <w:rPr>
                <w:rFonts w:ascii="Times New Roman" w:hAnsi="Times New Roman" w:cs="Times New Roman"/>
                <w:b/>
                <w:bCs/>
                <w:sz w:val="24"/>
                <w:szCs w:val="24"/>
              </w:rPr>
              <w:t xml:space="preserve"> </w:t>
            </w:r>
            <w:r w:rsidR="00242A57" w:rsidRPr="00554FAF">
              <w:rPr>
                <w:rFonts w:ascii="Times New Roman" w:hAnsi="Times New Roman" w:cs="Times New Roman"/>
                <w:b/>
                <w:bCs/>
                <w:sz w:val="24"/>
                <w:szCs w:val="24"/>
              </w:rPr>
              <w:t>e</w:t>
            </w:r>
            <w:r w:rsidRPr="00554FAF">
              <w:rPr>
                <w:rFonts w:ascii="Times New Roman" w:hAnsi="Times New Roman" w:cs="Times New Roman"/>
                <w:b/>
                <w:bCs/>
                <w:sz w:val="24"/>
                <w:szCs w:val="24"/>
              </w:rPr>
              <w:t xml:space="preserve"> financimit dhe</w:t>
            </w:r>
            <w:r w:rsidR="00242A57" w:rsidRPr="00554FAF">
              <w:rPr>
                <w:rFonts w:ascii="Times New Roman" w:hAnsi="Times New Roman" w:cs="Times New Roman"/>
                <w:b/>
                <w:bCs/>
                <w:sz w:val="24"/>
                <w:szCs w:val="24"/>
              </w:rPr>
              <w:t xml:space="preserve"> duke i</w:t>
            </w:r>
            <w:r w:rsidRPr="00554FAF">
              <w:rPr>
                <w:rFonts w:ascii="Times New Roman" w:hAnsi="Times New Roman" w:cs="Times New Roman"/>
                <w:b/>
                <w:bCs/>
                <w:sz w:val="24"/>
                <w:szCs w:val="24"/>
              </w:rPr>
              <w:t xml:space="preserve"> profiliz</w:t>
            </w:r>
            <w:r w:rsidR="00242A57" w:rsidRPr="00554FAF">
              <w:rPr>
                <w:rFonts w:ascii="Times New Roman" w:hAnsi="Times New Roman" w:cs="Times New Roman"/>
                <w:b/>
                <w:bCs/>
                <w:sz w:val="24"/>
                <w:szCs w:val="24"/>
              </w:rPr>
              <w:t xml:space="preserve">uar </w:t>
            </w:r>
            <w:r w:rsidRPr="00554FAF">
              <w:rPr>
                <w:rFonts w:ascii="Times New Roman" w:hAnsi="Times New Roman" w:cs="Times New Roman"/>
                <w:b/>
                <w:bCs/>
                <w:sz w:val="24"/>
                <w:szCs w:val="24"/>
              </w:rPr>
              <w:t>institucion</w:t>
            </w:r>
            <w:r w:rsidR="00242A57" w:rsidRPr="00554FAF">
              <w:rPr>
                <w:rFonts w:ascii="Times New Roman" w:hAnsi="Times New Roman" w:cs="Times New Roman"/>
                <w:b/>
                <w:bCs/>
                <w:sz w:val="24"/>
                <w:szCs w:val="24"/>
              </w:rPr>
              <w:t>et</w:t>
            </w:r>
            <w:r w:rsidRPr="00554FAF">
              <w:rPr>
                <w:rFonts w:ascii="Times New Roman" w:hAnsi="Times New Roman" w:cs="Times New Roman"/>
                <w:b/>
                <w:bCs/>
                <w:sz w:val="24"/>
                <w:szCs w:val="24"/>
              </w:rPr>
              <w:t xml:space="preserve"> </w:t>
            </w:r>
            <w:r w:rsidR="00242A57" w:rsidRPr="00554FAF">
              <w:rPr>
                <w:rFonts w:ascii="Times New Roman" w:hAnsi="Times New Roman" w:cs="Times New Roman"/>
                <w:b/>
                <w:bCs/>
                <w:sz w:val="24"/>
                <w:szCs w:val="24"/>
              </w:rPr>
              <w:t>e</w:t>
            </w:r>
            <w:r w:rsidRPr="00554FAF">
              <w:rPr>
                <w:rFonts w:ascii="Times New Roman" w:hAnsi="Times New Roman" w:cs="Times New Roman"/>
                <w:b/>
                <w:bCs/>
                <w:sz w:val="24"/>
                <w:szCs w:val="24"/>
              </w:rPr>
              <w:t xml:space="preserve"> arsimit të lartë</w:t>
            </w:r>
            <w:r w:rsidR="00E95A0C" w:rsidRPr="00554FAF">
              <w:rPr>
                <w:rFonts w:ascii="Times New Roman" w:hAnsi="Times New Roman" w:cs="Times New Roman"/>
                <w:b/>
                <w:bCs/>
                <w:sz w:val="24"/>
                <w:szCs w:val="24"/>
              </w:rPr>
              <w:t>:</w:t>
            </w:r>
            <w:r w:rsidRPr="00554FAF">
              <w:rPr>
                <w:rFonts w:ascii="Times New Roman" w:hAnsi="Times New Roman" w:cs="Times New Roman"/>
                <w:b/>
                <w:bCs/>
                <w:sz w:val="24"/>
                <w:szCs w:val="24"/>
              </w:rPr>
              <w:t xml:space="preserve"> </w:t>
            </w:r>
            <w:r w:rsidR="00E95A0C" w:rsidRPr="00554FAF">
              <w:rPr>
                <w:rFonts w:ascii="Times New Roman" w:hAnsi="Times New Roman" w:cs="Times New Roman"/>
                <w:bCs/>
                <w:sz w:val="24"/>
                <w:szCs w:val="24"/>
              </w:rPr>
              <w:t>qëllimi kryesor i kësaj mase është</w:t>
            </w:r>
            <w:r w:rsidR="00E95A0C" w:rsidRPr="00554FAF" w:rsidDel="00E95A0C">
              <w:rPr>
                <w:rFonts w:ascii="Times New Roman" w:hAnsi="Times New Roman" w:cs="Times New Roman"/>
                <w:bCs/>
                <w:sz w:val="24"/>
                <w:szCs w:val="24"/>
              </w:rPr>
              <w:t xml:space="preserve"> </w:t>
            </w:r>
            <w:r w:rsidR="00A356E8" w:rsidRPr="00554FAF">
              <w:rPr>
                <w:rFonts w:ascii="Times New Roman" w:hAnsi="Times New Roman" w:cs="Times New Roman"/>
                <w:bCs/>
                <w:sz w:val="24"/>
                <w:szCs w:val="24"/>
              </w:rPr>
              <w:t>ngritj</w:t>
            </w:r>
            <w:r w:rsidR="00E95A0C" w:rsidRPr="00554FAF">
              <w:rPr>
                <w:rFonts w:ascii="Times New Roman" w:hAnsi="Times New Roman" w:cs="Times New Roman"/>
                <w:bCs/>
                <w:sz w:val="24"/>
                <w:szCs w:val="24"/>
              </w:rPr>
              <w:t>a</w:t>
            </w:r>
            <w:r w:rsidRPr="00554FAF">
              <w:rPr>
                <w:rFonts w:ascii="Times New Roman" w:hAnsi="Times New Roman" w:cs="Times New Roman"/>
                <w:bCs/>
                <w:sz w:val="24"/>
                <w:szCs w:val="24"/>
              </w:rPr>
              <w:t xml:space="preserve"> e cilësisë së arsimit të lartë përmes përmirësimit të legjislacionit dhe ngritjes </w:t>
            </w:r>
            <w:r w:rsidR="00E95A0C" w:rsidRPr="00554FAF">
              <w:rPr>
                <w:rFonts w:ascii="Times New Roman" w:hAnsi="Times New Roman" w:cs="Times New Roman"/>
                <w:bCs/>
                <w:sz w:val="24"/>
                <w:szCs w:val="24"/>
              </w:rPr>
              <w:t>së</w:t>
            </w:r>
            <w:r w:rsidRPr="00554FAF">
              <w:rPr>
                <w:rFonts w:ascii="Times New Roman" w:hAnsi="Times New Roman" w:cs="Times New Roman"/>
                <w:bCs/>
                <w:sz w:val="24"/>
                <w:szCs w:val="24"/>
              </w:rPr>
              <w:t xml:space="preserve"> kapacitetit të mekanizmave që sigurojnë cilësinë e ofruar nga institucionet e arsimit të lartë (IAL), fillimin e profilizimit të IAL-ve konform nevojave socio-ekonomike dhe trendeve bashkëkohore, si dhe përmirësimin e performansës së IAL-ve bazuar në ridizejnimin e formulës së financimit.</w:t>
            </w:r>
          </w:p>
          <w:tbl>
            <w:tblPr>
              <w:tblW w:w="9702" w:type="dxa"/>
              <w:tblLook w:val="04A0" w:firstRow="1" w:lastRow="0" w:firstColumn="1" w:lastColumn="0" w:noHBand="0" w:noVBand="1"/>
            </w:tblPr>
            <w:tblGrid>
              <w:gridCol w:w="9702"/>
            </w:tblGrid>
            <w:tr w:rsidR="00E63960" w:rsidRPr="00554FAF" w14:paraId="6999B244" w14:textId="77777777" w:rsidTr="00E63960">
              <w:tc>
                <w:tcPr>
                  <w:tcW w:w="9702" w:type="dxa"/>
                  <w:shd w:val="clear" w:color="auto" w:fill="5B9BD5" w:themeFill="accent1"/>
                </w:tcPr>
                <w:p w14:paraId="0BEBA15A" w14:textId="37D4A5BD" w:rsidR="00E63960" w:rsidRPr="00554FAF" w:rsidRDefault="00E63960" w:rsidP="005A5112">
                  <w:pPr>
                    <w:spacing w:after="60" w:line="240" w:lineRule="auto"/>
                    <w:rPr>
                      <w:rFonts w:ascii="Times New Roman" w:hAnsi="Times New Roman" w:cs="Times New Roman"/>
                      <w:b/>
                      <w:sz w:val="24"/>
                      <w:szCs w:val="24"/>
                    </w:rPr>
                  </w:pPr>
                  <w:r w:rsidRPr="00554FAF">
                    <w:rPr>
                      <w:rFonts w:ascii="Times New Roman" w:hAnsi="Times New Roman" w:cs="Times New Roman"/>
                      <w:b/>
                      <w:sz w:val="24"/>
                      <w:szCs w:val="24"/>
                    </w:rPr>
                    <w:t xml:space="preserve">VII. </w:t>
                  </w:r>
                  <w:r w:rsidR="005D7287" w:rsidRPr="00554FAF">
                    <w:rPr>
                      <w:rFonts w:ascii="Times New Roman" w:hAnsi="Times New Roman" w:cs="Times New Roman"/>
                      <w:b/>
                      <w:sz w:val="24"/>
                      <w:szCs w:val="24"/>
                    </w:rPr>
                    <w:t>Punësimi dhe tregu i punës</w:t>
                  </w:r>
                  <w:r w:rsidRPr="00554FAF">
                    <w:rPr>
                      <w:rFonts w:ascii="Times New Roman" w:hAnsi="Times New Roman" w:cs="Times New Roman"/>
                      <w:b/>
                      <w:sz w:val="24"/>
                      <w:szCs w:val="24"/>
                    </w:rPr>
                    <w:t xml:space="preserve">  </w:t>
                  </w:r>
                </w:p>
              </w:tc>
            </w:tr>
          </w:tbl>
          <w:p w14:paraId="4858B9DD" w14:textId="0E24CBB9" w:rsidR="00E63960" w:rsidRPr="00554FAF" w:rsidRDefault="00E63960" w:rsidP="000702CB">
            <w:pPr>
              <w:spacing w:after="60"/>
              <w:jc w:val="both"/>
              <w:rPr>
                <w:rFonts w:ascii="Times New Roman" w:hAnsi="Times New Roman" w:cs="Times New Roman"/>
                <w:bCs/>
                <w:sz w:val="24"/>
                <w:szCs w:val="24"/>
              </w:rPr>
            </w:pPr>
            <w:r w:rsidRPr="00554FAF">
              <w:rPr>
                <w:rFonts w:ascii="Times New Roman" w:hAnsi="Times New Roman" w:cs="Times New Roman"/>
                <w:b/>
                <w:bCs/>
                <w:sz w:val="24"/>
                <w:szCs w:val="24"/>
              </w:rPr>
              <w:t xml:space="preserve">Masa #19: </w:t>
            </w:r>
            <w:r w:rsidR="00EF2490" w:rsidRPr="00554FAF">
              <w:rPr>
                <w:rFonts w:ascii="Times New Roman" w:hAnsi="Times New Roman" w:cs="Times New Roman"/>
                <w:b/>
                <w:bCs/>
                <w:sz w:val="24"/>
                <w:szCs w:val="24"/>
              </w:rPr>
              <w:t xml:space="preserve">Përmirësimi dhe zgjerimi i shërbimeve publike të punësimit dhe rritja e punësimit të të papunëve afatgjatë, të </w:t>
            </w:r>
            <w:r w:rsidR="004A2969" w:rsidRPr="00554FAF">
              <w:rPr>
                <w:rFonts w:ascii="Times New Roman" w:hAnsi="Times New Roman" w:cs="Times New Roman"/>
                <w:b/>
                <w:bCs/>
                <w:sz w:val="24"/>
                <w:szCs w:val="24"/>
              </w:rPr>
              <w:t>rinjve</w:t>
            </w:r>
            <w:r w:rsidR="00EF2490" w:rsidRPr="00554FAF">
              <w:rPr>
                <w:rFonts w:ascii="Times New Roman" w:hAnsi="Times New Roman" w:cs="Times New Roman"/>
                <w:b/>
                <w:bCs/>
                <w:sz w:val="24"/>
                <w:szCs w:val="24"/>
              </w:rPr>
              <w:t>, grave dhe grupeve tjera të cenueshme</w:t>
            </w:r>
            <w:r w:rsidR="00E95A0C" w:rsidRPr="00554FAF">
              <w:rPr>
                <w:rFonts w:ascii="Times New Roman" w:hAnsi="Times New Roman" w:cs="Times New Roman"/>
                <w:b/>
                <w:bCs/>
                <w:sz w:val="24"/>
                <w:szCs w:val="24"/>
              </w:rPr>
              <w:t>:</w:t>
            </w:r>
            <w:r w:rsidRPr="00554FAF">
              <w:rPr>
                <w:rFonts w:ascii="Times New Roman" w:hAnsi="Times New Roman" w:cs="Times New Roman"/>
                <w:b/>
                <w:bCs/>
                <w:sz w:val="24"/>
                <w:szCs w:val="24"/>
              </w:rPr>
              <w:t xml:space="preserve"> </w:t>
            </w:r>
            <w:r w:rsidR="00E95A0C" w:rsidRPr="00554FAF">
              <w:rPr>
                <w:rFonts w:ascii="Times New Roman" w:hAnsi="Times New Roman" w:cs="Times New Roman"/>
                <w:bCs/>
                <w:sz w:val="24"/>
                <w:szCs w:val="24"/>
              </w:rPr>
              <w:t>qëllimi kryesor i kësaj mase është</w:t>
            </w:r>
            <w:r w:rsidRPr="00554FAF">
              <w:rPr>
                <w:rFonts w:ascii="Times New Roman" w:hAnsi="Times New Roman" w:cs="Times New Roman"/>
                <w:bCs/>
                <w:sz w:val="24"/>
                <w:szCs w:val="24"/>
              </w:rPr>
              <w:t xml:space="preserve"> ngritj</w:t>
            </w:r>
            <w:r w:rsidR="00E95A0C" w:rsidRPr="00554FAF">
              <w:rPr>
                <w:rFonts w:ascii="Times New Roman" w:hAnsi="Times New Roman" w:cs="Times New Roman"/>
                <w:bCs/>
                <w:sz w:val="24"/>
                <w:szCs w:val="24"/>
              </w:rPr>
              <w:t xml:space="preserve">a </w:t>
            </w:r>
            <w:r w:rsidRPr="00554FAF">
              <w:rPr>
                <w:rFonts w:ascii="Times New Roman" w:hAnsi="Times New Roman" w:cs="Times New Roman"/>
                <w:bCs/>
                <w:sz w:val="24"/>
                <w:szCs w:val="24"/>
              </w:rPr>
              <w:t xml:space="preserve">e punësueshmërisë së grupeve të </w:t>
            </w:r>
            <w:r w:rsidR="00A356E8" w:rsidRPr="00554FAF">
              <w:rPr>
                <w:rFonts w:ascii="Times New Roman" w:hAnsi="Times New Roman" w:cs="Times New Roman"/>
                <w:bCs/>
                <w:sz w:val="24"/>
                <w:szCs w:val="24"/>
              </w:rPr>
              <w:t>cenuara</w:t>
            </w:r>
            <w:r w:rsidRPr="00554FAF">
              <w:rPr>
                <w:rFonts w:ascii="Times New Roman" w:hAnsi="Times New Roman" w:cs="Times New Roman"/>
                <w:bCs/>
                <w:sz w:val="24"/>
                <w:szCs w:val="24"/>
              </w:rPr>
              <w:t>, me theks të veçantë të papunët afatgjatë, të rinjtë, gratë, personat në varfëri, duke përfshirë ata me vendbanim rural.</w:t>
            </w:r>
          </w:p>
          <w:tbl>
            <w:tblPr>
              <w:tblW w:w="9702" w:type="dxa"/>
              <w:tblLook w:val="04A0" w:firstRow="1" w:lastRow="0" w:firstColumn="1" w:lastColumn="0" w:noHBand="0" w:noVBand="1"/>
            </w:tblPr>
            <w:tblGrid>
              <w:gridCol w:w="9702"/>
            </w:tblGrid>
            <w:tr w:rsidR="00E63960" w:rsidRPr="00554FAF" w14:paraId="21014B40" w14:textId="77777777" w:rsidTr="00E63960">
              <w:tc>
                <w:tcPr>
                  <w:tcW w:w="9702" w:type="dxa"/>
                  <w:shd w:val="clear" w:color="auto" w:fill="5B9BD5" w:themeFill="accent1"/>
                </w:tcPr>
                <w:p w14:paraId="0EDF20FD" w14:textId="77777777" w:rsidR="00E63960" w:rsidRPr="00554FAF" w:rsidRDefault="00E63960" w:rsidP="000702CB">
                  <w:pPr>
                    <w:spacing w:after="60" w:line="240" w:lineRule="auto"/>
                    <w:rPr>
                      <w:rFonts w:ascii="Times New Roman" w:hAnsi="Times New Roman" w:cs="Times New Roman"/>
                      <w:b/>
                      <w:sz w:val="24"/>
                      <w:szCs w:val="24"/>
                    </w:rPr>
                  </w:pPr>
                  <w:r w:rsidRPr="00554FAF">
                    <w:rPr>
                      <w:rFonts w:ascii="Times New Roman" w:hAnsi="Times New Roman" w:cs="Times New Roman"/>
                      <w:b/>
                      <w:sz w:val="24"/>
                      <w:szCs w:val="24"/>
                    </w:rPr>
                    <w:t>VII. Përfshirja sociale, ulja e varfërisë dhe mundësitë e barabarta</w:t>
                  </w:r>
                </w:p>
              </w:tc>
            </w:tr>
          </w:tbl>
          <w:p w14:paraId="16DF5C61" w14:textId="1D42CC10" w:rsidR="00E63960" w:rsidRPr="00554FAF" w:rsidRDefault="00E63960" w:rsidP="000702CB">
            <w:pPr>
              <w:spacing w:after="60"/>
              <w:jc w:val="both"/>
              <w:rPr>
                <w:rFonts w:ascii="Times New Roman" w:hAnsi="Times New Roman" w:cs="Times New Roman"/>
                <w:sz w:val="24"/>
                <w:szCs w:val="24"/>
              </w:rPr>
            </w:pPr>
            <w:r w:rsidRPr="00554FAF">
              <w:rPr>
                <w:rFonts w:ascii="Times New Roman" w:hAnsi="Times New Roman" w:cs="Times New Roman"/>
                <w:b/>
                <w:bCs/>
                <w:sz w:val="24"/>
                <w:szCs w:val="24"/>
              </w:rPr>
              <w:t>Masa #20: Përmirësimi i shërbimeve sociale dhe fuqizimi i grupeve të përjashtuara</w:t>
            </w:r>
            <w:r w:rsidR="00E95A0C" w:rsidRPr="00554FAF">
              <w:rPr>
                <w:rFonts w:ascii="Times New Roman" w:hAnsi="Times New Roman" w:cs="Times New Roman"/>
                <w:b/>
                <w:bCs/>
                <w:sz w:val="24"/>
                <w:szCs w:val="24"/>
              </w:rPr>
              <w:t>:</w:t>
            </w:r>
            <w:r w:rsidRPr="00554FAF">
              <w:rPr>
                <w:rFonts w:ascii="Times New Roman" w:hAnsi="Times New Roman" w:cs="Times New Roman"/>
                <w:b/>
                <w:bCs/>
                <w:sz w:val="24"/>
                <w:szCs w:val="24"/>
              </w:rPr>
              <w:t xml:space="preserve"> </w:t>
            </w:r>
            <w:r w:rsidR="00E95A0C" w:rsidRPr="00554FAF">
              <w:rPr>
                <w:rFonts w:ascii="Times New Roman" w:hAnsi="Times New Roman" w:cs="Times New Roman"/>
                <w:bCs/>
                <w:sz w:val="24"/>
                <w:szCs w:val="24"/>
              </w:rPr>
              <w:t>qëllimi kryesor i kësaj mase është</w:t>
            </w:r>
            <w:r w:rsidR="00E95A0C" w:rsidRPr="00554FAF" w:rsidDel="00E95A0C">
              <w:rPr>
                <w:rFonts w:ascii="Times New Roman" w:hAnsi="Times New Roman" w:cs="Times New Roman"/>
                <w:bCs/>
                <w:sz w:val="24"/>
                <w:szCs w:val="24"/>
              </w:rPr>
              <w:t xml:space="preserve"> </w:t>
            </w:r>
            <w:r w:rsidRPr="00554FAF">
              <w:rPr>
                <w:rFonts w:ascii="Times New Roman" w:hAnsi="Times New Roman" w:cs="Times New Roman"/>
                <w:bCs/>
                <w:sz w:val="24"/>
                <w:szCs w:val="24"/>
              </w:rPr>
              <w:t xml:space="preserve">avancimi i shërbimeve </w:t>
            </w:r>
            <w:r w:rsidR="00A356E8" w:rsidRPr="00554FAF">
              <w:rPr>
                <w:rFonts w:ascii="Times New Roman" w:hAnsi="Times New Roman" w:cs="Times New Roman"/>
                <w:bCs/>
                <w:sz w:val="24"/>
                <w:szCs w:val="24"/>
              </w:rPr>
              <w:t>sociale, rritja</w:t>
            </w:r>
            <w:r w:rsidRPr="00554FAF">
              <w:rPr>
                <w:rFonts w:ascii="Times New Roman" w:hAnsi="Times New Roman" w:cs="Times New Roman"/>
                <w:bCs/>
                <w:sz w:val="24"/>
                <w:szCs w:val="24"/>
              </w:rPr>
              <w:t xml:space="preserve"> e mbulueshmërisë së varfërisë nga skema e ndihmës sociale, rritja e numrit dhe </w:t>
            </w:r>
            <w:r w:rsidR="00A356E8" w:rsidRPr="00554FAF">
              <w:rPr>
                <w:rFonts w:ascii="Times New Roman" w:hAnsi="Times New Roman" w:cs="Times New Roman"/>
                <w:bCs/>
                <w:sz w:val="24"/>
                <w:szCs w:val="24"/>
              </w:rPr>
              <w:t>cilësisë</w:t>
            </w:r>
            <w:r w:rsidRPr="00554FAF">
              <w:rPr>
                <w:rFonts w:ascii="Times New Roman" w:hAnsi="Times New Roman" w:cs="Times New Roman"/>
                <w:bCs/>
                <w:sz w:val="24"/>
                <w:szCs w:val="24"/>
              </w:rPr>
              <w:t xml:space="preserve"> se  shërbimeve sipas standardeve të </w:t>
            </w:r>
            <w:r w:rsidR="00A356E8" w:rsidRPr="00554FAF">
              <w:rPr>
                <w:rFonts w:ascii="Times New Roman" w:hAnsi="Times New Roman" w:cs="Times New Roman"/>
                <w:bCs/>
                <w:sz w:val="24"/>
                <w:szCs w:val="24"/>
              </w:rPr>
              <w:t>shërbimeve</w:t>
            </w:r>
            <w:r w:rsidRPr="00554FAF">
              <w:rPr>
                <w:rFonts w:ascii="Times New Roman" w:hAnsi="Times New Roman" w:cs="Times New Roman"/>
                <w:bCs/>
                <w:sz w:val="24"/>
                <w:szCs w:val="24"/>
              </w:rPr>
              <w:t xml:space="preserve"> sociale dhe rritja e numrit të </w:t>
            </w:r>
            <w:r w:rsidR="00A356E8" w:rsidRPr="00554FAF">
              <w:rPr>
                <w:rFonts w:ascii="Times New Roman" w:hAnsi="Times New Roman" w:cs="Times New Roman"/>
                <w:bCs/>
                <w:sz w:val="24"/>
                <w:szCs w:val="24"/>
              </w:rPr>
              <w:t>individëve</w:t>
            </w:r>
            <w:r w:rsidRPr="00554FAF">
              <w:rPr>
                <w:rFonts w:ascii="Times New Roman" w:hAnsi="Times New Roman" w:cs="Times New Roman"/>
                <w:bCs/>
                <w:sz w:val="24"/>
                <w:szCs w:val="24"/>
              </w:rPr>
              <w:t xml:space="preserve"> të punësuar në </w:t>
            </w:r>
            <w:r w:rsidR="00A356E8" w:rsidRPr="00554FAF">
              <w:rPr>
                <w:rFonts w:ascii="Times New Roman" w:hAnsi="Times New Roman" w:cs="Times New Roman"/>
                <w:bCs/>
                <w:sz w:val="24"/>
                <w:szCs w:val="24"/>
              </w:rPr>
              <w:t>ndërmarrjet</w:t>
            </w:r>
            <w:r w:rsidRPr="00554FAF">
              <w:rPr>
                <w:rFonts w:ascii="Times New Roman" w:hAnsi="Times New Roman" w:cs="Times New Roman"/>
                <w:bCs/>
                <w:sz w:val="24"/>
                <w:szCs w:val="24"/>
              </w:rPr>
              <w:t xml:space="preserve"> sociale.</w:t>
            </w:r>
          </w:p>
        </w:tc>
      </w:tr>
    </w:tbl>
    <w:p w14:paraId="0ED85B60" w14:textId="667D745B" w:rsidR="006114F2" w:rsidRPr="00554FAF" w:rsidRDefault="006114F2" w:rsidP="000702CB">
      <w:pPr>
        <w:pStyle w:val="Heading2"/>
        <w:spacing w:before="0"/>
        <w:rPr>
          <w:rFonts w:ascii="Times New Roman" w:hAnsi="Times New Roman"/>
          <w:b w:val="0"/>
          <w:sz w:val="24"/>
          <w:szCs w:val="24"/>
        </w:rPr>
      </w:pPr>
      <w:r w:rsidRPr="00554FAF">
        <w:rPr>
          <w:rFonts w:ascii="Times New Roman" w:hAnsi="Times New Roman"/>
          <w:b w:val="0"/>
          <w:sz w:val="24"/>
          <w:szCs w:val="24"/>
        </w:rPr>
        <w:t xml:space="preserve"> </w:t>
      </w:r>
      <w:bookmarkStart w:id="185" w:name="_bookmark24"/>
      <w:bookmarkStart w:id="186" w:name="_Toc13127893"/>
      <w:bookmarkEnd w:id="185"/>
    </w:p>
    <w:p w14:paraId="36780236" w14:textId="77777777" w:rsidR="00E3413B" w:rsidRPr="00FC648F" w:rsidRDefault="00E3413B" w:rsidP="00085F16">
      <w:pPr>
        <w:pStyle w:val="ERPL20"/>
        <w:rPr>
          <w:i/>
          <w:lang w:val="sq-AL"/>
        </w:rPr>
      </w:pPr>
      <w:bookmarkStart w:id="187" w:name="_Toc25533241"/>
      <w:bookmarkStart w:id="188" w:name="_Toc25873747"/>
      <w:r w:rsidRPr="00FC648F">
        <w:rPr>
          <w:lang w:val="sq-AL"/>
        </w:rPr>
        <w:t>4.3. Analiza sipas fushës dhe prioritetet e reformave strukturore</w:t>
      </w:r>
      <w:bookmarkEnd w:id="187"/>
      <w:bookmarkEnd w:id="188"/>
    </w:p>
    <w:p w14:paraId="34F99222" w14:textId="77777777" w:rsidR="00E3413B" w:rsidRPr="00FC648F" w:rsidRDefault="00E3413B" w:rsidP="00085F16">
      <w:pPr>
        <w:pStyle w:val="ERPL3"/>
        <w:rPr>
          <w:lang w:val="sq-AL"/>
        </w:rPr>
      </w:pPr>
      <w:bookmarkStart w:id="189" w:name="_Toc25533242"/>
      <w:bookmarkStart w:id="190" w:name="_Toc25873748"/>
      <w:r w:rsidRPr="00FC648F">
        <w:rPr>
          <w:lang w:val="sq-AL"/>
        </w:rPr>
        <w:t>4.3.1. Reforma e tregjeve të energjisë dhe transportit</w:t>
      </w:r>
      <w:bookmarkEnd w:id="189"/>
      <w:bookmarkEnd w:id="190"/>
      <w:r w:rsidRPr="00FC648F">
        <w:rPr>
          <w:lang w:val="sq-AL"/>
        </w:rPr>
        <w:t xml:space="preserve"> </w:t>
      </w:r>
    </w:p>
    <w:p w14:paraId="19AD2289" w14:textId="77777777" w:rsidR="00E3413B" w:rsidRPr="00554FAF" w:rsidRDefault="00E3413B" w:rsidP="000702CB">
      <w:pPr>
        <w:spacing w:after="60" w:line="240" w:lineRule="auto"/>
        <w:rPr>
          <w:rFonts w:ascii="Times New Roman" w:hAnsi="Times New Roman" w:cs="Times New Roman"/>
          <w:b/>
          <w:sz w:val="24"/>
          <w:szCs w:val="24"/>
        </w:rPr>
      </w:pPr>
      <w:r w:rsidRPr="00554FAF">
        <w:rPr>
          <w:rFonts w:ascii="Times New Roman" w:hAnsi="Times New Roman" w:cs="Times New Roman"/>
          <w:b/>
          <w:sz w:val="24"/>
          <w:szCs w:val="24"/>
        </w:rPr>
        <w:t xml:space="preserve">a. Analiza e pengesave kryesore </w:t>
      </w:r>
    </w:p>
    <w:p w14:paraId="5DC4BDB1" w14:textId="0BD0FA64" w:rsidR="00E3413B" w:rsidRPr="00554FAF" w:rsidRDefault="00E3413B" w:rsidP="00660459">
      <w:pPr>
        <w:spacing w:after="60" w:line="240" w:lineRule="auto"/>
        <w:jc w:val="both"/>
        <w:rPr>
          <w:rFonts w:ascii="Times New Roman" w:hAnsi="Times New Roman" w:cs="Times New Roman"/>
          <w:b/>
          <w:sz w:val="24"/>
          <w:szCs w:val="24"/>
        </w:rPr>
      </w:pPr>
      <w:r w:rsidRPr="00554FAF">
        <w:rPr>
          <w:rFonts w:ascii="Times New Roman" w:hAnsi="Times New Roman" w:cs="Times New Roman"/>
          <w:sz w:val="24"/>
          <w:szCs w:val="24"/>
        </w:rPr>
        <w:t>Siguria e energjisë është një nga pengesat kryesore për stabilitetin ekonomik. Një sektor i besueshëm</w:t>
      </w:r>
      <w:r w:rsidR="002A132E" w:rsidRPr="00554FAF">
        <w:rPr>
          <w:rFonts w:ascii="Times New Roman" w:hAnsi="Times New Roman" w:cs="Times New Roman"/>
          <w:sz w:val="24"/>
          <w:szCs w:val="24"/>
        </w:rPr>
        <w:t xml:space="preserve"> dhe</w:t>
      </w:r>
      <w:r w:rsidRPr="00554FAF">
        <w:rPr>
          <w:rFonts w:ascii="Times New Roman" w:hAnsi="Times New Roman" w:cs="Times New Roman"/>
          <w:sz w:val="24"/>
          <w:szCs w:val="24"/>
        </w:rPr>
        <w:t xml:space="preserve"> i përballueshëm i energjisë mbetet i </w:t>
      </w:r>
      <w:r w:rsidR="002A132E" w:rsidRPr="00554FAF">
        <w:rPr>
          <w:rFonts w:ascii="Times New Roman" w:hAnsi="Times New Roman" w:cs="Times New Roman"/>
          <w:sz w:val="24"/>
          <w:szCs w:val="24"/>
        </w:rPr>
        <w:t xml:space="preserve">paarritshëm </w:t>
      </w:r>
      <w:r w:rsidRPr="00554FAF">
        <w:rPr>
          <w:rFonts w:ascii="Times New Roman" w:hAnsi="Times New Roman" w:cs="Times New Roman"/>
          <w:sz w:val="24"/>
          <w:szCs w:val="24"/>
        </w:rPr>
        <w:t xml:space="preserve">në Kosovë. Furnizimi aktual me energji bazohet akoma në lëndën djegëse, përkatësisht 95.8% e energjisë elektrike prodhohet nga </w:t>
      </w:r>
      <w:r w:rsidR="002A132E" w:rsidRPr="00554FAF">
        <w:rPr>
          <w:rFonts w:ascii="Times New Roman" w:hAnsi="Times New Roman" w:cs="Times New Roman"/>
          <w:sz w:val="24"/>
          <w:szCs w:val="24"/>
        </w:rPr>
        <w:t>thëngjilli</w:t>
      </w:r>
      <w:r w:rsidRPr="00554FAF">
        <w:rPr>
          <w:rFonts w:ascii="Times New Roman" w:hAnsi="Times New Roman" w:cs="Times New Roman"/>
          <w:sz w:val="24"/>
          <w:szCs w:val="24"/>
        </w:rPr>
        <w:t>, 4.2% nga BER</w:t>
      </w:r>
      <w:r w:rsidR="002A132E" w:rsidRPr="00554FAF">
        <w:rPr>
          <w:rFonts w:ascii="Times New Roman" w:hAnsi="Times New Roman" w:cs="Times New Roman"/>
          <w:sz w:val="24"/>
          <w:szCs w:val="24"/>
        </w:rPr>
        <w:t>,</w:t>
      </w:r>
      <w:r w:rsidRPr="00554FAF">
        <w:rPr>
          <w:rFonts w:ascii="Times New Roman" w:hAnsi="Times New Roman" w:cs="Times New Roman"/>
          <w:sz w:val="24"/>
          <w:szCs w:val="24"/>
        </w:rPr>
        <w:t xml:space="preserve"> 3.8% nga hidrocentralet, 0.4% nga era dhe 0,1% nga dielli. Sa i përket kërkesës për ngrohje, vetëm 3 deri në 5% është e mbuluar nga ngrohja qendrore, ndërsa pjesa tjetër është e mbuluar kryesisht nga dru zjarri dhe biomasa. Konsumi</w:t>
      </w:r>
      <w:r w:rsidR="002A132E" w:rsidRPr="00554FAF">
        <w:rPr>
          <w:rFonts w:ascii="Times New Roman" w:hAnsi="Times New Roman" w:cs="Times New Roman"/>
          <w:sz w:val="24"/>
          <w:szCs w:val="24"/>
        </w:rPr>
        <w:t>mi</w:t>
      </w:r>
      <w:r w:rsidRPr="00554FAF">
        <w:rPr>
          <w:rFonts w:ascii="Times New Roman" w:hAnsi="Times New Roman" w:cs="Times New Roman"/>
          <w:sz w:val="24"/>
          <w:szCs w:val="24"/>
        </w:rPr>
        <w:t xml:space="preserve"> i energjisë për vitin 2018 ishte 401</w:t>
      </w:r>
      <w:r w:rsidR="009F61BF" w:rsidRPr="00554FAF">
        <w:rPr>
          <w:rFonts w:ascii="Times New Roman" w:hAnsi="Times New Roman" w:cs="Times New Roman"/>
          <w:sz w:val="24"/>
          <w:szCs w:val="24"/>
        </w:rPr>
        <w:t>7</w:t>
      </w:r>
      <w:r w:rsidRPr="00554FAF">
        <w:rPr>
          <w:rFonts w:ascii="Times New Roman" w:hAnsi="Times New Roman" w:cs="Times New Roman"/>
          <w:sz w:val="24"/>
          <w:szCs w:val="24"/>
        </w:rPr>
        <w:t xml:space="preserve"> KWh, </w:t>
      </w:r>
      <w:r w:rsidR="002A132E" w:rsidRPr="00554FAF">
        <w:rPr>
          <w:rFonts w:ascii="Times New Roman" w:hAnsi="Times New Roman" w:cs="Times New Roman"/>
          <w:sz w:val="24"/>
          <w:szCs w:val="24"/>
        </w:rPr>
        <w:t>prej të</w:t>
      </w:r>
      <w:r w:rsidRPr="00554FAF">
        <w:rPr>
          <w:rFonts w:ascii="Times New Roman" w:hAnsi="Times New Roman" w:cs="Times New Roman"/>
          <w:sz w:val="24"/>
          <w:szCs w:val="24"/>
        </w:rPr>
        <w:t xml:space="preserve"> cila</w:t>
      </w:r>
      <w:r w:rsidR="002A132E" w:rsidRPr="00554FAF">
        <w:rPr>
          <w:rFonts w:ascii="Times New Roman" w:hAnsi="Times New Roman" w:cs="Times New Roman"/>
          <w:sz w:val="24"/>
          <w:szCs w:val="24"/>
        </w:rPr>
        <w:t>ve</w:t>
      </w:r>
      <w:r w:rsidRPr="00554FAF">
        <w:rPr>
          <w:rFonts w:ascii="Times New Roman" w:hAnsi="Times New Roman" w:cs="Times New Roman"/>
          <w:sz w:val="24"/>
          <w:szCs w:val="24"/>
        </w:rPr>
        <w:t xml:space="preserve"> 65</w:t>
      </w:r>
      <w:r w:rsidR="009F61BF" w:rsidRPr="00554FAF">
        <w:rPr>
          <w:rFonts w:ascii="Times New Roman" w:hAnsi="Times New Roman" w:cs="Times New Roman"/>
          <w:sz w:val="24"/>
          <w:szCs w:val="24"/>
        </w:rPr>
        <w:t>9.2</w:t>
      </w:r>
      <w:r w:rsidRPr="00554FAF">
        <w:rPr>
          <w:rFonts w:ascii="Times New Roman" w:hAnsi="Times New Roman" w:cs="Times New Roman"/>
          <w:sz w:val="24"/>
          <w:szCs w:val="24"/>
        </w:rPr>
        <w:t xml:space="preserve"> KWH</w:t>
      </w:r>
      <w:r w:rsidR="002A132E" w:rsidRPr="00554FAF">
        <w:rPr>
          <w:rFonts w:ascii="Times New Roman" w:hAnsi="Times New Roman" w:cs="Times New Roman"/>
          <w:sz w:val="24"/>
          <w:szCs w:val="24"/>
        </w:rPr>
        <w:t>,</w:t>
      </w:r>
      <w:r w:rsidRPr="00554FAF">
        <w:rPr>
          <w:rFonts w:ascii="Times New Roman" w:hAnsi="Times New Roman" w:cs="Times New Roman"/>
          <w:sz w:val="24"/>
          <w:szCs w:val="24"/>
        </w:rPr>
        <w:t xml:space="preserve"> ose 16% e kërkesës totale u importua</w:t>
      </w:r>
      <w:r w:rsidR="002A132E" w:rsidRPr="00554FAF">
        <w:rPr>
          <w:rFonts w:ascii="Times New Roman" w:hAnsi="Times New Roman" w:cs="Times New Roman"/>
          <w:sz w:val="24"/>
          <w:szCs w:val="24"/>
        </w:rPr>
        <w:t>,</w:t>
      </w:r>
      <w:r w:rsidRPr="00554FAF">
        <w:rPr>
          <w:rFonts w:ascii="Times New Roman" w:hAnsi="Times New Roman" w:cs="Times New Roman"/>
          <w:sz w:val="24"/>
          <w:szCs w:val="24"/>
        </w:rPr>
        <w:t xml:space="preserve"> kurse 671.5 GWh ka qenë eksport</w:t>
      </w:r>
      <w:r w:rsidR="002A132E" w:rsidRPr="00554FAF">
        <w:rPr>
          <w:rFonts w:ascii="Times New Roman" w:hAnsi="Times New Roman" w:cs="Times New Roman"/>
          <w:sz w:val="24"/>
          <w:szCs w:val="24"/>
        </w:rPr>
        <w:t>.</w:t>
      </w:r>
    </w:p>
    <w:p w14:paraId="5FAE1859" w14:textId="5C08DD08" w:rsidR="00E3413B" w:rsidRPr="00554FAF" w:rsidRDefault="00E3413B"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sz w:val="24"/>
          <w:szCs w:val="24"/>
        </w:rPr>
        <w:t xml:space="preserve">Për </w:t>
      </w:r>
      <w:r w:rsidR="002A132E" w:rsidRPr="00554FAF">
        <w:rPr>
          <w:rFonts w:ascii="Times New Roman" w:hAnsi="Times New Roman" w:cs="Times New Roman"/>
          <w:sz w:val="24"/>
          <w:szCs w:val="24"/>
        </w:rPr>
        <w:t>të pasur</w:t>
      </w:r>
      <w:r w:rsidRPr="00554FAF">
        <w:rPr>
          <w:rFonts w:ascii="Times New Roman" w:hAnsi="Times New Roman" w:cs="Times New Roman"/>
          <w:sz w:val="24"/>
          <w:szCs w:val="24"/>
        </w:rPr>
        <w:t xml:space="preserve"> një ekonomi me </w:t>
      </w:r>
      <w:r w:rsidR="00F92DCB" w:rsidRPr="00554FAF">
        <w:rPr>
          <w:rFonts w:ascii="Times New Roman" w:hAnsi="Times New Roman" w:cs="Times New Roman"/>
          <w:sz w:val="24"/>
          <w:szCs w:val="24"/>
        </w:rPr>
        <w:t>shfryt</w:t>
      </w:r>
      <w:r w:rsidR="004A2969" w:rsidRPr="00554FAF">
        <w:rPr>
          <w:rFonts w:ascii="Times New Roman" w:hAnsi="Times New Roman" w:cs="Times New Roman"/>
          <w:sz w:val="24"/>
          <w:szCs w:val="24"/>
        </w:rPr>
        <w:t>ë</w:t>
      </w:r>
      <w:r w:rsidR="00F92DCB" w:rsidRPr="00554FAF">
        <w:rPr>
          <w:rFonts w:ascii="Times New Roman" w:hAnsi="Times New Roman" w:cs="Times New Roman"/>
          <w:sz w:val="24"/>
          <w:szCs w:val="24"/>
        </w:rPr>
        <w:t xml:space="preserve">zim </w:t>
      </w:r>
      <w:r w:rsidRPr="00554FAF">
        <w:rPr>
          <w:rFonts w:ascii="Times New Roman" w:hAnsi="Times New Roman" w:cs="Times New Roman"/>
          <w:sz w:val="24"/>
          <w:szCs w:val="24"/>
        </w:rPr>
        <w:t xml:space="preserve">efikas të burimeve, Kosova ka hyrë në një rrugë të reformave të energjisë, të cilat </w:t>
      </w:r>
      <w:r w:rsidR="002A132E" w:rsidRPr="00554FAF">
        <w:rPr>
          <w:rFonts w:ascii="Times New Roman" w:hAnsi="Times New Roman" w:cs="Times New Roman"/>
          <w:sz w:val="24"/>
          <w:szCs w:val="24"/>
        </w:rPr>
        <w:t>nëse</w:t>
      </w:r>
      <w:r w:rsidRPr="00554FAF">
        <w:rPr>
          <w:rFonts w:ascii="Times New Roman" w:hAnsi="Times New Roman" w:cs="Times New Roman"/>
          <w:sz w:val="24"/>
          <w:szCs w:val="24"/>
        </w:rPr>
        <w:t xml:space="preserve"> zbat</w:t>
      </w:r>
      <w:r w:rsidR="002A132E" w:rsidRPr="00554FAF">
        <w:rPr>
          <w:rFonts w:ascii="Times New Roman" w:hAnsi="Times New Roman" w:cs="Times New Roman"/>
          <w:sz w:val="24"/>
          <w:szCs w:val="24"/>
        </w:rPr>
        <w:t>ohen</w:t>
      </w:r>
      <w:r w:rsidRPr="00554FAF">
        <w:rPr>
          <w:rFonts w:ascii="Times New Roman" w:hAnsi="Times New Roman" w:cs="Times New Roman"/>
          <w:sz w:val="24"/>
          <w:szCs w:val="24"/>
        </w:rPr>
        <w:t xml:space="preserve"> me kohë dhe si duhet, do të </w:t>
      </w:r>
      <w:r w:rsidR="001F3A6A" w:rsidRPr="00554FAF">
        <w:rPr>
          <w:rFonts w:ascii="Times New Roman" w:hAnsi="Times New Roman" w:cs="Times New Roman"/>
          <w:sz w:val="24"/>
          <w:szCs w:val="24"/>
        </w:rPr>
        <w:t>arri</w:t>
      </w:r>
      <w:r w:rsidR="00F92DCB" w:rsidRPr="00554FAF">
        <w:rPr>
          <w:rFonts w:ascii="Times New Roman" w:hAnsi="Times New Roman" w:cs="Times New Roman"/>
          <w:sz w:val="24"/>
          <w:szCs w:val="24"/>
        </w:rPr>
        <w:t>hen</w:t>
      </w:r>
      <w:r w:rsidR="001F3A6A" w:rsidRPr="00554FAF">
        <w:rPr>
          <w:rFonts w:ascii="Times New Roman" w:hAnsi="Times New Roman" w:cs="Times New Roman"/>
          <w:sz w:val="24"/>
          <w:szCs w:val="24"/>
        </w:rPr>
        <w:t xml:space="preserve"> tërësisht </w:t>
      </w:r>
      <w:r w:rsidRPr="00554FAF">
        <w:rPr>
          <w:rFonts w:ascii="Times New Roman" w:hAnsi="Times New Roman" w:cs="Times New Roman"/>
          <w:sz w:val="24"/>
          <w:szCs w:val="24"/>
        </w:rPr>
        <w:t>përfitimet</w:t>
      </w:r>
      <w:r w:rsidR="001F3A6A" w:rsidRPr="00554FAF">
        <w:rPr>
          <w:rFonts w:ascii="Times New Roman" w:hAnsi="Times New Roman" w:cs="Times New Roman"/>
          <w:sz w:val="24"/>
          <w:szCs w:val="24"/>
        </w:rPr>
        <w:t xml:space="preserve"> si</w:t>
      </w:r>
      <w:r w:rsidRPr="00554FAF">
        <w:rPr>
          <w:rFonts w:ascii="Times New Roman" w:hAnsi="Times New Roman" w:cs="Times New Roman"/>
          <w:sz w:val="24"/>
          <w:szCs w:val="24"/>
        </w:rPr>
        <w:t>: shërbime të qëndrueshme, të sigurta dhe të përballueshme të energjisë. Investimet private dhe publike në sektorin e energjisë duhet të mobilizohen</w:t>
      </w:r>
      <w:r w:rsidR="001F3A6A" w:rsidRPr="00554FAF">
        <w:rPr>
          <w:rFonts w:ascii="Times New Roman" w:hAnsi="Times New Roman" w:cs="Times New Roman"/>
          <w:sz w:val="24"/>
          <w:szCs w:val="24"/>
        </w:rPr>
        <w:t xml:space="preserve"> dhe </w:t>
      </w:r>
      <w:r w:rsidRPr="00554FAF">
        <w:rPr>
          <w:rFonts w:ascii="Times New Roman" w:hAnsi="Times New Roman" w:cs="Times New Roman"/>
          <w:sz w:val="24"/>
          <w:szCs w:val="24"/>
        </w:rPr>
        <w:t>të drejtohen kryesisht drejt gjenerimit të ri të energjisë së ripërtëritshme dhe efikasitetit të energjisë, potenciali i të cilit si në aspektin e sigurisë së zgjeruar të furnizimit ashtu edhe të kontributit në reduktimin e emetimeve</w:t>
      </w:r>
      <w:r w:rsidR="001F3A6A" w:rsidRPr="00554FAF">
        <w:rPr>
          <w:rFonts w:ascii="Times New Roman" w:hAnsi="Times New Roman" w:cs="Times New Roman"/>
          <w:sz w:val="24"/>
          <w:szCs w:val="24"/>
        </w:rPr>
        <w:t>,</w:t>
      </w:r>
      <w:r w:rsidRPr="00554FAF">
        <w:rPr>
          <w:rFonts w:ascii="Times New Roman" w:hAnsi="Times New Roman" w:cs="Times New Roman"/>
          <w:sz w:val="24"/>
          <w:szCs w:val="24"/>
        </w:rPr>
        <w:t xml:space="preserve"> mbetet i pashfrytëzuar. Është thelbësore të theksohet se mosmarrëveshj</w:t>
      </w:r>
      <w:r w:rsidR="001F3A6A" w:rsidRPr="00554FAF">
        <w:rPr>
          <w:rFonts w:ascii="Times New Roman" w:hAnsi="Times New Roman" w:cs="Times New Roman"/>
          <w:sz w:val="24"/>
          <w:szCs w:val="24"/>
        </w:rPr>
        <w:t>et e vazhdueshme</w:t>
      </w:r>
      <w:r w:rsidRPr="00554FAF">
        <w:rPr>
          <w:rFonts w:ascii="Times New Roman" w:hAnsi="Times New Roman" w:cs="Times New Roman"/>
          <w:sz w:val="24"/>
          <w:szCs w:val="24"/>
        </w:rPr>
        <w:t xml:space="preserve"> me Serbinë ka</w:t>
      </w:r>
      <w:r w:rsidR="001F3A6A" w:rsidRPr="00554FAF">
        <w:rPr>
          <w:rFonts w:ascii="Times New Roman" w:hAnsi="Times New Roman" w:cs="Times New Roman"/>
          <w:sz w:val="24"/>
          <w:szCs w:val="24"/>
        </w:rPr>
        <w:t>në</w:t>
      </w:r>
      <w:r w:rsidRPr="00554FAF">
        <w:rPr>
          <w:rFonts w:ascii="Times New Roman" w:hAnsi="Times New Roman" w:cs="Times New Roman"/>
          <w:sz w:val="24"/>
          <w:szCs w:val="24"/>
        </w:rPr>
        <w:t xml:space="preserve"> acaruar problemet e sektorit të energjisë në lidhje me liberalizimin e tregut dhe p</w:t>
      </w:r>
      <w:r w:rsidR="001F3A6A" w:rsidRPr="00554FAF">
        <w:rPr>
          <w:rFonts w:ascii="Times New Roman" w:hAnsi="Times New Roman" w:cs="Times New Roman"/>
          <w:sz w:val="24"/>
          <w:szCs w:val="24"/>
        </w:rPr>
        <w:t>ë</w:t>
      </w:r>
      <w:r w:rsidRPr="00554FAF">
        <w:rPr>
          <w:rFonts w:ascii="Times New Roman" w:hAnsi="Times New Roman" w:cs="Times New Roman"/>
          <w:sz w:val="24"/>
          <w:szCs w:val="24"/>
        </w:rPr>
        <w:t>rfundimin e tregut rajonal t</w:t>
      </w:r>
      <w:r w:rsidR="001F3A6A" w:rsidRPr="00554FAF">
        <w:rPr>
          <w:rFonts w:ascii="Times New Roman" w:hAnsi="Times New Roman" w:cs="Times New Roman"/>
          <w:sz w:val="24"/>
          <w:szCs w:val="24"/>
        </w:rPr>
        <w:t>ë</w:t>
      </w:r>
      <w:r w:rsidRPr="00554FAF">
        <w:rPr>
          <w:rFonts w:ascii="Times New Roman" w:hAnsi="Times New Roman" w:cs="Times New Roman"/>
          <w:sz w:val="24"/>
          <w:szCs w:val="24"/>
        </w:rPr>
        <w:t xml:space="preserve"> energjis</w:t>
      </w:r>
      <w:r w:rsidR="001F3A6A" w:rsidRPr="00554FAF">
        <w:rPr>
          <w:rFonts w:ascii="Times New Roman" w:hAnsi="Times New Roman" w:cs="Times New Roman"/>
          <w:sz w:val="24"/>
          <w:szCs w:val="24"/>
        </w:rPr>
        <w:t>ë</w:t>
      </w:r>
      <w:r w:rsidRPr="00554FAF">
        <w:rPr>
          <w:rFonts w:ascii="Times New Roman" w:hAnsi="Times New Roman" w:cs="Times New Roman"/>
          <w:sz w:val="24"/>
          <w:szCs w:val="24"/>
        </w:rPr>
        <w:t xml:space="preserve"> elektrike. Një treg i integruar i energjisë i siguron sistemit fleksibilitetin e nevojshëm për të qenë në gjendje të integrojë një pjesë të lartë të energjisë së ripërtërishme dhe t</w:t>
      </w:r>
      <w:r w:rsidR="001F3A6A" w:rsidRPr="00554FAF">
        <w:rPr>
          <w:rFonts w:ascii="Times New Roman" w:hAnsi="Times New Roman" w:cs="Times New Roman"/>
          <w:sz w:val="24"/>
          <w:szCs w:val="24"/>
        </w:rPr>
        <w:t>ë</w:t>
      </w:r>
      <w:r w:rsidRPr="00554FAF">
        <w:rPr>
          <w:rFonts w:ascii="Times New Roman" w:hAnsi="Times New Roman" w:cs="Times New Roman"/>
          <w:sz w:val="24"/>
          <w:szCs w:val="24"/>
        </w:rPr>
        <w:t xml:space="preserve"> mbuloj</w:t>
      </w:r>
      <w:r w:rsidR="001F3A6A" w:rsidRPr="00554FAF">
        <w:rPr>
          <w:rFonts w:ascii="Times New Roman" w:hAnsi="Times New Roman" w:cs="Times New Roman"/>
          <w:sz w:val="24"/>
          <w:szCs w:val="24"/>
        </w:rPr>
        <w:t>ë</w:t>
      </w:r>
      <w:r w:rsidRPr="00554FAF">
        <w:rPr>
          <w:rFonts w:ascii="Times New Roman" w:hAnsi="Times New Roman" w:cs="Times New Roman"/>
          <w:sz w:val="24"/>
          <w:szCs w:val="24"/>
        </w:rPr>
        <w:t xml:space="preserve"> k</w:t>
      </w:r>
      <w:r w:rsidR="001F3A6A" w:rsidRPr="00554FAF">
        <w:rPr>
          <w:rFonts w:ascii="Times New Roman" w:hAnsi="Times New Roman" w:cs="Times New Roman"/>
          <w:sz w:val="24"/>
          <w:szCs w:val="24"/>
        </w:rPr>
        <w:t>ë</w:t>
      </w:r>
      <w:r w:rsidRPr="00554FAF">
        <w:rPr>
          <w:rFonts w:ascii="Times New Roman" w:hAnsi="Times New Roman" w:cs="Times New Roman"/>
          <w:sz w:val="24"/>
          <w:szCs w:val="24"/>
        </w:rPr>
        <w:t>rkes</w:t>
      </w:r>
      <w:r w:rsidR="001F3A6A" w:rsidRPr="00554FAF">
        <w:rPr>
          <w:rFonts w:ascii="Times New Roman" w:hAnsi="Times New Roman" w:cs="Times New Roman"/>
          <w:sz w:val="24"/>
          <w:szCs w:val="24"/>
        </w:rPr>
        <w:t>ë</w:t>
      </w:r>
      <w:r w:rsidRPr="00554FAF">
        <w:rPr>
          <w:rFonts w:ascii="Times New Roman" w:hAnsi="Times New Roman" w:cs="Times New Roman"/>
          <w:sz w:val="24"/>
          <w:szCs w:val="24"/>
        </w:rPr>
        <w:t>n e lart</w:t>
      </w:r>
      <w:r w:rsidR="001F3A6A" w:rsidRPr="00554FAF">
        <w:rPr>
          <w:rFonts w:ascii="Times New Roman" w:hAnsi="Times New Roman" w:cs="Times New Roman"/>
          <w:sz w:val="24"/>
          <w:szCs w:val="24"/>
        </w:rPr>
        <w:t>ë</w:t>
      </w:r>
      <w:r w:rsidRPr="00554FAF">
        <w:rPr>
          <w:rFonts w:ascii="Times New Roman" w:hAnsi="Times New Roman" w:cs="Times New Roman"/>
          <w:sz w:val="24"/>
          <w:szCs w:val="24"/>
        </w:rPr>
        <w:t>.</w:t>
      </w:r>
      <w:r w:rsidR="001F3A6A" w:rsidRPr="00554FAF">
        <w:rPr>
          <w:rFonts w:ascii="Times New Roman" w:hAnsi="Times New Roman" w:cs="Times New Roman"/>
          <w:sz w:val="24"/>
          <w:szCs w:val="24"/>
        </w:rPr>
        <w:t xml:space="preserve"> </w:t>
      </w:r>
      <w:r w:rsidRPr="00554FAF">
        <w:rPr>
          <w:rFonts w:ascii="Times New Roman" w:hAnsi="Times New Roman" w:cs="Times New Roman"/>
          <w:sz w:val="24"/>
          <w:szCs w:val="24"/>
        </w:rPr>
        <w:t>Operatori i Sistemit të Transmisionit (OST) nuk ka kontroll mbi flukset ndërkufitare të energjisë si rezultat i m</w:t>
      </w:r>
      <w:r w:rsidR="001F3A6A" w:rsidRPr="00554FAF">
        <w:rPr>
          <w:rFonts w:ascii="Times New Roman" w:hAnsi="Times New Roman" w:cs="Times New Roman"/>
          <w:sz w:val="24"/>
          <w:szCs w:val="24"/>
        </w:rPr>
        <w:t>ungesës së</w:t>
      </w:r>
      <w:r w:rsidRPr="00554FAF">
        <w:rPr>
          <w:rFonts w:ascii="Times New Roman" w:hAnsi="Times New Roman" w:cs="Times New Roman"/>
          <w:sz w:val="24"/>
          <w:szCs w:val="24"/>
        </w:rPr>
        <w:t xml:space="preserve"> </w:t>
      </w:r>
      <w:r w:rsidR="001F3A6A" w:rsidRPr="00554FAF">
        <w:rPr>
          <w:rFonts w:ascii="Times New Roman" w:hAnsi="Times New Roman" w:cs="Times New Roman"/>
          <w:sz w:val="24"/>
          <w:szCs w:val="24"/>
        </w:rPr>
        <w:t xml:space="preserve">zbatimit </w:t>
      </w:r>
      <w:r w:rsidRPr="00554FAF">
        <w:rPr>
          <w:rFonts w:ascii="Times New Roman" w:hAnsi="Times New Roman" w:cs="Times New Roman"/>
          <w:sz w:val="24"/>
          <w:szCs w:val="24"/>
        </w:rPr>
        <w:t>të Marrëveshjes së Energjisë midis Kosovës dhe Serbisë.</w:t>
      </w:r>
    </w:p>
    <w:p w14:paraId="34E9017F" w14:textId="54FFBFE2" w:rsidR="00E3413B" w:rsidRPr="00554FAF" w:rsidRDefault="001F3A6A"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b/>
          <w:sz w:val="24"/>
          <w:szCs w:val="24"/>
        </w:rPr>
        <w:t>T</w:t>
      </w:r>
      <w:r w:rsidR="00E3413B" w:rsidRPr="00554FAF">
        <w:rPr>
          <w:rFonts w:ascii="Times New Roman" w:hAnsi="Times New Roman" w:cs="Times New Roman"/>
          <w:b/>
          <w:sz w:val="24"/>
          <w:szCs w:val="24"/>
        </w:rPr>
        <w:t>ransportit:</w:t>
      </w:r>
      <w:r w:rsidR="00E3413B" w:rsidRPr="00554FAF">
        <w:rPr>
          <w:rFonts w:ascii="Times New Roman" w:hAnsi="Times New Roman" w:cs="Times New Roman"/>
          <w:sz w:val="24"/>
          <w:szCs w:val="24"/>
        </w:rPr>
        <w:t xml:space="preserve"> Rrugët përfaqësojnë më shumë se 90% të infrastrukturës së transportit në gjatësi dhe 98% ose 2105.5 km, në drejtim të ofrimit të shërbimeve. Kosova ka një “densitet të lartë të transportit rrugor”, duke marrë parasysh projektet që</w:t>
      </w:r>
      <w:r w:rsidRPr="00554FAF">
        <w:rPr>
          <w:rFonts w:ascii="Times New Roman" w:hAnsi="Times New Roman" w:cs="Times New Roman"/>
          <w:sz w:val="24"/>
          <w:szCs w:val="24"/>
        </w:rPr>
        <w:t xml:space="preserve"> u</w:t>
      </w:r>
      <w:r w:rsidR="00E3413B" w:rsidRPr="00554FAF">
        <w:rPr>
          <w:rFonts w:ascii="Times New Roman" w:hAnsi="Times New Roman" w:cs="Times New Roman"/>
          <w:sz w:val="24"/>
          <w:szCs w:val="24"/>
        </w:rPr>
        <w:t xml:space="preserve"> përfunduan në vitin 2019 në fushën e transportit (autostrad</w:t>
      </w:r>
      <w:r w:rsidRPr="00554FAF">
        <w:rPr>
          <w:rFonts w:ascii="Times New Roman" w:hAnsi="Times New Roman" w:cs="Times New Roman"/>
          <w:sz w:val="24"/>
          <w:szCs w:val="24"/>
        </w:rPr>
        <w:t>a</w:t>
      </w:r>
      <w:r w:rsidR="00E3413B" w:rsidRPr="00554FAF">
        <w:rPr>
          <w:rFonts w:ascii="Times New Roman" w:hAnsi="Times New Roman" w:cs="Times New Roman"/>
          <w:sz w:val="24"/>
          <w:szCs w:val="24"/>
        </w:rPr>
        <w:t xml:space="preserve"> nga Prishtina deri në kufi me Maqedoninë e Veriut) dhe ato që do të përfundojnë</w:t>
      </w:r>
      <w:r w:rsidRPr="00554FAF">
        <w:rPr>
          <w:rFonts w:ascii="Times New Roman" w:hAnsi="Times New Roman" w:cs="Times New Roman"/>
          <w:sz w:val="24"/>
          <w:szCs w:val="24"/>
        </w:rPr>
        <w:t xml:space="preserve"> </w:t>
      </w:r>
      <w:r w:rsidR="00E3413B" w:rsidRPr="00554FAF">
        <w:rPr>
          <w:rFonts w:ascii="Times New Roman" w:hAnsi="Times New Roman" w:cs="Times New Roman"/>
          <w:sz w:val="24"/>
          <w:szCs w:val="24"/>
        </w:rPr>
        <w:t>në vitin 2020 (autostradë nga Prishtina në Gjilan), gjendja e transportit rrugor do të përmirësohet ndjeshëm dhe do të ketë një ndikim në zhvillimin ekonomik.</w:t>
      </w:r>
    </w:p>
    <w:p w14:paraId="69EB45F1" w14:textId="3A7A2066" w:rsidR="00E3413B" w:rsidRPr="00554FAF" w:rsidRDefault="001F3A6A"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b/>
          <w:sz w:val="24"/>
          <w:szCs w:val="24"/>
        </w:rPr>
        <w:t>Transporti</w:t>
      </w:r>
      <w:r w:rsidR="00E3413B" w:rsidRPr="00554FAF">
        <w:rPr>
          <w:rFonts w:ascii="Times New Roman" w:hAnsi="Times New Roman" w:cs="Times New Roman"/>
          <w:b/>
          <w:sz w:val="24"/>
          <w:szCs w:val="24"/>
        </w:rPr>
        <w:t xml:space="preserve"> hekurudhor:</w:t>
      </w:r>
      <w:r w:rsidR="00E3413B" w:rsidRPr="00554FAF">
        <w:rPr>
          <w:rFonts w:ascii="Times New Roman" w:hAnsi="Times New Roman" w:cs="Times New Roman"/>
          <w:sz w:val="24"/>
          <w:szCs w:val="24"/>
        </w:rPr>
        <w:t xml:space="preserve"> Hekurudhat e Kosovës shtrihen në të gjithë territorin e Kosovës, me një gjatësi prej 335 km linjë hekurudhore të hapur, me një gjatësi prej 105 km në stacione dhe 103 km linja industriale, por kryesisht linjat hekurudhore kanë filluar të përmirësohe</w:t>
      </w:r>
      <w:r w:rsidR="00F92DCB" w:rsidRPr="00554FAF">
        <w:rPr>
          <w:rFonts w:ascii="Times New Roman" w:hAnsi="Times New Roman" w:cs="Times New Roman"/>
          <w:sz w:val="24"/>
          <w:szCs w:val="24"/>
        </w:rPr>
        <w:t>n</w:t>
      </w:r>
      <w:r w:rsidR="00E3413B" w:rsidRPr="00554FAF">
        <w:rPr>
          <w:rFonts w:ascii="Times New Roman" w:hAnsi="Times New Roman" w:cs="Times New Roman"/>
          <w:sz w:val="24"/>
          <w:szCs w:val="24"/>
        </w:rPr>
        <w:t xml:space="preserve"> për të siguruar siguri dhe shërbime më të mëdha (</w:t>
      </w:r>
      <w:r w:rsidR="00F92DCB" w:rsidRPr="00554FAF">
        <w:rPr>
          <w:rFonts w:ascii="Times New Roman" w:hAnsi="Times New Roman" w:cs="Times New Roman"/>
          <w:sz w:val="24"/>
          <w:szCs w:val="24"/>
        </w:rPr>
        <w:t xml:space="preserve">linja </w:t>
      </w:r>
      <w:r w:rsidR="00E3413B" w:rsidRPr="00554FAF">
        <w:rPr>
          <w:rFonts w:ascii="Times New Roman" w:hAnsi="Times New Roman" w:cs="Times New Roman"/>
          <w:sz w:val="24"/>
          <w:szCs w:val="24"/>
        </w:rPr>
        <w:t xml:space="preserve">hekurudhore 10). SEETO ka përcaktuar korridoret kryesore hekurudhore për Evropën </w:t>
      </w:r>
      <w:r w:rsidRPr="00554FAF">
        <w:rPr>
          <w:rFonts w:ascii="Times New Roman" w:hAnsi="Times New Roman" w:cs="Times New Roman"/>
          <w:sz w:val="24"/>
          <w:szCs w:val="24"/>
        </w:rPr>
        <w:t>j</w:t>
      </w:r>
      <w:r w:rsidR="00E3413B" w:rsidRPr="00554FAF">
        <w:rPr>
          <w:rFonts w:ascii="Times New Roman" w:hAnsi="Times New Roman" w:cs="Times New Roman"/>
          <w:sz w:val="24"/>
          <w:szCs w:val="24"/>
        </w:rPr>
        <w:t>ug</w:t>
      </w:r>
      <w:r w:rsidRPr="00554FAF">
        <w:rPr>
          <w:rFonts w:ascii="Times New Roman" w:hAnsi="Times New Roman" w:cs="Times New Roman"/>
          <w:sz w:val="24"/>
          <w:szCs w:val="24"/>
        </w:rPr>
        <w:t>l</w:t>
      </w:r>
      <w:r w:rsidR="00E3413B" w:rsidRPr="00554FAF">
        <w:rPr>
          <w:rFonts w:ascii="Times New Roman" w:hAnsi="Times New Roman" w:cs="Times New Roman"/>
          <w:sz w:val="24"/>
          <w:szCs w:val="24"/>
        </w:rPr>
        <w:t>indore</w:t>
      </w:r>
      <w:r w:rsidRPr="00554FAF">
        <w:rPr>
          <w:rFonts w:ascii="Times New Roman" w:hAnsi="Times New Roman" w:cs="Times New Roman"/>
          <w:sz w:val="24"/>
          <w:szCs w:val="24"/>
        </w:rPr>
        <w:t xml:space="preserve"> ku</w:t>
      </w:r>
      <w:r w:rsidR="00E3413B" w:rsidRPr="00554FAF">
        <w:rPr>
          <w:rFonts w:ascii="Times New Roman" w:hAnsi="Times New Roman" w:cs="Times New Roman"/>
          <w:sz w:val="24"/>
          <w:szCs w:val="24"/>
        </w:rPr>
        <w:t xml:space="preserve"> Kosova është pjesë e këtyre korridoreve me </w:t>
      </w:r>
      <w:r w:rsidR="00844FBF" w:rsidRPr="00554FAF">
        <w:rPr>
          <w:rFonts w:ascii="Times New Roman" w:hAnsi="Times New Roman" w:cs="Times New Roman"/>
          <w:sz w:val="24"/>
          <w:szCs w:val="24"/>
        </w:rPr>
        <w:t>linj</w:t>
      </w:r>
      <w:r w:rsidR="004A2969" w:rsidRPr="00554FAF">
        <w:rPr>
          <w:rFonts w:ascii="Times New Roman" w:hAnsi="Times New Roman" w:cs="Times New Roman"/>
          <w:sz w:val="24"/>
          <w:szCs w:val="24"/>
        </w:rPr>
        <w:t>ë</w:t>
      </w:r>
      <w:r w:rsidR="00844FBF" w:rsidRPr="00554FAF">
        <w:rPr>
          <w:rFonts w:ascii="Times New Roman" w:hAnsi="Times New Roman" w:cs="Times New Roman"/>
          <w:sz w:val="24"/>
          <w:szCs w:val="24"/>
        </w:rPr>
        <w:t xml:space="preserve">n </w:t>
      </w:r>
      <w:r w:rsidR="00E3413B" w:rsidRPr="00554FAF">
        <w:rPr>
          <w:rFonts w:ascii="Times New Roman" w:hAnsi="Times New Roman" w:cs="Times New Roman"/>
          <w:sz w:val="24"/>
          <w:szCs w:val="24"/>
        </w:rPr>
        <w:t xml:space="preserve">hekurudhore 10 (Leshak - Hani i Elezit) </w:t>
      </w:r>
      <w:r w:rsidR="00844FBF" w:rsidRPr="00554FAF">
        <w:rPr>
          <w:rFonts w:ascii="Times New Roman" w:hAnsi="Times New Roman" w:cs="Times New Roman"/>
          <w:sz w:val="24"/>
          <w:szCs w:val="24"/>
        </w:rPr>
        <w:t>e</w:t>
      </w:r>
      <w:r w:rsidR="00E3413B" w:rsidRPr="00554FAF">
        <w:rPr>
          <w:rFonts w:ascii="Times New Roman" w:hAnsi="Times New Roman" w:cs="Times New Roman"/>
          <w:sz w:val="24"/>
          <w:szCs w:val="24"/>
        </w:rPr>
        <w:t xml:space="preserve"> cil</w:t>
      </w:r>
      <w:r w:rsidR="00844FBF" w:rsidRPr="00554FAF">
        <w:rPr>
          <w:rFonts w:ascii="Times New Roman" w:hAnsi="Times New Roman" w:cs="Times New Roman"/>
          <w:sz w:val="24"/>
          <w:szCs w:val="24"/>
        </w:rPr>
        <w:t>a</w:t>
      </w:r>
      <w:r w:rsidR="00E3413B" w:rsidRPr="00554FAF">
        <w:rPr>
          <w:rFonts w:ascii="Times New Roman" w:hAnsi="Times New Roman" w:cs="Times New Roman"/>
          <w:sz w:val="24"/>
          <w:szCs w:val="24"/>
        </w:rPr>
        <w:t xml:space="preserve"> i përket rrjetit gjithëpërfshirës të SEETO dhe lidh Kosovën me Serbinë dhe Maqedoninë e Veriut, si dhe Linja hekurudhore 7 (Fushë Kosov</w:t>
      </w:r>
      <w:r w:rsidRPr="00554FAF">
        <w:rPr>
          <w:rFonts w:ascii="Times New Roman" w:hAnsi="Times New Roman" w:cs="Times New Roman"/>
          <w:sz w:val="24"/>
          <w:szCs w:val="24"/>
        </w:rPr>
        <w:t>ë</w:t>
      </w:r>
      <w:r w:rsidR="00E3413B" w:rsidRPr="00554FAF">
        <w:rPr>
          <w:rFonts w:ascii="Times New Roman" w:hAnsi="Times New Roman" w:cs="Times New Roman"/>
          <w:sz w:val="24"/>
          <w:szCs w:val="24"/>
        </w:rPr>
        <w:t xml:space="preserve"> - Prishtinë - Podujevë) e cila lidh Kosovën me Serbinë. Legjislacioni për hekurudhat është në përputhje me legjislacionin e BE-së dhe mundëson hapjen e tregut hekurudhor për ofrimin e shërbimeve të transportit për pasagjerë dhe mallra.</w:t>
      </w:r>
    </w:p>
    <w:p w14:paraId="01E72278" w14:textId="3BCF3290" w:rsidR="00E3413B" w:rsidRPr="00554FAF" w:rsidRDefault="001F3A6A"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b/>
          <w:sz w:val="24"/>
          <w:szCs w:val="24"/>
        </w:rPr>
        <w:t>T</w:t>
      </w:r>
      <w:r w:rsidR="00E3413B" w:rsidRPr="00554FAF">
        <w:rPr>
          <w:rFonts w:ascii="Times New Roman" w:hAnsi="Times New Roman" w:cs="Times New Roman"/>
          <w:b/>
          <w:sz w:val="24"/>
          <w:szCs w:val="24"/>
        </w:rPr>
        <w:t>ransporti ajror</w:t>
      </w:r>
      <w:r w:rsidR="00E3413B" w:rsidRPr="00554FAF">
        <w:rPr>
          <w:rFonts w:ascii="Times New Roman" w:hAnsi="Times New Roman" w:cs="Times New Roman"/>
          <w:sz w:val="24"/>
          <w:szCs w:val="24"/>
        </w:rPr>
        <w:t>: Kosova ka Aeroport</w:t>
      </w:r>
      <w:r w:rsidRPr="00554FAF">
        <w:rPr>
          <w:rFonts w:ascii="Times New Roman" w:hAnsi="Times New Roman" w:cs="Times New Roman"/>
          <w:sz w:val="24"/>
          <w:szCs w:val="24"/>
        </w:rPr>
        <w:t>in</w:t>
      </w:r>
      <w:r w:rsidR="00E3413B" w:rsidRPr="00554FAF">
        <w:rPr>
          <w:rFonts w:ascii="Times New Roman" w:hAnsi="Times New Roman" w:cs="Times New Roman"/>
          <w:sz w:val="24"/>
          <w:szCs w:val="24"/>
        </w:rPr>
        <w:t xml:space="preserve"> Ndërkombëtar "Adem Jashari", i cili është gjithashtu pjesë e rrjetit gjithëpërfshirës të SEETO. Duhet të theksohet se Kosova nuk ka një ligj të veçantë për transportin e mallrave, por ai </w:t>
      </w:r>
      <w:r w:rsidRPr="00554FAF">
        <w:rPr>
          <w:rFonts w:ascii="Times New Roman" w:hAnsi="Times New Roman" w:cs="Times New Roman"/>
          <w:sz w:val="24"/>
          <w:szCs w:val="24"/>
        </w:rPr>
        <w:t xml:space="preserve">do të bëhet </w:t>
      </w:r>
      <w:r w:rsidR="00E3413B" w:rsidRPr="00554FAF">
        <w:rPr>
          <w:rFonts w:ascii="Times New Roman" w:hAnsi="Times New Roman" w:cs="Times New Roman"/>
          <w:sz w:val="24"/>
          <w:szCs w:val="24"/>
        </w:rPr>
        <w:t xml:space="preserve">së bashku me atë të udhëtarëve. Zhvillimi i transportit ajror bazohet në </w:t>
      </w:r>
      <w:r w:rsidRPr="00554FAF">
        <w:rPr>
          <w:rFonts w:ascii="Times New Roman" w:hAnsi="Times New Roman" w:cs="Times New Roman"/>
          <w:sz w:val="24"/>
          <w:szCs w:val="24"/>
        </w:rPr>
        <w:t>m</w:t>
      </w:r>
      <w:r w:rsidR="00E3413B" w:rsidRPr="00554FAF">
        <w:rPr>
          <w:rFonts w:ascii="Times New Roman" w:hAnsi="Times New Roman" w:cs="Times New Roman"/>
          <w:sz w:val="24"/>
          <w:szCs w:val="24"/>
        </w:rPr>
        <w:t>arrëveshjen për përdorimin e hapësirës së përbashkët evropiane. Qeveria e Kosovës është duke hartuar politika strategjike për aviacionin civil që do të jenë pjesë e rishikimit të Strategjisë të Transportit që do të miratohet në vitin 2020.</w:t>
      </w:r>
    </w:p>
    <w:p w14:paraId="1B2208FF" w14:textId="6E65D8DE" w:rsidR="00E3413B" w:rsidRPr="00554FAF" w:rsidRDefault="00E3413B"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b/>
          <w:sz w:val="24"/>
          <w:szCs w:val="24"/>
        </w:rPr>
        <w:t>Pengesat strukturore</w:t>
      </w:r>
      <w:r w:rsidRPr="00554FAF">
        <w:rPr>
          <w:rFonts w:ascii="Times New Roman" w:hAnsi="Times New Roman" w:cs="Times New Roman"/>
          <w:sz w:val="24"/>
          <w:szCs w:val="24"/>
        </w:rPr>
        <w:t xml:space="preserve">: Pengesat kryesore strukturore në sektorin e energjisë janë: (i) </w:t>
      </w:r>
      <w:r w:rsidR="001F3A6A" w:rsidRPr="00554FAF">
        <w:rPr>
          <w:rFonts w:ascii="Times New Roman" w:hAnsi="Times New Roman" w:cs="Times New Roman"/>
          <w:sz w:val="24"/>
          <w:szCs w:val="24"/>
        </w:rPr>
        <w:t>i</w:t>
      </w:r>
      <w:r w:rsidRPr="00554FAF">
        <w:rPr>
          <w:rFonts w:ascii="Times New Roman" w:hAnsi="Times New Roman" w:cs="Times New Roman"/>
          <w:sz w:val="24"/>
          <w:szCs w:val="24"/>
        </w:rPr>
        <w:t>mpiantet të vjetërsuara të energjisë (megjithëse ndërtimi i "Kosova e Re" ka qenë në pritje për shkak të situatës politike)</w:t>
      </w:r>
      <w:r w:rsidR="001F3A6A" w:rsidRPr="00554FAF">
        <w:rPr>
          <w:rFonts w:ascii="Times New Roman" w:hAnsi="Times New Roman" w:cs="Times New Roman"/>
          <w:sz w:val="24"/>
          <w:szCs w:val="24"/>
        </w:rPr>
        <w:t>;</w:t>
      </w:r>
      <w:r w:rsidRPr="00554FAF">
        <w:rPr>
          <w:rFonts w:ascii="Times New Roman" w:hAnsi="Times New Roman" w:cs="Times New Roman"/>
          <w:sz w:val="24"/>
          <w:szCs w:val="24"/>
        </w:rPr>
        <w:t xml:space="preserve"> (ii) </w:t>
      </w:r>
      <w:r w:rsidR="001F3A6A" w:rsidRPr="00554FAF">
        <w:rPr>
          <w:rFonts w:ascii="Times New Roman" w:hAnsi="Times New Roman" w:cs="Times New Roman"/>
          <w:sz w:val="24"/>
          <w:szCs w:val="24"/>
        </w:rPr>
        <w:t>d</w:t>
      </w:r>
      <w:r w:rsidRPr="00554FAF">
        <w:rPr>
          <w:rFonts w:ascii="Times New Roman" w:hAnsi="Times New Roman" w:cs="Times New Roman"/>
          <w:sz w:val="24"/>
          <w:szCs w:val="24"/>
        </w:rPr>
        <w:t>iversitet i ulët i burimeve të energjisë</w:t>
      </w:r>
      <w:r w:rsidR="001F3A6A" w:rsidRPr="00554FAF">
        <w:rPr>
          <w:rFonts w:ascii="Times New Roman" w:hAnsi="Times New Roman" w:cs="Times New Roman"/>
          <w:sz w:val="24"/>
          <w:szCs w:val="24"/>
        </w:rPr>
        <w:t>;</w:t>
      </w:r>
      <w:r w:rsidRPr="00554FAF">
        <w:rPr>
          <w:rFonts w:ascii="Times New Roman" w:hAnsi="Times New Roman" w:cs="Times New Roman"/>
          <w:sz w:val="24"/>
          <w:szCs w:val="24"/>
        </w:rPr>
        <w:t xml:space="preserve"> (iii ) </w:t>
      </w:r>
      <w:r w:rsidR="001F3A6A" w:rsidRPr="00554FAF">
        <w:rPr>
          <w:rFonts w:ascii="Times New Roman" w:hAnsi="Times New Roman" w:cs="Times New Roman"/>
          <w:sz w:val="24"/>
          <w:szCs w:val="24"/>
        </w:rPr>
        <w:t>p</w:t>
      </w:r>
      <w:r w:rsidRPr="00554FAF">
        <w:rPr>
          <w:rFonts w:ascii="Times New Roman" w:hAnsi="Times New Roman" w:cs="Times New Roman"/>
          <w:sz w:val="24"/>
          <w:szCs w:val="24"/>
        </w:rPr>
        <w:t>ërdorimi i paautorizuar i sistemit të shpërndarjes së energjisë</w:t>
      </w:r>
      <w:r w:rsidR="001F3A6A" w:rsidRPr="00554FAF">
        <w:rPr>
          <w:rFonts w:ascii="Times New Roman" w:hAnsi="Times New Roman" w:cs="Times New Roman"/>
          <w:sz w:val="24"/>
          <w:szCs w:val="24"/>
        </w:rPr>
        <w:t>;</w:t>
      </w:r>
      <w:r w:rsidRPr="00554FAF">
        <w:rPr>
          <w:rFonts w:ascii="Times New Roman" w:hAnsi="Times New Roman" w:cs="Times New Roman"/>
          <w:sz w:val="24"/>
          <w:szCs w:val="24"/>
        </w:rPr>
        <w:t xml:space="preserve"> (iv) </w:t>
      </w:r>
      <w:r w:rsidR="001F3A6A" w:rsidRPr="00554FAF">
        <w:rPr>
          <w:rFonts w:ascii="Times New Roman" w:hAnsi="Times New Roman" w:cs="Times New Roman"/>
          <w:sz w:val="24"/>
          <w:szCs w:val="24"/>
        </w:rPr>
        <w:t>h</w:t>
      </w:r>
      <w:r w:rsidRPr="00554FAF">
        <w:rPr>
          <w:rFonts w:ascii="Times New Roman" w:hAnsi="Times New Roman" w:cs="Times New Roman"/>
          <w:sz w:val="24"/>
          <w:szCs w:val="24"/>
        </w:rPr>
        <w:t>umbjet teknike në sistemin e shpërndarjes së energjisë elektrike</w:t>
      </w:r>
      <w:r w:rsidR="001F3A6A" w:rsidRPr="00554FAF">
        <w:rPr>
          <w:rFonts w:ascii="Times New Roman" w:hAnsi="Times New Roman" w:cs="Times New Roman"/>
          <w:sz w:val="24"/>
          <w:szCs w:val="24"/>
        </w:rPr>
        <w:t>;</w:t>
      </w:r>
      <w:r w:rsidRPr="00554FAF">
        <w:rPr>
          <w:rFonts w:ascii="Times New Roman" w:hAnsi="Times New Roman" w:cs="Times New Roman"/>
          <w:sz w:val="24"/>
          <w:szCs w:val="24"/>
        </w:rPr>
        <w:t xml:space="preserve"> </w:t>
      </w:r>
      <w:r w:rsidR="001F3A6A" w:rsidRPr="00554FAF">
        <w:rPr>
          <w:rFonts w:ascii="Times New Roman" w:hAnsi="Times New Roman" w:cs="Times New Roman"/>
          <w:sz w:val="24"/>
          <w:szCs w:val="24"/>
        </w:rPr>
        <w:t xml:space="preserve">dhe </w:t>
      </w:r>
      <w:r w:rsidRPr="00554FAF">
        <w:rPr>
          <w:rFonts w:ascii="Times New Roman" w:hAnsi="Times New Roman" w:cs="Times New Roman"/>
          <w:sz w:val="24"/>
          <w:szCs w:val="24"/>
        </w:rPr>
        <w:t xml:space="preserve">(v) </w:t>
      </w:r>
      <w:r w:rsidR="001F3A6A" w:rsidRPr="00554FAF">
        <w:rPr>
          <w:rFonts w:ascii="Times New Roman" w:hAnsi="Times New Roman" w:cs="Times New Roman"/>
          <w:sz w:val="24"/>
          <w:szCs w:val="24"/>
        </w:rPr>
        <w:t>p</w:t>
      </w:r>
      <w:r w:rsidRPr="00554FAF">
        <w:rPr>
          <w:rFonts w:ascii="Times New Roman" w:hAnsi="Times New Roman" w:cs="Times New Roman"/>
          <w:sz w:val="24"/>
          <w:szCs w:val="24"/>
        </w:rPr>
        <w:t xml:space="preserve">ërdorimi joefikas i energjisë, veçanërisht në sektorin e banimit. Sa i përket transportit, </w:t>
      </w:r>
      <w:r w:rsidR="001F3A6A" w:rsidRPr="00554FAF">
        <w:rPr>
          <w:rFonts w:ascii="Times New Roman" w:hAnsi="Times New Roman" w:cs="Times New Roman"/>
          <w:b/>
          <w:sz w:val="24"/>
          <w:szCs w:val="24"/>
        </w:rPr>
        <w:t>p</w:t>
      </w:r>
      <w:r w:rsidRPr="00554FAF">
        <w:rPr>
          <w:rFonts w:ascii="Times New Roman" w:hAnsi="Times New Roman" w:cs="Times New Roman"/>
          <w:b/>
          <w:sz w:val="24"/>
          <w:szCs w:val="24"/>
        </w:rPr>
        <w:t>engesat kryesore në sektorin e transportit</w:t>
      </w:r>
      <w:r w:rsidRPr="00554FAF">
        <w:rPr>
          <w:rFonts w:ascii="Times New Roman" w:hAnsi="Times New Roman" w:cs="Times New Roman"/>
          <w:sz w:val="24"/>
          <w:szCs w:val="24"/>
        </w:rPr>
        <w:t xml:space="preserve">: (i) </w:t>
      </w:r>
      <w:r w:rsidR="001F3A6A" w:rsidRPr="00554FAF">
        <w:rPr>
          <w:rFonts w:ascii="Times New Roman" w:hAnsi="Times New Roman" w:cs="Times New Roman"/>
          <w:sz w:val="24"/>
          <w:szCs w:val="24"/>
        </w:rPr>
        <w:t>m</w:t>
      </w:r>
      <w:r w:rsidRPr="00554FAF">
        <w:rPr>
          <w:rFonts w:ascii="Times New Roman" w:hAnsi="Times New Roman" w:cs="Times New Roman"/>
          <w:sz w:val="24"/>
          <w:szCs w:val="24"/>
        </w:rPr>
        <w:t xml:space="preserve">irëmbajtja jo adekuate e rrugëve ekzistuese; (ii) </w:t>
      </w:r>
      <w:r w:rsidR="001F3A6A" w:rsidRPr="00554FAF">
        <w:rPr>
          <w:rFonts w:ascii="Times New Roman" w:hAnsi="Times New Roman" w:cs="Times New Roman"/>
          <w:sz w:val="24"/>
          <w:szCs w:val="24"/>
        </w:rPr>
        <w:t>g</w:t>
      </w:r>
      <w:r w:rsidRPr="00554FAF">
        <w:rPr>
          <w:rFonts w:ascii="Times New Roman" w:hAnsi="Times New Roman" w:cs="Times New Roman"/>
          <w:sz w:val="24"/>
          <w:szCs w:val="24"/>
        </w:rPr>
        <w:t>jendj</w:t>
      </w:r>
      <w:r w:rsidR="001F3A6A" w:rsidRPr="00554FAF">
        <w:rPr>
          <w:rFonts w:ascii="Times New Roman" w:hAnsi="Times New Roman" w:cs="Times New Roman"/>
          <w:sz w:val="24"/>
          <w:szCs w:val="24"/>
        </w:rPr>
        <w:t>a</w:t>
      </w:r>
      <w:r w:rsidRPr="00554FAF">
        <w:rPr>
          <w:rFonts w:ascii="Times New Roman" w:hAnsi="Times New Roman" w:cs="Times New Roman"/>
          <w:sz w:val="24"/>
          <w:szCs w:val="24"/>
        </w:rPr>
        <w:t xml:space="preserve"> e dobët e linjave hekurudhore; (iii) </w:t>
      </w:r>
      <w:r w:rsidR="001F3A6A" w:rsidRPr="00554FAF">
        <w:rPr>
          <w:rFonts w:ascii="Times New Roman" w:hAnsi="Times New Roman" w:cs="Times New Roman"/>
          <w:sz w:val="24"/>
          <w:szCs w:val="24"/>
        </w:rPr>
        <w:t>m</w:t>
      </w:r>
      <w:r w:rsidRPr="00554FAF">
        <w:rPr>
          <w:rFonts w:ascii="Times New Roman" w:hAnsi="Times New Roman" w:cs="Times New Roman"/>
          <w:sz w:val="24"/>
          <w:szCs w:val="24"/>
        </w:rPr>
        <w:t xml:space="preserve">ungesa e rezervave hekurudhore; (iv) </w:t>
      </w:r>
      <w:r w:rsidR="001F3A6A" w:rsidRPr="00554FAF">
        <w:rPr>
          <w:rFonts w:ascii="Times New Roman" w:hAnsi="Times New Roman" w:cs="Times New Roman"/>
          <w:sz w:val="24"/>
          <w:szCs w:val="24"/>
        </w:rPr>
        <w:t>m</w:t>
      </w:r>
      <w:r w:rsidRPr="00554FAF">
        <w:rPr>
          <w:rFonts w:ascii="Times New Roman" w:hAnsi="Times New Roman" w:cs="Times New Roman"/>
          <w:sz w:val="24"/>
          <w:szCs w:val="24"/>
        </w:rPr>
        <w:t xml:space="preserve">ungesa e një hekurudhe funksionale në veri midis Kosovës dhe Serbisë për shkak të </w:t>
      </w:r>
      <w:r w:rsidR="001F3A6A" w:rsidRPr="00554FAF">
        <w:rPr>
          <w:rFonts w:ascii="Times New Roman" w:hAnsi="Times New Roman" w:cs="Times New Roman"/>
          <w:sz w:val="24"/>
          <w:szCs w:val="24"/>
        </w:rPr>
        <w:t xml:space="preserve">pengesave </w:t>
      </w:r>
      <w:r w:rsidRPr="00554FAF">
        <w:rPr>
          <w:rFonts w:ascii="Times New Roman" w:hAnsi="Times New Roman" w:cs="Times New Roman"/>
          <w:sz w:val="24"/>
          <w:szCs w:val="24"/>
        </w:rPr>
        <w:t>politike.</w:t>
      </w:r>
    </w:p>
    <w:p w14:paraId="03BFE959" w14:textId="77777777" w:rsidR="00E3413B" w:rsidRPr="00554FAF" w:rsidRDefault="00E3413B" w:rsidP="000702CB">
      <w:pPr>
        <w:spacing w:after="60" w:line="240" w:lineRule="auto"/>
        <w:jc w:val="both"/>
        <w:rPr>
          <w:rFonts w:ascii="Times New Roman" w:hAnsi="Times New Roman" w:cs="Times New Roman"/>
          <w:b/>
          <w:sz w:val="24"/>
          <w:szCs w:val="24"/>
        </w:rPr>
      </w:pPr>
      <w:r w:rsidRPr="00554FAF">
        <w:rPr>
          <w:rFonts w:ascii="Times New Roman" w:hAnsi="Times New Roman" w:cs="Times New Roman"/>
          <w:b/>
          <w:sz w:val="24"/>
          <w:szCs w:val="24"/>
        </w:rPr>
        <w:t xml:space="preserve">b. Prioritetet e reformave strukturore </w:t>
      </w:r>
    </w:p>
    <w:tbl>
      <w:tblPr>
        <w:tblStyle w:val="TableGrid"/>
        <w:tblW w:w="9586" w:type="dxa"/>
        <w:tblLook w:val="04A0" w:firstRow="1" w:lastRow="0" w:firstColumn="1" w:lastColumn="0" w:noHBand="0" w:noVBand="1"/>
      </w:tblPr>
      <w:tblGrid>
        <w:gridCol w:w="9586"/>
      </w:tblGrid>
      <w:tr w:rsidR="00E3413B" w:rsidRPr="00554FAF" w14:paraId="46E9A10C" w14:textId="77777777" w:rsidTr="004A424A">
        <w:trPr>
          <w:trHeight w:val="149"/>
        </w:trPr>
        <w:tc>
          <w:tcPr>
            <w:tcW w:w="9586" w:type="dxa"/>
            <w:shd w:val="clear" w:color="auto" w:fill="2E74B5" w:themeFill="accent1" w:themeFillShade="BF"/>
          </w:tcPr>
          <w:p w14:paraId="7467A31E" w14:textId="77777777" w:rsidR="00E3413B" w:rsidRPr="00554FAF" w:rsidRDefault="00E3413B" w:rsidP="000702CB">
            <w:pPr>
              <w:spacing w:after="60"/>
              <w:jc w:val="both"/>
              <w:rPr>
                <w:rFonts w:ascii="Times New Roman" w:hAnsi="Times New Roman" w:cs="Times New Roman"/>
                <w:b/>
                <w:bCs/>
                <w:sz w:val="24"/>
                <w:szCs w:val="24"/>
              </w:rPr>
            </w:pPr>
            <w:r w:rsidRPr="00554FAF">
              <w:rPr>
                <w:rFonts w:ascii="Times New Roman" w:hAnsi="Times New Roman" w:cs="Times New Roman"/>
                <w:b/>
                <w:bCs/>
                <w:sz w:val="24"/>
                <w:szCs w:val="24"/>
              </w:rPr>
              <w:t xml:space="preserve">Masa reformuese #1: </w:t>
            </w:r>
            <w:r w:rsidRPr="00554FAF">
              <w:rPr>
                <w:rFonts w:ascii="Times New Roman" w:hAnsi="Times New Roman" w:cs="Times New Roman"/>
                <w:b/>
                <w:sz w:val="24"/>
                <w:szCs w:val="24"/>
              </w:rPr>
              <w:t>Ulja e konsumit të energjisë me anë të masave të efiçiencës së energjisë</w:t>
            </w:r>
          </w:p>
        </w:tc>
      </w:tr>
    </w:tbl>
    <w:p w14:paraId="0BD4199C" w14:textId="7C7E4447" w:rsidR="00E3413B" w:rsidRPr="00554FAF" w:rsidRDefault="00E3413B" w:rsidP="00E45839">
      <w:pPr>
        <w:pStyle w:val="ListParagraph"/>
        <w:spacing w:after="60" w:line="240" w:lineRule="auto"/>
        <w:ind w:left="0"/>
        <w:contextualSpacing w:val="0"/>
        <w:jc w:val="both"/>
        <w:rPr>
          <w:rFonts w:ascii="Times New Roman" w:hAnsi="Times New Roman" w:cs="Times New Roman"/>
          <w:sz w:val="24"/>
          <w:szCs w:val="24"/>
        </w:rPr>
      </w:pPr>
      <w:r w:rsidRPr="00554FAF">
        <w:rPr>
          <w:rFonts w:ascii="Times New Roman" w:hAnsi="Times New Roman" w:cs="Times New Roman"/>
          <w:b/>
          <w:sz w:val="24"/>
          <w:szCs w:val="24"/>
        </w:rPr>
        <w:t>1. Përshkimi i masës</w:t>
      </w:r>
      <w:r w:rsidRPr="00554FAF">
        <w:rPr>
          <w:rFonts w:ascii="Times New Roman" w:hAnsi="Times New Roman" w:cs="Times New Roman"/>
          <w:sz w:val="24"/>
          <w:szCs w:val="24"/>
        </w:rPr>
        <w:t xml:space="preserve">: Përmirësimi i sigurisë së energjisë nënkupton, mes tjerash, përdorimin efikas të burimeve të energjisë. Meqenëse </w:t>
      </w:r>
      <w:r w:rsidR="00844FBF" w:rsidRPr="00554FAF">
        <w:rPr>
          <w:rFonts w:ascii="Times New Roman" w:hAnsi="Times New Roman" w:cs="Times New Roman"/>
          <w:sz w:val="24"/>
          <w:szCs w:val="24"/>
        </w:rPr>
        <w:t>burimi ekzistues i prodhimit t</w:t>
      </w:r>
      <w:r w:rsidR="004A2969" w:rsidRPr="00554FAF">
        <w:rPr>
          <w:rFonts w:ascii="Times New Roman" w:hAnsi="Times New Roman" w:cs="Times New Roman"/>
          <w:sz w:val="24"/>
          <w:szCs w:val="24"/>
        </w:rPr>
        <w:t>ë</w:t>
      </w:r>
      <w:r w:rsidR="00844FBF" w:rsidRPr="00554FAF">
        <w:rPr>
          <w:rFonts w:ascii="Times New Roman" w:hAnsi="Times New Roman" w:cs="Times New Roman"/>
          <w:sz w:val="24"/>
          <w:szCs w:val="24"/>
        </w:rPr>
        <w:t xml:space="preserve"> energjis</w:t>
      </w:r>
      <w:r w:rsidR="004A2969" w:rsidRPr="00554FAF">
        <w:rPr>
          <w:rFonts w:ascii="Times New Roman" w:hAnsi="Times New Roman" w:cs="Times New Roman"/>
          <w:sz w:val="24"/>
          <w:szCs w:val="24"/>
        </w:rPr>
        <w:t>ë</w:t>
      </w:r>
      <w:r w:rsidR="00844FBF" w:rsidRPr="00554FAF">
        <w:rPr>
          <w:rFonts w:ascii="Times New Roman" w:hAnsi="Times New Roman" w:cs="Times New Roman"/>
          <w:sz w:val="24"/>
          <w:szCs w:val="24"/>
        </w:rPr>
        <w:t xml:space="preserve"> </w:t>
      </w:r>
      <w:r w:rsidR="007A2469" w:rsidRPr="00554FAF">
        <w:rPr>
          <w:rFonts w:ascii="Times New Roman" w:hAnsi="Times New Roman" w:cs="Times New Roman"/>
          <w:sz w:val="24"/>
          <w:szCs w:val="24"/>
        </w:rPr>
        <w:t>thëngjill</w:t>
      </w:r>
      <w:r w:rsidR="00844FBF" w:rsidRPr="00554FAF">
        <w:rPr>
          <w:rFonts w:ascii="Times New Roman" w:hAnsi="Times New Roman" w:cs="Times New Roman"/>
          <w:sz w:val="24"/>
          <w:szCs w:val="24"/>
        </w:rPr>
        <w:t>i</w:t>
      </w:r>
      <w:r w:rsidRPr="00554FAF">
        <w:rPr>
          <w:rFonts w:ascii="Times New Roman" w:hAnsi="Times New Roman" w:cs="Times New Roman"/>
          <w:sz w:val="24"/>
          <w:szCs w:val="24"/>
        </w:rPr>
        <w:t>, shfrytëzimi i potencialit të efikasitetit të energjisë do ta rri</w:t>
      </w:r>
      <w:r w:rsidR="007A2469" w:rsidRPr="00554FAF">
        <w:rPr>
          <w:rFonts w:ascii="Times New Roman" w:hAnsi="Times New Roman" w:cs="Times New Roman"/>
          <w:sz w:val="24"/>
          <w:szCs w:val="24"/>
        </w:rPr>
        <w:t>së</w:t>
      </w:r>
      <w:r w:rsidRPr="00554FAF">
        <w:rPr>
          <w:rFonts w:ascii="Times New Roman" w:hAnsi="Times New Roman" w:cs="Times New Roman"/>
          <w:sz w:val="24"/>
          <w:szCs w:val="24"/>
        </w:rPr>
        <w:t xml:space="preserve"> sinergjinë midis mjedisit dhe ekonomisë. Rritja e efikasitetit të energjisë do ta rrisë prodhimin dhe mundësitë për bizneset e reja. Prandaj, krijimi i një </w:t>
      </w:r>
      <w:r w:rsidR="00E45839" w:rsidRPr="00554FAF">
        <w:rPr>
          <w:rFonts w:ascii="Times New Roman" w:hAnsi="Times New Roman" w:cs="Times New Roman"/>
          <w:sz w:val="24"/>
          <w:szCs w:val="24"/>
        </w:rPr>
        <w:t>kulture t</w:t>
      </w:r>
      <w:r w:rsidR="004A2969" w:rsidRPr="00554FAF">
        <w:rPr>
          <w:rFonts w:ascii="Times New Roman" w:hAnsi="Times New Roman" w:cs="Times New Roman"/>
          <w:sz w:val="24"/>
          <w:szCs w:val="24"/>
        </w:rPr>
        <w:t>ë</w:t>
      </w:r>
      <w:r w:rsidR="00E45839" w:rsidRPr="00554FAF">
        <w:rPr>
          <w:rFonts w:ascii="Times New Roman" w:hAnsi="Times New Roman" w:cs="Times New Roman"/>
          <w:sz w:val="24"/>
          <w:szCs w:val="24"/>
        </w:rPr>
        <w:t xml:space="preserve"> k</w:t>
      </w:r>
      <w:r w:rsidR="004A2969" w:rsidRPr="00554FAF">
        <w:rPr>
          <w:rFonts w:ascii="Times New Roman" w:hAnsi="Times New Roman" w:cs="Times New Roman"/>
          <w:sz w:val="24"/>
          <w:szCs w:val="24"/>
        </w:rPr>
        <w:t>ë</w:t>
      </w:r>
      <w:r w:rsidR="00E45839" w:rsidRPr="00554FAF">
        <w:rPr>
          <w:rFonts w:ascii="Times New Roman" w:hAnsi="Times New Roman" w:cs="Times New Roman"/>
          <w:sz w:val="24"/>
          <w:szCs w:val="24"/>
        </w:rPr>
        <w:t>rkes</w:t>
      </w:r>
      <w:r w:rsidR="004A2969" w:rsidRPr="00554FAF">
        <w:rPr>
          <w:rFonts w:ascii="Times New Roman" w:hAnsi="Times New Roman" w:cs="Times New Roman"/>
          <w:sz w:val="24"/>
          <w:szCs w:val="24"/>
        </w:rPr>
        <w:t>ë</w:t>
      </w:r>
      <w:r w:rsidR="00E45839" w:rsidRPr="00554FAF">
        <w:rPr>
          <w:rFonts w:ascii="Times New Roman" w:hAnsi="Times New Roman" w:cs="Times New Roman"/>
          <w:sz w:val="24"/>
          <w:szCs w:val="24"/>
        </w:rPr>
        <w:t>s t</w:t>
      </w:r>
      <w:r w:rsidR="004A2969" w:rsidRPr="00554FAF">
        <w:rPr>
          <w:rFonts w:ascii="Times New Roman" w:hAnsi="Times New Roman" w:cs="Times New Roman"/>
          <w:sz w:val="24"/>
          <w:szCs w:val="24"/>
        </w:rPr>
        <w:t>ë</w:t>
      </w:r>
      <w:r w:rsidR="00E45839" w:rsidRPr="00554FAF">
        <w:rPr>
          <w:rFonts w:ascii="Times New Roman" w:hAnsi="Times New Roman" w:cs="Times New Roman"/>
          <w:sz w:val="24"/>
          <w:szCs w:val="24"/>
        </w:rPr>
        <w:t xml:space="preserve"> bazuar n</w:t>
      </w:r>
      <w:r w:rsidR="004A2969" w:rsidRPr="00554FAF">
        <w:rPr>
          <w:rFonts w:ascii="Times New Roman" w:hAnsi="Times New Roman" w:cs="Times New Roman"/>
          <w:sz w:val="24"/>
          <w:szCs w:val="24"/>
        </w:rPr>
        <w:t>ë</w:t>
      </w:r>
      <w:r w:rsidR="00EA0B1C" w:rsidRPr="00554FAF">
        <w:rPr>
          <w:rFonts w:ascii="Times New Roman" w:hAnsi="Times New Roman" w:cs="Times New Roman"/>
          <w:sz w:val="24"/>
          <w:szCs w:val="24"/>
        </w:rPr>
        <w:t xml:space="preserve"> efiç</w:t>
      </w:r>
      <w:r w:rsidR="00E45839" w:rsidRPr="00554FAF">
        <w:rPr>
          <w:rFonts w:ascii="Times New Roman" w:hAnsi="Times New Roman" w:cs="Times New Roman"/>
          <w:sz w:val="24"/>
          <w:szCs w:val="24"/>
        </w:rPr>
        <w:t>ienc</w:t>
      </w:r>
      <w:r w:rsidR="004A2969" w:rsidRPr="00554FAF">
        <w:rPr>
          <w:rFonts w:ascii="Times New Roman" w:hAnsi="Times New Roman" w:cs="Times New Roman"/>
          <w:sz w:val="24"/>
          <w:szCs w:val="24"/>
        </w:rPr>
        <w:t>ë</w:t>
      </w:r>
      <w:r w:rsidR="00E45839" w:rsidRPr="00554FAF">
        <w:rPr>
          <w:rFonts w:ascii="Times New Roman" w:hAnsi="Times New Roman" w:cs="Times New Roman"/>
          <w:sz w:val="24"/>
          <w:szCs w:val="24"/>
        </w:rPr>
        <w:t xml:space="preserve"> </w:t>
      </w:r>
      <w:r w:rsidRPr="00554FAF">
        <w:rPr>
          <w:rFonts w:ascii="Times New Roman" w:hAnsi="Times New Roman" w:cs="Times New Roman"/>
          <w:sz w:val="24"/>
          <w:szCs w:val="24"/>
        </w:rPr>
        <w:t>me</w:t>
      </w:r>
      <w:r w:rsidR="00EA0B1C" w:rsidRPr="00554FAF">
        <w:rPr>
          <w:rFonts w:ascii="Times New Roman" w:hAnsi="Times New Roman" w:cs="Times New Roman"/>
          <w:sz w:val="24"/>
          <w:szCs w:val="24"/>
        </w:rPr>
        <w:t xml:space="preserve"> stimuj të rinj për masat e efiç</w:t>
      </w:r>
      <w:r w:rsidRPr="00554FAF">
        <w:rPr>
          <w:rFonts w:ascii="Times New Roman" w:hAnsi="Times New Roman" w:cs="Times New Roman"/>
          <w:sz w:val="24"/>
          <w:szCs w:val="24"/>
        </w:rPr>
        <w:t>ienc</w:t>
      </w:r>
      <w:r w:rsidR="007A2469" w:rsidRPr="00554FAF">
        <w:rPr>
          <w:rFonts w:ascii="Times New Roman" w:hAnsi="Times New Roman" w:cs="Times New Roman"/>
          <w:sz w:val="24"/>
          <w:szCs w:val="24"/>
        </w:rPr>
        <w:t>ë</w:t>
      </w:r>
      <w:r w:rsidRPr="00554FAF">
        <w:rPr>
          <w:rFonts w:ascii="Times New Roman" w:hAnsi="Times New Roman" w:cs="Times New Roman"/>
          <w:sz w:val="24"/>
          <w:szCs w:val="24"/>
        </w:rPr>
        <w:t>s  së energjisë në nd</w:t>
      </w:r>
      <w:r w:rsidR="007A2469" w:rsidRPr="00554FAF">
        <w:rPr>
          <w:rFonts w:ascii="Times New Roman" w:hAnsi="Times New Roman" w:cs="Times New Roman"/>
          <w:sz w:val="24"/>
          <w:szCs w:val="24"/>
        </w:rPr>
        <w:t>ë</w:t>
      </w:r>
      <w:r w:rsidRPr="00554FAF">
        <w:rPr>
          <w:rFonts w:ascii="Times New Roman" w:hAnsi="Times New Roman" w:cs="Times New Roman"/>
          <w:sz w:val="24"/>
          <w:szCs w:val="24"/>
        </w:rPr>
        <w:t>rtesat n</w:t>
      </w:r>
      <w:r w:rsidR="007A2469" w:rsidRPr="00554FAF">
        <w:rPr>
          <w:rFonts w:ascii="Times New Roman" w:hAnsi="Times New Roman" w:cs="Times New Roman"/>
          <w:sz w:val="24"/>
          <w:szCs w:val="24"/>
        </w:rPr>
        <w:t>ë</w:t>
      </w:r>
      <w:r w:rsidRPr="00554FAF">
        <w:rPr>
          <w:rFonts w:ascii="Times New Roman" w:hAnsi="Times New Roman" w:cs="Times New Roman"/>
          <w:sz w:val="24"/>
          <w:szCs w:val="24"/>
        </w:rPr>
        <w:t xml:space="preserve"> sektorin privat dhe publik, aktualisht të kufizuar në Kosovë, do të kontribuonte në krijimin e një ekuilibri të qëndrueshëm të kërkesës dhe furnizimit me energji. Masa është vazhdim nga </w:t>
      </w:r>
      <w:r w:rsidR="007A2469" w:rsidRPr="00554FAF">
        <w:rPr>
          <w:rFonts w:ascii="Times New Roman" w:hAnsi="Times New Roman" w:cs="Times New Roman"/>
          <w:sz w:val="24"/>
          <w:szCs w:val="24"/>
        </w:rPr>
        <w:t>PRE</w:t>
      </w:r>
      <w:r w:rsidRPr="00554FAF">
        <w:rPr>
          <w:rFonts w:ascii="Times New Roman" w:hAnsi="Times New Roman" w:cs="Times New Roman"/>
          <w:sz w:val="24"/>
          <w:szCs w:val="24"/>
        </w:rPr>
        <w:t xml:space="preserve"> i mëparshëm dhe bazohet në Planin Kombëtar të Veprimit për Efiçiencën e Energjisë, SKZH dhe Strategjinë e Sektorit të Energjisë. Gjithashtu</w:t>
      </w:r>
      <w:r w:rsidR="007A2469" w:rsidRPr="00554FAF">
        <w:rPr>
          <w:rFonts w:ascii="Times New Roman" w:hAnsi="Times New Roman" w:cs="Times New Roman"/>
          <w:sz w:val="24"/>
          <w:szCs w:val="24"/>
        </w:rPr>
        <w:t>,</w:t>
      </w:r>
      <w:r w:rsidRPr="00554FAF">
        <w:rPr>
          <w:rFonts w:ascii="Times New Roman" w:hAnsi="Times New Roman" w:cs="Times New Roman"/>
          <w:sz w:val="24"/>
          <w:szCs w:val="24"/>
        </w:rPr>
        <w:t xml:space="preserve"> masa adreson</w:t>
      </w:r>
      <w:r w:rsidR="00E45839" w:rsidRPr="00554FAF">
        <w:rPr>
          <w:rFonts w:ascii="Times New Roman" w:hAnsi="Times New Roman" w:cs="Times New Roman"/>
          <w:sz w:val="24"/>
          <w:szCs w:val="24"/>
        </w:rPr>
        <w:t xml:space="preserve"> nj</w:t>
      </w:r>
      <w:r w:rsidR="004A2969" w:rsidRPr="00554FAF">
        <w:rPr>
          <w:rFonts w:ascii="Times New Roman" w:hAnsi="Times New Roman" w:cs="Times New Roman"/>
          <w:sz w:val="24"/>
          <w:szCs w:val="24"/>
        </w:rPr>
        <w:t>ë</w:t>
      </w:r>
      <w:r w:rsidR="00E45839" w:rsidRPr="00554FAF">
        <w:rPr>
          <w:rFonts w:ascii="Times New Roman" w:hAnsi="Times New Roman" w:cs="Times New Roman"/>
          <w:sz w:val="24"/>
          <w:szCs w:val="24"/>
        </w:rPr>
        <w:t xml:space="preserve"> nga sfidat strukturore </w:t>
      </w:r>
      <w:r w:rsidRPr="00554FAF">
        <w:rPr>
          <w:rFonts w:ascii="Times New Roman" w:hAnsi="Times New Roman" w:cs="Times New Roman"/>
          <w:sz w:val="24"/>
          <w:szCs w:val="24"/>
        </w:rPr>
        <w:t>të vlerësimit të Komisionit që ka të bëjë me shfrytëzimin e potencialeve të ripërtëritshme dhe të kursimit të energjisë.</w:t>
      </w:r>
    </w:p>
    <w:p w14:paraId="62E73DC0" w14:textId="685A3FC0" w:rsidR="00E3413B" w:rsidRPr="00554FAF" w:rsidRDefault="00E3413B"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sz w:val="24"/>
          <w:szCs w:val="24"/>
        </w:rPr>
        <w:t>Objektivat kryesore të kësaj mase janë zbatimi i masave të EE në ndërtesat n</w:t>
      </w:r>
      <w:r w:rsidR="007A2469" w:rsidRPr="00554FAF">
        <w:rPr>
          <w:rFonts w:ascii="Times New Roman" w:hAnsi="Times New Roman" w:cs="Times New Roman"/>
          <w:sz w:val="24"/>
          <w:szCs w:val="24"/>
        </w:rPr>
        <w:t>ë</w:t>
      </w:r>
      <w:r w:rsidRPr="00554FAF">
        <w:rPr>
          <w:rFonts w:ascii="Times New Roman" w:hAnsi="Times New Roman" w:cs="Times New Roman"/>
          <w:sz w:val="24"/>
          <w:szCs w:val="24"/>
        </w:rPr>
        <w:t xml:space="preserve"> sektorin e sh</w:t>
      </w:r>
      <w:r w:rsidR="007A2469" w:rsidRPr="00554FAF">
        <w:rPr>
          <w:rFonts w:ascii="Times New Roman" w:hAnsi="Times New Roman" w:cs="Times New Roman"/>
          <w:sz w:val="24"/>
          <w:szCs w:val="24"/>
        </w:rPr>
        <w:t>ë</w:t>
      </w:r>
      <w:r w:rsidRPr="00554FAF">
        <w:rPr>
          <w:rFonts w:ascii="Times New Roman" w:hAnsi="Times New Roman" w:cs="Times New Roman"/>
          <w:sz w:val="24"/>
          <w:szCs w:val="24"/>
        </w:rPr>
        <w:t>rbimeve publik</w:t>
      </w:r>
      <w:r w:rsidR="007A2469" w:rsidRPr="00554FAF">
        <w:rPr>
          <w:rFonts w:ascii="Times New Roman" w:hAnsi="Times New Roman" w:cs="Times New Roman"/>
          <w:sz w:val="24"/>
          <w:szCs w:val="24"/>
        </w:rPr>
        <w:t>e</w:t>
      </w:r>
      <w:r w:rsidRPr="00554FAF">
        <w:rPr>
          <w:rFonts w:ascii="Times New Roman" w:hAnsi="Times New Roman" w:cs="Times New Roman"/>
          <w:sz w:val="24"/>
          <w:szCs w:val="24"/>
        </w:rPr>
        <w:t xml:space="preserve"> dhe private dhe amvisëritë, arritja e objektivave të kursimit të energjisë dhe rritja e investimeve në projekte përmes fondit të EE. Sa i përket zbatimit të masës, gjatë vitit 2019: a) është krijuar fondi i efikasitetit të energjisë, si dhe është zgjedhur ekipi menaxhues; b) deri më tani, masat e efikasitetit të energjisë janë zbatuar në 25 ndërtesa publike të financuara nga BRK dhe BB; c) përmes programit RELP, implementimi i masave të EE në amvisëritë, në 600 shtëpi dhe 5 ndërtesa shum</w:t>
      </w:r>
      <w:r w:rsidR="007A2469" w:rsidRPr="00554FAF">
        <w:rPr>
          <w:rFonts w:ascii="Times New Roman" w:hAnsi="Times New Roman" w:cs="Times New Roman"/>
          <w:sz w:val="24"/>
          <w:szCs w:val="24"/>
        </w:rPr>
        <w:t>ë</w:t>
      </w:r>
      <w:r w:rsidRPr="00554FAF">
        <w:rPr>
          <w:rFonts w:ascii="Times New Roman" w:hAnsi="Times New Roman" w:cs="Times New Roman"/>
          <w:sz w:val="24"/>
          <w:szCs w:val="24"/>
        </w:rPr>
        <w:t xml:space="preserve"> banesore dhe instalimi i valvulave termostatike për rreth 3000 familje në Prishtinë</w:t>
      </w:r>
      <w:r w:rsidR="007A2469" w:rsidRPr="00554FAF">
        <w:rPr>
          <w:rFonts w:ascii="Times New Roman" w:hAnsi="Times New Roman" w:cs="Times New Roman"/>
          <w:sz w:val="24"/>
          <w:szCs w:val="24"/>
        </w:rPr>
        <w:t>,</w:t>
      </w:r>
      <w:r w:rsidRPr="00554FAF">
        <w:rPr>
          <w:rFonts w:ascii="Times New Roman" w:hAnsi="Times New Roman" w:cs="Times New Roman"/>
          <w:sz w:val="24"/>
          <w:szCs w:val="24"/>
        </w:rPr>
        <w:t xml:space="preserve"> është shtyrë për shkak të përfundimit të procedurës së prokurimit për angazhimin e kompanisë zbatuese. Kompania zbatuese është zgjedhur në tetor dhe zbatimi ka filluar; e) 28 gra kanë marrë bursa përmes programit "Reliable Energy Landscape"; f) të gjitha procedurat në ndërtimin e ngrohjes qendrore në komunën e Gjakovës kanë përfunduar dhe ndërtimi do të fillojë në fund të këtij viti ose në fillim të vitit të ardhshëm.</w:t>
      </w:r>
    </w:p>
    <w:p w14:paraId="5C38E4E9" w14:textId="77777777" w:rsidR="00E3413B" w:rsidRPr="00554FAF" w:rsidRDefault="00E3413B" w:rsidP="00802FB3">
      <w:pPr>
        <w:pStyle w:val="ListParagraph"/>
        <w:numPr>
          <w:ilvl w:val="0"/>
          <w:numId w:val="30"/>
        </w:numPr>
        <w:spacing w:after="60" w:line="240" w:lineRule="auto"/>
        <w:contextualSpacing w:val="0"/>
        <w:jc w:val="both"/>
        <w:rPr>
          <w:rFonts w:ascii="Times New Roman" w:hAnsi="Times New Roman" w:cs="Times New Roman"/>
          <w:b/>
          <w:sz w:val="24"/>
          <w:szCs w:val="24"/>
        </w:rPr>
      </w:pPr>
      <w:r w:rsidRPr="00554FAF">
        <w:rPr>
          <w:rFonts w:ascii="Times New Roman" w:hAnsi="Times New Roman" w:cs="Times New Roman"/>
          <w:b/>
          <w:sz w:val="24"/>
          <w:szCs w:val="24"/>
        </w:rPr>
        <w:t>Aktivitetet e planifikuara për 2020:</w:t>
      </w:r>
    </w:p>
    <w:p w14:paraId="0DB2A9A5" w14:textId="1E61A608" w:rsidR="00E3413B" w:rsidRPr="00554FAF" w:rsidRDefault="00E3413B" w:rsidP="00FC648F">
      <w:pPr>
        <w:pStyle w:val="ListParagraph"/>
        <w:numPr>
          <w:ilvl w:val="0"/>
          <w:numId w:val="31"/>
        </w:numPr>
        <w:spacing w:after="0" w:line="240" w:lineRule="auto"/>
        <w:contextualSpacing w:val="0"/>
        <w:jc w:val="both"/>
        <w:rPr>
          <w:rFonts w:ascii="Times New Roman" w:hAnsi="Times New Roman" w:cs="Times New Roman"/>
          <w:sz w:val="24"/>
          <w:szCs w:val="24"/>
        </w:rPr>
      </w:pPr>
      <w:r w:rsidRPr="00554FAF">
        <w:rPr>
          <w:rFonts w:ascii="Times New Roman" w:hAnsi="Times New Roman" w:cs="Times New Roman"/>
          <w:sz w:val="24"/>
          <w:szCs w:val="24"/>
        </w:rPr>
        <w:t xml:space="preserve">Zbatimi i masave për efiçiencën e energjisë në </w:t>
      </w:r>
      <w:r w:rsidR="00CD00D1" w:rsidRPr="00554FAF">
        <w:rPr>
          <w:rFonts w:ascii="Times New Roman" w:hAnsi="Times New Roman" w:cs="Times New Roman"/>
          <w:sz w:val="24"/>
          <w:szCs w:val="24"/>
        </w:rPr>
        <w:t>30</w:t>
      </w:r>
      <w:r w:rsidRPr="00554FAF">
        <w:rPr>
          <w:rFonts w:ascii="Times New Roman" w:hAnsi="Times New Roman" w:cs="Times New Roman"/>
          <w:sz w:val="24"/>
          <w:szCs w:val="24"/>
        </w:rPr>
        <w:t xml:space="preserve"> </w:t>
      </w:r>
      <w:r w:rsidR="00CD00D1" w:rsidRPr="00554FAF">
        <w:rPr>
          <w:rFonts w:ascii="Times New Roman" w:hAnsi="Times New Roman" w:cs="Times New Roman"/>
          <w:sz w:val="24"/>
          <w:szCs w:val="24"/>
        </w:rPr>
        <w:t xml:space="preserve">ndërtime </w:t>
      </w:r>
      <w:r w:rsidRPr="00554FAF">
        <w:rPr>
          <w:rFonts w:ascii="Times New Roman" w:hAnsi="Times New Roman" w:cs="Times New Roman"/>
          <w:sz w:val="24"/>
          <w:szCs w:val="24"/>
        </w:rPr>
        <w:t>publike; (MZHE/BB/FEE</w:t>
      </w:r>
      <w:r w:rsidR="00CD00D1" w:rsidRPr="00554FAF">
        <w:rPr>
          <w:rFonts w:ascii="Times New Roman" w:hAnsi="Times New Roman" w:cs="Times New Roman"/>
          <w:sz w:val="24"/>
          <w:szCs w:val="24"/>
        </w:rPr>
        <w:t>K</w:t>
      </w:r>
      <w:r w:rsidRPr="00554FAF">
        <w:rPr>
          <w:rFonts w:ascii="Times New Roman" w:hAnsi="Times New Roman" w:cs="Times New Roman"/>
          <w:sz w:val="24"/>
          <w:szCs w:val="24"/>
        </w:rPr>
        <w:t>)</w:t>
      </w:r>
    </w:p>
    <w:p w14:paraId="1A22E11B" w14:textId="7F13D6BD" w:rsidR="00E3413B" w:rsidRPr="00554FAF" w:rsidRDefault="00E3413B" w:rsidP="00FC648F">
      <w:pPr>
        <w:pStyle w:val="ListParagraph"/>
        <w:numPr>
          <w:ilvl w:val="0"/>
          <w:numId w:val="31"/>
        </w:numPr>
        <w:spacing w:after="0" w:line="240" w:lineRule="auto"/>
        <w:contextualSpacing w:val="0"/>
        <w:jc w:val="both"/>
        <w:rPr>
          <w:rFonts w:ascii="Times New Roman" w:hAnsi="Times New Roman" w:cs="Times New Roman"/>
          <w:sz w:val="24"/>
          <w:szCs w:val="24"/>
        </w:rPr>
      </w:pPr>
      <w:r w:rsidRPr="00554FAF">
        <w:rPr>
          <w:rFonts w:ascii="Times New Roman" w:hAnsi="Times New Roman" w:cs="Times New Roman"/>
          <w:sz w:val="24"/>
          <w:szCs w:val="24"/>
        </w:rPr>
        <w:t>Zbatimi i masave për efiçiencën e energjisë në amvisëritë përmes projektit “Reliable Energy Landscape” (RELP) në 1200 shtë</w:t>
      </w:r>
      <w:r w:rsidR="00EA0B1C" w:rsidRPr="00554FAF">
        <w:rPr>
          <w:rFonts w:ascii="Times New Roman" w:hAnsi="Times New Roman" w:cs="Times New Roman"/>
          <w:sz w:val="24"/>
          <w:szCs w:val="24"/>
        </w:rPr>
        <w:t>pi dhe në 10 ndërtesa shumë katesh</w:t>
      </w:r>
      <w:r w:rsidRPr="00554FAF">
        <w:rPr>
          <w:rFonts w:ascii="Times New Roman" w:hAnsi="Times New Roman" w:cs="Times New Roman"/>
          <w:sz w:val="24"/>
          <w:szCs w:val="24"/>
        </w:rPr>
        <w:t>; (MFK)</w:t>
      </w:r>
    </w:p>
    <w:p w14:paraId="47228B32" w14:textId="77777777" w:rsidR="00E3413B" w:rsidRPr="00554FAF" w:rsidRDefault="00E3413B" w:rsidP="00FC648F">
      <w:pPr>
        <w:pStyle w:val="ListParagraph"/>
        <w:numPr>
          <w:ilvl w:val="0"/>
          <w:numId w:val="31"/>
        </w:numPr>
        <w:spacing w:after="0" w:line="240" w:lineRule="auto"/>
        <w:contextualSpacing w:val="0"/>
        <w:jc w:val="both"/>
        <w:rPr>
          <w:rFonts w:ascii="Times New Roman" w:hAnsi="Times New Roman" w:cs="Times New Roman"/>
          <w:sz w:val="24"/>
          <w:szCs w:val="24"/>
        </w:rPr>
      </w:pPr>
      <w:r w:rsidRPr="00554FAF">
        <w:rPr>
          <w:rFonts w:ascii="Times New Roman" w:hAnsi="Times New Roman" w:cs="Times New Roman"/>
          <w:sz w:val="24"/>
          <w:szCs w:val="24"/>
        </w:rPr>
        <w:t>Instalimi i njehsorëve për matjen e konsumit të nxehtësisë dhe valvulave termostatike për rreth 4500 familje në Prishtinë; (MFK)</w:t>
      </w:r>
    </w:p>
    <w:p w14:paraId="1342D475" w14:textId="77777777" w:rsidR="00E3413B" w:rsidRPr="00554FAF" w:rsidRDefault="00E3413B" w:rsidP="00FC648F">
      <w:pPr>
        <w:pStyle w:val="ListParagraph"/>
        <w:numPr>
          <w:ilvl w:val="0"/>
          <w:numId w:val="31"/>
        </w:numPr>
        <w:spacing w:after="0" w:line="240" w:lineRule="auto"/>
        <w:contextualSpacing w:val="0"/>
        <w:jc w:val="both"/>
        <w:rPr>
          <w:rFonts w:ascii="Times New Roman" w:hAnsi="Times New Roman" w:cs="Times New Roman"/>
          <w:sz w:val="24"/>
          <w:szCs w:val="24"/>
        </w:rPr>
      </w:pPr>
      <w:r w:rsidRPr="00554FAF">
        <w:rPr>
          <w:rFonts w:ascii="Times New Roman" w:hAnsi="Times New Roman" w:cs="Times New Roman"/>
          <w:sz w:val="24"/>
          <w:szCs w:val="24"/>
        </w:rPr>
        <w:t>Ndarjet e granteve për masat e efiçiencës për bizneset e grave përmes projektit “Reliable Energy Landscape”; (MFK)</w:t>
      </w:r>
    </w:p>
    <w:p w14:paraId="05DD5770" w14:textId="2BC4432B" w:rsidR="00E3413B" w:rsidRPr="00554FAF" w:rsidRDefault="00E3413B" w:rsidP="00FC648F">
      <w:pPr>
        <w:pStyle w:val="ListParagraph"/>
        <w:numPr>
          <w:ilvl w:val="0"/>
          <w:numId w:val="31"/>
        </w:numPr>
        <w:spacing w:after="0" w:line="240" w:lineRule="auto"/>
        <w:contextualSpacing w:val="0"/>
        <w:jc w:val="both"/>
        <w:rPr>
          <w:rFonts w:ascii="Times New Roman" w:hAnsi="Times New Roman" w:cs="Times New Roman"/>
          <w:sz w:val="24"/>
          <w:szCs w:val="24"/>
        </w:rPr>
      </w:pPr>
      <w:r w:rsidRPr="00554FAF">
        <w:rPr>
          <w:rFonts w:ascii="Times New Roman" w:hAnsi="Times New Roman" w:cs="Times New Roman"/>
          <w:sz w:val="24"/>
          <w:szCs w:val="24"/>
        </w:rPr>
        <w:t xml:space="preserve">Zbatimi i planit të investimeve kapitale për forcimin, zgjerimin e rrjetit dhe projektet e tensionit të mesëm për të zvogëluar humbjet teknike dhe </w:t>
      </w:r>
      <w:r w:rsidR="0008402D" w:rsidRPr="00554FAF">
        <w:rPr>
          <w:rFonts w:ascii="Times New Roman" w:hAnsi="Times New Roman" w:cs="Times New Roman"/>
          <w:sz w:val="24"/>
          <w:szCs w:val="24"/>
        </w:rPr>
        <w:t>komerciale</w:t>
      </w:r>
      <w:r w:rsidRPr="00554FAF">
        <w:rPr>
          <w:rFonts w:ascii="Times New Roman" w:hAnsi="Times New Roman" w:cs="Times New Roman"/>
          <w:sz w:val="24"/>
          <w:szCs w:val="24"/>
        </w:rPr>
        <w:t>; (KEDS)</w:t>
      </w:r>
    </w:p>
    <w:p w14:paraId="40248FBA" w14:textId="7E33DEEA" w:rsidR="00E3413B" w:rsidRPr="00554FAF" w:rsidRDefault="00E3413B" w:rsidP="00FC648F">
      <w:pPr>
        <w:pStyle w:val="ListParagraph"/>
        <w:numPr>
          <w:ilvl w:val="0"/>
          <w:numId w:val="31"/>
        </w:numPr>
        <w:spacing w:after="0" w:line="240" w:lineRule="auto"/>
        <w:contextualSpacing w:val="0"/>
        <w:jc w:val="both"/>
        <w:rPr>
          <w:rFonts w:ascii="Times New Roman" w:hAnsi="Times New Roman" w:cs="Times New Roman"/>
          <w:sz w:val="24"/>
          <w:szCs w:val="24"/>
        </w:rPr>
      </w:pPr>
      <w:r w:rsidRPr="00554FAF">
        <w:rPr>
          <w:rFonts w:ascii="Times New Roman" w:hAnsi="Times New Roman" w:cs="Times New Roman"/>
          <w:sz w:val="24"/>
          <w:szCs w:val="24"/>
        </w:rPr>
        <w:t xml:space="preserve">Zbatimi i masave të efikasitetit të energjisë në 12 ndërtesa publike në 3 komuna; (KFW </w:t>
      </w:r>
      <w:r w:rsidR="007A2469" w:rsidRPr="00554FAF">
        <w:rPr>
          <w:rFonts w:ascii="Times New Roman" w:hAnsi="Times New Roman" w:cs="Times New Roman"/>
          <w:sz w:val="24"/>
          <w:szCs w:val="24"/>
        </w:rPr>
        <w:t>-</w:t>
      </w:r>
      <w:r w:rsidRPr="00554FAF">
        <w:rPr>
          <w:rFonts w:ascii="Times New Roman" w:hAnsi="Times New Roman" w:cs="Times New Roman"/>
          <w:sz w:val="24"/>
          <w:szCs w:val="24"/>
        </w:rPr>
        <w:t xml:space="preserve"> Projekti i BE-s</w:t>
      </w:r>
      <w:r w:rsidR="007A2469" w:rsidRPr="00554FAF">
        <w:rPr>
          <w:rFonts w:ascii="Times New Roman" w:hAnsi="Times New Roman" w:cs="Times New Roman"/>
          <w:sz w:val="24"/>
          <w:szCs w:val="24"/>
        </w:rPr>
        <w:t>ë</w:t>
      </w:r>
      <w:r w:rsidRPr="00554FAF">
        <w:rPr>
          <w:rFonts w:ascii="Times New Roman" w:hAnsi="Times New Roman" w:cs="Times New Roman"/>
          <w:sz w:val="24"/>
          <w:szCs w:val="24"/>
        </w:rPr>
        <w:t xml:space="preserve"> n</w:t>
      </w:r>
      <w:r w:rsidR="007A2469" w:rsidRPr="00554FAF">
        <w:rPr>
          <w:rFonts w:ascii="Times New Roman" w:hAnsi="Times New Roman" w:cs="Times New Roman"/>
          <w:sz w:val="24"/>
          <w:szCs w:val="24"/>
        </w:rPr>
        <w:t>ë</w:t>
      </w:r>
      <w:r w:rsidRPr="00554FAF">
        <w:rPr>
          <w:rFonts w:ascii="Times New Roman" w:hAnsi="Times New Roman" w:cs="Times New Roman"/>
          <w:sz w:val="24"/>
          <w:szCs w:val="24"/>
        </w:rPr>
        <w:t>n WBIF).</w:t>
      </w:r>
    </w:p>
    <w:p w14:paraId="55AAA2F8" w14:textId="77777777" w:rsidR="00E3413B" w:rsidRPr="00554FAF" w:rsidRDefault="00E3413B" w:rsidP="00802FB3">
      <w:pPr>
        <w:pStyle w:val="ListParagraph"/>
        <w:numPr>
          <w:ilvl w:val="0"/>
          <w:numId w:val="30"/>
        </w:numPr>
        <w:spacing w:after="60" w:line="240" w:lineRule="auto"/>
        <w:contextualSpacing w:val="0"/>
        <w:jc w:val="both"/>
        <w:rPr>
          <w:rFonts w:ascii="Times New Roman" w:hAnsi="Times New Roman" w:cs="Times New Roman"/>
          <w:b/>
          <w:sz w:val="24"/>
          <w:szCs w:val="24"/>
        </w:rPr>
      </w:pPr>
      <w:r w:rsidRPr="00554FAF">
        <w:rPr>
          <w:rFonts w:ascii="Times New Roman" w:hAnsi="Times New Roman" w:cs="Times New Roman"/>
          <w:b/>
          <w:sz w:val="24"/>
          <w:szCs w:val="24"/>
        </w:rPr>
        <w:t>Aktivitetet e planifikuara për 2021:</w:t>
      </w:r>
    </w:p>
    <w:p w14:paraId="150425E3" w14:textId="08CA47DE" w:rsidR="001F3CE0" w:rsidRPr="00554FAF" w:rsidRDefault="001F3CE0" w:rsidP="00802FB3">
      <w:pPr>
        <w:pStyle w:val="ListParagraph"/>
        <w:numPr>
          <w:ilvl w:val="0"/>
          <w:numId w:val="32"/>
        </w:numPr>
        <w:spacing w:after="60" w:line="240" w:lineRule="auto"/>
        <w:contextualSpacing w:val="0"/>
        <w:jc w:val="both"/>
        <w:rPr>
          <w:rFonts w:ascii="Times New Roman" w:hAnsi="Times New Roman" w:cs="Times New Roman"/>
          <w:sz w:val="24"/>
          <w:szCs w:val="24"/>
        </w:rPr>
      </w:pPr>
      <w:r w:rsidRPr="00554FAF">
        <w:rPr>
          <w:rFonts w:ascii="Times New Roman" w:hAnsi="Times New Roman" w:cs="Times New Roman"/>
          <w:sz w:val="24"/>
          <w:szCs w:val="24"/>
        </w:rPr>
        <w:t>Zbatimi i masave për efiçiencën e energjisë në 15 ndërtime publike; (MZHE/BB/FEEK)</w:t>
      </w:r>
    </w:p>
    <w:p w14:paraId="0E3ADA1D" w14:textId="091A064F" w:rsidR="00E3413B" w:rsidRPr="00554FAF" w:rsidRDefault="00E3413B" w:rsidP="00802FB3">
      <w:pPr>
        <w:pStyle w:val="ListParagraph"/>
        <w:numPr>
          <w:ilvl w:val="0"/>
          <w:numId w:val="32"/>
        </w:numPr>
        <w:spacing w:after="60" w:line="240" w:lineRule="auto"/>
        <w:contextualSpacing w:val="0"/>
        <w:jc w:val="both"/>
        <w:rPr>
          <w:rFonts w:ascii="Times New Roman" w:hAnsi="Times New Roman" w:cs="Times New Roman"/>
          <w:sz w:val="24"/>
          <w:szCs w:val="24"/>
        </w:rPr>
      </w:pPr>
      <w:r w:rsidRPr="00554FAF">
        <w:rPr>
          <w:rFonts w:ascii="Times New Roman" w:hAnsi="Times New Roman" w:cs="Times New Roman"/>
          <w:sz w:val="24"/>
          <w:szCs w:val="24"/>
        </w:rPr>
        <w:t>Zbatimi i masave për efiçiencën e energjisë në amvisëritë përmes projektit “Reliable Energy Landscape” (RELP) në 1200 shtë</w:t>
      </w:r>
      <w:r w:rsidR="00EA0B1C" w:rsidRPr="00554FAF">
        <w:rPr>
          <w:rFonts w:ascii="Times New Roman" w:hAnsi="Times New Roman" w:cs="Times New Roman"/>
          <w:sz w:val="24"/>
          <w:szCs w:val="24"/>
        </w:rPr>
        <w:t>pi dhe në 10 ndërtesa shumë kateshe</w:t>
      </w:r>
      <w:r w:rsidRPr="00554FAF">
        <w:rPr>
          <w:rFonts w:ascii="Times New Roman" w:hAnsi="Times New Roman" w:cs="Times New Roman"/>
          <w:sz w:val="24"/>
          <w:szCs w:val="24"/>
        </w:rPr>
        <w:t xml:space="preserve"> dhe instalimi i njehsorëve për matjen e konsumit të nxehtësisë dhe valvulave termostatike për rreth 4500 familje në Prishtinë; (MFK)</w:t>
      </w:r>
    </w:p>
    <w:p w14:paraId="02CE5219" w14:textId="77777777" w:rsidR="00E3413B" w:rsidRPr="00554FAF" w:rsidRDefault="00E3413B" w:rsidP="00802FB3">
      <w:pPr>
        <w:pStyle w:val="ListParagraph"/>
        <w:numPr>
          <w:ilvl w:val="0"/>
          <w:numId w:val="32"/>
        </w:numPr>
        <w:spacing w:after="60" w:line="240" w:lineRule="auto"/>
        <w:contextualSpacing w:val="0"/>
        <w:jc w:val="both"/>
        <w:rPr>
          <w:rFonts w:ascii="Times New Roman" w:hAnsi="Times New Roman" w:cs="Times New Roman"/>
          <w:sz w:val="24"/>
          <w:szCs w:val="24"/>
        </w:rPr>
      </w:pPr>
      <w:r w:rsidRPr="00554FAF">
        <w:rPr>
          <w:rFonts w:ascii="Times New Roman" w:hAnsi="Times New Roman" w:cs="Times New Roman"/>
          <w:sz w:val="24"/>
          <w:szCs w:val="24"/>
        </w:rPr>
        <w:t>Ndarjet e granteve për masat e efiçiencës për bizneset e grave brenda projektit “Reliable Energy Landscape”; (MFK)</w:t>
      </w:r>
    </w:p>
    <w:p w14:paraId="127F4EEF" w14:textId="56FE9732" w:rsidR="00E3413B" w:rsidRPr="00554FAF" w:rsidRDefault="00E3413B" w:rsidP="00802FB3">
      <w:pPr>
        <w:pStyle w:val="ListParagraph"/>
        <w:numPr>
          <w:ilvl w:val="0"/>
          <w:numId w:val="32"/>
        </w:numPr>
        <w:spacing w:after="60" w:line="240" w:lineRule="auto"/>
        <w:contextualSpacing w:val="0"/>
        <w:jc w:val="both"/>
        <w:rPr>
          <w:rFonts w:ascii="Times New Roman" w:hAnsi="Times New Roman" w:cs="Times New Roman"/>
          <w:sz w:val="24"/>
          <w:szCs w:val="24"/>
        </w:rPr>
      </w:pPr>
      <w:r w:rsidRPr="00554FAF">
        <w:rPr>
          <w:rFonts w:ascii="Times New Roman" w:hAnsi="Times New Roman" w:cs="Times New Roman"/>
          <w:sz w:val="24"/>
          <w:szCs w:val="24"/>
        </w:rPr>
        <w:t xml:space="preserve">Zbatimi i planit të investimeve kapitale për forcimin, zgjerimin e rrjetit dhe projektet e tensionit të mesëm për të zvogëluar humbjet teknike dhe </w:t>
      </w:r>
      <w:r w:rsidR="0008402D" w:rsidRPr="00554FAF">
        <w:rPr>
          <w:rFonts w:ascii="Times New Roman" w:hAnsi="Times New Roman" w:cs="Times New Roman"/>
          <w:sz w:val="24"/>
          <w:szCs w:val="24"/>
        </w:rPr>
        <w:t>komerciale</w:t>
      </w:r>
      <w:r w:rsidRPr="00554FAF">
        <w:rPr>
          <w:rFonts w:ascii="Times New Roman" w:hAnsi="Times New Roman" w:cs="Times New Roman"/>
          <w:sz w:val="24"/>
          <w:szCs w:val="24"/>
        </w:rPr>
        <w:t>; (KEDS)</w:t>
      </w:r>
    </w:p>
    <w:p w14:paraId="3903D701" w14:textId="77777777" w:rsidR="00E3413B" w:rsidRPr="00554FAF" w:rsidRDefault="00E3413B" w:rsidP="00802FB3">
      <w:pPr>
        <w:pStyle w:val="ListParagraph"/>
        <w:numPr>
          <w:ilvl w:val="0"/>
          <w:numId w:val="30"/>
        </w:numPr>
        <w:spacing w:after="60" w:line="240" w:lineRule="auto"/>
        <w:contextualSpacing w:val="0"/>
        <w:jc w:val="both"/>
        <w:rPr>
          <w:rFonts w:ascii="Times New Roman" w:hAnsi="Times New Roman" w:cs="Times New Roman"/>
          <w:b/>
          <w:sz w:val="24"/>
          <w:szCs w:val="24"/>
        </w:rPr>
      </w:pPr>
      <w:r w:rsidRPr="00554FAF">
        <w:rPr>
          <w:rFonts w:ascii="Times New Roman" w:hAnsi="Times New Roman" w:cs="Times New Roman"/>
          <w:b/>
          <w:sz w:val="24"/>
          <w:szCs w:val="24"/>
        </w:rPr>
        <w:t>Aktivitetet e planifikuara për 2022:</w:t>
      </w:r>
    </w:p>
    <w:p w14:paraId="635C1355" w14:textId="7FFB4FD9" w:rsidR="00E3413B" w:rsidRPr="00554FAF" w:rsidRDefault="00E3413B" w:rsidP="00802FB3">
      <w:pPr>
        <w:pStyle w:val="ListParagraph"/>
        <w:numPr>
          <w:ilvl w:val="0"/>
          <w:numId w:val="33"/>
        </w:numPr>
        <w:spacing w:after="60" w:line="240" w:lineRule="auto"/>
        <w:contextualSpacing w:val="0"/>
        <w:jc w:val="both"/>
        <w:rPr>
          <w:rFonts w:ascii="Times New Roman" w:hAnsi="Times New Roman" w:cs="Times New Roman"/>
          <w:sz w:val="24"/>
          <w:szCs w:val="24"/>
        </w:rPr>
      </w:pPr>
      <w:r w:rsidRPr="00554FAF">
        <w:rPr>
          <w:rFonts w:ascii="Times New Roman" w:hAnsi="Times New Roman" w:cs="Times New Roman"/>
          <w:sz w:val="24"/>
          <w:szCs w:val="24"/>
        </w:rPr>
        <w:t xml:space="preserve">Zbatimi i planit të investimeve kapitale për forcimin, zgjerimin e rrjetit dhe projektet e tensionit të mesëm për të zvogëluar humbjet teknike dhe </w:t>
      </w:r>
      <w:r w:rsidR="0008402D" w:rsidRPr="00554FAF">
        <w:rPr>
          <w:rFonts w:ascii="Times New Roman" w:hAnsi="Times New Roman" w:cs="Times New Roman"/>
          <w:sz w:val="24"/>
          <w:szCs w:val="24"/>
        </w:rPr>
        <w:t>komerciale</w:t>
      </w:r>
      <w:r w:rsidRPr="00554FAF">
        <w:rPr>
          <w:rFonts w:ascii="Times New Roman" w:hAnsi="Times New Roman" w:cs="Times New Roman"/>
          <w:sz w:val="24"/>
          <w:szCs w:val="24"/>
        </w:rPr>
        <w:t>; (KEDS)</w:t>
      </w:r>
    </w:p>
    <w:p w14:paraId="5E5E9924" w14:textId="1C54846C" w:rsidR="00E3413B" w:rsidRPr="00554FAF" w:rsidRDefault="00E3413B" w:rsidP="00802FB3">
      <w:pPr>
        <w:pStyle w:val="ListParagraph"/>
        <w:numPr>
          <w:ilvl w:val="0"/>
          <w:numId w:val="33"/>
        </w:numPr>
        <w:spacing w:after="60" w:line="240" w:lineRule="auto"/>
        <w:contextualSpacing w:val="0"/>
        <w:jc w:val="both"/>
        <w:rPr>
          <w:rFonts w:ascii="Times New Roman" w:hAnsi="Times New Roman" w:cs="Times New Roman"/>
          <w:sz w:val="24"/>
          <w:szCs w:val="24"/>
        </w:rPr>
      </w:pPr>
      <w:r w:rsidRPr="00554FAF">
        <w:rPr>
          <w:rFonts w:ascii="Times New Roman" w:hAnsi="Times New Roman" w:cs="Times New Roman"/>
          <w:sz w:val="24"/>
          <w:szCs w:val="24"/>
        </w:rPr>
        <w:t>Përfundimi i studimit të fizibilitetit dhe analiza e kostos-përfitimit për ndërtimin e rretheve të ngrohjes qendrore; (MZHE/</w:t>
      </w:r>
      <w:r w:rsidR="004A2969" w:rsidRPr="00554FAF">
        <w:rPr>
          <w:rFonts w:ascii="Times New Roman" w:hAnsi="Times New Roman" w:cs="Times New Roman"/>
          <w:sz w:val="24"/>
          <w:szCs w:val="24"/>
        </w:rPr>
        <w:t>W</w:t>
      </w:r>
      <w:r w:rsidRPr="00554FAF">
        <w:rPr>
          <w:rFonts w:ascii="Times New Roman" w:hAnsi="Times New Roman" w:cs="Times New Roman"/>
          <w:sz w:val="24"/>
          <w:szCs w:val="24"/>
        </w:rPr>
        <w:t xml:space="preserve">BIF) </w:t>
      </w:r>
    </w:p>
    <w:p w14:paraId="6E25DE2E" w14:textId="77777777" w:rsidR="00E3413B" w:rsidRPr="00554FAF" w:rsidRDefault="00E3413B" w:rsidP="000702CB">
      <w:pPr>
        <w:spacing w:after="60" w:line="240" w:lineRule="auto"/>
        <w:jc w:val="both"/>
        <w:rPr>
          <w:rFonts w:ascii="Times New Roman" w:hAnsi="Times New Roman" w:cs="Times New Roman"/>
          <w:b/>
          <w:sz w:val="24"/>
          <w:szCs w:val="24"/>
        </w:rPr>
      </w:pPr>
      <w:r w:rsidRPr="00554FAF">
        <w:rPr>
          <w:rFonts w:ascii="Times New Roman" w:hAnsi="Times New Roman" w:cs="Times New Roman"/>
          <w:b/>
          <w:sz w:val="24"/>
          <w:szCs w:val="24"/>
        </w:rPr>
        <w:t xml:space="preserve">2.Treguesit e rezultateve: </w:t>
      </w:r>
    </w:p>
    <w:tbl>
      <w:tblPr>
        <w:tblpPr w:leftFromText="180" w:rightFromText="180" w:vertAnchor="text" w:horzAnchor="margin" w:tblpX="13" w:tblpY="168"/>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8"/>
        <w:gridCol w:w="1620"/>
        <w:gridCol w:w="1710"/>
        <w:gridCol w:w="2052"/>
      </w:tblGrid>
      <w:tr w:rsidR="00E3413B" w:rsidRPr="00554FAF" w14:paraId="1098EC5B" w14:textId="77777777" w:rsidTr="004A424A">
        <w:trPr>
          <w:trHeight w:val="528"/>
        </w:trPr>
        <w:tc>
          <w:tcPr>
            <w:tcW w:w="3978" w:type="dxa"/>
            <w:shd w:val="clear" w:color="auto" w:fill="auto"/>
          </w:tcPr>
          <w:p w14:paraId="3DC97E53" w14:textId="77777777" w:rsidR="00E3413B" w:rsidRPr="00554FAF" w:rsidRDefault="00E3413B" w:rsidP="000702CB">
            <w:pPr>
              <w:pStyle w:val="Default"/>
              <w:spacing w:after="60"/>
              <w:jc w:val="both"/>
              <w:rPr>
                <w:b/>
                <w:color w:val="auto"/>
                <w:lang w:val="sq-AL"/>
              </w:rPr>
            </w:pPr>
            <w:r w:rsidRPr="00554FAF">
              <w:rPr>
                <w:b/>
                <w:color w:val="auto"/>
                <w:lang w:val="sq-AL"/>
              </w:rPr>
              <w:t>Treguesi</w:t>
            </w:r>
          </w:p>
        </w:tc>
        <w:tc>
          <w:tcPr>
            <w:tcW w:w="1620" w:type="dxa"/>
            <w:shd w:val="clear" w:color="auto" w:fill="auto"/>
          </w:tcPr>
          <w:p w14:paraId="76001A7A" w14:textId="77777777" w:rsidR="00E3413B" w:rsidRPr="00554FAF" w:rsidRDefault="00E3413B" w:rsidP="000702CB">
            <w:pPr>
              <w:pStyle w:val="Default"/>
              <w:spacing w:after="60"/>
              <w:jc w:val="both"/>
              <w:rPr>
                <w:b/>
                <w:color w:val="auto"/>
                <w:lang w:val="sq-AL"/>
              </w:rPr>
            </w:pPr>
            <w:r w:rsidRPr="00554FAF">
              <w:rPr>
                <w:b/>
                <w:color w:val="auto"/>
                <w:lang w:val="sq-AL"/>
              </w:rPr>
              <w:t>Viti bazik</w:t>
            </w:r>
          </w:p>
          <w:p w14:paraId="7D04C2D6" w14:textId="77777777" w:rsidR="00E3413B" w:rsidRPr="00554FAF" w:rsidRDefault="00E3413B" w:rsidP="000702CB">
            <w:pPr>
              <w:pStyle w:val="Default"/>
              <w:spacing w:after="60"/>
              <w:jc w:val="both"/>
              <w:rPr>
                <w:b/>
                <w:color w:val="auto"/>
                <w:lang w:val="sq-AL"/>
              </w:rPr>
            </w:pPr>
            <w:r w:rsidRPr="00554FAF">
              <w:rPr>
                <w:b/>
                <w:color w:val="auto"/>
                <w:lang w:val="sq-AL"/>
              </w:rPr>
              <w:t>2018</w:t>
            </w:r>
          </w:p>
        </w:tc>
        <w:tc>
          <w:tcPr>
            <w:tcW w:w="1710" w:type="dxa"/>
            <w:shd w:val="clear" w:color="auto" w:fill="auto"/>
          </w:tcPr>
          <w:p w14:paraId="3AB38A26" w14:textId="67332D3E" w:rsidR="00E3413B" w:rsidRPr="00554FAF" w:rsidRDefault="00313C3F" w:rsidP="000702CB">
            <w:pPr>
              <w:pStyle w:val="Default"/>
              <w:spacing w:after="60"/>
              <w:jc w:val="both"/>
              <w:rPr>
                <w:b/>
                <w:color w:val="auto"/>
                <w:lang w:val="sq-AL"/>
              </w:rPr>
            </w:pPr>
            <w:r w:rsidRPr="00554FAF">
              <w:rPr>
                <w:b/>
                <w:color w:val="auto"/>
                <w:lang w:val="sq-AL"/>
              </w:rPr>
              <w:t xml:space="preserve">Synimi </w:t>
            </w:r>
            <w:r w:rsidR="00E3413B" w:rsidRPr="00554FAF">
              <w:rPr>
                <w:b/>
                <w:color w:val="auto"/>
                <w:lang w:val="sq-AL"/>
              </w:rPr>
              <w:t xml:space="preserve">i ndërmjetëm </w:t>
            </w:r>
          </w:p>
        </w:tc>
        <w:tc>
          <w:tcPr>
            <w:tcW w:w="2052" w:type="dxa"/>
            <w:shd w:val="clear" w:color="auto" w:fill="auto"/>
          </w:tcPr>
          <w:p w14:paraId="14C797C5" w14:textId="58330500" w:rsidR="00E3413B" w:rsidRPr="00554FAF" w:rsidRDefault="00313C3F" w:rsidP="000702CB">
            <w:pPr>
              <w:pStyle w:val="Default"/>
              <w:spacing w:after="60"/>
              <w:jc w:val="both"/>
              <w:rPr>
                <w:b/>
                <w:color w:val="auto"/>
                <w:lang w:val="sq-AL"/>
              </w:rPr>
            </w:pPr>
            <w:r w:rsidRPr="00554FAF">
              <w:rPr>
                <w:b/>
                <w:color w:val="auto"/>
                <w:lang w:val="sq-AL"/>
              </w:rPr>
              <w:t>Synimi</w:t>
            </w:r>
          </w:p>
          <w:p w14:paraId="48160A60" w14:textId="77777777" w:rsidR="00E3413B" w:rsidRPr="00554FAF" w:rsidRDefault="00E3413B" w:rsidP="000702CB">
            <w:pPr>
              <w:pStyle w:val="Default"/>
              <w:spacing w:after="60"/>
              <w:jc w:val="both"/>
              <w:rPr>
                <w:b/>
                <w:color w:val="auto"/>
                <w:lang w:val="sq-AL"/>
              </w:rPr>
            </w:pPr>
            <w:r w:rsidRPr="00554FAF">
              <w:rPr>
                <w:b/>
                <w:color w:val="auto"/>
                <w:lang w:val="sq-AL"/>
              </w:rPr>
              <w:t>2022</w:t>
            </w:r>
          </w:p>
        </w:tc>
      </w:tr>
      <w:tr w:rsidR="00E3413B" w:rsidRPr="00554FAF" w14:paraId="4E861965" w14:textId="77777777" w:rsidTr="004A424A">
        <w:trPr>
          <w:trHeight w:val="712"/>
        </w:trPr>
        <w:tc>
          <w:tcPr>
            <w:tcW w:w="3978" w:type="dxa"/>
          </w:tcPr>
          <w:p w14:paraId="55B00C9D" w14:textId="77777777" w:rsidR="00E3413B" w:rsidRPr="00554FAF" w:rsidDel="003E19DA" w:rsidRDefault="00E3413B" w:rsidP="000702CB">
            <w:pPr>
              <w:pStyle w:val="Default"/>
              <w:spacing w:after="60"/>
              <w:jc w:val="both"/>
              <w:rPr>
                <w:iCs/>
                <w:lang w:val="sq-AL"/>
              </w:rPr>
            </w:pPr>
            <w:r w:rsidRPr="00554FAF">
              <w:rPr>
                <w:iCs/>
                <w:lang w:val="sq-AL"/>
              </w:rPr>
              <w:t>Konsumi i energjisë elektrike në sektorin e amvisërisë</w:t>
            </w:r>
          </w:p>
        </w:tc>
        <w:tc>
          <w:tcPr>
            <w:tcW w:w="1620" w:type="dxa"/>
            <w:vAlign w:val="center"/>
          </w:tcPr>
          <w:p w14:paraId="5DE0CDA8" w14:textId="77777777" w:rsidR="00E3413B" w:rsidRPr="00554FAF" w:rsidDel="003E19DA" w:rsidRDefault="00E3413B" w:rsidP="000702CB">
            <w:pPr>
              <w:pStyle w:val="Default"/>
              <w:spacing w:after="60"/>
              <w:jc w:val="both"/>
              <w:rPr>
                <w:iCs/>
                <w:lang w:val="sq-AL"/>
              </w:rPr>
            </w:pPr>
            <w:r w:rsidRPr="00554FAF">
              <w:rPr>
                <w:rFonts w:eastAsia="Times New Roman"/>
                <w:i/>
                <w:lang w:val="sq-AL"/>
              </w:rPr>
              <w:t>2018 – 36.1%</w:t>
            </w:r>
          </w:p>
        </w:tc>
        <w:tc>
          <w:tcPr>
            <w:tcW w:w="1710" w:type="dxa"/>
            <w:vAlign w:val="center"/>
          </w:tcPr>
          <w:p w14:paraId="143E9215" w14:textId="77777777" w:rsidR="00E3413B" w:rsidRPr="00554FAF" w:rsidRDefault="00E3413B" w:rsidP="000702CB">
            <w:pPr>
              <w:pStyle w:val="Default"/>
              <w:spacing w:after="60"/>
              <w:jc w:val="both"/>
              <w:rPr>
                <w:iCs/>
                <w:lang w:val="sq-AL"/>
              </w:rPr>
            </w:pPr>
          </w:p>
        </w:tc>
        <w:tc>
          <w:tcPr>
            <w:tcW w:w="2052" w:type="dxa"/>
            <w:vAlign w:val="center"/>
          </w:tcPr>
          <w:p w14:paraId="3F76E042" w14:textId="77777777" w:rsidR="00E3413B" w:rsidRPr="00554FAF" w:rsidDel="003E19DA" w:rsidRDefault="00E3413B" w:rsidP="000702CB">
            <w:pPr>
              <w:pStyle w:val="Default"/>
              <w:spacing w:after="60"/>
              <w:ind w:left="360"/>
              <w:jc w:val="both"/>
              <w:rPr>
                <w:iCs/>
                <w:lang w:val="sq-AL"/>
              </w:rPr>
            </w:pPr>
            <w:r w:rsidRPr="00554FAF">
              <w:rPr>
                <w:rFonts w:eastAsia="Times New Roman"/>
                <w:i/>
                <w:lang w:val="sq-AL"/>
              </w:rPr>
              <w:t>2022</w:t>
            </w:r>
            <w:r w:rsidRPr="00554FAF">
              <w:rPr>
                <w:rFonts w:eastAsia="Times New Roman"/>
                <w:lang w:val="sq-AL"/>
              </w:rPr>
              <w:t xml:space="preserve">     </w:t>
            </w:r>
            <w:r w:rsidRPr="00554FAF">
              <w:rPr>
                <w:rFonts w:eastAsia="Times New Roman"/>
                <w:i/>
                <w:lang w:val="sq-AL"/>
              </w:rPr>
              <w:t>– 30%</w:t>
            </w:r>
          </w:p>
        </w:tc>
      </w:tr>
      <w:tr w:rsidR="00E3413B" w:rsidRPr="00554FAF" w14:paraId="32EA7FE2" w14:textId="77777777" w:rsidTr="004A424A">
        <w:trPr>
          <w:trHeight w:val="748"/>
        </w:trPr>
        <w:tc>
          <w:tcPr>
            <w:tcW w:w="3978" w:type="dxa"/>
          </w:tcPr>
          <w:p w14:paraId="0989143B" w14:textId="77777777" w:rsidR="00E3413B" w:rsidRPr="00554FAF" w:rsidRDefault="00E3413B" w:rsidP="000702CB">
            <w:pPr>
              <w:pStyle w:val="Default"/>
              <w:spacing w:after="60"/>
              <w:jc w:val="both"/>
              <w:rPr>
                <w:rFonts w:eastAsia="Times New Roman"/>
                <w:lang w:val="sq-AL"/>
              </w:rPr>
            </w:pPr>
            <w:r w:rsidRPr="00554FAF">
              <w:rPr>
                <w:rFonts w:eastAsia="Times New Roman"/>
                <w:lang w:val="sq-AL"/>
              </w:rPr>
              <w:t>2. Reduktimi i humbjeve teknike dhe komerciale në rrjetin shpërndarës KEDS</w:t>
            </w:r>
          </w:p>
        </w:tc>
        <w:tc>
          <w:tcPr>
            <w:tcW w:w="1620" w:type="dxa"/>
            <w:vAlign w:val="center"/>
          </w:tcPr>
          <w:p w14:paraId="6AD9DB6C" w14:textId="77777777" w:rsidR="00E3413B" w:rsidRPr="00554FAF" w:rsidRDefault="00E3413B" w:rsidP="000702CB">
            <w:pPr>
              <w:pStyle w:val="Default"/>
              <w:spacing w:after="60"/>
              <w:jc w:val="both"/>
              <w:rPr>
                <w:iCs/>
                <w:lang w:val="sq-AL"/>
              </w:rPr>
            </w:pPr>
            <w:r w:rsidRPr="00554FAF">
              <w:rPr>
                <w:rFonts w:eastAsia="Times New Roman"/>
                <w:lang w:val="sq-AL"/>
              </w:rPr>
              <w:t xml:space="preserve"> 2018 -  22.6 %</w:t>
            </w:r>
          </w:p>
        </w:tc>
        <w:tc>
          <w:tcPr>
            <w:tcW w:w="1710" w:type="dxa"/>
            <w:vAlign w:val="center"/>
          </w:tcPr>
          <w:p w14:paraId="42C39CB8" w14:textId="77777777" w:rsidR="00E3413B" w:rsidRPr="00554FAF" w:rsidRDefault="00E3413B" w:rsidP="000702CB">
            <w:pPr>
              <w:pStyle w:val="Default"/>
              <w:spacing w:after="60"/>
              <w:jc w:val="both"/>
              <w:rPr>
                <w:iCs/>
                <w:lang w:val="sq-AL"/>
              </w:rPr>
            </w:pPr>
            <w:r w:rsidRPr="00554FAF">
              <w:rPr>
                <w:rFonts w:eastAsia="Times New Roman"/>
                <w:lang w:val="sq-AL"/>
              </w:rPr>
              <w:t>2019  -  17.6 %</w:t>
            </w:r>
          </w:p>
        </w:tc>
        <w:tc>
          <w:tcPr>
            <w:tcW w:w="2052" w:type="dxa"/>
            <w:vAlign w:val="center"/>
          </w:tcPr>
          <w:p w14:paraId="65601AA1" w14:textId="77777777" w:rsidR="00E3413B" w:rsidRPr="00554FAF" w:rsidRDefault="00E3413B" w:rsidP="00802FB3">
            <w:pPr>
              <w:pStyle w:val="Default"/>
              <w:numPr>
                <w:ilvl w:val="0"/>
                <w:numId w:val="34"/>
              </w:numPr>
              <w:spacing w:after="60"/>
              <w:jc w:val="both"/>
              <w:rPr>
                <w:iCs/>
                <w:lang w:val="sq-AL"/>
              </w:rPr>
            </w:pPr>
            <w:r w:rsidRPr="00554FAF">
              <w:rPr>
                <w:rFonts w:eastAsia="Times New Roman"/>
                <w:lang w:val="sq-AL"/>
              </w:rPr>
              <w:t>-  15.10 %</w:t>
            </w:r>
          </w:p>
        </w:tc>
      </w:tr>
      <w:tr w:rsidR="00E3413B" w:rsidRPr="00554FAF" w14:paraId="6D4A2559" w14:textId="77777777" w:rsidTr="004A424A">
        <w:trPr>
          <w:trHeight w:val="526"/>
        </w:trPr>
        <w:tc>
          <w:tcPr>
            <w:tcW w:w="3978" w:type="dxa"/>
          </w:tcPr>
          <w:p w14:paraId="6938E26E" w14:textId="77777777" w:rsidR="00E3413B" w:rsidRPr="00554FAF" w:rsidRDefault="00E3413B" w:rsidP="000702CB">
            <w:pPr>
              <w:pStyle w:val="Default"/>
              <w:spacing w:after="60"/>
              <w:rPr>
                <w:iCs/>
                <w:lang w:val="sq-AL"/>
              </w:rPr>
            </w:pPr>
            <w:r w:rsidRPr="00554FAF">
              <w:rPr>
                <w:iCs/>
                <w:lang w:val="sq-AL"/>
              </w:rPr>
              <w:t>3.MWh e ruajtura nga masat e efiçiencës së energjisë në amvisëri</w:t>
            </w:r>
          </w:p>
        </w:tc>
        <w:tc>
          <w:tcPr>
            <w:tcW w:w="1620" w:type="dxa"/>
            <w:vAlign w:val="center"/>
          </w:tcPr>
          <w:p w14:paraId="4653944A" w14:textId="77777777" w:rsidR="00E3413B" w:rsidRPr="00554FAF" w:rsidRDefault="00E3413B" w:rsidP="000702CB">
            <w:pPr>
              <w:pStyle w:val="Default"/>
              <w:spacing w:after="60"/>
              <w:jc w:val="both"/>
              <w:rPr>
                <w:iCs/>
                <w:lang w:val="sq-AL"/>
              </w:rPr>
            </w:pPr>
            <w:r w:rsidRPr="00554FAF">
              <w:rPr>
                <w:iCs/>
                <w:lang w:val="sq-AL"/>
              </w:rPr>
              <w:t>0</w:t>
            </w:r>
          </w:p>
        </w:tc>
        <w:tc>
          <w:tcPr>
            <w:tcW w:w="1710" w:type="dxa"/>
            <w:vAlign w:val="center"/>
          </w:tcPr>
          <w:p w14:paraId="0F6CBE2B" w14:textId="77777777" w:rsidR="00E3413B" w:rsidRPr="00554FAF" w:rsidRDefault="00E3413B" w:rsidP="000702CB">
            <w:pPr>
              <w:pStyle w:val="Default"/>
              <w:spacing w:after="60"/>
              <w:jc w:val="both"/>
              <w:rPr>
                <w:iCs/>
                <w:lang w:val="sq-AL"/>
              </w:rPr>
            </w:pPr>
          </w:p>
        </w:tc>
        <w:tc>
          <w:tcPr>
            <w:tcW w:w="2052" w:type="dxa"/>
            <w:vAlign w:val="center"/>
          </w:tcPr>
          <w:p w14:paraId="59C81E95" w14:textId="7E5D59CC" w:rsidR="00E3413B" w:rsidRPr="00554FAF" w:rsidRDefault="001F3CE0" w:rsidP="000702CB">
            <w:pPr>
              <w:pStyle w:val="Default"/>
              <w:spacing w:after="60"/>
              <w:jc w:val="both"/>
              <w:rPr>
                <w:iCs/>
                <w:lang w:val="sq-AL"/>
              </w:rPr>
            </w:pPr>
            <w:r w:rsidRPr="00554FAF">
              <w:rPr>
                <w:iCs/>
                <w:lang w:val="sq-AL"/>
              </w:rPr>
              <w:t>7</w:t>
            </w:r>
            <w:r w:rsidR="00E3413B" w:rsidRPr="00554FAF">
              <w:rPr>
                <w:iCs/>
                <w:lang w:val="sq-AL"/>
              </w:rPr>
              <w:t>0,000</w:t>
            </w:r>
            <w:r w:rsidRPr="00554FAF">
              <w:rPr>
                <w:iCs/>
                <w:lang w:val="sq-AL"/>
              </w:rPr>
              <w:t>-100,000</w:t>
            </w:r>
            <w:r w:rsidR="00E3413B" w:rsidRPr="00554FAF">
              <w:rPr>
                <w:iCs/>
                <w:lang w:val="sq-AL"/>
              </w:rPr>
              <w:t>MWh</w:t>
            </w:r>
          </w:p>
        </w:tc>
      </w:tr>
    </w:tbl>
    <w:p w14:paraId="5087C4C3" w14:textId="77777777" w:rsidR="00E3413B" w:rsidRPr="00554FAF" w:rsidRDefault="00E3413B" w:rsidP="000702CB">
      <w:pPr>
        <w:spacing w:after="60" w:line="240" w:lineRule="auto"/>
        <w:jc w:val="both"/>
        <w:rPr>
          <w:rFonts w:ascii="Times New Roman" w:hAnsi="Times New Roman" w:cs="Times New Roman"/>
          <w:sz w:val="24"/>
          <w:szCs w:val="24"/>
        </w:rPr>
      </w:pPr>
    </w:p>
    <w:p w14:paraId="03944961" w14:textId="5FD8A835" w:rsidR="00E3413B" w:rsidRPr="00554FAF" w:rsidRDefault="00E3413B"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b/>
          <w:sz w:val="24"/>
          <w:szCs w:val="24"/>
        </w:rPr>
        <w:t>3. Ndikimi i pritur në konkurueshmëri</w:t>
      </w:r>
      <w:r w:rsidRPr="00554FAF">
        <w:rPr>
          <w:rFonts w:ascii="Times New Roman" w:hAnsi="Times New Roman" w:cs="Times New Roman"/>
          <w:sz w:val="24"/>
          <w:szCs w:val="24"/>
        </w:rPr>
        <w:t xml:space="preserve">: Rritja e efikasitetit të energjisë zvogëlon kostot e energjisë për konsumatorët, rrit prodhimin dhe mundësitë biznesore për bizneset e reja, duke rritur kështu konkurrencën e industrisë vendore dhe shpenzimet për mallra dhe shërbime lokale. Ekziston një potencial dhe mundësi e madhe për masa të efikasitetit të energjisë nga konsumatorët e energjisë elektrike në Kosovë, që vlerësohet të arrijnë deri në 40% në amvisëri dhe 35% nga konsumatorët industrial dhe </w:t>
      </w:r>
      <w:r w:rsidR="0008402D" w:rsidRPr="00554FAF">
        <w:rPr>
          <w:rFonts w:ascii="Times New Roman" w:hAnsi="Times New Roman" w:cs="Times New Roman"/>
          <w:sz w:val="24"/>
          <w:szCs w:val="24"/>
        </w:rPr>
        <w:t>komercial</w:t>
      </w:r>
      <w:r w:rsidRPr="00554FAF">
        <w:rPr>
          <w:rFonts w:ascii="Times New Roman" w:hAnsi="Times New Roman" w:cs="Times New Roman"/>
          <w:sz w:val="24"/>
          <w:szCs w:val="24"/>
        </w:rPr>
        <w:t>. Zbatimi i këtyre masave të EE do të kontribuojë në uljen e konsumit dhe kostos së energjisë elektrike. Ulja e konsumit të energjisë</w:t>
      </w:r>
      <w:r w:rsidR="0008402D" w:rsidRPr="00554FAF">
        <w:rPr>
          <w:rFonts w:ascii="Times New Roman" w:hAnsi="Times New Roman" w:cs="Times New Roman"/>
          <w:sz w:val="24"/>
          <w:szCs w:val="24"/>
        </w:rPr>
        <w:t xml:space="preserve"> </w:t>
      </w:r>
      <w:r w:rsidRPr="00554FAF">
        <w:rPr>
          <w:rFonts w:ascii="Times New Roman" w:hAnsi="Times New Roman" w:cs="Times New Roman"/>
          <w:sz w:val="24"/>
          <w:szCs w:val="24"/>
        </w:rPr>
        <w:t>nga këto masa do të nxisë investimet e sektorit privat dhe do të ndihmojë bizneset. Më në fund, ulja e humbjeve teknike do të ndihmojë në uljen e kostos totale të energjisë.</w:t>
      </w:r>
    </w:p>
    <w:p w14:paraId="17B9076A" w14:textId="7EF4C4F1" w:rsidR="009D10BE" w:rsidRDefault="00E3413B"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b/>
          <w:sz w:val="24"/>
          <w:szCs w:val="24"/>
        </w:rPr>
        <w:t>4. Vlerësimi i kostos së aktiviteteve dhe burimi i financimit:</w:t>
      </w:r>
      <w:r w:rsidRPr="00554FAF">
        <w:rPr>
          <w:rFonts w:ascii="Times New Roman" w:hAnsi="Times New Roman" w:cs="Times New Roman"/>
          <w:sz w:val="24"/>
          <w:szCs w:val="24"/>
        </w:rPr>
        <w:t xml:space="preserve"> Kostoja totale e pritur për zbatimin e aktiviteteve pritet të jetë </w:t>
      </w:r>
      <w:r w:rsidR="009D10BE" w:rsidRPr="009D10BE">
        <w:rPr>
          <w:rFonts w:ascii="Times New Roman" w:eastAsia="Times New Roman" w:hAnsi="Times New Roman"/>
          <w:sz w:val="24"/>
          <w:szCs w:val="24"/>
        </w:rPr>
        <w:t>131,792,357</w:t>
      </w:r>
      <w:r w:rsidR="009D10BE">
        <w:rPr>
          <w:rFonts w:ascii="Times New Roman" w:eastAsia="Times New Roman" w:hAnsi="Times New Roman"/>
          <w:sz w:val="24"/>
          <w:szCs w:val="24"/>
        </w:rPr>
        <w:t xml:space="preserve"> </w:t>
      </w:r>
      <w:r w:rsidRPr="00554FAF">
        <w:rPr>
          <w:rFonts w:ascii="Times New Roman" w:hAnsi="Times New Roman" w:cs="Times New Roman"/>
          <w:sz w:val="24"/>
          <w:szCs w:val="24"/>
        </w:rPr>
        <w:t xml:space="preserve">EUR. Në bazë vjetore, </w:t>
      </w:r>
      <w:r w:rsidR="009D10BE" w:rsidRPr="009D10BE">
        <w:rPr>
          <w:rFonts w:ascii="Times New Roman" w:eastAsia="Times New Roman" w:hAnsi="Times New Roman"/>
          <w:sz w:val="24"/>
          <w:szCs w:val="24"/>
          <w:lang w:val="fr-BE"/>
        </w:rPr>
        <w:t>63,078,650.00</w:t>
      </w:r>
      <w:r w:rsidR="009D10BE" w:rsidRPr="009D10BE">
        <w:rPr>
          <w:rFonts w:ascii="Times New Roman" w:eastAsia="Times New Roman" w:hAnsi="Times New Roman"/>
          <w:b/>
          <w:bCs/>
          <w:sz w:val="20"/>
          <w:szCs w:val="20"/>
          <w:lang w:val="fr-BE"/>
        </w:rPr>
        <w:t xml:space="preserve"> </w:t>
      </w:r>
      <w:r w:rsidRPr="00554FAF">
        <w:rPr>
          <w:rFonts w:ascii="Times New Roman" w:hAnsi="Times New Roman" w:cs="Times New Roman"/>
          <w:sz w:val="24"/>
          <w:szCs w:val="24"/>
        </w:rPr>
        <w:t>EUR pritet të ndahen në vitin 2020, 3</w:t>
      </w:r>
      <w:r w:rsidR="005D71F9" w:rsidRPr="00554FAF">
        <w:rPr>
          <w:rFonts w:ascii="Times New Roman" w:hAnsi="Times New Roman" w:cs="Times New Roman"/>
          <w:sz w:val="24"/>
          <w:szCs w:val="24"/>
        </w:rPr>
        <w:t>8</w:t>
      </w:r>
      <w:r w:rsidRPr="00554FAF">
        <w:rPr>
          <w:rFonts w:ascii="Times New Roman" w:hAnsi="Times New Roman" w:cs="Times New Roman"/>
          <w:sz w:val="24"/>
          <w:szCs w:val="24"/>
        </w:rPr>
        <w:t>,</w:t>
      </w:r>
      <w:r w:rsidR="005D71F9" w:rsidRPr="00554FAF">
        <w:rPr>
          <w:rFonts w:ascii="Times New Roman" w:hAnsi="Times New Roman" w:cs="Times New Roman"/>
          <w:sz w:val="24"/>
          <w:szCs w:val="24"/>
        </w:rPr>
        <w:t xml:space="preserve">712,742 </w:t>
      </w:r>
      <w:r w:rsidRPr="00554FAF">
        <w:rPr>
          <w:rFonts w:ascii="Times New Roman" w:hAnsi="Times New Roman" w:cs="Times New Roman"/>
          <w:sz w:val="24"/>
          <w:szCs w:val="24"/>
        </w:rPr>
        <w:t>EUR në 2021 dhe 30</w:t>
      </w:r>
      <w:r w:rsidR="005D71F9" w:rsidRPr="00554FAF">
        <w:rPr>
          <w:rFonts w:ascii="Times New Roman" w:hAnsi="Times New Roman" w:cs="Times New Roman"/>
          <w:sz w:val="24"/>
          <w:szCs w:val="24"/>
        </w:rPr>
        <w:t>,</w:t>
      </w:r>
      <w:r w:rsidRPr="00554FAF">
        <w:rPr>
          <w:rFonts w:ascii="Times New Roman" w:hAnsi="Times New Roman" w:cs="Times New Roman"/>
          <w:sz w:val="24"/>
          <w:szCs w:val="24"/>
        </w:rPr>
        <w:t>000</w:t>
      </w:r>
      <w:r w:rsidR="005D71F9" w:rsidRPr="00554FAF">
        <w:rPr>
          <w:rFonts w:ascii="Times New Roman" w:hAnsi="Times New Roman" w:cs="Times New Roman"/>
          <w:sz w:val="24"/>
          <w:szCs w:val="24"/>
        </w:rPr>
        <w:t>,960</w:t>
      </w:r>
      <w:r w:rsidRPr="00554FAF">
        <w:rPr>
          <w:rFonts w:ascii="Times New Roman" w:hAnsi="Times New Roman" w:cs="Times New Roman"/>
          <w:sz w:val="24"/>
          <w:szCs w:val="24"/>
        </w:rPr>
        <w:t xml:space="preserve"> EUR në 2022. Nga kjo shumë, KEDS planifikon të investojë 36.291,000 EUR në vitin 2020, 24,603,000 EUR në vitin 2021 dhe 20.960,000 EUR në vitin 2022. MCC planifikon të jap 11.900,000 EUR në vitin 2020, 11,700,000 EUR në vitin 2021. 7,500,000 EUR do të jepen nga </w:t>
      </w:r>
      <w:r w:rsidRPr="00252FC2">
        <w:rPr>
          <w:rFonts w:ascii="Times New Roman" w:hAnsi="Times New Roman" w:cs="Times New Roman"/>
          <w:sz w:val="24"/>
          <w:szCs w:val="24"/>
        </w:rPr>
        <w:t>KFW (huamarrje)</w:t>
      </w:r>
      <w:r w:rsidRPr="00554FAF">
        <w:rPr>
          <w:rFonts w:ascii="Times New Roman" w:hAnsi="Times New Roman" w:cs="Times New Roman"/>
          <w:sz w:val="24"/>
          <w:szCs w:val="24"/>
        </w:rPr>
        <w:t xml:space="preserve"> në vitin 2020 për zbatimin e masave të efikasitetit të energjisë në 12 ndërtesa publike dhe </w:t>
      </w:r>
      <w:r w:rsidR="005D71F9" w:rsidRPr="00554FAF">
        <w:rPr>
          <w:rFonts w:ascii="Times New Roman" w:hAnsi="Times New Roman" w:cs="Times New Roman"/>
          <w:sz w:val="24"/>
          <w:szCs w:val="24"/>
        </w:rPr>
        <w:t>6,657,000 nga Banka Botërore për ta bërë të njëjtën gjë për 30 ndërtime në v</w:t>
      </w:r>
      <w:r w:rsidR="009D10BE">
        <w:rPr>
          <w:rFonts w:ascii="Times New Roman" w:hAnsi="Times New Roman" w:cs="Times New Roman"/>
          <w:sz w:val="24"/>
          <w:szCs w:val="24"/>
        </w:rPr>
        <w:t xml:space="preserve">itin 2020 dhe 15 në vitin 2021, </w:t>
      </w:r>
      <w:r w:rsidR="009D10BE" w:rsidRPr="009D10BE">
        <w:rPr>
          <w:rFonts w:ascii="Times New Roman" w:hAnsi="Times New Roman" w:cs="Times New Roman"/>
          <w:sz w:val="24"/>
          <w:szCs w:val="24"/>
        </w:rPr>
        <w:t>ndërsa 3</w:t>
      </w:r>
      <w:r w:rsidR="009D10BE">
        <w:rPr>
          <w:rFonts w:ascii="Times New Roman" w:hAnsi="Times New Roman" w:cs="Times New Roman"/>
          <w:sz w:val="24"/>
          <w:szCs w:val="24"/>
        </w:rPr>
        <w:t>.</w:t>
      </w:r>
      <w:r w:rsidR="009D10BE" w:rsidRPr="009D10BE">
        <w:rPr>
          <w:rFonts w:ascii="Times New Roman" w:hAnsi="Times New Roman" w:cs="Times New Roman"/>
          <w:sz w:val="24"/>
          <w:szCs w:val="24"/>
        </w:rPr>
        <w:t>140</w:t>
      </w:r>
      <w:r w:rsidR="009D10BE">
        <w:rPr>
          <w:rFonts w:ascii="Times New Roman" w:hAnsi="Times New Roman" w:cs="Times New Roman"/>
          <w:sz w:val="24"/>
          <w:szCs w:val="24"/>
        </w:rPr>
        <w:t>.</w:t>
      </w:r>
      <w:r w:rsidR="009D10BE" w:rsidRPr="009D10BE">
        <w:rPr>
          <w:rFonts w:ascii="Times New Roman" w:hAnsi="Times New Roman" w:cs="Times New Roman"/>
          <w:sz w:val="24"/>
          <w:szCs w:val="24"/>
        </w:rPr>
        <w:t>000 EUR do të jepen nga Buxheti i Kosovës për zbatimin e masave të efikasitetit të energjisë në 20 ndërtesa të shkollave publike.</w:t>
      </w:r>
      <w:bookmarkStart w:id="191" w:name="_GoBack"/>
      <w:bookmarkEnd w:id="191"/>
    </w:p>
    <w:p w14:paraId="25AE5A86" w14:textId="77777777" w:rsidR="009D10BE" w:rsidRDefault="009D10BE" w:rsidP="000702CB">
      <w:pPr>
        <w:spacing w:after="60" w:line="240" w:lineRule="auto"/>
        <w:jc w:val="both"/>
        <w:rPr>
          <w:rFonts w:ascii="Times New Roman" w:hAnsi="Times New Roman" w:cs="Times New Roman"/>
          <w:sz w:val="24"/>
          <w:szCs w:val="24"/>
        </w:rPr>
      </w:pPr>
    </w:p>
    <w:p w14:paraId="6ACFCE3A" w14:textId="305E1DEA" w:rsidR="00E3413B" w:rsidRPr="00554FAF" w:rsidRDefault="00E3413B"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sz w:val="24"/>
          <w:szCs w:val="24"/>
        </w:rPr>
        <w:t>Bazuar n</w:t>
      </w:r>
      <w:r w:rsidR="00916E4D" w:rsidRPr="00554FAF">
        <w:rPr>
          <w:rFonts w:ascii="Times New Roman" w:hAnsi="Times New Roman" w:cs="Times New Roman"/>
          <w:sz w:val="24"/>
          <w:szCs w:val="24"/>
        </w:rPr>
        <w:t>ë</w:t>
      </w:r>
      <w:r w:rsidRPr="00554FAF">
        <w:rPr>
          <w:rFonts w:ascii="Times New Roman" w:hAnsi="Times New Roman" w:cs="Times New Roman"/>
          <w:sz w:val="24"/>
          <w:szCs w:val="24"/>
        </w:rPr>
        <w:t xml:space="preserve"> Master Planin  për ndërtimin e sistemeve të ngrohjes qendrore, 10,000,000 EUR do të investohen në vitin 2022</w:t>
      </w:r>
      <w:r w:rsidR="00FA01F4" w:rsidRPr="00554FAF">
        <w:rPr>
          <w:rFonts w:ascii="Times New Roman" w:hAnsi="Times New Roman" w:cs="Times New Roman"/>
          <w:sz w:val="24"/>
          <w:szCs w:val="24"/>
        </w:rPr>
        <w:t xml:space="preserve"> (kosto totale e projektit mbi 40 mil), </w:t>
      </w:r>
      <w:r w:rsidRPr="00554FAF">
        <w:rPr>
          <w:rFonts w:ascii="Times New Roman" w:hAnsi="Times New Roman" w:cs="Times New Roman"/>
          <w:sz w:val="24"/>
          <w:szCs w:val="24"/>
        </w:rPr>
        <w:t xml:space="preserve"> të marra si një </w:t>
      </w:r>
      <w:r w:rsidR="00FA01F4" w:rsidRPr="00554FAF">
        <w:rPr>
          <w:rFonts w:ascii="Times New Roman" w:hAnsi="Times New Roman" w:cs="Times New Roman"/>
          <w:sz w:val="24"/>
          <w:szCs w:val="24"/>
        </w:rPr>
        <w:t xml:space="preserve">grant </w:t>
      </w:r>
      <w:r w:rsidRPr="00554FAF">
        <w:rPr>
          <w:rFonts w:ascii="Times New Roman" w:hAnsi="Times New Roman" w:cs="Times New Roman"/>
          <w:sz w:val="24"/>
          <w:szCs w:val="24"/>
        </w:rPr>
        <w:t xml:space="preserve">nga </w:t>
      </w:r>
      <w:r w:rsidR="00FA01F4" w:rsidRPr="00554FAF">
        <w:rPr>
          <w:rFonts w:ascii="Times New Roman" w:hAnsi="Times New Roman" w:cs="Times New Roman"/>
          <w:sz w:val="24"/>
          <w:szCs w:val="24"/>
        </w:rPr>
        <w:t xml:space="preserve">BE-ja dhe kredia nga </w:t>
      </w:r>
      <w:r w:rsidRPr="00554FAF">
        <w:rPr>
          <w:rFonts w:ascii="Times New Roman" w:hAnsi="Times New Roman" w:cs="Times New Roman"/>
          <w:sz w:val="24"/>
          <w:szCs w:val="24"/>
        </w:rPr>
        <w:t>EIB</w:t>
      </w:r>
      <w:r w:rsidR="00FA01F4" w:rsidRPr="00554FAF">
        <w:rPr>
          <w:rFonts w:ascii="Times New Roman" w:hAnsi="Times New Roman" w:cs="Times New Roman"/>
          <w:sz w:val="24"/>
          <w:szCs w:val="24"/>
        </w:rPr>
        <w:t xml:space="preserve"> për dyfishimin e kapacitetit të ngrohjes për rrjet të prodhimit dhe shpërndarjes në Prishtinë. Në nëntor 2021 në Gjakovë do të filloj impianti i ngrohjes me biomasë me kogjenerim, i financuar nga BE-ja me </w:t>
      </w:r>
      <w:r w:rsidR="00EA0B1C" w:rsidRPr="00554FAF">
        <w:rPr>
          <w:rFonts w:ascii="Times New Roman" w:hAnsi="Times New Roman" w:cs="Times New Roman"/>
          <w:sz w:val="24"/>
          <w:szCs w:val="24"/>
        </w:rPr>
        <w:t>një</w:t>
      </w:r>
      <w:r w:rsidR="00FA01F4" w:rsidRPr="00554FAF">
        <w:rPr>
          <w:rFonts w:ascii="Times New Roman" w:hAnsi="Times New Roman" w:cs="Times New Roman"/>
          <w:sz w:val="24"/>
          <w:szCs w:val="24"/>
        </w:rPr>
        <w:t xml:space="preserve"> kosto totale prej 14 mil. euro.</w:t>
      </w:r>
      <w:r w:rsidR="009D10BE">
        <w:rPr>
          <w:rFonts w:ascii="Times New Roman" w:hAnsi="Times New Roman" w:cs="Times New Roman"/>
          <w:sz w:val="24"/>
          <w:szCs w:val="24"/>
        </w:rPr>
        <w:t xml:space="preserve"> </w:t>
      </w:r>
    </w:p>
    <w:p w14:paraId="4127658E" w14:textId="462A24DE" w:rsidR="00E3413B" w:rsidRPr="00554FAF" w:rsidRDefault="00E3413B"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b/>
          <w:sz w:val="24"/>
          <w:szCs w:val="24"/>
        </w:rPr>
        <w:t>5.</w:t>
      </w:r>
      <w:r w:rsidRPr="00554FAF">
        <w:rPr>
          <w:rFonts w:ascii="Times New Roman" w:hAnsi="Times New Roman" w:cs="Times New Roman"/>
          <w:sz w:val="24"/>
          <w:szCs w:val="24"/>
        </w:rPr>
        <w:t xml:space="preserve"> </w:t>
      </w:r>
      <w:r w:rsidRPr="00554FAF">
        <w:rPr>
          <w:rFonts w:ascii="Times New Roman" w:hAnsi="Times New Roman" w:cs="Times New Roman"/>
          <w:b/>
          <w:sz w:val="24"/>
          <w:szCs w:val="24"/>
        </w:rPr>
        <w:t>Ndikimi i pritshëm në rezultatet sociale, të tilla si punësimi, ulja e varfërisë, barazia gjinore</w:t>
      </w:r>
      <w:r w:rsidRPr="00554FAF">
        <w:rPr>
          <w:rFonts w:ascii="Times New Roman" w:hAnsi="Times New Roman" w:cs="Times New Roman"/>
          <w:sz w:val="24"/>
          <w:szCs w:val="24"/>
        </w:rPr>
        <w:t>: Zbatimi i projekteve të EE krijon mundësi për krijimin e vendeve të punës përmes ndërmarrjeve prodhuese dhe ndërtimore. Për më tepër, aktiviteti "Ndarja e granteve për masa efikase për biznesin e grave" ka kontribuar tashmë duke dhënë bursa për 28 gra dhe praktikë për 200 gra, duke rritur pjesëmarrjen e tyre në tregun e punës dhe duke kontribuar në uljen e varfërisë dhe fuqizimin e grave në përgjithësi. Më tej, investimet në masat e efikasitetit të energjisë mund të kontribuojnë në krijimin e vendeve të punës në sektorë që lidhen drejtpërdrejt me efikasitetin e energjisë dhe uljen e shpenzimeve të energjisë.</w:t>
      </w:r>
    </w:p>
    <w:p w14:paraId="1F6FD460" w14:textId="77777777" w:rsidR="00E3413B" w:rsidRPr="00554FAF" w:rsidRDefault="00E3413B"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b/>
          <w:sz w:val="24"/>
          <w:szCs w:val="24"/>
        </w:rPr>
        <w:t>6.</w:t>
      </w:r>
      <w:r w:rsidRPr="00554FAF">
        <w:rPr>
          <w:rFonts w:ascii="Times New Roman" w:hAnsi="Times New Roman" w:cs="Times New Roman"/>
          <w:sz w:val="24"/>
          <w:szCs w:val="24"/>
        </w:rPr>
        <w:t xml:space="preserve"> </w:t>
      </w:r>
      <w:r w:rsidRPr="00554FAF">
        <w:rPr>
          <w:rFonts w:ascii="Times New Roman" w:hAnsi="Times New Roman" w:cs="Times New Roman"/>
          <w:b/>
          <w:sz w:val="24"/>
          <w:szCs w:val="24"/>
        </w:rPr>
        <w:t>Ndikimi i pritshëm në mjedis</w:t>
      </w:r>
      <w:r w:rsidRPr="00554FAF">
        <w:rPr>
          <w:rFonts w:ascii="Times New Roman" w:hAnsi="Times New Roman" w:cs="Times New Roman"/>
          <w:sz w:val="24"/>
          <w:szCs w:val="24"/>
        </w:rPr>
        <w:t>: Kalimi nga burimet ekzistuese të karburantit për ngrohje në gaz dhe bashkësi do të zvogëlojë ndjeshëm emetimin e CO2, duke ndikuar pozitivisht në mjedis.</w:t>
      </w:r>
    </w:p>
    <w:p w14:paraId="20332DE9" w14:textId="77777777" w:rsidR="00E3413B" w:rsidRPr="00554FAF" w:rsidRDefault="00E3413B" w:rsidP="000702CB">
      <w:pPr>
        <w:spacing w:after="60" w:line="240" w:lineRule="auto"/>
        <w:jc w:val="both"/>
        <w:rPr>
          <w:rFonts w:ascii="Times New Roman" w:hAnsi="Times New Roman" w:cs="Times New Roman"/>
          <w:b/>
          <w:sz w:val="24"/>
          <w:szCs w:val="24"/>
        </w:rPr>
      </w:pPr>
      <w:r w:rsidRPr="00554FAF">
        <w:rPr>
          <w:rFonts w:ascii="Times New Roman" w:hAnsi="Times New Roman" w:cs="Times New Roman"/>
          <w:b/>
          <w:sz w:val="24"/>
          <w:szCs w:val="24"/>
        </w:rPr>
        <w:t xml:space="preserve">7. Rreziqet potenciale: </w:t>
      </w:r>
    </w:p>
    <w:tbl>
      <w:tblPr>
        <w:tblpPr w:leftFromText="180" w:rightFromText="180" w:vertAnchor="text" w:horzAnchor="margin" w:tblpY="107"/>
        <w:tblOverlap w:val="never"/>
        <w:tblW w:w="9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75"/>
        <w:gridCol w:w="1530"/>
        <w:gridCol w:w="4117"/>
      </w:tblGrid>
      <w:tr w:rsidR="00E3413B" w:rsidRPr="00554FAF" w14:paraId="23E29B7C" w14:textId="77777777" w:rsidTr="004A424A">
        <w:trPr>
          <w:trHeight w:val="350"/>
        </w:trPr>
        <w:tc>
          <w:tcPr>
            <w:tcW w:w="3775" w:type="dxa"/>
            <w:shd w:val="clear" w:color="auto" w:fill="auto"/>
          </w:tcPr>
          <w:p w14:paraId="6674FE9C" w14:textId="77777777" w:rsidR="00E3413B" w:rsidRPr="00554FAF" w:rsidRDefault="00E3413B" w:rsidP="000702CB">
            <w:pPr>
              <w:pStyle w:val="Default"/>
              <w:spacing w:after="60"/>
              <w:jc w:val="both"/>
              <w:rPr>
                <w:lang w:val="sq-AL"/>
              </w:rPr>
            </w:pPr>
            <w:r w:rsidRPr="00554FAF">
              <w:rPr>
                <w:b/>
                <w:bCs/>
                <w:lang w:val="sq-AL"/>
              </w:rPr>
              <w:t>Rreziku</w:t>
            </w:r>
          </w:p>
        </w:tc>
        <w:tc>
          <w:tcPr>
            <w:tcW w:w="1530" w:type="dxa"/>
            <w:shd w:val="clear" w:color="auto" w:fill="auto"/>
          </w:tcPr>
          <w:p w14:paraId="3158A501" w14:textId="77777777" w:rsidR="00E3413B" w:rsidRPr="00554FAF" w:rsidRDefault="00E3413B" w:rsidP="000702CB">
            <w:pPr>
              <w:pStyle w:val="Default"/>
              <w:spacing w:after="60"/>
              <w:jc w:val="both"/>
              <w:rPr>
                <w:lang w:val="sq-AL"/>
              </w:rPr>
            </w:pPr>
            <w:r w:rsidRPr="00554FAF">
              <w:rPr>
                <w:b/>
                <w:bCs/>
                <w:lang w:val="sq-AL"/>
              </w:rPr>
              <w:t>Probabiliteti</w:t>
            </w:r>
          </w:p>
        </w:tc>
        <w:tc>
          <w:tcPr>
            <w:tcW w:w="4117" w:type="dxa"/>
            <w:shd w:val="clear" w:color="auto" w:fill="auto"/>
          </w:tcPr>
          <w:p w14:paraId="30BED448" w14:textId="77777777" w:rsidR="00E3413B" w:rsidRPr="00554FAF" w:rsidRDefault="00E3413B" w:rsidP="000702CB">
            <w:pPr>
              <w:pStyle w:val="Default"/>
              <w:spacing w:after="60"/>
              <w:jc w:val="both"/>
              <w:rPr>
                <w:lang w:val="sq-AL"/>
              </w:rPr>
            </w:pPr>
            <w:r w:rsidRPr="00554FAF">
              <w:rPr>
                <w:b/>
                <w:bCs/>
                <w:lang w:val="sq-AL"/>
              </w:rPr>
              <w:t xml:space="preserve">Veprimi lehtësues i planifikuar </w:t>
            </w:r>
          </w:p>
        </w:tc>
      </w:tr>
      <w:tr w:rsidR="00E3413B" w:rsidRPr="00554FAF" w14:paraId="326A9043" w14:textId="77777777" w:rsidTr="004A424A">
        <w:trPr>
          <w:trHeight w:val="606"/>
        </w:trPr>
        <w:tc>
          <w:tcPr>
            <w:tcW w:w="3775" w:type="dxa"/>
          </w:tcPr>
          <w:p w14:paraId="4773A8E8" w14:textId="77777777" w:rsidR="00E3413B" w:rsidRPr="00554FAF" w:rsidRDefault="00E3413B" w:rsidP="000702CB">
            <w:pPr>
              <w:pStyle w:val="Default"/>
              <w:spacing w:after="60"/>
              <w:jc w:val="both"/>
              <w:rPr>
                <w:lang w:val="sq-AL"/>
              </w:rPr>
            </w:pPr>
            <w:r w:rsidRPr="00554FAF">
              <w:rPr>
                <w:lang w:val="sq-AL"/>
              </w:rPr>
              <w:t>Mungesa e koordinimit në kohë ndërmjet institucioneve qeveritare lokale dhe qendrore në zbatimin e aksionit.</w:t>
            </w:r>
          </w:p>
        </w:tc>
        <w:tc>
          <w:tcPr>
            <w:tcW w:w="1530" w:type="dxa"/>
          </w:tcPr>
          <w:p w14:paraId="3B23A359" w14:textId="77777777" w:rsidR="00E3413B" w:rsidRPr="00554FAF" w:rsidRDefault="00E3413B" w:rsidP="000702CB">
            <w:pPr>
              <w:pStyle w:val="Default"/>
              <w:spacing w:after="60"/>
              <w:jc w:val="both"/>
              <w:rPr>
                <w:lang w:val="sq-AL"/>
              </w:rPr>
            </w:pPr>
            <w:r w:rsidRPr="00554FAF">
              <w:rPr>
                <w:lang w:val="sq-AL"/>
              </w:rPr>
              <w:t>I mesëm</w:t>
            </w:r>
          </w:p>
        </w:tc>
        <w:tc>
          <w:tcPr>
            <w:tcW w:w="4117" w:type="dxa"/>
          </w:tcPr>
          <w:p w14:paraId="613E69B8" w14:textId="62C8198A" w:rsidR="00E3413B" w:rsidRPr="00554FAF" w:rsidRDefault="00E3413B"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sz w:val="24"/>
                <w:szCs w:val="24"/>
              </w:rPr>
              <w:t>Ul</w:t>
            </w:r>
            <w:r w:rsidR="00916E4D" w:rsidRPr="00554FAF">
              <w:rPr>
                <w:rFonts w:ascii="Times New Roman" w:hAnsi="Times New Roman" w:cs="Times New Roman"/>
                <w:sz w:val="24"/>
                <w:szCs w:val="24"/>
              </w:rPr>
              <w:t>ja e</w:t>
            </w:r>
            <w:r w:rsidRPr="00554FAF">
              <w:rPr>
                <w:rFonts w:ascii="Times New Roman" w:hAnsi="Times New Roman" w:cs="Times New Roman"/>
                <w:sz w:val="24"/>
                <w:szCs w:val="24"/>
              </w:rPr>
              <w:t xml:space="preserve"> rreziku</w:t>
            </w:r>
            <w:r w:rsidR="00916E4D" w:rsidRPr="00554FAF">
              <w:rPr>
                <w:rFonts w:ascii="Times New Roman" w:hAnsi="Times New Roman" w:cs="Times New Roman"/>
                <w:sz w:val="24"/>
                <w:szCs w:val="24"/>
              </w:rPr>
              <w:t>t</w:t>
            </w:r>
            <w:r w:rsidRPr="00554FAF">
              <w:rPr>
                <w:rFonts w:ascii="Times New Roman" w:hAnsi="Times New Roman" w:cs="Times New Roman"/>
                <w:sz w:val="24"/>
                <w:szCs w:val="24"/>
              </w:rPr>
              <w:t xml:space="preserve"> përmes parimeve metodologjike të aplikuara në procesin e formulimit</w:t>
            </w:r>
          </w:p>
        </w:tc>
      </w:tr>
      <w:tr w:rsidR="00E3413B" w:rsidRPr="00554FAF" w14:paraId="2162AB8F" w14:textId="77777777" w:rsidTr="004A424A">
        <w:trPr>
          <w:trHeight w:val="606"/>
        </w:trPr>
        <w:tc>
          <w:tcPr>
            <w:tcW w:w="3775" w:type="dxa"/>
          </w:tcPr>
          <w:p w14:paraId="3D2D1AB4" w14:textId="34ADC4D9" w:rsidR="00E3413B" w:rsidRPr="00554FAF" w:rsidRDefault="00E3413B" w:rsidP="004A2624">
            <w:pPr>
              <w:pStyle w:val="Default"/>
              <w:spacing w:after="60"/>
              <w:jc w:val="both"/>
              <w:rPr>
                <w:lang w:val="sq-AL"/>
              </w:rPr>
            </w:pPr>
            <w:r w:rsidRPr="00554FAF">
              <w:rPr>
                <w:lang w:val="sq-AL"/>
              </w:rPr>
              <w:t xml:space="preserve">Kapacitetet e pamjaftueshme profesionale të partnerëve të zgjedhur </w:t>
            </w:r>
            <w:r w:rsidR="00916E4D" w:rsidRPr="00554FAF">
              <w:rPr>
                <w:lang w:val="sq-AL"/>
              </w:rPr>
              <w:t>zbatues</w:t>
            </w:r>
          </w:p>
        </w:tc>
        <w:tc>
          <w:tcPr>
            <w:tcW w:w="1530" w:type="dxa"/>
          </w:tcPr>
          <w:p w14:paraId="0666465B" w14:textId="77777777" w:rsidR="00E3413B" w:rsidRPr="00554FAF" w:rsidRDefault="00E3413B" w:rsidP="000702CB">
            <w:pPr>
              <w:pStyle w:val="Default"/>
              <w:spacing w:after="60"/>
              <w:jc w:val="both"/>
              <w:rPr>
                <w:lang w:val="sq-AL"/>
              </w:rPr>
            </w:pPr>
            <w:r w:rsidRPr="00554FAF">
              <w:rPr>
                <w:lang w:val="sq-AL"/>
              </w:rPr>
              <w:t>I mesëm</w:t>
            </w:r>
          </w:p>
        </w:tc>
        <w:tc>
          <w:tcPr>
            <w:tcW w:w="4117" w:type="dxa"/>
          </w:tcPr>
          <w:p w14:paraId="1CA5D82B" w14:textId="17E6CB9A" w:rsidR="00E3413B" w:rsidRPr="00554FAF" w:rsidRDefault="00E3413B" w:rsidP="000702CB">
            <w:pPr>
              <w:pStyle w:val="Default"/>
              <w:spacing w:after="60"/>
              <w:jc w:val="both"/>
              <w:rPr>
                <w:lang w:val="sq-AL"/>
              </w:rPr>
            </w:pPr>
            <w:r w:rsidRPr="00554FAF">
              <w:rPr>
                <w:lang w:val="sq-AL"/>
              </w:rPr>
              <w:t>Adres</w:t>
            </w:r>
            <w:r w:rsidR="00916E4D" w:rsidRPr="00554FAF">
              <w:rPr>
                <w:lang w:val="sq-AL"/>
              </w:rPr>
              <w:t>imi i</w:t>
            </w:r>
            <w:r w:rsidRPr="00554FAF">
              <w:rPr>
                <w:lang w:val="sq-AL"/>
              </w:rPr>
              <w:t xml:space="preserve"> rreziku</w:t>
            </w:r>
            <w:r w:rsidR="00916E4D" w:rsidRPr="00554FAF">
              <w:rPr>
                <w:lang w:val="sq-AL"/>
              </w:rPr>
              <w:t>t</w:t>
            </w:r>
            <w:r w:rsidRPr="00554FAF">
              <w:rPr>
                <w:lang w:val="sq-AL"/>
              </w:rPr>
              <w:t xml:space="preserve"> përmes elementeve gjithëpërfshirës</w:t>
            </w:r>
            <w:r w:rsidR="00916E4D" w:rsidRPr="00554FAF">
              <w:rPr>
                <w:lang w:val="sq-AL"/>
              </w:rPr>
              <w:t>e</w:t>
            </w:r>
            <w:r w:rsidRPr="00554FAF">
              <w:rPr>
                <w:lang w:val="sq-AL"/>
              </w:rPr>
              <w:t xml:space="preserve"> për krijimin e kapaciteteve dhe ekspertizës mbështetëse.</w:t>
            </w:r>
          </w:p>
        </w:tc>
      </w:tr>
    </w:tbl>
    <w:p w14:paraId="615C60CB" w14:textId="77777777" w:rsidR="00E3413B" w:rsidRPr="00554FAF" w:rsidRDefault="00E3413B" w:rsidP="000702CB">
      <w:pPr>
        <w:spacing w:after="60" w:line="240" w:lineRule="auto"/>
        <w:jc w:val="both"/>
        <w:rPr>
          <w:rFonts w:ascii="Times New Roman" w:hAnsi="Times New Roman" w:cs="Times New Roman"/>
          <w:sz w:val="24"/>
          <w:szCs w:val="24"/>
        </w:rPr>
      </w:pPr>
    </w:p>
    <w:p w14:paraId="2FFA2F67" w14:textId="77777777" w:rsidR="00E3413B" w:rsidRPr="00554FAF" w:rsidRDefault="00E3413B" w:rsidP="000702CB">
      <w:pPr>
        <w:shd w:val="clear" w:color="auto" w:fill="2E74B5" w:themeFill="accent1" w:themeFillShade="BF"/>
        <w:spacing w:after="60" w:line="240" w:lineRule="auto"/>
        <w:jc w:val="both"/>
        <w:rPr>
          <w:rFonts w:ascii="Times New Roman" w:hAnsi="Times New Roman" w:cs="Times New Roman"/>
          <w:b/>
          <w:sz w:val="24"/>
          <w:szCs w:val="24"/>
        </w:rPr>
      </w:pPr>
      <w:r w:rsidRPr="00554FAF">
        <w:rPr>
          <w:rFonts w:ascii="Times New Roman" w:hAnsi="Times New Roman" w:cs="Times New Roman"/>
          <w:b/>
          <w:sz w:val="24"/>
          <w:szCs w:val="24"/>
        </w:rPr>
        <w:t>Masa reformuese 2# Rritja e diversitetit të burimeve të energjisë</w:t>
      </w:r>
    </w:p>
    <w:p w14:paraId="2BF94C39" w14:textId="5245C101" w:rsidR="00E3413B" w:rsidRPr="00554FAF" w:rsidRDefault="00E3413B"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b/>
          <w:sz w:val="24"/>
          <w:szCs w:val="24"/>
        </w:rPr>
        <w:t>1.</w:t>
      </w:r>
      <w:r w:rsidR="00A53245" w:rsidRPr="00554FAF">
        <w:rPr>
          <w:rFonts w:ascii="Times New Roman" w:hAnsi="Times New Roman" w:cs="Times New Roman"/>
          <w:b/>
          <w:sz w:val="24"/>
          <w:szCs w:val="24"/>
        </w:rPr>
        <w:t xml:space="preserve"> </w:t>
      </w:r>
      <w:r w:rsidRPr="00554FAF">
        <w:rPr>
          <w:rFonts w:ascii="Times New Roman" w:hAnsi="Times New Roman" w:cs="Times New Roman"/>
          <w:b/>
          <w:sz w:val="24"/>
          <w:szCs w:val="24"/>
        </w:rPr>
        <w:t>Përshkrimi i masës:</w:t>
      </w:r>
      <w:r w:rsidRPr="00554FAF">
        <w:rPr>
          <w:rFonts w:ascii="Times New Roman" w:hAnsi="Times New Roman" w:cs="Times New Roman"/>
          <w:sz w:val="24"/>
          <w:szCs w:val="24"/>
        </w:rPr>
        <w:t xml:space="preserve">  Kjo masë i trajton pengesat në sektorët e </w:t>
      </w:r>
      <w:r w:rsidR="005A147F" w:rsidRPr="00554FAF">
        <w:rPr>
          <w:rFonts w:ascii="Times New Roman" w:hAnsi="Times New Roman" w:cs="Times New Roman"/>
          <w:sz w:val="24"/>
          <w:szCs w:val="24"/>
        </w:rPr>
        <w:t>burimeve t</w:t>
      </w:r>
      <w:r w:rsidR="004A2969" w:rsidRPr="00554FAF">
        <w:rPr>
          <w:rFonts w:ascii="Times New Roman" w:hAnsi="Times New Roman" w:cs="Times New Roman"/>
          <w:sz w:val="24"/>
          <w:szCs w:val="24"/>
        </w:rPr>
        <w:t>ë</w:t>
      </w:r>
      <w:r w:rsidR="005A147F" w:rsidRPr="00554FAF">
        <w:rPr>
          <w:rFonts w:ascii="Times New Roman" w:hAnsi="Times New Roman" w:cs="Times New Roman"/>
          <w:sz w:val="24"/>
          <w:szCs w:val="24"/>
        </w:rPr>
        <w:t xml:space="preserve"> rip</w:t>
      </w:r>
      <w:r w:rsidR="004A2969" w:rsidRPr="00554FAF">
        <w:rPr>
          <w:rFonts w:ascii="Times New Roman" w:hAnsi="Times New Roman" w:cs="Times New Roman"/>
          <w:sz w:val="24"/>
          <w:szCs w:val="24"/>
        </w:rPr>
        <w:t>ë</w:t>
      </w:r>
      <w:r w:rsidR="005A147F" w:rsidRPr="00554FAF">
        <w:rPr>
          <w:rFonts w:ascii="Times New Roman" w:hAnsi="Times New Roman" w:cs="Times New Roman"/>
          <w:sz w:val="24"/>
          <w:szCs w:val="24"/>
        </w:rPr>
        <w:t>rt</w:t>
      </w:r>
      <w:r w:rsidR="004A2969" w:rsidRPr="00554FAF">
        <w:rPr>
          <w:rFonts w:ascii="Times New Roman" w:hAnsi="Times New Roman" w:cs="Times New Roman"/>
          <w:sz w:val="24"/>
          <w:szCs w:val="24"/>
        </w:rPr>
        <w:t>ë</w:t>
      </w:r>
      <w:r w:rsidR="005A147F" w:rsidRPr="00554FAF">
        <w:rPr>
          <w:rFonts w:ascii="Times New Roman" w:hAnsi="Times New Roman" w:cs="Times New Roman"/>
          <w:sz w:val="24"/>
          <w:szCs w:val="24"/>
        </w:rPr>
        <w:t>rishme t</w:t>
      </w:r>
      <w:r w:rsidR="004A2969" w:rsidRPr="00554FAF">
        <w:rPr>
          <w:rFonts w:ascii="Times New Roman" w:hAnsi="Times New Roman" w:cs="Times New Roman"/>
          <w:sz w:val="24"/>
          <w:szCs w:val="24"/>
        </w:rPr>
        <w:t>ë</w:t>
      </w:r>
      <w:r w:rsidR="005A147F" w:rsidRPr="00554FAF">
        <w:rPr>
          <w:rFonts w:ascii="Times New Roman" w:hAnsi="Times New Roman" w:cs="Times New Roman"/>
          <w:sz w:val="24"/>
          <w:szCs w:val="24"/>
        </w:rPr>
        <w:t xml:space="preserve"> energjis</w:t>
      </w:r>
      <w:r w:rsidR="004A2969" w:rsidRPr="00554FAF">
        <w:rPr>
          <w:rFonts w:ascii="Times New Roman" w:hAnsi="Times New Roman" w:cs="Times New Roman"/>
          <w:sz w:val="24"/>
          <w:szCs w:val="24"/>
        </w:rPr>
        <w:t>ë</w:t>
      </w:r>
      <w:r w:rsidR="005A147F" w:rsidRPr="00554FAF">
        <w:rPr>
          <w:rFonts w:ascii="Times New Roman" w:hAnsi="Times New Roman" w:cs="Times New Roman"/>
          <w:sz w:val="24"/>
          <w:szCs w:val="24"/>
        </w:rPr>
        <w:t xml:space="preserve"> (BRE)</w:t>
      </w:r>
      <w:r w:rsidRPr="00554FAF">
        <w:rPr>
          <w:rFonts w:ascii="Times New Roman" w:hAnsi="Times New Roman" w:cs="Times New Roman"/>
          <w:sz w:val="24"/>
          <w:szCs w:val="24"/>
        </w:rPr>
        <w:t>, gaz</w:t>
      </w:r>
      <w:r w:rsidR="00F9264F" w:rsidRPr="00554FAF">
        <w:rPr>
          <w:rFonts w:ascii="Times New Roman" w:hAnsi="Times New Roman" w:cs="Times New Roman"/>
          <w:sz w:val="24"/>
          <w:szCs w:val="24"/>
        </w:rPr>
        <w:t>it</w:t>
      </w:r>
      <w:r w:rsidRPr="00554FAF">
        <w:rPr>
          <w:rFonts w:ascii="Times New Roman" w:hAnsi="Times New Roman" w:cs="Times New Roman"/>
          <w:sz w:val="24"/>
          <w:szCs w:val="24"/>
        </w:rPr>
        <w:t>,  ngrohje</w:t>
      </w:r>
      <w:r w:rsidR="00F9264F" w:rsidRPr="00554FAF">
        <w:rPr>
          <w:rFonts w:ascii="Times New Roman" w:hAnsi="Times New Roman" w:cs="Times New Roman"/>
          <w:sz w:val="24"/>
          <w:szCs w:val="24"/>
        </w:rPr>
        <w:t>s</w:t>
      </w:r>
      <w:r w:rsidRPr="00554FAF">
        <w:rPr>
          <w:rFonts w:ascii="Times New Roman" w:hAnsi="Times New Roman" w:cs="Times New Roman"/>
          <w:sz w:val="24"/>
          <w:szCs w:val="24"/>
        </w:rPr>
        <w:t xml:space="preserve"> qendrore dhe integrimi</w:t>
      </w:r>
      <w:r w:rsidR="00F9264F" w:rsidRPr="00554FAF">
        <w:rPr>
          <w:rFonts w:ascii="Times New Roman" w:hAnsi="Times New Roman" w:cs="Times New Roman"/>
          <w:sz w:val="24"/>
          <w:szCs w:val="24"/>
        </w:rPr>
        <w:t>t</w:t>
      </w:r>
      <w:r w:rsidRPr="00554FAF">
        <w:rPr>
          <w:rFonts w:ascii="Times New Roman" w:hAnsi="Times New Roman" w:cs="Times New Roman"/>
          <w:sz w:val="24"/>
          <w:szCs w:val="24"/>
        </w:rPr>
        <w:t xml:space="preserve"> rajonal të tregjeve të energjisë. Investimet në këto fusha do të balanconin kërkesat</w:t>
      </w:r>
      <w:r w:rsidR="00F9264F" w:rsidRPr="00554FAF">
        <w:rPr>
          <w:rFonts w:ascii="Times New Roman" w:hAnsi="Times New Roman" w:cs="Times New Roman"/>
          <w:sz w:val="24"/>
          <w:szCs w:val="24"/>
        </w:rPr>
        <w:t xml:space="preserve"> gjë që</w:t>
      </w:r>
      <w:r w:rsidRPr="00554FAF">
        <w:rPr>
          <w:rFonts w:ascii="Times New Roman" w:hAnsi="Times New Roman" w:cs="Times New Roman"/>
          <w:sz w:val="24"/>
          <w:szCs w:val="24"/>
        </w:rPr>
        <w:t xml:space="preserve"> do të rezultonte në energji më të qëndrueshme dhe do të ndihmonte në prodhimin dhe </w:t>
      </w:r>
      <w:r w:rsidR="00F9264F" w:rsidRPr="00554FAF">
        <w:rPr>
          <w:rFonts w:ascii="Times New Roman" w:hAnsi="Times New Roman" w:cs="Times New Roman"/>
          <w:sz w:val="24"/>
          <w:szCs w:val="24"/>
        </w:rPr>
        <w:t xml:space="preserve">synimin </w:t>
      </w:r>
      <w:r w:rsidRPr="00554FAF">
        <w:rPr>
          <w:rFonts w:ascii="Times New Roman" w:hAnsi="Times New Roman" w:cs="Times New Roman"/>
          <w:sz w:val="24"/>
          <w:szCs w:val="24"/>
        </w:rPr>
        <w:t xml:space="preserve">e energjisë së ripërtëritshme. </w:t>
      </w:r>
      <w:r w:rsidR="00F9264F" w:rsidRPr="00554FAF">
        <w:rPr>
          <w:rFonts w:ascii="Times New Roman" w:hAnsi="Times New Roman" w:cs="Times New Roman"/>
          <w:sz w:val="24"/>
          <w:szCs w:val="24"/>
        </w:rPr>
        <w:t>Kjo masë</w:t>
      </w:r>
      <w:r w:rsidRPr="00554FAF">
        <w:rPr>
          <w:rFonts w:ascii="Times New Roman" w:hAnsi="Times New Roman" w:cs="Times New Roman"/>
          <w:sz w:val="24"/>
          <w:szCs w:val="24"/>
        </w:rPr>
        <w:t xml:space="preserve"> ka vazhduar nga plani i vitit të kaluar m</w:t>
      </w:r>
      <w:r w:rsidR="00F9264F" w:rsidRPr="00554FAF">
        <w:rPr>
          <w:rFonts w:ascii="Times New Roman" w:hAnsi="Times New Roman" w:cs="Times New Roman"/>
          <w:sz w:val="24"/>
          <w:szCs w:val="24"/>
        </w:rPr>
        <w:t>e</w:t>
      </w:r>
      <w:r w:rsidRPr="00554FAF">
        <w:rPr>
          <w:rFonts w:ascii="Times New Roman" w:hAnsi="Times New Roman" w:cs="Times New Roman"/>
          <w:sz w:val="24"/>
          <w:szCs w:val="24"/>
        </w:rPr>
        <w:t xml:space="preserve"> disa ndryshime të vogla. Gjithashtu, </w:t>
      </w:r>
      <w:r w:rsidR="005A147F" w:rsidRPr="00554FAF">
        <w:rPr>
          <w:rFonts w:ascii="Times New Roman" w:hAnsi="Times New Roman" w:cs="Times New Roman"/>
          <w:sz w:val="24"/>
          <w:szCs w:val="24"/>
        </w:rPr>
        <w:t>kjo mas</w:t>
      </w:r>
      <w:r w:rsidR="004A2969" w:rsidRPr="00554FAF">
        <w:rPr>
          <w:rFonts w:ascii="Times New Roman" w:hAnsi="Times New Roman" w:cs="Times New Roman"/>
          <w:sz w:val="24"/>
          <w:szCs w:val="24"/>
        </w:rPr>
        <w:t>ë</w:t>
      </w:r>
      <w:r w:rsidRPr="00554FAF">
        <w:rPr>
          <w:rFonts w:ascii="Times New Roman" w:hAnsi="Times New Roman" w:cs="Times New Roman"/>
          <w:sz w:val="24"/>
          <w:szCs w:val="24"/>
        </w:rPr>
        <w:t xml:space="preserve"> theksohet në Strategjinë </w:t>
      </w:r>
      <w:r w:rsidR="005A147F" w:rsidRPr="00554FAF">
        <w:rPr>
          <w:rFonts w:ascii="Times New Roman" w:hAnsi="Times New Roman" w:cs="Times New Roman"/>
          <w:sz w:val="24"/>
          <w:szCs w:val="24"/>
        </w:rPr>
        <w:t>e Sektorit t</w:t>
      </w:r>
      <w:r w:rsidR="004A2969" w:rsidRPr="00554FAF">
        <w:rPr>
          <w:rFonts w:ascii="Times New Roman" w:hAnsi="Times New Roman" w:cs="Times New Roman"/>
          <w:sz w:val="24"/>
          <w:szCs w:val="24"/>
        </w:rPr>
        <w:t>ë</w:t>
      </w:r>
      <w:r w:rsidRPr="00554FAF">
        <w:rPr>
          <w:rFonts w:ascii="Times New Roman" w:hAnsi="Times New Roman" w:cs="Times New Roman"/>
          <w:sz w:val="24"/>
          <w:szCs w:val="24"/>
        </w:rPr>
        <w:t xml:space="preserve"> Energji</w:t>
      </w:r>
      <w:r w:rsidR="005A147F" w:rsidRPr="00554FAF">
        <w:rPr>
          <w:rFonts w:ascii="Times New Roman" w:hAnsi="Times New Roman" w:cs="Times New Roman"/>
          <w:sz w:val="24"/>
          <w:szCs w:val="24"/>
        </w:rPr>
        <w:t>s</w:t>
      </w:r>
      <w:r w:rsidR="004A2969" w:rsidRPr="00554FAF">
        <w:rPr>
          <w:rFonts w:ascii="Times New Roman" w:hAnsi="Times New Roman" w:cs="Times New Roman"/>
          <w:sz w:val="24"/>
          <w:szCs w:val="24"/>
        </w:rPr>
        <w:t>ë</w:t>
      </w:r>
      <w:r w:rsidRPr="00554FAF">
        <w:rPr>
          <w:rFonts w:ascii="Times New Roman" w:hAnsi="Times New Roman" w:cs="Times New Roman"/>
          <w:sz w:val="24"/>
          <w:szCs w:val="24"/>
        </w:rPr>
        <w:t xml:space="preserve"> dhe adreson sfidat e tilla si, shfrytëzimi i potencialit të energjisë së ripërtëritshme, rritja e efi</w:t>
      </w:r>
      <w:r w:rsidR="00F9264F" w:rsidRPr="00554FAF">
        <w:rPr>
          <w:rFonts w:ascii="Times New Roman" w:hAnsi="Times New Roman" w:cs="Times New Roman"/>
          <w:sz w:val="24"/>
          <w:szCs w:val="24"/>
        </w:rPr>
        <w:t>ç</w:t>
      </w:r>
      <w:r w:rsidRPr="00554FAF">
        <w:rPr>
          <w:rFonts w:ascii="Times New Roman" w:hAnsi="Times New Roman" w:cs="Times New Roman"/>
          <w:sz w:val="24"/>
          <w:szCs w:val="24"/>
        </w:rPr>
        <w:t>iencës së energjisë dhe liberalizimin e mëtejmë të tregut të energjisë. Prandaj, duke e hapur tregun e energjisë dhe duke aplikuar ankande</w:t>
      </w:r>
      <w:r w:rsidR="005A147F" w:rsidRPr="00554FAF">
        <w:rPr>
          <w:rFonts w:ascii="Times New Roman" w:hAnsi="Times New Roman" w:cs="Times New Roman"/>
          <w:sz w:val="24"/>
          <w:szCs w:val="24"/>
        </w:rPr>
        <w:t xml:space="preserve"> konkurruese</w:t>
      </w:r>
      <w:r w:rsidRPr="00554FAF">
        <w:rPr>
          <w:rFonts w:ascii="Times New Roman" w:hAnsi="Times New Roman" w:cs="Times New Roman"/>
          <w:sz w:val="24"/>
          <w:szCs w:val="24"/>
        </w:rPr>
        <w:t xml:space="preserve"> dhe platforma ligjore dhe politike në këtë sektor, Kosova do të shtyj përpara </w:t>
      </w:r>
      <w:r w:rsidR="005A147F" w:rsidRPr="00554FAF">
        <w:rPr>
          <w:rFonts w:ascii="Times New Roman" w:hAnsi="Times New Roman" w:cs="Times New Roman"/>
          <w:sz w:val="24"/>
          <w:szCs w:val="24"/>
        </w:rPr>
        <w:t>korniz</w:t>
      </w:r>
      <w:r w:rsidR="004A2969" w:rsidRPr="00554FAF">
        <w:rPr>
          <w:rFonts w:ascii="Times New Roman" w:hAnsi="Times New Roman" w:cs="Times New Roman"/>
          <w:sz w:val="24"/>
          <w:szCs w:val="24"/>
        </w:rPr>
        <w:t>ë</w:t>
      </w:r>
      <w:r w:rsidR="005A147F" w:rsidRPr="00554FAF">
        <w:rPr>
          <w:rFonts w:ascii="Times New Roman" w:hAnsi="Times New Roman" w:cs="Times New Roman"/>
          <w:sz w:val="24"/>
          <w:szCs w:val="24"/>
        </w:rPr>
        <w:t>n e politikave t</w:t>
      </w:r>
      <w:r w:rsidR="004A2969" w:rsidRPr="00554FAF">
        <w:rPr>
          <w:rFonts w:ascii="Times New Roman" w:hAnsi="Times New Roman" w:cs="Times New Roman"/>
          <w:sz w:val="24"/>
          <w:szCs w:val="24"/>
        </w:rPr>
        <w:t>ë</w:t>
      </w:r>
      <w:r w:rsidRPr="00554FAF">
        <w:rPr>
          <w:rFonts w:ascii="Times New Roman" w:hAnsi="Times New Roman" w:cs="Times New Roman"/>
          <w:sz w:val="24"/>
          <w:szCs w:val="24"/>
        </w:rPr>
        <w:t xml:space="preserve"> Komisionit Evropian, </w:t>
      </w:r>
      <w:r w:rsidR="005A147F" w:rsidRPr="00554FAF">
        <w:rPr>
          <w:rFonts w:ascii="Times New Roman" w:hAnsi="Times New Roman" w:cs="Times New Roman"/>
          <w:sz w:val="24"/>
          <w:szCs w:val="24"/>
        </w:rPr>
        <w:t>n</w:t>
      </w:r>
      <w:r w:rsidR="004A2969" w:rsidRPr="00554FAF">
        <w:rPr>
          <w:rFonts w:ascii="Times New Roman" w:hAnsi="Times New Roman" w:cs="Times New Roman"/>
          <w:sz w:val="24"/>
          <w:szCs w:val="24"/>
        </w:rPr>
        <w:t>ë</w:t>
      </w:r>
      <w:r w:rsidR="005A147F" w:rsidRPr="00554FAF">
        <w:rPr>
          <w:rFonts w:ascii="Times New Roman" w:hAnsi="Times New Roman" w:cs="Times New Roman"/>
          <w:sz w:val="24"/>
          <w:szCs w:val="24"/>
        </w:rPr>
        <w:t xml:space="preserve"> k</w:t>
      </w:r>
      <w:r w:rsidR="004A2969" w:rsidRPr="00554FAF">
        <w:rPr>
          <w:rFonts w:ascii="Times New Roman" w:hAnsi="Times New Roman" w:cs="Times New Roman"/>
          <w:sz w:val="24"/>
          <w:szCs w:val="24"/>
        </w:rPr>
        <w:t>ë</w:t>
      </w:r>
      <w:r w:rsidR="005A147F" w:rsidRPr="00554FAF">
        <w:rPr>
          <w:rFonts w:ascii="Times New Roman" w:hAnsi="Times New Roman" w:cs="Times New Roman"/>
          <w:sz w:val="24"/>
          <w:szCs w:val="24"/>
        </w:rPr>
        <w:t>t</w:t>
      </w:r>
      <w:r w:rsidR="004A2969" w:rsidRPr="00554FAF">
        <w:rPr>
          <w:rFonts w:ascii="Times New Roman" w:hAnsi="Times New Roman" w:cs="Times New Roman"/>
          <w:sz w:val="24"/>
          <w:szCs w:val="24"/>
        </w:rPr>
        <w:t>ë</w:t>
      </w:r>
      <w:r w:rsidR="005A147F" w:rsidRPr="00554FAF">
        <w:rPr>
          <w:rFonts w:ascii="Times New Roman" w:hAnsi="Times New Roman" w:cs="Times New Roman"/>
          <w:sz w:val="24"/>
          <w:szCs w:val="24"/>
        </w:rPr>
        <w:t xml:space="preserve"> m</w:t>
      </w:r>
      <w:r w:rsidR="004A2969" w:rsidRPr="00554FAF">
        <w:rPr>
          <w:rFonts w:ascii="Times New Roman" w:hAnsi="Times New Roman" w:cs="Times New Roman"/>
          <w:sz w:val="24"/>
          <w:szCs w:val="24"/>
        </w:rPr>
        <w:t>ë</w:t>
      </w:r>
      <w:r w:rsidR="005A147F" w:rsidRPr="00554FAF">
        <w:rPr>
          <w:rFonts w:ascii="Times New Roman" w:hAnsi="Times New Roman" w:cs="Times New Roman"/>
          <w:sz w:val="24"/>
          <w:szCs w:val="24"/>
        </w:rPr>
        <w:t>nyr</w:t>
      </w:r>
      <w:r w:rsidR="004A2969" w:rsidRPr="00554FAF">
        <w:rPr>
          <w:rFonts w:ascii="Times New Roman" w:hAnsi="Times New Roman" w:cs="Times New Roman"/>
          <w:sz w:val="24"/>
          <w:szCs w:val="24"/>
        </w:rPr>
        <w:t>ë</w:t>
      </w:r>
      <w:r w:rsidR="005A147F" w:rsidRPr="00554FAF">
        <w:rPr>
          <w:rFonts w:ascii="Times New Roman" w:hAnsi="Times New Roman" w:cs="Times New Roman"/>
          <w:sz w:val="24"/>
          <w:szCs w:val="24"/>
        </w:rPr>
        <w:t xml:space="preserve"> promovon investimet ne BRE por gjithashtu duke nd</w:t>
      </w:r>
      <w:r w:rsidR="004A2969" w:rsidRPr="00554FAF">
        <w:rPr>
          <w:rFonts w:ascii="Times New Roman" w:hAnsi="Times New Roman" w:cs="Times New Roman"/>
          <w:sz w:val="24"/>
          <w:szCs w:val="24"/>
        </w:rPr>
        <w:t>ë</w:t>
      </w:r>
      <w:r w:rsidR="005A147F" w:rsidRPr="00554FAF">
        <w:rPr>
          <w:rFonts w:ascii="Times New Roman" w:hAnsi="Times New Roman" w:cs="Times New Roman"/>
          <w:sz w:val="24"/>
          <w:szCs w:val="24"/>
        </w:rPr>
        <w:t>rprer</w:t>
      </w:r>
      <w:r w:rsidR="004A2969" w:rsidRPr="00554FAF">
        <w:rPr>
          <w:rFonts w:ascii="Times New Roman" w:hAnsi="Times New Roman" w:cs="Times New Roman"/>
          <w:sz w:val="24"/>
          <w:szCs w:val="24"/>
        </w:rPr>
        <w:t>ë</w:t>
      </w:r>
      <w:r w:rsidR="005A147F" w:rsidRPr="00554FAF">
        <w:rPr>
          <w:rFonts w:ascii="Times New Roman" w:hAnsi="Times New Roman" w:cs="Times New Roman"/>
          <w:sz w:val="24"/>
          <w:szCs w:val="24"/>
        </w:rPr>
        <w:t xml:space="preserve"> sistemin e tarifave nxit</w:t>
      </w:r>
      <w:r w:rsidR="004A2969" w:rsidRPr="00554FAF">
        <w:rPr>
          <w:rFonts w:ascii="Times New Roman" w:hAnsi="Times New Roman" w:cs="Times New Roman"/>
          <w:sz w:val="24"/>
          <w:szCs w:val="24"/>
        </w:rPr>
        <w:t>ë</w:t>
      </w:r>
      <w:r w:rsidR="005A147F" w:rsidRPr="00554FAF">
        <w:rPr>
          <w:rFonts w:ascii="Times New Roman" w:hAnsi="Times New Roman" w:cs="Times New Roman"/>
          <w:sz w:val="24"/>
          <w:szCs w:val="24"/>
        </w:rPr>
        <w:t>se sipas rekomandimeve t</w:t>
      </w:r>
      <w:r w:rsidR="004A2969" w:rsidRPr="00554FAF">
        <w:rPr>
          <w:rFonts w:ascii="Times New Roman" w:hAnsi="Times New Roman" w:cs="Times New Roman"/>
          <w:sz w:val="24"/>
          <w:szCs w:val="24"/>
        </w:rPr>
        <w:t>ë</w:t>
      </w:r>
      <w:r w:rsidR="005A147F" w:rsidRPr="00554FAF">
        <w:rPr>
          <w:rFonts w:ascii="Times New Roman" w:hAnsi="Times New Roman" w:cs="Times New Roman"/>
          <w:sz w:val="24"/>
          <w:szCs w:val="24"/>
        </w:rPr>
        <w:t xml:space="preserve"> KE-s</w:t>
      </w:r>
      <w:r w:rsidR="004A2969" w:rsidRPr="00554FAF">
        <w:rPr>
          <w:rFonts w:ascii="Times New Roman" w:hAnsi="Times New Roman" w:cs="Times New Roman"/>
          <w:sz w:val="24"/>
          <w:szCs w:val="24"/>
        </w:rPr>
        <w:t>ë</w:t>
      </w:r>
      <w:r w:rsidR="005A147F" w:rsidRPr="00554FAF">
        <w:rPr>
          <w:rFonts w:ascii="Times New Roman" w:hAnsi="Times New Roman" w:cs="Times New Roman"/>
          <w:sz w:val="24"/>
          <w:szCs w:val="24"/>
        </w:rPr>
        <w:t xml:space="preserve">. </w:t>
      </w:r>
      <w:r w:rsidRPr="00554FAF">
        <w:rPr>
          <w:rFonts w:ascii="Times New Roman" w:hAnsi="Times New Roman" w:cs="Times New Roman"/>
          <w:color w:val="000000"/>
          <w:sz w:val="24"/>
          <w:szCs w:val="24"/>
        </w:rPr>
        <w:t>Objektivat kryesore të kësaj mase janë zhvillimi i kapaciteteve për prodhimin e energjisë së re, përmirësimi i sigurisë në energji dhe liberalizimi</w:t>
      </w:r>
      <w:r w:rsidR="00F9264F" w:rsidRPr="00554FAF">
        <w:rPr>
          <w:rFonts w:ascii="Times New Roman" w:hAnsi="Times New Roman" w:cs="Times New Roman"/>
          <w:color w:val="000000"/>
          <w:sz w:val="24"/>
          <w:szCs w:val="24"/>
        </w:rPr>
        <w:t>n e</w:t>
      </w:r>
      <w:r w:rsidRPr="00554FAF">
        <w:rPr>
          <w:rFonts w:ascii="Times New Roman" w:hAnsi="Times New Roman" w:cs="Times New Roman"/>
          <w:color w:val="000000"/>
          <w:sz w:val="24"/>
          <w:szCs w:val="24"/>
        </w:rPr>
        <w:t xml:space="preserve"> tregut të energjisë. </w:t>
      </w:r>
    </w:p>
    <w:p w14:paraId="15EDFD54" w14:textId="76AE483A" w:rsidR="00E3413B" w:rsidRPr="00554FAF" w:rsidRDefault="00EA0B1C" w:rsidP="000702CB">
      <w:pPr>
        <w:spacing w:after="60" w:line="240" w:lineRule="auto"/>
        <w:jc w:val="both"/>
        <w:rPr>
          <w:rFonts w:ascii="Times New Roman" w:hAnsi="Times New Roman" w:cs="Times New Roman"/>
          <w:color w:val="000000"/>
          <w:sz w:val="24"/>
          <w:szCs w:val="24"/>
        </w:rPr>
      </w:pPr>
      <w:r w:rsidRPr="00554FAF">
        <w:rPr>
          <w:rFonts w:ascii="Times New Roman" w:hAnsi="Times New Roman" w:cs="Times New Roman"/>
          <w:color w:val="000000"/>
          <w:sz w:val="24"/>
          <w:szCs w:val="24"/>
        </w:rPr>
        <w:t>Kërkesa</w:t>
      </w:r>
      <w:r w:rsidR="00F8482E" w:rsidRPr="00554FAF">
        <w:rPr>
          <w:rFonts w:ascii="Times New Roman" w:hAnsi="Times New Roman" w:cs="Times New Roman"/>
          <w:color w:val="000000"/>
          <w:sz w:val="24"/>
          <w:szCs w:val="24"/>
        </w:rPr>
        <w:t xml:space="preserve"> </w:t>
      </w:r>
      <w:r w:rsidR="00E3413B" w:rsidRPr="00554FAF">
        <w:rPr>
          <w:rFonts w:ascii="Times New Roman" w:hAnsi="Times New Roman" w:cs="Times New Roman"/>
          <w:color w:val="000000"/>
          <w:sz w:val="24"/>
          <w:szCs w:val="24"/>
        </w:rPr>
        <w:t>total</w:t>
      </w:r>
      <w:r w:rsidR="00F8482E" w:rsidRPr="00554FAF">
        <w:rPr>
          <w:rFonts w:ascii="Times New Roman" w:hAnsi="Times New Roman" w:cs="Times New Roman"/>
          <w:color w:val="000000"/>
          <w:sz w:val="24"/>
          <w:szCs w:val="24"/>
        </w:rPr>
        <w:t>e</w:t>
      </w:r>
      <w:r w:rsidR="00E3413B" w:rsidRPr="00554FAF">
        <w:rPr>
          <w:rFonts w:ascii="Times New Roman" w:hAnsi="Times New Roman" w:cs="Times New Roman"/>
          <w:color w:val="000000"/>
          <w:sz w:val="24"/>
          <w:szCs w:val="24"/>
        </w:rPr>
        <w:t xml:space="preserve"> i sistemit elektrik në vitin 2018 ishte 5686 KWh. Termocentralet kanë prodhuar 96.8% kurse centralet e BRE</w:t>
      </w:r>
      <w:r w:rsidR="00F9264F" w:rsidRPr="00554FAF">
        <w:rPr>
          <w:rFonts w:ascii="Times New Roman" w:hAnsi="Times New Roman" w:cs="Times New Roman"/>
          <w:color w:val="000000"/>
          <w:sz w:val="24"/>
          <w:szCs w:val="24"/>
        </w:rPr>
        <w:t>-së</w:t>
      </w:r>
      <w:r w:rsidR="00E3413B" w:rsidRPr="00554FAF">
        <w:rPr>
          <w:rFonts w:ascii="Times New Roman" w:hAnsi="Times New Roman" w:cs="Times New Roman"/>
          <w:color w:val="000000"/>
          <w:sz w:val="24"/>
          <w:szCs w:val="24"/>
        </w:rPr>
        <w:t xml:space="preserve"> kanë prodhuar vetëm 3.2% të totalit. Sa i përket kapaciteteve të reja, në vitin 2019, tri hidrocentrale me një kapacitet prej 18.7 MW janë instaluar, kurse sa i përket energjisë solare, një gjenerues me panele fotovoltike operon me një kapacitet prej 0.4 MW me një tjetër të tillë që ka kapacitet prej 3 MW që planifikohet të filloj në fundit të vitit. Për të adresuar problemin afatgjatë të sigurisë së furnizimit më energji, Strategjia për Energjinë 2017-2026 parasheh kapacitetin prej 1436 MW në vitin 2025, 450 MW prej të cilit rrjedhin nga burimet ripërtëritëse. Me këtë kapacitet prodhues parashihet të prodhohet rreth 7703 KWh për një vit, ku 924 KWh apo 12.1% të tyre rrjedhin nga burimet ripërtëritëse.</w:t>
      </w:r>
    </w:p>
    <w:p w14:paraId="661C3217" w14:textId="77777777" w:rsidR="00E3413B" w:rsidRPr="00554FAF" w:rsidRDefault="00E3413B" w:rsidP="00802FB3">
      <w:pPr>
        <w:pStyle w:val="ListParagraph"/>
        <w:numPr>
          <w:ilvl w:val="0"/>
          <w:numId w:val="35"/>
        </w:numPr>
        <w:spacing w:after="60" w:line="240" w:lineRule="auto"/>
        <w:contextualSpacing w:val="0"/>
        <w:jc w:val="both"/>
        <w:rPr>
          <w:rFonts w:ascii="Times New Roman" w:hAnsi="Times New Roman" w:cs="Times New Roman"/>
          <w:b/>
          <w:sz w:val="24"/>
          <w:szCs w:val="24"/>
        </w:rPr>
      </w:pPr>
      <w:r w:rsidRPr="00554FAF">
        <w:rPr>
          <w:rFonts w:ascii="Times New Roman" w:hAnsi="Times New Roman" w:cs="Times New Roman"/>
          <w:b/>
          <w:color w:val="000000"/>
          <w:sz w:val="24"/>
          <w:szCs w:val="24"/>
        </w:rPr>
        <w:t>Aktivitetet e planifikuara për vitin 2020:</w:t>
      </w:r>
    </w:p>
    <w:p w14:paraId="62BA8D7F" w14:textId="101F4BBD" w:rsidR="00E3413B" w:rsidRPr="00554FAF" w:rsidRDefault="00E3413B" w:rsidP="00802FB3">
      <w:pPr>
        <w:pStyle w:val="ListParagraph"/>
        <w:numPr>
          <w:ilvl w:val="0"/>
          <w:numId w:val="36"/>
        </w:numPr>
        <w:spacing w:after="60" w:line="240" w:lineRule="auto"/>
        <w:contextualSpacing w:val="0"/>
        <w:jc w:val="both"/>
        <w:rPr>
          <w:rFonts w:ascii="Times New Roman" w:hAnsi="Times New Roman" w:cs="Times New Roman"/>
          <w:sz w:val="24"/>
          <w:szCs w:val="24"/>
        </w:rPr>
      </w:pPr>
      <w:r w:rsidRPr="00554FAF">
        <w:rPr>
          <w:rFonts w:ascii="Times New Roman" w:hAnsi="Times New Roman" w:cs="Times New Roman"/>
          <w:color w:val="000000"/>
          <w:sz w:val="24"/>
          <w:szCs w:val="24"/>
        </w:rPr>
        <w:t xml:space="preserve">Ndryshimi i legjislacionit dytësor mbi projektet e energjisë ripërtëritëse duke aplikuar </w:t>
      </w:r>
      <w:r w:rsidR="00F8482E" w:rsidRPr="00554FAF">
        <w:rPr>
          <w:rFonts w:ascii="Times New Roman" w:hAnsi="Times New Roman" w:cs="Times New Roman"/>
          <w:color w:val="000000"/>
          <w:sz w:val="24"/>
          <w:szCs w:val="24"/>
        </w:rPr>
        <w:t>ofertime/</w:t>
      </w:r>
      <w:r w:rsidRPr="00554FAF">
        <w:rPr>
          <w:rFonts w:ascii="Times New Roman" w:hAnsi="Times New Roman" w:cs="Times New Roman"/>
          <w:color w:val="000000"/>
          <w:sz w:val="24"/>
          <w:szCs w:val="24"/>
        </w:rPr>
        <w:t>ankande</w:t>
      </w:r>
      <w:r w:rsidR="00F8482E" w:rsidRPr="00554FAF">
        <w:rPr>
          <w:rFonts w:ascii="Times New Roman" w:hAnsi="Times New Roman" w:cs="Times New Roman"/>
          <w:color w:val="000000"/>
          <w:sz w:val="24"/>
          <w:szCs w:val="24"/>
        </w:rPr>
        <w:t xml:space="preserve"> konkurruese</w:t>
      </w:r>
      <w:r w:rsidR="00F9264F" w:rsidRPr="00554FAF">
        <w:rPr>
          <w:rFonts w:ascii="Times New Roman" w:hAnsi="Times New Roman" w:cs="Times New Roman"/>
          <w:color w:val="000000"/>
          <w:sz w:val="24"/>
          <w:szCs w:val="24"/>
        </w:rPr>
        <w:t>;</w:t>
      </w:r>
      <w:r w:rsidRPr="00554FAF">
        <w:rPr>
          <w:rFonts w:ascii="Times New Roman" w:hAnsi="Times New Roman" w:cs="Times New Roman"/>
          <w:color w:val="000000"/>
          <w:sz w:val="24"/>
          <w:szCs w:val="24"/>
        </w:rPr>
        <w:t xml:space="preserve"> (ZRRE)</w:t>
      </w:r>
    </w:p>
    <w:p w14:paraId="29D3259E" w14:textId="4B1D438F" w:rsidR="00E3413B" w:rsidRPr="00554FAF" w:rsidRDefault="00E3413B" w:rsidP="00802FB3">
      <w:pPr>
        <w:pStyle w:val="ListParagraph"/>
        <w:numPr>
          <w:ilvl w:val="0"/>
          <w:numId w:val="36"/>
        </w:numPr>
        <w:spacing w:after="60" w:line="240" w:lineRule="auto"/>
        <w:contextualSpacing w:val="0"/>
        <w:jc w:val="both"/>
        <w:rPr>
          <w:rFonts w:ascii="Times New Roman" w:hAnsi="Times New Roman" w:cs="Times New Roman"/>
          <w:sz w:val="24"/>
          <w:szCs w:val="24"/>
        </w:rPr>
      </w:pPr>
      <w:r w:rsidRPr="00554FAF">
        <w:rPr>
          <w:rFonts w:ascii="Times New Roman" w:hAnsi="Times New Roman" w:cs="Times New Roman"/>
          <w:color w:val="000000"/>
          <w:sz w:val="24"/>
          <w:szCs w:val="24"/>
        </w:rPr>
        <w:t>Reformimi i platformës rregullative që</w:t>
      </w:r>
      <w:r w:rsidR="00F9264F" w:rsidRPr="00554FAF">
        <w:rPr>
          <w:rFonts w:ascii="Times New Roman" w:hAnsi="Times New Roman" w:cs="Times New Roman"/>
          <w:color w:val="000000"/>
          <w:sz w:val="24"/>
          <w:szCs w:val="24"/>
        </w:rPr>
        <w:t xml:space="preserve"> e</w:t>
      </w:r>
      <w:r w:rsidRPr="00554FAF">
        <w:rPr>
          <w:rFonts w:ascii="Times New Roman" w:hAnsi="Times New Roman" w:cs="Times New Roman"/>
          <w:color w:val="000000"/>
          <w:sz w:val="24"/>
          <w:szCs w:val="24"/>
        </w:rPr>
        <w:t xml:space="preserve"> mbështet prodhimin e energjisë elektrike nga gjeneruesit vet</w:t>
      </w:r>
      <w:r w:rsidR="00F9264F" w:rsidRPr="00554FAF">
        <w:rPr>
          <w:rFonts w:ascii="Times New Roman" w:hAnsi="Times New Roman" w:cs="Times New Roman"/>
          <w:color w:val="000000"/>
          <w:sz w:val="24"/>
          <w:szCs w:val="24"/>
        </w:rPr>
        <w:t>ë</w:t>
      </w:r>
      <w:r w:rsidRPr="00554FAF">
        <w:rPr>
          <w:rFonts w:ascii="Times New Roman" w:hAnsi="Times New Roman" w:cs="Times New Roman"/>
          <w:color w:val="000000"/>
          <w:sz w:val="24"/>
          <w:szCs w:val="24"/>
        </w:rPr>
        <w:t xml:space="preserve"> konsumues</w:t>
      </w:r>
      <w:r w:rsidR="00F9264F" w:rsidRPr="00554FAF">
        <w:rPr>
          <w:rFonts w:ascii="Times New Roman" w:hAnsi="Times New Roman" w:cs="Times New Roman"/>
          <w:color w:val="000000"/>
          <w:sz w:val="24"/>
          <w:szCs w:val="24"/>
        </w:rPr>
        <w:t>;</w:t>
      </w:r>
      <w:r w:rsidRPr="00554FAF">
        <w:rPr>
          <w:rFonts w:ascii="Times New Roman" w:hAnsi="Times New Roman" w:cs="Times New Roman"/>
          <w:color w:val="000000"/>
          <w:sz w:val="24"/>
          <w:szCs w:val="24"/>
        </w:rPr>
        <w:t xml:space="preserve">  (ZRRE)</w:t>
      </w:r>
    </w:p>
    <w:p w14:paraId="2456E821" w14:textId="3B24AC52" w:rsidR="00E3413B" w:rsidRPr="00554FAF" w:rsidRDefault="00E3413B" w:rsidP="00802FB3">
      <w:pPr>
        <w:pStyle w:val="ListParagraph"/>
        <w:numPr>
          <w:ilvl w:val="0"/>
          <w:numId w:val="36"/>
        </w:numPr>
        <w:spacing w:after="60" w:line="240" w:lineRule="auto"/>
        <w:contextualSpacing w:val="0"/>
        <w:jc w:val="both"/>
        <w:rPr>
          <w:rFonts w:ascii="Times New Roman" w:hAnsi="Times New Roman" w:cs="Times New Roman"/>
          <w:sz w:val="24"/>
          <w:szCs w:val="24"/>
        </w:rPr>
      </w:pPr>
      <w:r w:rsidRPr="00554FAF">
        <w:rPr>
          <w:rFonts w:ascii="Times New Roman" w:hAnsi="Times New Roman" w:cs="Times New Roman"/>
          <w:sz w:val="24"/>
          <w:szCs w:val="24"/>
        </w:rPr>
        <w:t>Zbatimi i katër projekteve të reja me hidrocentrale të vogla me një kapacitet prej 15.60 KWh</w:t>
      </w:r>
      <w:r w:rsidR="00F9264F" w:rsidRPr="00554FAF">
        <w:rPr>
          <w:rFonts w:ascii="Times New Roman" w:hAnsi="Times New Roman" w:cs="Times New Roman"/>
          <w:sz w:val="24"/>
          <w:szCs w:val="24"/>
        </w:rPr>
        <w:t>;</w:t>
      </w:r>
      <w:r w:rsidRPr="00554FAF">
        <w:rPr>
          <w:rFonts w:ascii="Times New Roman" w:hAnsi="Times New Roman" w:cs="Times New Roman"/>
          <w:sz w:val="24"/>
          <w:szCs w:val="24"/>
        </w:rPr>
        <w:t xml:space="preserve"> (ZRRE)</w:t>
      </w:r>
    </w:p>
    <w:p w14:paraId="351409A3" w14:textId="434CACC4" w:rsidR="00E3413B" w:rsidRPr="00554FAF" w:rsidRDefault="00E3413B" w:rsidP="00802FB3">
      <w:pPr>
        <w:pStyle w:val="ListParagraph"/>
        <w:numPr>
          <w:ilvl w:val="0"/>
          <w:numId w:val="36"/>
        </w:numPr>
        <w:spacing w:after="60" w:line="240" w:lineRule="auto"/>
        <w:contextualSpacing w:val="0"/>
        <w:jc w:val="both"/>
        <w:rPr>
          <w:rFonts w:ascii="Times New Roman" w:hAnsi="Times New Roman" w:cs="Times New Roman"/>
          <w:sz w:val="24"/>
          <w:szCs w:val="24"/>
        </w:rPr>
      </w:pPr>
      <w:r w:rsidRPr="00554FAF">
        <w:rPr>
          <w:rFonts w:ascii="Times New Roman" w:hAnsi="Times New Roman" w:cs="Times New Roman"/>
          <w:color w:val="000000"/>
          <w:sz w:val="24"/>
          <w:szCs w:val="24"/>
        </w:rPr>
        <w:t>Zbatimi i tri projekteve të reja të energjisë me erë me një kapacitet prej 105 K</w:t>
      </w:r>
      <w:r w:rsidR="004A2969" w:rsidRPr="00554FAF">
        <w:rPr>
          <w:rFonts w:ascii="Times New Roman" w:hAnsi="Times New Roman" w:cs="Times New Roman"/>
          <w:color w:val="000000"/>
          <w:sz w:val="24"/>
          <w:szCs w:val="24"/>
        </w:rPr>
        <w:t>W</w:t>
      </w:r>
      <w:r w:rsidRPr="00554FAF">
        <w:rPr>
          <w:rFonts w:ascii="Times New Roman" w:hAnsi="Times New Roman" w:cs="Times New Roman"/>
          <w:color w:val="000000"/>
          <w:sz w:val="24"/>
          <w:szCs w:val="24"/>
        </w:rPr>
        <w:t>h</w:t>
      </w:r>
      <w:r w:rsidR="00F9264F" w:rsidRPr="00554FAF">
        <w:rPr>
          <w:rFonts w:ascii="Times New Roman" w:hAnsi="Times New Roman" w:cs="Times New Roman"/>
          <w:color w:val="000000"/>
          <w:sz w:val="24"/>
          <w:szCs w:val="24"/>
        </w:rPr>
        <w:t>;</w:t>
      </w:r>
      <w:r w:rsidRPr="00554FAF">
        <w:rPr>
          <w:rFonts w:ascii="Times New Roman" w:hAnsi="Times New Roman" w:cs="Times New Roman"/>
          <w:color w:val="000000"/>
          <w:sz w:val="24"/>
          <w:szCs w:val="24"/>
        </w:rPr>
        <w:t xml:space="preserve"> (ZRRE) </w:t>
      </w:r>
    </w:p>
    <w:p w14:paraId="5CC28F46" w14:textId="0217F981" w:rsidR="00E3413B" w:rsidRPr="00554FAF" w:rsidRDefault="00E3413B" w:rsidP="00802FB3">
      <w:pPr>
        <w:pStyle w:val="ListParagraph"/>
        <w:numPr>
          <w:ilvl w:val="0"/>
          <w:numId w:val="36"/>
        </w:numPr>
        <w:spacing w:after="60" w:line="240" w:lineRule="auto"/>
        <w:contextualSpacing w:val="0"/>
        <w:jc w:val="both"/>
        <w:rPr>
          <w:rFonts w:ascii="Times New Roman" w:hAnsi="Times New Roman" w:cs="Times New Roman"/>
          <w:sz w:val="24"/>
          <w:szCs w:val="24"/>
        </w:rPr>
      </w:pPr>
      <w:r w:rsidRPr="00554FAF">
        <w:rPr>
          <w:rFonts w:ascii="Times New Roman" w:hAnsi="Times New Roman" w:cs="Times New Roman"/>
          <w:sz w:val="24"/>
          <w:szCs w:val="24"/>
        </w:rPr>
        <w:t>Zbatimi i dy projekteve me panele fotovoltike me kapacitet prej 3.4 KWh</w:t>
      </w:r>
      <w:r w:rsidR="00F9264F" w:rsidRPr="00554FAF">
        <w:rPr>
          <w:rFonts w:ascii="Times New Roman" w:hAnsi="Times New Roman" w:cs="Times New Roman"/>
          <w:sz w:val="24"/>
          <w:szCs w:val="24"/>
        </w:rPr>
        <w:t>;</w:t>
      </w:r>
      <w:r w:rsidRPr="00554FAF">
        <w:rPr>
          <w:rFonts w:ascii="Times New Roman" w:hAnsi="Times New Roman" w:cs="Times New Roman"/>
          <w:sz w:val="24"/>
          <w:szCs w:val="24"/>
        </w:rPr>
        <w:t xml:space="preserve"> (ZRRE)</w:t>
      </w:r>
    </w:p>
    <w:p w14:paraId="2EFF6133" w14:textId="6CCB8401" w:rsidR="00E3413B" w:rsidRPr="00554FAF" w:rsidRDefault="00E3413B" w:rsidP="00802FB3">
      <w:pPr>
        <w:pStyle w:val="ListParagraph"/>
        <w:numPr>
          <w:ilvl w:val="0"/>
          <w:numId w:val="36"/>
        </w:numPr>
        <w:spacing w:after="60" w:line="240" w:lineRule="auto"/>
        <w:contextualSpacing w:val="0"/>
        <w:jc w:val="both"/>
        <w:rPr>
          <w:rFonts w:ascii="Times New Roman" w:hAnsi="Times New Roman" w:cs="Times New Roman"/>
          <w:sz w:val="24"/>
          <w:szCs w:val="24"/>
        </w:rPr>
      </w:pPr>
      <w:r w:rsidRPr="00554FAF">
        <w:rPr>
          <w:rFonts w:ascii="Times New Roman" w:hAnsi="Times New Roman" w:cs="Times New Roman"/>
          <w:sz w:val="24"/>
          <w:szCs w:val="24"/>
        </w:rPr>
        <w:t>200 praktika profesionale për gratë në sektorin e energjisë</w:t>
      </w:r>
      <w:r w:rsidR="00F9264F" w:rsidRPr="00554FAF">
        <w:rPr>
          <w:rFonts w:ascii="Times New Roman" w:hAnsi="Times New Roman" w:cs="Times New Roman"/>
          <w:sz w:val="24"/>
          <w:szCs w:val="24"/>
        </w:rPr>
        <w:t>;</w:t>
      </w:r>
      <w:r w:rsidRPr="00554FAF">
        <w:rPr>
          <w:rFonts w:ascii="Times New Roman" w:hAnsi="Times New Roman" w:cs="Times New Roman"/>
          <w:sz w:val="24"/>
          <w:szCs w:val="24"/>
        </w:rPr>
        <w:t xml:space="preserve"> (MFK)</w:t>
      </w:r>
    </w:p>
    <w:p w14:paraId="1640A32B" w14:textId="569418C5" w:rsidR="00E3413B" w:rsidRPr="00554FAF" w:rsidRDefault="00E3413B" w:rsidP="00802FB3">
      <w:pPr>
        <w:pStyle w:val="ListParagraph"/>
        <w:numPr>
          <w:ilvl w:val="0"/>
          <w:numId w:val="36"/>
        </w:numPr>
        <w:spacing w:after="60" w:line="240" w:lineRule="auto"/>
        <w:contextualSpacing w:val="0"/>
        <w:jc w:val="both"/>
        <w:rPr>
          <w:rFonts w:ascii="Times New Roman" w:hAnsi="Times New Roman" w:cs="Times New Roman"/>
          <w:sz w:val="24"/>
          <w:szCs w:val="24"/>
        </w:rPr>
      </w:pPr>
      <w:r w:rsidRPr="00554FAF">
        <w:rPr>
          <w:rFonts w:ascii="Times New Roman" w:hAnsi="Times New Roman" w:cs="Times New Roman"/>
          <w:sz w:val="24"/>
          <w:szCs w:val="24"/>
        </w:rPr>
        <w:t>Përgatitja e dokumentacionit teknik për krijimin e master planit për shpërndarjen dhe furnizimin me gaz natyror në Kosovë</w:t>
      </w:r>
      <w:r w:rsidR="00F9264F" w:rsidRPr="00554FAF">
        <w:rPr>
          <w:rFonts w:ascii="Times New Roman" w:hAnsi="Times New Roman" w:cs="Times New Roman"/>
          <w:sz w:val="24"/>
          <w:szCs w:val="24"/>
        </w:rPr>
        <w:t>;</w:t>
      </w:r>
      <w:r w:rsidRPr="00554FAF">
        <w:rPr>
          <w:rFonts w:ascii="Times New Roman" w:hAnsi="Times New Roman" w:cs="Times New Roman"/>
          <w:sz w:val="24"/>
          <w:szCs w:val="24"/>
        </w:rPr>
        <w:t xml:space="preserve"> (MZHE)</w:t>
      </w:r>
    </w:p>
    <w:p w14:paraId="174674FF" w14:textId="77777777" w:rsidR="00E3413B" w:rsidRPr="00554FAF" w:rsidRDefault="00E3413B" w:rsidP="00802FB3">
      <w:pPr>
        <w:pStyle w:val="ListParagraph"/>
        <w:numPr>
          <w:ilvl w:val="0"/>
          <w:numId w:val="35"/>
        </w:numPr>
        <w:spacing w:after="60" w:line="240" w:lineRule="auto"/>
        <w:contextualSpacing w:val="0"/>
        <w:jc w:val="both"/>
        <w:rPr>
          <w:rFonts w:ascii="Times New Roman" w:hAnsi="Times New Roman" w:cs="Times New Roman"/>
          <w:b/>
          <w:sz w:val="24"/>
          <w:szCs w:val="24"/>
        </w:rPr>
      </w:pPr>
      <w:r w:rsidRPr="00554FAF">
        <w:rPr>
          <w:rFonts w:ascii="Times New Roman" w:hAnsi="Times New Roman" w:cs="Times New Roman"/>
          <w:b/>
          <w:sz w:val="24"/>
          <w:szCs w:val="24"/>
        </w:rPr>
        <w:t>Aktivitetet e planifikuara për vitin 2021</w:t>
      </w:r>
    </w:p>
    <w:p w14:paraId="050322F2" w14:textId="4A55A38C" w:rsidR="00E3413B" w:rsidRPr="00554FAF" w:rsidRDefault="00E3413B" w:rsidP="00802FB3">
      <w:pPr>
        <w:pStyle w:val="ListParagraph"/>
        <w:numPr>
          <w:ilvl w:val="0"/>
          <w:numId w:val="37"/>
        </w:numPr>
        <w:spacing w:after="60" w:line="240" w:lineRule="auto"/>
        <w:contextualSpacing w:val="0"/>
        <w:jc w:val="both"/>
        <w:rPr>
          <w:rFonts w:ascii="Times New Roman" w:hAnsi="Times New Roman" w:cs="Times New Roman"/>
          <w:sz w:val="24"/>
          <w:szCs w:val="24"/>
        </w:rPr>
      </w:pPr>
      <w:r w:rsidRPr="00554FAF">
        <w:rPr>
          <w:rFonts w:ascii="Times New Roman" w:hAnsi="Times New Roman" w:cs="Times New Roman"/>
          <w:sz w:val="24"/>
          <w:szCs w:val="24"/>
        </w:rPr>
        <w:t xml:space="preserve"> Zhvillimi i Master Planit për Gaz për shpërndarjen dhe furnizimin me gaz natyror</w:t>
      </w:r>
      <w:r w:rsidR="00F9264F" w:rsidRPr="00554FAF">
        <w:rPr>
          <w:rFonts w:ascii="Times New Roman" w:hAnsi="Times New Roman" w:cs="Times New Roman"/>
          <w:sz w:val="24"/>
          <w:szCs w:val="24"/>
        </w:rPr>
        <w:t xml:space="preserve">; </w:t>
      </w:r>
      <w:r w:rsidRPr="00554FAF">
        <w:rPr>
          <w:rFonts w:ascii="Times New Roman" w:hAnsi="Times New Roman" w:cs="Times New Roman"/>
          <w:sz w:val="24"/>
          <w:szCs w:val="24"/>
        </w:rPr>
        <w:t>(MZHE)</w:t>
      </w:r>
    </w:p>
    <w:p w14:paraId="64605C41" w14:textId="52700302" w:rsidR="00E3413B" w:rsidRPr="00554FAF" w:rsidRDefault="00E3413B" w:rsidP="00802FB3">
      <w:pPr>
        <w:pStyle w:val="ListParagraph"/>
        <w:numPr>
          <w:ilvl w:val="0"/>
          <w:numId w:val="37"/>
        </w:numPr>
        <w:spacing w:after="60" w:line="240" w:lineRule="auto"/>
        <w:contextualSpacing w:val="0"/>
        <w:jc w:val="both"/>
        <w:rPr>
          <w:rFonts w:ascii="Times New Roman" w:hAnsi="Times New Roman" w:cs="Times New Roman"/>
          <w:sz w:val="24"/>
          <w:szCs w:val="24"/>
        </w:rPr>
      </w:pPr>
      <w:r w:rsidRPr="00554FAF">
        <w:rPr>
          <w:rFonts w:ascii="Times New Roman" w:hAnsi="Times New Roman" w:cs="Times New Roman"/>
          <w:sz w:val="24"/>
          <w:szCs w:val="24"/>
        </w:rPr>
        <w:t>Zbatimi i tetë projekteve të reja me hidrocentrale të vogla me një kapacitet prej 30.58 MW</w:t>
      </w:r>
      <w:r w:rsidR="00F9264F" w:rsidRPr="00554FAF">
        <w:rPr>
          <w:rFonts w:ascii="Times New Roman" w:hAnsi="Times New Roman" w:cs="Times New Roman"/>
          <w:sz w:val="24"/>
          <w:szCs w:val="24"/>
        </w:rPr>
        <w:t xml:space="preserve">; </w:t>
      </w:r>
      <w:r w:rsidRPr="00554FAF">
        <w:rPr>
          <w:rFonts w:ascii="Times New Roman" w:hAnsi="Times New Roman" w:cs="Times New Roman"/>
          <w:sz w:val="24"/>
          <w:szCs w:val="24"/>
        </w:rPr>
        <w:t>(ZRRE)</w:t>
      </w:r>
    </w:p>
    <w:p w14:paraId="5FC0083F" w14:textId="5C9F7FFF" w:rsidR="00E3413B" w:rsidRPr="00554FAF" w:rsidRDefault="00E3413B" w:rsidP="00802FB3">
      <w:pPr>
        <w:pStyle w:val="ListParagraph"/>
        <w:numPr>
          <w:ilvl w:val="0"/>
          <w:numId w:val="37"/>
        </w:numPr>
        <w:spacing w:after="60" w:line="240" w:lineRule="auto"/>
        <w:contextualSpacing w:val="0"/>
        <w:jc w:val="both"/>
        <w:rPr>
          <w:rFonts w:ascii="Times New Roman" w:hAnsi="Times New Roman" w:cs="Times New Roman"/>
          <w:sz w:val="24"/>
          <w:szCs w:val="24"/>
        </w:rPr>
      </w:pPr>
      <w:r w:rsidRPr="00554FAF">
        <w:rPr>
          <w:rFonts w:ascii="Times New Roman" w:hAnsi="Times New Roman" w:cs="Times New Roman"/>
          <w:sz w:val="24"/>
          <w:szCs w:val="24"/>
        </w:rPr>
        <w:t>Zbatimi i një projekti të energjisë me erë me një kapacitet prej 11 MW</w:t>
      </w:r>
      <w:r w:rsidR="00F9264F" w:rsidRPr="00554FAF">
        <w:rPr>
          <w:rFonts w:ascii="Times New Roman" w:hAnsi="Times New Roman" w:cs="Times New Roman"/>
          <w:sz w:val="24"/>
          <w:szCs w:val="24"/>
        </w:rPr>
        <w:t>;</w:t>
      </w:r>
      <w:r w:rsidRPr="00554FAF">
        <w:rPr>
          <w:rFonts w:ascii="Times New Roman" w:hAnsi="Times New Roman" w:cs="Times New Roman"/>
          <w:sz w:val="24"/>
          <w:szCs w:val="24"/>
        </w:rPr>
        <w:t xml:space="preserve"> (MZHE)</w:t>
      </w:r>
    </w:p>
    <w:p w14:paraId="65094289" w14:textId="6DFE538B" w:rsidR="00E3413B" w:rsidRPr="00554FAF" w:rsidRDefault="00E3413B" w:rsidP="00802FB3">
      <w:pPr>
        <w:pStyle w:val="ListParagraph"/>
        <w:numPr>
          <w:ilvl w:val="0"/>
          <w:numId w:val="37"/>
        </w:numPr>
        <w:spacing w:after="60" w:line="240" w:lineRule="auto"/>
        <w:contextualSpacing w:val="0"/>
        <w:jc w:val="both"/>
        <w:rPr>
          <w:rFonts w:ascii="Times New Roman" w:hAnsi="Times New Roman" w:cs="Times New Roman"/>
          <w:sz w:val="24"/>
          <w:szCs w:val="24"/>
        </w:rPr>
      </w:pPr>
      <w:r w:rsidRPr="00554FAF">
        <w:rPr>
          <w:rFonts w:ascii="Times New Roman" w:hAnsi="Times New Roman" w:cs="Times New Roman"/>
          <w:sz w:val="24"/>
          <w:szCs w:val="24"/>
        </w:rPr>
        <w:t>Zbatimi i tri projekteve me panel fotovoltike me një kapacitet prej 10 MW</w:t>
      </w:r>
      <w:r w:rsidR="00F9264F" w:rsidRPr="00554FAF">
        <w:rPr>
          <w:rFonts w:ascii="Times New Roman" w:hAnsi="Times New Roman" w:cs="Times New Roman"/>
          <w:sz w:val="24"/>
          <w:szCs w:val="24"/>
        </w:rPr>
        <w:t>;</w:t>
      </w:r>
      <w:r w:rsidRPr="00554FAF">
        <w:rPr>
          <w:rFonts w:ascii="Times New Roman" w:hAnsi="Times New Roman" w:cs="Times New Roman"/>
          <w:sz w:val="24"/>
          <w:szCs w:val="24"/>
        </w:rPr>
        <w:t xml:space="preserve"> (MZHE)</w:t>
      </w:r>
    </w:p>
    <w:p w14:paraId="534FF9D8" w14:textId="77777777" w:rsidR="00E3413B" w:rsidRPr="00554FAF" w:rsidRDefault="00E3413B" w:rsidP="00802FB3">
      <w:pPr>
        <w:pStyle w:val="ListParagraph"/>
        <w:numPr>
          <w:ilvl w:val="0"/>
          <w:numId w:val="35"/>
        </w:numPr>
        <w:spacing w:after="60" w:line="240" w:lineRule="auto"/>
        <w:contextualSpacing w:val="0"/>
        <w:jc w:val="both"/>
        <w:rPr>
          <w:rFonts w:ascii="Times New Roman" w:hAnsi="Times New Roman" w:cs="Times New Roman"/>
          <w:b/>
          <w:sz w:val="24"/>
          <w:szCs w:val="24"/>
        </w:rPr>
      </w:pPr>
      <w:r w:rsidRPr="00554FAF">
        <w:rPr>
          <w:rFonts w:ascii="Times New Roman" w:hAnsi="Times New Roman" w:cs="Times New Roman"/>
          <w:b/>
          <w:sz w:val="24"/>
          <w:szCs w:val="24"/>
        </w:rPr>
        <w:t>Aktivitetet e planifikuara për vitin 2022:</w:t>
      </w:r>
    </w:p>
    <w:p w14:paraId="3E30A404" w14:textId="2E3032B4" w:rsidR="00E3413B" w:rsidRPr="00554FAF" w:rsidRDefault="00E3413B" w:rsidP="00802FB3">
      <w:pPr>
        <w:pStyle w:val="ListParagraph"/>
        <w:numPr>
          <w:ilvl w:val="0"/>
          <w:numId w:val="38"/>
        </w:numPr>
        <w:spacing w:after="60" w:line="240" w:lineRule="auto"/>
        <w:contextualSpacing w:val="0"/>
        <w:jc w:val="both"/>
        <w:rPr>
          <w:rFonts w:ascii="Times New Roman" w:hAnsi="Times New Roman" w:cs="Times New Roman"/>
          <w:sz w:val="24"/>
          <w:szCs w:val="24"/>
        </w:rPr>
      </w:pPr>
      <w:r w:rsidRPr="00554FAF">
        <w:rPr>
          <w:rFonts w:ascii="Times New Roman" w:hAnsi="Times New Roman" w:cs="Times New Roman"/>
          <w:sz w:val="24"/>
          <w:szCs w:val="24"/>
        </w:rPr>
        <w:t>Zbatimi i tri projekteve të reja me hidrocentrale të vogla me një kapacitet prej 10 MW</w:t>
      </w:r>
      <w:r w:rsidR="00F9264F" w:rsidRPr="00554FAF">
        <w:rPr>
          <w:rFonts w:ascii="Times New Roman" w:hAnsi="Times New Roman" w:cs="Times New Roman"/>
          <w:sz w:val="24"/>
          <w:szCs w:val="24"/>
        </w:rPr>
        <w:t xml:space="preserve">; </w:t>
      </w:r>
      <w:r w:rsidRPr="00554FAF">
        <w:rPr>
          <w:rFonts w:ascii="Times New Roman" w:hAnsi="Times New Roman" w:cs="Times New Roman"/>
          <w:sz w:val="24"/>
          <w:szCs w:val="24"/>
        </w:rPr>
        <w:t>(MZHE)</w:t>
      </w:r>
    </w:p>
    <w:p w14:paraId="6B111168" w14:textId="062B1305" w:rsidR="00E3413B" w:rsidRPr="00554FAF" w:rsidRDefault="00E3413B" w:rsidP="00802FB3">
      <w:pPr>
        <w:pStyle w:val="ListParagraph"/>
        <w:numPr>
          <w:ilvl w:val="0"/>
          <w:numId w:val="38"/>
        </w:numPr>
        <w:spacing w:after="60" w:line="240" w:lineRule="auto"/>
        <w:contextualSpacing w:val="0"/>
        <w:jc w:val="both"/>
        <w:rPr>
          <w:rFonts w:ascii="Times New Roman" w:hAnsi="Times New Roman" w:cs="Times New Roman"/>
          <w:sz w:val="24"/>
          <w:szCs w:val="24"/>
        </w:rPr>
      </w:pPr>
      <w:r w:rsidRPr="00554FAF">
        <w:rPr>
          <w:rFonts w:ascii="Times New Roman" w:hAnsi="Times New Roman" w:cs="Times New Roman"/>
          <w:sz w:val="24"/>
          <w:szCs w:val="24"/>
        </w:rPr>
        <w:t>Zbatimi i tri projekteve të reja me panele fotovoltike me një kapacitet prej 10 MW</w:t>
      </w:r>
      <w:r w:rsidR="00F9264F" w:rsidRPr="00554FAF">
        <w:rPr>
          <w:rFonts w:ascii="Times New Roman" w:hAnsi="Times New Roman" w:cs="Times New Roman"/>
          <w:sz w:val="24"/>
          <w:szCs w:val="24"/>
        </w:rPr>
        <w:t>;</w:t>
      </w:r>
      <w:r w:rsidRPr="00554FAF">
        <w:rPr>
          <w:rFonts w:ascii="Times New Roman" w:hAnsi="Times New Roman" w:cs="Times New Roman"/>
          <w:sz w:val="24"/>
          <w:szCs w:val="24"/>
        </w:rPr>
        <w:t xml:space="preserve"> (MZHE)</w:t>
      </w:r>
    </w:p>
    <w:p w14:paraId="08D5A876" w14:textId="77777777" w:rsidR="00E3413B" w:rsidRPr="00554FAF" w:rsidRDefault="00E3413B" w:rsidP="000702CB">
      <w:pPr>
        <w:pStyle w:val="ListParagraph"/>
        <w:spacing w:after="60" w:line="240" w:lineRule="auto"/>
        <w:contextualSpacing w:val="0"/>
        <w:jc w:val="both"/>
        <w:rPr>
          <w:rFonts w:ascii="Times New Roman" w:hAnsi="Times New Roman" w:cs="Times New Roman"/>
          <w:sz w:val="24"/>
          <w:szCs w:val="24"/>
        </w:rPr>
      </w:pPr>
    </w:p>
    <w:p w14:paraId="07AC7D14" w14:textId="77777777" w:rsidR="00E3413B" w:rsidRPr="00554FAF" w:rsidRDefault="00E3413B" w:rsidP="000702CB">
      <w:pPr>
        <w:spacing w:after="60" w:line="240" w:lineRule="auto"/>
        <w:jc w:val="both"/>
        <w:rPr>
          <w:rFonts w:ascii="Times New Roman" w:hAnsi="Times New Roman" w:cs="Times New Roman"/>
          <w:b/>
          <w:sz w:val="24"/>
          <w:szCs w:val="24"/>
        </w:rPr>
      </w:pPr>
      <w:r w:rsidRPr="00554FAF">
        <w:rPr>
          <w:rFonts w:ascii="Times New Roman" w:hAnsi="Times New Roman" w:cs="Times New Roman"/>
          <w:b/>
          <w:sz w:val="24"/>
          <w:szCs w:val="24"/>
        </w:rPr>
        <w:t>2. Treguesit e rezultateve</w:t>
      </w:r>
    </w:p>
    <w:tbl>
      <w:tblPr>
        <w:tblpPr w:leftFromText="180" w:rightFromText="180" w:vertAnchor="text" w:horzAnchor="margin" w:tblpY="130"/>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1507"/>
        <w:gridCol w:w="2070"/>
        <w:gridCol w:w="1800"/>
      </w:tblGrid>
      <w:tr w:rsidR="00E3413B" w:rsidRPr="00554FAF" w14:paraId="47D8A4A4" w14:textId="77777777" w:rsidTr="004A424A">
        <w:trPr>
          <w:trHeight w:val="622"/>
        </w:trPr>
        <w:tc>
          <w:tcPr>
            <w:tcW w:w="3888" w:type="dxa"/>
            <w:shd w:val="clear" w:color="auto" w:fill="auto"/>
          </w:tcPr>
          <w:p w14:paraId="7F47234E" w14:textId="77777777" w:rsidR="00E3413B" w:rsidRPr="00554FAF" w:rsidRDefault="00E3413B" w:rsidP="000702CB">
            <w:pPr>
              <w:pStyle w:val="Default"/>
              <w:spacing w:after="60"/>
              <w:jc w:val="both"/>
              <w:rPr>
                <w:b/>
                <w:color w:val="auto"/>
                <w:lang w:val="sq-AL"/>
              </w:rPr>
            </w:pPr>
            <w:r w:rsidRPr="00554FAF">
              <w:rPr>
                <w:b/>
                <w:color w:val="auto"/>
                <w:lang w:val="sq-AL"/>
              </w:rPr>
              <w:t>Treguesi</w:t>
            </w:r>
          </w:p>
        </w:tc>
        <w:tc>
          <w:tcPr>
            <w:tcW w:w="1507" w:type="dxa"/>
            <w:shd w:val="clear" w:color="auto" w:fill="auto"/>
          </w:tcPr>
          <w:p w14:paraId="67226CA2" w14:textId="77777777" w:rsidR="00E3413B" w:rsidRPr="00554FAF" w:rsidRDefault="00E3413B" w:rsidP="000702CB">
            <w:pPr>
              <w:pStyle w:val="Default"/>
              <w:spacing w:after="60"/>
              <w:jc w:val="both"/>
              <w:rPr>
                <w:b/>
                <w:color w:val="auto"/>
                <w:lang w:val="sq-AL"/>
              </w:rPr>
            </w:pPr>
            <w:r w:rsidRPr="00554FAF">
              <w:rPr>
                <w:b/>
                <w:color w:val="auto"/>
                <w:lang w:val="sq-AL"/>
              </w:rPr>
              <w:t xml:space="preserve">Baza </w:t>
            </w:r>
          </w:p>
          <w:p w14:paraId="2EAE6216" w14:textId="77777777" w:rsidR="00E3413B" w:rsidRPr="00554FAF" w:rsidRDefault="00E3413B" w:rsidP="000702CB">
            <w:pPr>
              <w:pStyle w:val="Default"/>
              <w:spacing w:after="60"/>
              <w:jc w:val="both"/>
              <w:rPr>
                <w:b/>
                <w:color w:val="auto"/>
                <w:lang w:val="sq-AL"/>
              </w:rPr>
            </w:pPr>
            <w:r w:rsidRPr="00554FAF">
              <w:rPr>
                <w:b/>
                <w:color w:val="auto"/>
                <w:lang w:val="sq-AL"/>
              </w:rPr>
              <w:t>2018</w:t>
            </w:r>
          </w:p>
        </w:tc>
        <w:tc>
          <w:tcPr>
            <w:tcW w:w="2070" w:type="dxa"/>
            <w:shd w:val="clear" w:color="auto" w:fill="auto"/>
          </w:tcPr>
          <w:p w14:paraId="72F5BAA9" w14:textId="0A15E81A" w:rsidR="00E3413B" w:rsidRPr="00554FAF" w:rsidRDefault="00F9264F" w:rsidP="000702CB">
            <w:pPr>
              <w:pStyle w:val="Default"/>
              <w:spacing w:after="60"/>
              <w:jc w:val="both"/>
              <w:rPr>
                <w:b/>
                <w:color w:val="auto"/>
                <w:lang w:val="sq-AL"/>
              </w:rPr>
            </w:pPr>
            <w:r w:rsidRPr="00554FAF">
              <w:rPr>
                <w:b/>
                <w:color w:val="auto"/>
                <w:lang w:val="sq-AL"/>
              </w:rPr>
              <w:t xml:space="preserve">Synimi </w:t>
            </w:r>
            <w:r w:rsidR="00E3413B" w:rsidRPr="00554FAF">
              <w:rPr>
                <w:b/>
                <w:color w:val="auto"/>
                <w:lang w:val="sq-AL"/>
              </w:rPr>
              <w:t>i ndërmjetëm 2020</w:t>
            </w:r>
          </w:p>
        </w:tc>
        <w:tc>
          <w:tcPr>
            <w:tcW w:w="1800" w:type="dxa"/>
            <w:shd w:val="clear" w:color="auto" w:fill="auto"/>
          </w:tcPr>
          <w:p w14:paraId="5806C8F9" w14:textId="2FCBC14F" w:rsidR="00E3413B" w:rsidRPr="00554FAF" w:rsidRDefault="00F9264F" w:rsidP="000702CB">
            <w:pPr>
              <w:pStyle w:val="Default"/>
              <w:spacing w:after="60"/>
              <w:jc w:val="both"/>
              <w:rPr>
                <w:b/>
                <w:color w:val="auto"/>
                <w:lang w:val="sq-AL"/>
              </w:rPr>
            </w:pPr>
            <w:r w:rsidRPr="00554FAF">
              <w:rPr>
                <w:b/>
                <w:color w:val="auto"/>
                <w:lang w:val="sq-AL"/>
              </w:rPr>
              <w:t>Synimi</w:t>
            </w:r>
          </w:p>
          <w:p w14:paraId="1758E1BC" w14:textId="77777777" w:rsidR="00E3413B" w:rsidRPr="00554FAF" w:rsidRDefault="00E3413B" w:rsidP="000702CB">
            <w:pPr>
              <w:pStyle w:val="Default"/>
              <w:spacing w:after="60"/>
              <w:jc w:val="both"/>
              <w:rPr>
                <w:b/>
                <w:color w:val="auto"/>
                <w:lang w:val="sq-AL"/>
              </w:rPr>
            </w:pPr>
            <w:r w:rsidRPr="00554FAF">
              <w:rPr>
                <w:b/>
                <w:color w:val="auto"/>
                <w:lang w:val="sq-AL"/>
              </w:rPr>
              <w:t xml:space="preserve"> 2022</w:t>
            </w:r>
          </w:p>
        </w:tc>
      </w:tr>
      <w:tr w:rsidR="00E3413B" w:rsidRPr="00554FAF" w14:paraId="7A8BF17B" w14:textId="77777777" w:rsidTr="004A424A">
        <w:trPr>
          <w:trHeight w:val="595"/>
        </w:trPr>
        <w:tc>
          <w:tcPr>
            <w:tcW w:w="3888" w:type="dxa"/>
          </w:tcPr>
          <w:p w14:paraId="5D30FC05" w14:textId="61C52E1A" w:rsidR="00E3413B" w:rsidRPr="00554FAF" w:rsidRDefault="00EA0B1C" w:rsidP="00F8482E">
            <w:pPr>
              <w:pStyle w:val="Default"/>
              <w:spacing w:after="60"/>
              <w:jc w:val="both"/>
              <w:rPr>
                <w:iCs/>
                <w:lang w:val="sq-AL"/>
              </w:rPr>
            </w:pPr>
            <w:r w:rsidRPr="00554FAF">
              <w:rPr>
                <w:iCs/>
                <w:lang w:val="sq-AL"/>
              </w:rPr>
              <w:t>1.</w:t>
            </w:r>
            <w:r w:rsidR="00E3413B" w:rsidRPr="00554FAF">
              <w:rPr>
                <w:iCs/>
                <w:lang w:val="sq-AL"/>
              </w:rPr>
              <w:t>Energjia e gjeneruar nga hidrocentralet</w:t>
            </w:r>
          </w:p>
        </w:tc>
        <w:tc>
          <w:tcPr>
            <w:tcW w:w="1507" w:type="dxa"/>
            <w:vAlign w:val="center"/>
          </w:tcPr>
          <w:p w14:paraId="3B4140DB" w14:textId="77777777" w:rsidR="00E3413B" w:rsidRPr="00554FAF" w:rsidRDefault="00E3413B" w:rsidP="000702CB">
            <w:pPr>
              <w:pStyle w:val="Default"/>
              <w:spacing w:after="60"/>
              <w:jc w:val="both"/>
              <w:rPr>
                <w:iCs/>
                <w:lang w:val="sq-AL"/>
              </w:rPr>
            </w:pPr>
            <w:r w:rsidRPr="00554FAF">
              <w:rPr>
                <w:iCs/>
                <w:lang w:val="sq-AL"/>
              </w:rPr>
              <w:t>311.5 KWh</w:t>
            </w:r>
          </w:p>
        </w:tc>
        <w:tc>
          <w:tcPr>
            <w:tcW w:w="2070" w:type="dxa"/>
            <w:vAlign w:val="center"/>
          </w:tcPr>
          <w:p w14:paraId="5161E0C2" w14:textId="77777777" w:rsidR="00E3413B" w:rsidRPr="00554FAF" w:rsidRDefault="00E3413B" w:rsidP="000702CB">
            <w:pPr>
              <w:pStyle w:val="Default"/>
              <w:spacing w:after="60"/>
              <w:jc w:val="both"/>
              <w:rPr>
                <w:iCs/>
                <w:lang w:val="sq-AL"/>
              </w:rPr>
            </w:pPr>
          </w:p>
        </w:tc>
        <w:tc>
          <w:tcPr>
            <w:tcW w:w="1800" w:type="dxa"/>
            <w:vAlign w:val="center"/>
          </w:tcPr>
          <w:p w14:paraId="32F84C18" w14:textId="77777777" w:rsidR="00E3413B" w:rsidRPr="00554FAF" w:rsidRDefault="00E3413B" w:rsidP="000702CB">
            <w:pPr>
              <w:pStyle w:val="Default"/>
              <w:spacing w:after="60"/>
              <w:jc w:val="both"/>
              <w:rPr>
                <w:iCs/>
                <w:lang w:val="sq-AL"/>
              </w:rPr>
            </w:pPr>
            <w:r w:rsidRPr="00554FAF">
              <w:rPr>
                <w:iCs/>
                <w:lang w:val="sq-AL"/>
              </w:rPr>
              <w:t>360 KWh</w:t>
            </w:r>
          </w:p>
        </w:tc>
      </w:tr>
      <w:tr w:rsidR="00E3413B" w:rsidRPr="00554FAF" w14:paraId="2B896BD7" w14:textId="77777777" w:rsidTr="004A424A">
        <w:trPr>
          <w:trHeight w:val="352"/>
        </w:trPr>
        <w:tc>
          <w:tcPr>
            <w:tcW w:w="3888" w:type="dxa"/>
          </w:tcPr>
          <w:p w14:paraId="65BC07CC" w14:textId="77777777" w:rsidR="00E3413B" w:rsidRPr="00554FAF" w:rsidRDefault="00E3413B" w:rsidP="000702CB">
            <w:pPr>
              <w:pStyle w:val="Default"/>
              <w:spacing w:after="60"/>
              <w:jc w:val="both"/>
              <w:rPr>
                <w:iCs/>
                <w:lang w:val="sq-AL"/>
              </w:rPr>
            </w:pPr>
            <w:r w:rsidRPr="00554FAF">
              <w:rPr>
                <w:iCs/>
                <w:lang w:val="sq-AL"/>
              </w:rPr>
              <w:t xml:space="preserve">2. </w:t>
            </w:r>
            <w:r w:rsidRPr="00554FAF">
              <w:rPr>
                <w:iCs/>
                <w:color w:val="auto"/>
                <w:lang w:val="sq-AL"/>
              </w:rPr>
              <w:t>Niveli i shkarkimeve të CO2</w:t>
            </w:r>
          </w:p>
        </w:tc>
        <w:tc>
          <w:tcPr>
            <w:tcW w:w="1507" w:type="dxa"/>
            <w:vAlign w:val="center"/>
          </w:tcPr>
          <w:p w14:paraId="798410B8" w14:textId="77777777" w:rsidR="00E3413B" w:rsidRPr="00554FAF" w:rsidRDefault="00E3413B" w:rsidP="000702CB">
            <w:pPr>
              <w:pStyle w:val="Default"/>
              <w:spacing w:after="60"/>
              <w:jc w:val="both"/>
              <w:rPr>
                <w:iCs/>
                <w:lang w:val="sq-AL"/>
              </w:rPr>
            </w:pPr>
            <w:r w:rsidRPr="00554FAF">
              <w:rPr>
                <w:iCs/>
                <w:lang w:val="sq-AL"/>
              </w:rPr>
              <w:t>6.68 tonne</w:t>
            </w:r>
          </w:p>
        </w:tc>
        <w:tc>
          <w:tcPr>
            <w:tcW w:w="2070" w:type="dxa"/>
            <w:vAlign w:val="center"/>
          </w:tcPr>
          <w:p w14:paraId="5A826D76" w14:textId="77777777" w:rsidR="00E3413B" w:rsidRPr="00554FAF" w:rsidRDefault="00E3413B" w:rsidP="000702CB">
            <w:pPr>
              <w:pStyle w:val="Default"/>
              <w:spacing w:after="60"/>
              <w:jc w:val="both"/>
              <w:rPr>
                <w:iCs/>
                <w:lang w:val="sq-AL"/>
              </w:rPr>
            </w:pPr>
            <w:r w:rsidRPr="00554FAF">
              <w:rPr>
                <w:iCs/>
                <w:lang w:val="sq-AL"/>
              </w:rPr>
              <w:t>2019 – 6.68</w:t>
            </w:r>
          </w:p>
        </w:tc>
        <w:tc>
          <w:tcPr>
            <w:tcW w:w="1800" w:type="dxa"/>
            <w:vAlign w:val="center"/>
          </w:tcPr>
          <w:p w14:paraId="58AE2334" w14:textId="77777777" w:rsidR="00E3413B" w:rsidRPr="00554FAF" w:rsidRDefault="00E3413B" w:rsidP="000702CB">
            <w:pPr>
              <w:pStyle w:val="Default"/>
              <w:spacing w:after="60"/>
              <w:jc w:val="both"/>
              <w:rPr>
                <w:iCs/>
                <w:lang w:val="sq-AL"/>
              </w:rPr>
            </w:pPr>
            <w:r w:rsidRPr="00554FAF">
              <w:rPr>
                <w:iCs/>
                <w:lang w:val="sq-AL"/>
              </w:rPr>
              <w:t>2022- 6.0</w:t>
            </w:r>
          </w:p>
        </w:tc>
      </w:tr>
      <w:tr w:rsidR="00E3413B" w:rsidRPr="00554FAF" w14:paraId="2CDF6603" w14:textId="77777777" w:rsidTr="004A424A">
        <w:trPr>
          <w:trHeight w:val="343"/>
        </w:trPr>
        <w:tc>
          <w:tcPr>
            <w:tcW w:w="3888" w:type="dxa"/>
          </w:tcPr>
          <w:p w14:paraId="51FAEACD" w14:textId="77777777" w:rsidR="00E3413B" w:rsidRPr="00554FAF" w:rsidRDefault="00E3413B" w:rsidP="000702CB">
            <w:pPr>
              <w:pStyle w:val="Default"/>
              <w:spacing w:after="60"/>
              <w:jc w:val="both"/>
              <w:rPr>
                <w:iCs/>
                <w:lang w:val="sq-AL"/>
              </w:rPr>
            </w:pPr>
            <w:r w:rsidRPr="00554FAF">
              <w:rPr>
                <w:iCs/>
                <w:lang w:val="sq-AL"/>
              </w:rPr>
              <w:t>3. Kapacitetet e reja nga RES</w:t>
            </w:r>
          </w:p>
        </w:tc>
        <w:tc>
          <w:tcPr>
            <w:tcW w:w="1507" w:type="dxa"/>
            <w:vAlign w:val="center"/>
          </w:tcPr>
          <w:p w14:paraId="220E9031" w14:textId="77777777" w:rsidR="00E3413B" w:rsidRPr="00554FAF" w:rsidRDefault="00E3413B" w:rsidP="000702CB">
            <w:pPr>
              <w:pStyle w:val="Default"/>
              <w:spacing w:after="60"/>
              <w:jc w:val="both"/>
              <w:rPr>
                <w:iCs/>
                <w:lang w:val="sq-AL"/>
              </w:rPr>
            </w:pPr>
            <w:r w:rsidRPr="00554FAF">
              <w:rPr>
                <w:iCs/>
                <w:lang w:val="sq-AL"/>
              </w:rPr>
              <w:t>120,7 MW</w:t>
            </w:r>
          </w:p>
        </w:tc>
        <w:tc>
          <w:tcPr>
            <w:tcW w:w="2070" w:type="dxa"/>
            <w:vAlign w:val="center"/>
          </w:tcPr>
          <w:p w14:paraId="23BE79D9" w14:textId="1593F973" w:rsidR="00E3413B" w:rsidRPr="00554FAF" w:rsidRDefault="00E3413B" w:rsidP="000702CB">
            <w:pPr>
              <w:pStyle w:val="Default"/>
              <w:spacing w:after="60"/>
              <w:jc w:val="both"/>
              <w:rPr>
                <w:iCs/>
                <w:lang w:val="sq-AL"/>
              </w:rPr>
            </w:pPr>
            <w:r w:rsidRPr="00554FAF">
              <w:rPr>
                <w:iCs/>
                <w:lang w:val="sq-AL"/>
              </w:rPr>
              <w:t>24</w:t>
            </w:r>
            <w:r w:rsidR="0050060E" w:rsidRPr="00554FAF">
              <w:rPr>
                <w:iCs/>
                <w:lang w:val="sq-AL"/>
              </w:rPr>
              <w:t>4</w:t>
            </w:r>
            <w:r w:rsidRPr="00554FAF">
              <w:rPr>
                <w:iCs/>
                <w:lang w:val="sq-AL"/>
              </w:rPr>
              <w:t>,</w:t>
            </w:r>
            <w:r w:rsidR="0050060E" w:rsidRPr="00554FAF">
              <w:rPr>
                <w:iCs/>
                <w:lang w:val="sq-AL"/>
              </w:rPr>
              <w:t>7</w:t>
            </w:r>
            <w:r w:rsidRPr="00554FAF">
              <w:rPr>
                <w:iCs/>
                <w:lang w:val="sq-AL"/>
              </w:rPr>
              <w:t>MW</w:t>
            </w:r>
          </w:p>
        </w:tc>
        <w:tc>
          <w:tcPr>
            <w:tcW w:w="1800" w:type="dxa"/>
            <w:vAlign w:val="center"/>
          </w:tcPr>
          <w:p w14:paraId="5D554FB3" w14:textId="68D5806D" w:rsidR="00E3413B" w:rsidRPr="00554FAF" w:rsidRDefault="00E3413B" w:rsidP="00242A57">
            <w:pPr>
              <w:pStyle w:val="Default"/>
              <w:spacing w:after="60"/>
              <w:jc w:val="both"/>
              <w:rPr>
                <w:iCs/>
                <w:lang w:val="sq-AL"/>
              </w:rPr>
            </w:pPr>
            <w:r w:rsidRPr="00554FAF">
              <w:rPr>
                <w:iCs/>
                <w:lang w:val="sq-AL"/>
              </w:rPr>
              <w:t>31</w:t>
            </w:r>
            <w:r w:rsidR="0050060E" w:rsidRPr="00554FAF">
              <w:rPr>
                <w:iCs/>
                <w:lang w:val="sq-AL"/>
              </w:rPr>
              <w:t>7</w:t>
            </w:r>
            <w:r w:rsidRPr="00554FAF">
              <w:rPr>
                <w:iCs/>
                <w:lang w:val="sq-AL"/>
              </w:rPr>
              <w:t>.5</w:t>
            </w:r>
            <w:r w:rsidR="0050060E" w:rsidRPr="00554FAF">
              <w:rPr>
                <w:iCs/>
                <w:lang w:val="sq-AL"/>
              </w:rPr>
              <w:t>8</w:t>
            </w:r>
            <w:r w:rsidRPr="00554FAF">
              <w:rPr>
                <w:iCs/>
                <w:lang w:val="sq-AL"/>
              </w:rPr>
              <w:t>MW</w:t>
            </w:r>
          </w:p>
        </w:tc>
      </w:tr>
    </w:tbl>
    <w:p w14:paraId="11594EB8" w14:textId="77777777" w:rsidR="00E3413B" w:rsidRPr="00554FAF" w:rsidRDefault="00E3413B" w:rsidP="000702CB">
      <w:pPr>
        <w:pStyle w:val="ListParagraph"/>
        <w:spacing w:after="60" w:line="240" w:lineRule="auto"/>
        <w:ind w:left="0"/>
        <w:contextualSpacing w:val="0"/>
        <w:jc w:val="both"/>
        <w:rPr>
          <w:rFonts w:ascii="Times New Roman" w:hAnsi="Times New Roman" w:cs="Times New Roman"/>
          <w:sz w:val="24"/>
          <w:szCs w:val="24"/>
        </w:rPr>
      </w:pPr>
    </w:p>
    <w:p w14:paraId="2A2DA337" w14:textId="09203C24" w:rsidR="00E3413B" w:rsidRPr="00554FAF" w:rsidRDefault="00E3413B" w:rsidP="000702CB">
      <w:pPr>
        <w:pStyle w:val="ListParagraph"/>
        <w:spacing w:after="60" w:line="240" w:lineRule="auto"/>
        <w:ind w:left="0"/>
        <w:contextualSpacing w:val="0"/>
        <w:jc w:val="both"/>
        <w:rPr>
          <w:rFonts w:ascii="Times New Roman" w:hAnsi="Times New Roman" w:cs="Times New Roman"/>
          <w:sz w:val="24"/>
          <w:szCs w:val="24"/>
        </w:rPr>
      </w:pPr>
      <w:r w:rsidRPr="00554FAF">
        <w:rPr>
          <w:rFonts w:ascii="Times New Roman" w:hAnsi="Times New Roman" w:cs="Times New Roman"/>
          <w:b/>
          <w:sz w:val="24"/>
          <w:szCs w:val="24"/>
        </w:rPr>
        <w:t>3.</w:t>
      </w:r>
      <w:r w:rsidRPr="00554FAF">
        <w:rPr>
          <w:rFonts w:ascii="Times New Roman" w:hAnsi="Times New Roman" w:cs="Times New Roman"/>
          <w:sz w:val="24"/>
          <w:szCs w:val="24"/>
        </w:rPr>
        <w:t xml:space="preserve"> </w:t>
      </w:r>
      <w:r w:rsidRPr="00554FAF">
        <w:rPr>
          <w:rFonts w:ascii="Times New Roman" w:hAnsi="Times New Roman" w:cs="Times New Roman"/>
          <w:b/>
          <w:sz w:val="24"/>
          <w:szCs w:val="24"/>
        </w:rPr>
        <w:t>Ndikimi i pritshëm në konkur</w:t>
      </w:r>
      <w:r w:rsidR="00F9264F" w:rsidRPr="00554FAF">
        <w:rPr>
          <w:rFonts w:ascii="Times New Roman" w:hAnsi="Times New Roman" w:cs="Times New Roman"/>
          <w:b/>
          <w:sz w:val="24"/>
          <w:szCs w:val="24"/>
        </w:rPr>
        <w:t>r</w:t>
      </w:r>
      <w:r w:rsidRPr="00554FAF">
        <w:rPr>
          <w:rFonts w:ascii="Times New Roman" w:hAnsi="Times New Roman" w:cs="Times New Roman"/>
          <w:b/>
          <w:sz w:val="24"/>
          <w:szCs w:val="24"/>
        </w:rPr>
        <w:t>ueshmëri:</w:t>
      </w:r>
      <w:r w:rsidRPr="00554FAF">
        <w:rPr>
          <w:rFonts w:ascii="Times New Roman" w:hAnsi="Times New Roman" w:cs="Times New Roman"/>
          <w:sz w:val="24"/>
          <w:szCs w:val="24"/>
        </w:rPr>
        <w:t xml:space="preserve"> Furnizimi</w:t>
      </w:r>
      <w:r w:rsidR="00F8482E" w:rsidRPr="00554FAF">
        <w:rPr>
          <w:rFonts w:ascii="Times New Roman" w:hAnsi="Times New Roman" w:cs="Times New Roman"/>
          <w:sz w:val="24"/>
          <w:szCs w:val="24"/>
        </w:rPr>
        <w:t xml:space="preserve"> me energji elektrike n</w:t>
      </w:r>
      <w:r w:rsidR="004A2969" w:rsidRPr="00554FAF">
        <w:rPr>
          <w:rFonts w:ascii="Times New Roman" w:hAnsi="Times New Roman" w:cs="Times New Roman"/>
          <w:sz w:val="24"/>
          <w:szCs w:val="24"/>
        </w:rPr>
        <w:t>ë</w:t>
      </w:r>
      <w:r w:rsidR="00F8482E" w:rsidRPr="00554FAF">
        <w:rPr>
          <w:rFonts w:ascii="Times New Roman" w:hAnsi="Times New Roman" w:cs="Times New Roman"/>
          <w:sz w:val="24"/>
          <w:szCs w:val="24"/>
        </w:rPr>
        <w:t xml:space="preserve"> m</w:t>
      </w:r>
      <w:r w:rsidR="004A2969" w:rsidRPr="00554FAF">
        <w:rPr>
          <w:rFonts w:ascii="Times New Roman" w:hAnsi="Times New Roman" w:cs="Times New Roman"/>
          <w:sz w:val="24"/>
          <w:szCs w:val="24"/>
        </w:rPr>
        <w:t>ë</w:t>
      </w:r>
      <w:r w:rsidR="00F8482E" w:rsidRPr="00554FAF">
        <w:rPr>
          <w:rFonts w:ascii="Times New Roman" w:hAnsi="Times New Roman" w:cs="Times New Roman"/>
          <w:sz w:val="24"/>
          <w:szCs w:val="24"/>
        </w:rPr>
        <w:t>nyr</w:t>
      </w:r>
      <w:r w:rsidR="004A2969" w:rsidRPr="00554FAF">
        <w:rPr>
          <w:rFonts w:ascii="Times New Roman" w:hAnsi="Times New Roman" w:cs="Times New Roman"/>
          <w:sz w:val="24"/>
          <w:szCs w:val="24"/>
        </w:rPr>
        <w:t>ë</w:t>
      </w:r>
      <w:r w:rsidR="00F8482E" w:rsidRPr="00554FAF">
        <w:rPr>
          <w:rFonts w:ascii="Times New Roman" w:hAnsi="Times New Roman" w:cs="Times New Roman"/>
          <w:sz w:val="24"/>
          <w:szCs w:val="24"/>
        </w:rPr>
        <w:t xml:space="preserve"> t</w:t>
      </w:r>
      <w:r w:rsidR="004A2969" w:rsidRPr="00554FAF">
        <w:rPr>
          <w:rFonts w:ascii="Times New Roman" w:hAnsi="Times New Roman" w:cs="Times New Roman"/>
          <w:sz w:val="24"/>
          <w:szCs w:val="24"/>
        </w:rPr>
        <w:t>ë</w:t>
      </w:r>
      <w:r w:rsidRPr="00554FAF">
        <w:rPr>
          <w:rFonts w:ascii="Times New Roman" w:hAnsi="Times New Roman" w:cs="Times New Roman"/>
          <w:sz w:val="24"/>
          <w:szCs w:val="24"/>
        </w:rPr>
        <w:t xml:space="preserve"> papenguar, kualitativ, i sigurt dhe me kosto të përshtatshme, është një </w:t>
      </w:r>
      <w:r w:rsidR="00F8482E" w:rsidRPr="00554FAF">
        <w:rPr>
          <w:rFonts w:ascii="Times New Roman" w:hAnsi="Times New Roman" w:cs="Times New Roman"/>
          <w:sz w:val="24"/>
          <w:szCs w:val="24"/>
        </w:rPr>
        <w:t>n</w:t>
      </w:r>
      <w:r w:rsidRPr="00554FAF">
        <w:rPr>
          <w:rFonts w:ascii="Times New Roman" w:hAnsi="Times New Roman" w:cs="Times New Roman"/>
          <w:sz w:val="24"/>
          <w:szCs w:val="24"/>
        </w:rPr>
        <w:t>ga kushtet kryesore për zhvillim të qëndrueshëm biznesor dhe në rritjen e konkurueshmërisë biznesore. Zbatimi i kësaj mas</w:t>
      </w:r>
      <w:r w:rsidR="00F8482E" w:rsidRPr="00554FAF">
        <w:rPr>
          <w:rFonts w:ascii="Times New Roman" w:hAnsi="Times New Roman" w:cs="Times New Roman"/>
          <w:sz w:val="24"/>
          <w:szCs w:val="24"/>
        </w:rPr>
        <w:t>e</w:t>
      </w:r>
      <w:r w:rsidRPr="00554FAF">
        <w:rPr>
          <w:rFonts w:ascii="Times New Roman" w:hAnsi="Times New Roman" w:cs="Times New Roman"/>
          <w:sz w:val="24"/>
          <w:szCs w:val="24"/>
        </w:rPr>
        <w:t xml:space="preserve"> e rritë sigurinë e furnizimi</w:t>
      </w:r>
      <w:r w:rsidR="00F9264F" w:rsidRPr="00554FAF">
        <w:rPr>
          <w:rFonts w:ascii="Times New Roman" w:hAnsi="Times New Roman" w:cs="Times New Roman"/>
          <w:sz w:val="24"/>
          <w:szCs w:val="24"/>
        </w:rPr>
        <w:t>t</w:t>
      </w:r>
      <w:r w:rsidRPr="00554FAF">
        <w:rPr>
          <w:rFonts w:ascii="Times New Roman" w:hAnsi="Times New Roman" w:cs="Times New Roman"/>
          <w:sz w:val="24"/>
          <w:szCs w:val="24"/>
        </w:rPr>
        <w:t xml:space="preserve"> me </w:t>
      </w:r>
      <w:r w:rsidR="00F8482E" w:rsidRPr="00554FAF">
        <w:rPr>
          <w:rFonts w:ascii="Times New Roman" w:hAnsi="Times New Roman" w:cs="Times New Roman"/>
          <w:sz w:val="24"/>
          <w:szCs w:val="24"/>
        </w:rPr>
        <w:t xml:space="preserve">energji elektrike </w:t>
      </w:r>
      <w:r w:rsidRPr="00554FAF">
        <w:rPr>
          <w:rFonts w:ascii="Times New Roman" w:hAnsi="Times New Roman" w:cs="Times New Roman"/>
          <w:sz w:val="24"/>
          <w:szCs w:val="24"/>
        </w:rPr>
        <w:t>si një kusht për rritjen e konkur</w:t>
      </w:r>
      <w:r w:rsidR="00F9264F" w:rsidRPr="00554FAF">
        <w:rPr>
          <w:rFonts w:ascii="Times New Roman" w:hAnsi="Times New Roman" w:cs="Times New Roman"/>
          <w:sz w:val="24"/>
          <w:szCs w:val="24"/>
        </w:rPr>
        <w:t>r</w:t>
      </w:r>
      <w:r w:rsidRPr="00554FAF">
        <w:rPr>
          <w:rFonts w:ascii="Times New Roman" w:hAnsi="Times New Roman" w:cs="Times New Roman"/>
          <w:sz w:val="24"/>
          <w:szCs w:val="24"/>
        </w:rPr>
        <w:t>ueshmëris</w:t>
      </w:r>
      <w:r w:rsidR="00F9264F" w:rsidRPr="00554FAF">
        <w:rPr>
          <w:rFonts w:ascii="Times New Roman" w:hAnsi="Times New Roman" w:cs="Times New Roman"/>
          <w:sz w:val="24"/>
          <w:szCs w:val="24"/>
        </w:rPr>
        <w:t>ë</w:t>
      </w:r>
      <w:r w:rsidRPr="00554FAF">
        <w:rPr>
          <w:rFonts w:ascii="Times New Roman" w:hAnsi="Times New Roman" w:cs="Times New Roman"/>
          <w:sz w:val="24"/>
          <w:szCs w:val="24"/>
        </w:rPr>
        <w:t xml:space="preserve">. Pasi që </w:t>
      </w:r>
      <w:r w:rsidR="00F9264F" w:rsidRPr="00554FAF">
        <w:rPr>
          <w:rFonts w:ascii="Times New Roman" w:hAnsi="Times New Roman" w:cs="Times New Roman"/>
          <w:sz w:val="24"/>
          <w:szCs w:val="24"/>
        </w:rPr>
        <w:t xml:space="preserve">kjo masë të </w:t>
      </w:r>
      <w:r w:rsidRPr="00554FAF">
        <w:rPr>
          <w:rFonts w:ascii="Times New Roman" w:hAnsi="Times New Roman" w:cs="Times New Roman"/>
          <w:sz w:val="24"/>
          <w:szCs w:val="24"/>
        </w:rPr>
        <w:t xml:space="preserve">ketë efekt, humbjet komerciale e bizneseve do të zhduken dhe të njëjtat biznese do të jenë konkurrentë në regjion. </w:t>
      </w:r>
    </w:p>
    <w:p w14:paraId="33DB3B90" w14:textId="1295C326" w:rsidR="00E3413B" w:rsidRPr="00554FAF" w:rsidRDefault="00E3413B" w:rsidP="000702CB">
      <w:pPr>
        <w:pStyle w:val="ListParagraph"/>
        <w:spacing w:after="60" w:line="240" w:lineRule="auto"/>
        <w:ind w:left="0"/>
        <w:contextualSpacing w:val="0"/>
        <w:jc w:val="both"/>
        <w:rPr>
          <w:rFonts w:ascii="Times New Roman" w:hAnsi="Times New Roman" w:cs="Times New Roman"/>
          <w:sz w:val="24"/>
          <w:szCs w:val="24"/>
        </w:rPr>
      </w:pPr>
      <w:r w:rsidRPr="00554FAF">
        <w:rPr>
          <w:rFonts w:ascii="Times New Roman" w:hAnsi="Times New Roman" w:cs="Times New Roman"/>
          <w:b/>
          <w:sz w:val="24"/>
          <w:szCs w:val="24"/>
        </w:rPr>
        <w:t>4.</w:t>
      </w:r>
      <w:r w:rsidRPr="00554FAF">
        <w:rPr>
          <w:rFonts w:ascii="Times New Roman" w:hAnsi="Times New Roman" w:cs="Times New Roman"/>
          <w:sz w:val="24"/>
          <w:szCs w:val="24"/>
        </w:rPr>
        <w:t xml:space="preserve"> </w:t>
      </w:r>
      <w:r w:rsidRPr="00554FAF">
        <w:rPr>
          <w:rFonts w:ascii="Times New Roman" w:hAnsi="Times New Roman" w:cs="Times New Roman"/>
          <w:b/>
          <w:sz w:val="24"/>
          <w:szCs w:val="24"/>
        </w:rPr>
        <w:t>Vlerësimi i kostos së aktiviteteve dhe burimi i financimit:</w:t>
      </w:r>
      <w:r w:rsidRPr="00554FAF">
        <w:rPr>
          <w:rFonts w:ascii="Times New Roman" w:hAnsi="Times New Roman" w:cs="Times New Roman"/>
          <w:sz w:val="24"/>
          <w:szCs w:val="24"/>
        </w:rPr>
        <w:t xml:space="preserve"> Kostoja </w:t>
      </w:r>
      <w:r w:rsidR="00F8482E" w:rsidRPr="00554FAF">
        <w:rPr>
          <w:rFonts w:ascii="Times New Roman" w:hAnsi="Times New Roman" w:cs="Times New Roman"/>
          <w:sz w:val="24"/>
          <w:szCs w:val="24"/>
        </w:rPr>
        <w:t>e mas</w:t>
      </w:r>
      <w:r w:rsidR="004A2969" w:rsidRPr="00554FAF">
        <w:rPr>
          <w:rFonts w:ascii="Times New Roman" w:hAnsi="Times New Roman" w:cs="Times New Roman"/>
          <w:sz w:val="24"/>
          <w:szCs w:val="24"/>
        </w:rPr>
        <w:t>ë</w:t>
      </w:r>
      <w:r w:rsidR="00F8482E" w:rsidRPr="00554FAF">
        <w:rPr>
          <w:rFonts w:ascii="Times New Roman" w:hAnsi="Times New Roman" w:cs="Times New Roman"/>
          <w:sz w:val="24"/>
          <w:szCs w:val="24"/>
        </w:rPr>
        <w:t xml:space="preserve">s </w:t>
      </w:r>
      <w:r w:rsidR="004A2969" w:rsidRPr="00554FAF">
        <w:rPr>
          <w:rFonts w:ascii="Times New Roman" w:hAnsi="Times New Roman" w:cs="Times New Roman"/>
          <w:sz w:val="24"/>
          <w:szCs w:val="24"/>
        </w:rPr>
        <w:t>ë</w:t>
      </w:r>
      <w:r w:rsidR="00F8482E" w:rsidRPr="00554FAF">
        <w:rPr>
          <w:rFonts w:ascii="Times New Roman" w:hAnsi="Times New Roman" w:cs="Times New Roman"/>
          <w:sz w:val="24"/>
          <w:szCs w:val="24"/>
        </w:rPr>
        <w:t>sht</w:t>
      </w:r>
      <w:r w:rsidR="004A2969" w:rsidRPr="00554FAF">
        <w:rPr>
          <w:rFonts w:ascii="Times New Roman" w:hAnsi="Times New Roman" w:cs="Times New Roman"/>
          <w:sz w:val="24"/>
          <w:szCs w:val="24"/>
        </w:rPr>
        <w:t>ë</w:t>
      </w:r>
      <w:r w:rsidRPr="00554FAF">
        <w:rPr>
          <w:rFonts w:ascii="Times New Roman" w:hAnsi="Times New Roman" w:cs="Times New Roman"/>
          <w:sz w:val="24"/>
          <w:szCs w:val="24"/>
        </w:rPr>
        <w:t xml:space="preserve"> si në vijim: 260,620,000 EUR për zhvillimin e burimeve të reja të energjisë së ripërtëritshme. 170,0</w:t>
      </w:r>
      <w:r w:rsidR="00F72852" w:rsidRPr="00554FAF">
        <w:rPr>
          <w:rFonts w:ascii="Times New Roman" w:hAnsi="Times New Roman" w:cs="Times New Roman"/>
          <w:sz w:val="24"/>
          <w:szCs w:val="24"/>
        </w:rPr>
        <w:t>30</w:t>
      </w:r>
      <w:r w:rsidRPr="00554FAF">
        <w:rPr>
          <w:rFonts w:ascii="Times New Roman" w:hAnsi="Times New Roman" w:cs="Times New Roman"/>
          <w:sz w:val="24"/>
          <w:szCs w:val="24"/>
        </w:rPr>
        <w:t>,000 EUR prej tyre do të jepen në vitin 2020</w:t>
      </w:r>
      <w:r w:rsidR="00F9264F" w:rsidRPr="00554FAF">
        <w:rPr>
          <w:rFonts w:ascii="Times New Roman" w:hAnsi="Times New Roman" w:cs="Times New Roman"/>
          <w:sz w:val="24"/>
          <w:szCs w:val="24"/>
        </w:rPr>
        <w:t>,</w:t>
      </w:r>
      <w:r w:rsidRPr="00554FAF">
        <w:rPr>
          <w:rFonts w:ascii="Times New Roman" w:hAnsi="Times New Roman" w:cs="Times New Roman"/>
          <w:sz w:val="24"/>
          <w:szCs w:val="24"/>
        </w:rPr>
        <w:t xml:space="preserve"> 65,</w:t>
      </w:r>
      <w:r w:rsidR="00F72852" w:rsidRPr="00554FAF">
        <w:rPr>
          <w:rFonts w:ascii="Times New Roman" w:hAnsi="Times New Roman" w:cs="Times New Roman"/>
          <w:sz w:val="24"/>
          <w:szCs w:val="24"/>
        </w:rPr>
        <w:t>900</w:t>
      </w:r>
      <w:r w:rsidRPr="00554FAF">
        <w:rPr>
          <w:rFonts w:ascii="Times New Roman" w:hAnsi="Times New Roman" w:cs="Times New Roman"/>
          <w:sz w:val="24"/>
          <w:szCs w:val="24"/>
        </w:rPr>
        <w:t xml:space="preserve">,000 do të jepen në vitin 2021 dhe 24,690,000 </w:t>
      </w:r>
      <w:r w:rsidR="00F72852" w:rsidRPr="00554FAF">
        <w:rPr>
          <w:rFonts w:ascii="Times New Roman" w:hAnsi="Times New Roman" w:cs="Times New Roman"/>
          <w:sz w:val="24"/>
          <w:szCs w:val="24"/>
        </w:rPr>
        <w:t xml:space="preserve">euro </w:t>
      </w:r>
      <w:r w:rsidRPr="00554FAF">
        <w:rPr>
          <w:rFonts w:ascii="Times New Roman" w:hAnsi="Times New Roman" w:cs="Times New Roman"/>
          <w:sz w:val="24"/>
          <w:szCs w:val="24"/>
        </w:rPr>
        <w:t xml:space="preserve">do të jepen 2022. </w:t>
      </w:r>
      <w:r w:rsidR="00F72852" w:rsidRPr="00554FAF">
        <w:rPr>
          <w:rFonts w:ascii="Times New Roman" w:hAnsi="Times New Roman" w:cs="Times New Roman"/>
          <w:sz w:val="24"/>
          <w:szCs w:val="24"/>
        </w:rPr>
        <w:t>Një pjesë e madhe e këtyre do të mbulohen</w:t>
      </w:r>
      <w:r w:rsidRPr="00554FAF">
        <w:rPr>
          <w:rFonts w:ascii="Times New Roman" w:hAnsi="Times New Roman" w:cs="Times New Roman"/>
          <w:sz w:val="24"/>
          <w:szCs w:val="24"/>
        </w:rPr>
        <w:t xml:space="preserve"> nga investitorët privat. Në vitin 2020, 2,000,000 EUR do të jepen </w:t>
      </w:r>
      <w:r w:rsidR="00F72852" w:rsidRPr="00554FAF">
        <w:rPr>
          <w:rFonts w:ascii="Times New Roman" w:hAnsi="Times New Roman" w:cs="Times New Roman"/>
          <w:sz w:val="24"/>
          <w:szCs w:val="24"/>
        </w:rPr>
        <w:t xml:space="preserve">si grant </w:t>
      </w:r>
      <w:r w:rsidRPr="00554FAF">
        <w:rPr>
          <w:rFonts w:ascii="Times New Roman" w:hAnsi="Times New Roman" w:cs="Times New Roman"/>
          <w:sz w:val="24"/>
          <w:szCs w:val="24"/>
        </w:rPr>
        <w:t>nga Banka Botërore për ndryshimin e master planit për shpërndarjen e gazit natyror. 750,000</w:t>
      </w:r>
      <w:r w:rsidR="00F72852" w:rsidRPr="00554FAF">
        <w:rPr>
          <w:rFonts w:ascii="Times New Roman" w:hAnsi="Times New Roman" w:cs="Times New Roman"/>
          <w:sz w:val="24"/>
          <w:szCs w:val="24"/>
        </w:rPr>
        <w:t xml:space="preserve"> euro</w:t>
      </w:r>
      <w:r w:rsidRPr="00554FAF">
        <w:rPr>
          <w:rFonts w:ascii="Times New Roman" w:hAnsi="Times New Roman" w:cs="Times New Roman"/>
          <w:sz w:val="24"/>
          <w:szCs w:val="24"/>
        </w:rPr>
        <w:t xml:space="preserve"> janë alokuar në vitet 2020 dhe 2021. Financimi pritet të bëhet nga WBIF.</w:t>
      </w:r>
    </w:p>
    <w:p w14:paraId="2A342BDC" w14:textId="19C94064" w:rsidR="00E3413B" w:rsidRPr="00554FAF" w:rsidRDefault="00E3413B" w:rsidP="00145993">
      <w:pPr>
        <w:pStyle w:val="ListParagraph"/>
        <w:spacing w:after="60" w:line="240" w:lineRule="auto"/>
        <w:ind w:left="0"/>
        <w:contextualSpacing w:val="0"/>
        <w:jc w:val="both"/>
        <w:rPr>
          <w:rFonts w:ascii="Times New Roman" w:hAnsi="Times New Roman" w:cs="Times New Roman"/>
          <w:bCs/>
          <w:sz w:val="24"/>
          <w:szCs w:val="24"/>
        </w:rPr>
      </w:pPr>
      <w:r w:rsidRPr="00554FAF">
        <w:rPr>
          <w:rFonts w:ascii="Times New Roman" w:hAnsi="Times New Roman" w:cs="Times New Roman"/>
          <w:b/>
          <w:sz w:val="24"/>
          <w:szCs w:val="24"/>
        </w:rPr>
        <w:t>5.</w:t>
      </w:r>
      <w:r w:rsidRPr="00554FAF">
        <w:rPr>
          <w:rFonts w:ascii="Times New Roman" w:hAnsi="Times New Roman" w:cs="Times New Roman"/>
          <w:b/>
          <w:bCs/>
          <w:sz w:val="24"/>
          <w:szCs w:val="24"/>
        </w:rPr>
        <w:t xml:space="preserve"> Ndikimet e pritshme mbi rezultatet sociale, të tilla si punësimi, reduktimi i varfërisë, barazia gjinore: </w:t>
      </w:r>
      <w:r w:rsidRPr="00554FAF">
        <w:rPr>
          <w:rFonts w:ascii="Times New Roman" w:hAnsi="Times New Roman" w:cs="Times New Roman"/>
          <w:bCs/>
          <w:sz w:val="24"/>
          <w:szCs w:val="24"/>
        </w:rPr>
        <w:t>Programi i praktikës së 200 profesionistëve të rinj është një inkurajim në zhvillimin e profesionistëve të rinj për të hyrë në sektorin e energjisë / tregun. Për më tepër, 28 bursa janë dhënë për gratë në mënyrë që të vazhdojnë studimet e tyre në sektorin e energjisë, me një fokus të veçantë në BRE. Për më shumë, zhvillimi i projekteve të BRE do të ketë efekte në rritjen e punësimit dhe investimeve vjetore për 70 milion EUR. Prandaj, kjo do të sigurojë barazi në vendin e punës dhe do të krijojë mundësi punësimi për gratë. Për më tepër, rritja e energjisë së ripërtëritshme zvogëlon ndotjen e shtëpisë dhe aksidentet e mundshme me pajisje elektrike, ndërsa ajri i pastër përmirëson gjendjen shëndetësore të njerëzve.</w:t>
      </w:r>
    </w:p>
    <w:p w14:paraId="2358FA77" w14:textId="2892A9A0" w:rsidR="00E3413B" w:rsidRPr="00554FAF" w:rsidRDefault="00E3413B" w:rsidP="000702CB">
      <w:pPr>
        <w:pStyle w:val="Default"/>
        <w:spacing w:after="60"/>
        <w:jc w:val="both"/>
        <w:rPr>
          <w:bCs/>
          <w:iCs/>
          <w:lang w:val="sq-AL"/>
        </w:rPr>
      </w:pPr>
      <w:r w:rsidRPr="00554FAF">
        <w:rPr>
          <w:b/>
          <w:bCs/>
          <w:lang w:val="sq-AL"/>
        </w:rPr>
        <w:t xml:space="preserve">6. Ndikimi i pritshëm në mjedis:  </w:t>
      </w:r>
      <w:r w:rsidRPr="00554FAF">
        <w:rPr>
          <w:bCs/>
          <w:iCs/>
          <w:lang w:val="sq-AL"/>
        </w:rPr>
        <w:t>Nivelet më të ulëta të emetimeve të CO2 pritet të kenë një efekt pozitiv në lidhje me ndotjen e ajrit. Gjithashtu</w:t>
      </w:r>
      <w:r w:rsidR="004A2624" w:rsidRPr="00554FAF">
        <w:rPr>
          <w:bCs/>
          <w:iCs/>
          <w:lang w:val="sq-AL"/>
        </w:rPr>
        <w:t>,</w:t>
      </w:r>
      <w:r w:rsidRPr="00554FAF">
        <w:rPr>
          <w:bCs/>
          <w:iCs/>
          <w:lang w:val="sq-AL"/>
        </w:rPr>
        <w:t xml:space="preserve"> një shfrytëzim më i lartë i energjisë së prodhuar nga burime të </w:t>
      </w:r>
      <w:r w:rsidR="004A2624" w:rsidRPr="00554FAF">
        <w:rPr>
          <w:bCs/>
          <w:iCs/>
          <w:lang w:val="sq-AL"/>
        </w:rPr>
        <w:t xml:space="preserve">ripërtëritshme </w:t>
      </w:r>
      <w:r w:rsidRPr="00554FAF">
        <w:rPr>
          <w:bCs/>
          <w:iCs/>
          <w:lang w:val="sq-AL"/>
        </w:rPr>
        <w:t xml:space="preserve">do të ketë efekt të ngjashëm pozitiv. Sa i përket hidrocentraleve, sipas legjislacionit të miratuar për mbrojtjen e mjedisit dhe licencimin e HEC-ve, efektet e mundshme negative do të zvogëlohen nëse rregulloret zbatohen </w:t>
      </w:r>
      <w:r w:rsidR="004A2624" w:rsidRPr="00554FAF">
        <w:rPr>
          <w:bCs/>
          <w:iCs/>
          <w:lang w:val="sq-AL"/>
        </w:rPr>
        <w:t>plotësisht</w:t>
      </w:r>
      <w:r w:rsidRPr="00554FAF">
        <w:rPr>
          <w:bCs/>
          <w:iCs/>
          <w:lang w:val="sq-AL"/>
        </w:rPr>
        <w:t>.</w:t>
      </w:r>
    </w:p>
    <w:p w14:paraId="278D7322" w14:textId="77777777" w:rsidR="00E3413B" w:rsidRPr="00554FAF" w:rsidRDefault="00E3413B" w:rsidP="000702CB">
      <w:pPr>
        <w:pStyle w:val="Default"/>
        <w:spacing w:after="60"/>
        <w:jc w:val="both"/>
        <w:rPr>
          <w:bCs/>
          <w:iCs/>
          <w:lang w:val="sq-AL"/>
        </w:rPr>
      </w:pPr>
      <w:r w:rsidRPr="00554FAF">
        <w:rPr>
          <w:b/>
          <w:bCs/>
          <w:lang w:val="sq-AL"/>
        </w:rPr>
        <w:t>7. Rreziqet potenciale:</w:t>
      </w:r>
    </w:p>
    <w:tbl>
      <w:tblPr>
        <w:tblpPr w:leftFromText="180" w:rightFromText="180" w:vertAnchor="text" w:horzAnchor="margin" w:tblpY="212"/>
        <w:tblOverlap w:val="neve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1530"/>
        <w:gridCol w:w="4207"/>
      </w:tblGrid>
      <w:tr w:rsidR="00E3413B" w:rsidRPr="00554FAF" w14:paraId="642F51A1" w14:textId="77777777" w:rsidTr="00145993">
        <w:trPr>
          <w:trHeight w:val="620"/>
        </w:trPr>
        <w:tc>
          <w:tcPr>
            <w:tcW w:w="3708" w:type="dxa"/>
            <w:shd w:val="clear" w:color="auto" w:fill="auto"/>
          </w:tcPr>
          <w:p w14:paraId="7886B943" w14:textId="77777777" w:rsidR="00E3413B" w:rsidRPr="00554FAF" w:rsidRDefault="00E3413B" w:rsidP="000702CB">
            <w:pPr>
              <w:pStyle w:val="Default"/>
              <w:spacing w:after="60"/>
              <w:jc w:val="center"/>
              <w:rPr>
                <w:rFonts w:eastAsia="Times New Roman"/>
                <w:b/>
                <w:lang w:val="sq-AL" w:eastAsia="sq-AL"/>
              </w:rPr>
            </w:pPr>
            <w:r w:rsidRPr="00554FAF">
              <w:rPr>
                <w:rFonts w:eastAsia="Times New Roman"/>
                <w:b/>
                <w:lang w:val="sq-AL" w:eastAsia="sq-AL"/>
              </w:rPr>
              <w:t xml:space="preserve">Rreziku </w:t>
            </w:r>
          </w:p>
        </w:tc>
        <w:tc>
          <w:tcPr>
            <w:tcW w:w="1530" w:type="dxa"/>
            <w:shd w:val="clear" w:color="auto" w:fill="auto"/>
            <w:vAlign w:val="center"/>
          </w:tcPr>
          <w:p w14:paraId="637E3E57" w14:textId="77777777" w:rsidR="00E3413B" w:rsidRPr="00554FAF" w:rsidRDefault="00E3413B" w:rsidP="000702CB">
            <w:pPr>
              <w:pStyle w:val="Default"/>
              <w:spacing w:after="60"/>
              <w:ind w:right="-122"/>
              <w:jc w:val="center"/>
              <w:rPr>
                <w:rFonts w:eastAsia="Times New Roman"/>
                <w:b/>
                <w:lang w:val="sq-AL" w:eastAsia="sq-AL"/>
              </w:rPr>
            </w:pPr>
            <w:r w:rsidRPr="00554FAF">
              <w:rPr>
                <w:rFonts w:eastAsia="Times New Roman"/>
                <w:b/>
                <w:lang w:val="sq-AL" w:eastAsia="sq-AL"/>
              </w:rPr>
              <w:t>Probabiliteti (i ulët ose i lartë)</w:t>
            </w:r>
          </w:p>
        </w:tc>
        <w:tc>
          <w:tcPr>
            <w:tcW w:w="4207" w:type="dxa"/>
            <w:shd w:val="clear" w:color="auto" w:fill="auto"/>
            <w:vAlign w:val="center"/>
          </w:tcPr>
          <w:p w14:paraId="7D2A8B4F" w14:textId="77777777" w:rsidR="00E3413B" w:rsidRPr="00554FAF" w:rsidRDefault="00E3413B" w:rsidP="000702CB">
            <w:pPr>
              <w:pStyle w:val="Default"/>
              <w:spacing w:after="60"/>
              <w:jc w:val="center"/>
              <w:rPr>
                <w:rFonts w:eastAsia="Times New Roman"/>
                <w:b/>
                <w:lang w:val="sq-AL" w:eastAsia="sq-AL"/>
              </w:rPr>
            </w:pPr>
            <w:r w:rsidRPr="00554FAF">
              <w:rPr>
                <w:rFonts w:eastAsia="Times New Roman"/>
                <w:b/>
                <w:lang w:val="sq-AL" w:eastAsia="sq-AL"/>
              </w:rPr>
              <w:t>Veprimi lehtësues i planifikuar</w:t>
            </w:r>
          </w:p>
        </w:tc>
      </w:tr>
      <w:tr w:rsidR="00E3413B" w:rsidRPr="00554FAF" w14:paraId="5BB20DBC" w14:textId="77777777" w:rsidTr="00145993">
        <w:trPr>
          <w:trHeight w:val="618"/>
        </w:trPr>
        <w:tc>
          <w:tcPr>
            <w:tcW w:w="3708" w:type="dxa"/>
            <w:shd w:val="clear" w:color="auto" w:fill="auto"/>
            <w:vAlign w:val="center"/>
          </w:tcPr>
          <w:p w14:paraId="065B781D" w14:textId="431DB57C" w:rsidR="00E3413B" w:rsidRPr="00554FAF" w:rsidRDefault="00E3413B" w:rsidP="00F8482E">
            <w:pPr>
              <w:pStyle w:val="Default"/>
              <w:spacing w:after="60"/>
              <w:rPr>
                <w:rFonts w:eastAsia="Times New Roman"/>
                <w:lang w:val="sq-AL" w:eastAsia="sq-AL"/>
              </w:rPr>
            </w:pPr>
            <w:r w:rsidRPr="00554FAF">
              <w:rPr>
                <w:rFonts w:eastAsia="Times New Roman"/>
                <w:lang w:val="sq-AL" w:eastAsia="sq-AL"/>
              </w:rPr>
              <w:t>Rënia e investimeve në fushën e</w:t>
            </w:r>
            <w:r w:rsidR="00F8482E" w:rsidRPr="00554FAF">
              <w:rPr>
                <w:rFonts w:eastAsia="Times New Roman"/>
                <w:lang w:val="sq-AL" w:eastAsia="sq-AL"/>
              </w:rPr>
              <w:t xml:space="preserve"> burimeve t</w:t>
            </w:r>
            <w:r w:rsidR="004A2969" w:rsidRPr="00554FAF">
              <w:rPr>
                <w:rFonts w:eastAsia="Times New Roman"/>
                <w:lang w:val="sq-AL" w:eastAsia="sq-AL"/>
              </w:rPr>
              <w:t>ë</w:t>
            </w:r>
            <w:r w:rsidR="00F8482E" w:rsidRPr="00554FAF">
              <w:rPr>
                <w:rFonts w:eastAsia="Times New Roman"/>
                <w:lang w:val="sq-AL" w:eastAsia="sq-AL"/>
              </w:rPr>
              <w:t xml:space="preserve"> rip</w:t>
            </w:r>
            <w:r w:rsidR="004A2969" w:rsidRPr="00554FAF">
              <w:rPr>
                <w:rFonts w:eastAsia="Times New Roman"/>
                <w:lang w:val="sq-AL" w:eastAsia="sq-AL"/>
              </w:rPr>
              <w:t>ë</w:t>
            </w:r>
            <w:r w:rsidR="00F8482E" w:rsidRPr="00554FAF">
              <w:rPr>
                <w:rFonts w:eastAsia="Times New Roman"/>
                <w:lang w:val="sq-AL" w:eastAsia="sq-AL"/>
              </w:rPr>
              <w:t>rt</w:t>
            </w:r>
            <w:r w:rsidR="004A2969" w:rsidRPr="00554FAF">
              <w:rPr>
                <w:rFonts w:eastAsia="Times New Roman"/>
                <w:lang w:val="sq-AL" w:eastAsia="sq-AL"/>
              </w:rPr>
              <w:t>ë</w:t>
            </w:r>
            <w:r w:rsidR="00F8482E" w:rsidRPr="00554FAF">
              <w:rPr>
                <w:rFonts w:eastAsia="Times New Roman"/>
                <w:lang w:val="sq-AL" w:eastAsia="sq-AL"/>
              </w:rPr>
              <w:t>rishme t</w:t>
            </w:r>
            <w:r w:rsidR="004A2969" w:rsidRPr="00554FAF">
              <w:rPr>
                <w:rFonts w:eastAsia="Times New Roman"/>
                <w:lang w:val="sq-AL" w:eastAsia="sq-AL"/>
              </w:rPr>
              <w:t>ë</w:t>
            </w:r>
            <w:r w:rsidR="00F8482E" w:rsidRPr="00554FAF">
              <w:rPr>
                <w:rFonts w:eastAsia="Times New Roman"/>
                <w:lang w:val="sq-AL" w:eastAsia="sq-AL"/>
              </w:rPr>
              <w:t xml:space="preserve"> energjis</w:t>
            </w:r>
            <w:r w:rsidR="004A2969" w:rsidRPr="00554FAF">
              <w:rPr>
                <w:rFonts w:eastAsia="Times New Roman"/>
                <w:lang w:val="sq-AL" w:eastAsia="sq-AL"/>
              </w:rPr>
              <w:t>ë</w:t>
            </w:r>
            <w:r w:rsidR="00F8482E" w:rsidRPr="00554FAF">
              <w:rPr>
                <w:rFonts w:eastAsia="Times New Roman"/>
                <w:lang w:val="sq-AL" w:eastAsia="sq-AL"/>
              </w:rPr>
              <w:t xml:space="preserve"> (BRE)</w:t>
            </w:r>
          </w:p>
        </w:tc>
        <w:tc>
          <w:tcPr>
            <w:tcW w:w="1530" w:type="dxa"/>
            <w:shd w:val="clear" w:color="auto" w:fill="auto"/>
            <w:vAlign w:val="center"/>
          </w:tcPr>
          <w:p w14:paraId="7E1BB637" w14:textId="77777777" w:rsidR="00E3413B" w:rsidRPr="00554FAF" w:rsidRDefault="00E3413B" w:rsidP="000702CB">
            <w:pPr>
              <w:pStyle w:val="Default"/>
              <w:spacing w:after="60"/>
              <w:ind w:right="-122"/>
              <w:jc w:val="center"/>
              <w:rPr>
                <w:rFonts w:eastAsia="Times New Roman"/>
                <w:lang w:val="sq-AL" w:eastAsia="sq-AL"/>
              </w:rPr>
            </w:pPr>
            <w:r w:rsidRPr="00554FAF">
              <w:rPr>
                <w:rFonts w:eastAsia="Times New Roman"/>
                <w:lang w:val="sq-AL" w:eastAsia="sq-AL"/>
              </w:rPr>
              <w:t xml:space="preserve">I ulët </w:t>
            </w:r>
          </w:p>
        </w:tc>
        <w:tc>
          <w:tcPr>
            <w:tcW w:w="4207" w:type="dxa"/>
            <w:shd w:val="clear" w:color="auto" w:fill="auto"/>
            <w:vAlign w:val="center"/>
          </w:tcPr>
          <w:p w14:paraId="082A5957" w14:textId="77777777" w:rsidR="00E3413B" w:rsidRPr="00554FAF" w:rsidRDefault="00E3413B" w:rsidP="000702CB">
            <w:pPr>
              <w:pStyle w:val="Default"/>
              <w:spacing w:after="60"/>
              <w:rPr>
                <w:rFonts w:eastAsia="Times New Roman"/>
                <w:lang w:val="sq-AL" w:eastAsia="sq-AL"/>
              </w:rPr>
            </w:pPr>
            <w:r w:rsidRPr="00554FAF">
              <w:rPr>
                <w:rFonts w:eastAsia="Times New Roman"/>
                <w:lang w:val="sq-AL" w:eastAsia="sq-AL"/>
              </w:rPr>
              <w:t>Zhvillimi i legjislacionit për të promovuar këtë fushë dhe për të lehtësuar rrugën drejt investimeve të ardhshme.</w:t>
            </w:r>
          </w:p>
        </w:tc>
      </w:tr>
      <w:tr w:rsidR="00E3413B" w:rsidRPr="00554FAF" w14:paraId="66AAB970" w14:textId="77777777" w:rsidTr="00145993">
        <w:trPr>
          <w:trHeight w:val="618"/>
        </w:trPr>
        <w:tc>
          <w:tcPr>
            <w:tcW w:w="3708" w:type="dxa"/>
            <w:shd w:val="clear" w:color="auto" w:fill="auto"/>
            <w:vAlign w:val="center"/>
          </w:tcPr>
          <w:p w14:paraId="58C5C8CD" w14:textId="77777777" w:rsidR="00E3413B" w:rsidRPr="00554FAF" w:rsidRDefault="00E3413B" w:rsidP="000702CB">
            <w:pPr>
              <w:pStyle w:val="Default"/>
              <w:spacing w:after="60"/>
              <w:rPr>
                <w:rFonts w:eastAsia="Times New Roman"/>
                <w:lang w:val="sq-AL" w:eastAsia="sq-AL"/>
              </w:rPr>
            </w:pPr>
            <w:r w:rsidRPr="00554FAF">
              <w:rPr>
                <w:rFonts w:eastAsia="Times New Roman"/>
                <w:lang w:val="sq-AL" w:eastAsia="sq-AL"/>
              </w:rPr>
              <w:t xml:space="preserve">Numri i ulët i projekteve të përfunduar sipas afatit të planifikuar. </w:t>
            </w:r>
          </w:p>
        </w:tc>
        <w:tc>
          <w:tcPr>
            <w:tcW w:w="1530" w:type="dxa"/>
            <w:shd w:val="clear" w:color="auto" w:fill="auto"/>
            <w:vAlign w:val="center"/>
          </w:tcPr>
          <w:p w14:paraId="36B542B4" w14:textId="77777777" w:rsidR="00E3413B" w:rsidRPr="00554FAF" w:rsidRDefault="00E3413B" w:rsidP="000702CB">
            <w:pPr>
              <w:pStyle w:val="Default"/>
              <w:spacing w:after="60"/>
              <w:ind w:right="-122"/>
              <w:jc w:val="center"/>
              <w:rPr>
                <w:rFonts w:eastAsia="Times New Roman"/>
                <w:lang w:val="sq-AL" w:eastAsia="sq-AL"/>
              </w:rPr>
            </w:pPr>
            <w:r w:rsidRPr="00554FAF">
              <w:rPr>
                <w:rFonts w:eastAsia="Times New Roman"/>
                <w:lang w:val="sq-AL" w:eastAsia="sq-AL"/>
              </w:rPr>
              <w:t xml:space="preserve">I ulët </w:t>
            </w:r>
          </w:p>
        </w:tc>
        <w:tc>
          <w:tcPr>
            <w:tcW w:w="4207" w:type="dxa"/>
            <w:shd w:val="clear" w:color="auto" w:fill="auto"/>
            <w:vAlign w:val="center"/>
          </w:tcPr>
          <w:p w14:paraId="62CCD23F" w14:textId="77777777" w:rsidR="00E3413B" w:rsidRPr="00554FAF" w:rsidRDefault="00E3413B" w:rsidP="000702CB">
            <w:pPr>
              <w:pStyle w:val="Default"/>
              <w:spacing w:after="60"/>
              <w:rPr>
                <w:rFonts w:eastAsia="Times New Roman"/>
                <w:lang w:val="sq-AL" w:eastAsia="sq-AL"/>
              </w:rPr>
            </w:pPr>
            <w:r w:rsidRPr="00554FAF">
              <w:rPr>
                <w:rFonts w:eastAsia="Times New Roman"/>
                <w:lang w:val="sq-AL" w:eastAsia="sq-AL"/>
              </w:rPr>
              <w:t xml:space="preserve">Koordinim me zyrën e </w:t>
            </w:r>
            <w:r w:rsidRPr="00554FAF">
              <w:rPr>
                <w:rFonts w:eastAsia="Times New Roman"/>
                <w:color w:val="auto"/>
                <w:lang w:val="sq-AL" w:eastAsia="sq-AL"/>
              </w:rPr>
              <w:t>OSSH</w:t>
            </w:r>
            <w:r w:rsidRPr="00554FAF">
              <w:rPr>
                <w:rFonts w:eastAsia="Times New Roman"/>
                <w:lang w:val="sq-AL" w:eastAsia="sq-AL"/>
              </w:rPr>
              <w:t xml:space="preserve"> në mënyrë që të rritet numri i projekteve të përfunduara. </w:t>
            </w:r>
          </w:p>
        </w:tc>
      </w:tr>
      <w:tr w:rsidR="00E3413B" w:rsidRPr="00554FAF" w14:paraId="278ACB5C" w14:textId="77777777" w:rsidTr="00145993">
        <w:trPr>
          <w:trHeight w:val="618"/>
        </w:trPr>
        <w:tc>
          <w:tcPr>
            <w:tcW w:w="3708" w:type="dxa"/>
            <w:shd w:val="clear" w:color="auto" w:fill="auto"/>
            <w:vAlign w:val="center"/>
          </w:tcPr>
          <w:p w14:paraId="3E98F5DF" w14:textId="77777777" w:rsidR="00E3413B" w:rsidRPr="00554FAF" w:rsidRDefault="00E3413B" w:rsidP="000702CB">
            <w:pPr>
              <w:pStyle w:val="Default"/>
              <w:spacing w:after="60"/>
              <w:rPr>
                <w:rFonts w:eastAsia="Times New Roman"/>
                <w:lang w:val="sq-AL" w:eastAsia="sq-AL"/>
              </w:rPr>
            </w:pPr>
            <w:r w:rsidRPr="00554FAF">
              <w:rPr>
                <w:rFonts w:eastAsia="Times New Roman"/>
                <w:lang w:val="sq-AL" w:eastAsia="sq-AL"/>
              </w:rPr>
              <w:t>Çmime më të larta të tregut që grumbullohen nga BRE, për shkak të dominimit të gjerë të THPP në tregun e energjisë.</w:t>
            </w:r>
          </w:p>
        </w:tc>
        <w:tc>
          <w:tcPr>
            <w:tcW w:w="1530" w:type="dxa"/>
            <w:shd w:val="clear" w:color="auto" w:fill="auto"/>
            <w:vAlign w:val="center"/>
          </w:tcPr>
          <w:p w14:paraId="0D1D5357" w14:textId="77777777" w:rsidR="00E3413B" w:rsidRPr="00554FAF" w:rsidRDefault="00E3413B" w:rsidP="000702CB">
            <w:pPr>
              <w:pStyle w:val="Default"/>
              <w:spacing w:after="60"/>
              <w:ind w:right="-122"/>
              <w:jc w:val="center"/>
              <w:rPr>
                <w:rFonts w:eastAsia="Times New Roman"/>
                <w:lang w:val="sq-AL" w:eastAsia="sq-AL"/>
              </w:rPr>
            </w:pPr>
            <w:r w:rsidRPr="00554FAF">
              <w:rPr>
                <w:rFonts w:eastAsia="Times New Roman"/>
                <w:lang w:val="sq-AL" w:eastAsia="sq-AL"/>
              </w:rPr>
              <w:t xml:space="preserve">I lartë </w:t>
            </w:r>
          </w:p>
        </w:tc>
        <w:tc>
          <w:tcPr>
            <w:tcW w:w="4207" w:type="dxa"/>
            <w:shd w:val="clear" w:color="auto" w:fill="auto"/>
            <w:vAlign w:val="center"/>
          </w:tcPr>
          <w:p w14:paraId="3912F697" w14:textId="77777777" w:rsidR="00E3413B" w:rsidRPr="00554FAF" w:rsidRDefault="00E3413B" w:rsidP="000702CB">
            <w:pPr>
              <w:pStyle w:val="Default"/>
              <w:spacing w:after="60"/>
              <w:rPr>
                <w:rFonts w:eastAsia="Times New Roman"/>
                <w:lang w:val="sq-AL" w:eastAsia="sq-AL"/>
              </w:rPr>
            </w:pPr>
            <w:r w:rsidRPr="00554FAF">
              <w:rPr>
                <w:rFonts w:eastAsia="Times New Roman"/>
                <w:lang w:val="sq-AL" w:eastAsia="sq-AL"/>
              </w:rPr>
              <w:t>Strategjia e energjisë do ta trajtojë këtë duke krijuar një mjedis më miqësor për investitorët e vegjël.</w:t>
            </w:r>
          </w:p>
        </w:tc>
      </w:tr>
    </w:tbl>
    <w:p w14:paraId="12A84D5C" w14:textId="77777777" w:rsidR="00E3413B" w:rsidRPr="00554FAF" w:rsidRDefault="00E3413B" w:rsidP="000702CB">
      <w:pPr>
        <w:spacing w:after="60" w:line="240" w:lineRule="auto"/>
        <w:rPr>
          <w:rFonts w:ascii="Times New Roman" w:hAnsi="Times New Roman" w:cs="Times New Roman"/>
          <w:sz w:val="24"/>
          <w:szCs w:val="24"/>
        </w:rPr>
      </w:pPr>
    </w:p>
    <w:p w14:paraId="0D89C3DD" w14:textId="44544279" w:rsidR="006114F2" w:rsidRPr="00554FAF" w:rsidRDefault="006114F2" w:rsidP="00085F16">
      <w:pPr>
        <w:pStyle w:val="ERPL3"/>
      </w:pPr>
      <w:bookmarkStart w:id="192" w:name="_Toc25533243"/>
      <w:bookmarkStart w:id="193" w:name="_Toc25873749"/>
      <w:r w:rsidRPr="00554FAF">
        <w:t>4.3.2.  Bujqësia, Industria dhe Shërbimet</w:t>
      </w:r>
      <w:bookmarkEnd w:id="186"/>
      <w:bookmarkEnd w:id="192"/>
      <w:bookmarkEnd w:id="193"/>
    </w:p>
    <w:p w14:paraId="5A09DA86" w14:textId="77777777" w:rsidR="000316F9" w:rsidRPr="00554FAF" w:rsidRDefault="00E3413B" w:rsidP="000702CB">
      <w:pPr>
        <w:spacing w:after="60" w:line="240" w:lineRule="auto"/>
        <w:jc w:val="both"/>
        <w:rPr>
          <w:rFonts w:ascii="Times New Roman" w:hAnsi="Times New Roman" w:cs="Times New Roman"/>
          <w:b/>
          <w:sz w:val="24"/>
          <w:szCs w:val="24"/>
        </w:rPr>
      </w:pPr>
      <w:bookmarkStart w:id="194" w:name="_bookmark25"/>
      <w:bookmarkStart w:id="195" w:name="_Toc13127894"/>
      <w:bookmarkEnd w:id="194"/>
      <w:r w:rsidRPr="00554FAF">
        <w:rPr>
          <w:rFonts w:ascii="Times New Roman" w:hAnsi="Times New Roman" w:cs="Times New Roman"/>
          <w:b/>
          <w:sz w:val="24"/>
          <w:szCs w:val="24"/>
        </w:rPr>
        <w:t>a. Analiza e pengesave kryesore</w:t>
      </w:r>
    </w:p>
    <w:p w14:paraId="0C3C5607" w14:textId="066431A6" w:rsidR="00E3413B" w:rsidRPr="00554FAF" w:rsidRDefault="000316F9" w:rsidP="000702CB">
      <w:pPr>
        <w:spacing w:after="60" w:line="240" w:lineRule="auto"/>
        <w:jc w:val="both"/>
        <w:rPr>
          <w:rFonts w:ascii="Times New Roman" w:hAnsi="Times New Roman" w:cs="Times New Roman"/>
          <w:b/>
          <w:sz w:val="24"/>
          <w:szCs w:val="24"/>
        </w:rPr>
      </w:pPr>
      <w:r w:rsidRPr="00554FAF">
        <w:rPr>
          <w:rFonts w:ascii="Times New Roman" w:hAnsi="Times New Roman" w:cs="Times New Roman"/>
          <w:b/>
          <w:sz w:val="24"/>
          <w:szCs w:val="24"/>
        </w:rPr>
        <w:t>Gjendja aktuale:</w:t>
      </w:r>
      <w:r w:rsidR="00E3413B" w:rsidRPr="00554FAF">
        <w:rPr>
          <w:rFonts w:ascii="Times New Roman" w:hAnsi="Times New Roman" w:cs="Times New Roman"/>
          <w:b/>
          <w:sz w:val="24"/>
          <w:szCs w:val="24"/>
        </w:rPr>
        <w:t xml:space="preserve"> </w:t>
      </w:r>
      <w:r w:rsidR="00E3413B" w:rsidRPr="00554FAF">
        <w:rPr>
          <w:rFonts w:ascii="Times New Roman" w:hAnsi="Times New Roman" w:cs="Times New Roman"/>
          <w:sz w:val="24"/>
          <w:szCs w:val="24"/>
        </w:rPr>
        <w:t>Bujqësia</w:t>
      </w:r>
      <w:r w:rsidR="00E3413B" w:rsidRPr="00554FAF">
        <w:rPr>
          <w:rFonts w:ascii="Times New Roman" w:hAnsi="Times New Roman" w:cs="Times New Roman"/>
          <w:b/>
          <w:sz w:val="24"/>
          <w:szCs w:val="24"/>
        </w:rPr>
        <w:t xml:space="preserve"> </w:t>
      </w:r>
      <w:r w:rsidR="00E3413B" w:rsidRPr="00554FAF">
        <w:rPr>
          <w:rFonts w:ascii="Times New Roman" w:hAnsi="Times New Roman" w:cs="Times New Roman"/>
          <w:sz w:val="24"/>
          <w:szCs w:val="24"/>
        </w:rPr>
        <w:t>dhe në veçanti</w:t>
      </w:r>
      <w:r w:rsidR="00E3413B" w:rsidRPr="00554FAF">
        <w:rPr>
          <w:rFonts w:ascii="Times New Roman" w:hAnsi="Times New Roman" w:cs="Times New Roman"/>
          <w:b/>
          <w:sz w:val="24"/>
          <w:szCs w:val="24"/>
        </w:rPr>
        <w:t xml:space="preserve"> </w:t>
      </w:r>
      <w:r w:rsidR="00E3413B" w:rsidRPr="00554FAF">
        <w:rPr>
          <w:rFonts w:ascii="Times New Roman" w:hAnsi="Times New Roman" w:cs="Times New Roman"/>
          <w:sz w:val="24"/>
          <w:szCs w:val="24"/>
        </w:rPr>
        <w:t xml:space="preserve">zhvillimit të agro-industrisë i është dhënë vëmendje e veçantë përmes politikave aktuale me fokus rritjen e prodhimit bujqësor me vlerë të shtuar. Sipas </w:t>
      </w:r>
      <w:r w:rsidR="00EA0B1C" w:rsidRPr="00554FAF">
        <w:rPr>
          <w:rFonts w:ascii="Times New Roman" w:hAnsi="Times New Roman" w:cs="Times New Roman"/>
          <w:sz w:val="24"/>
          <w:szCs w:val="24"/>
        </w:rPr>
        <w:t>Agjencia</w:t>
      </w:r>
      <w:r w:rsidR="00E3413B" w:rsidRPr="00554FAF">
        <w:rPr>
          <w:rFonts w:ascii="Times New Roman" w:hAnsi="Times New Roman" w:cs="Times New Roman"/>
          <w:sz w:val="24"/>
          <w:szCs w:val="24"/>
        </w:rPr>
        <w:t xml:space="preserve"> për Zhvillimin e Bujqësisë nga përkrahja e ofruar përmes granteve për periudhën 2010-2018, janë gjeneruar gjithsej 8,066 vende të punës në </w:t>
      </w:r>
      <w:r w:rsidR="00D13D8C" w:rsidRPr="00554FAF">
        <w:rPr>
          <w:rFonts w:ascii="Times New Roman" w:hAnsi="Times New Roman" w:cs="Times New Roman"/>
          <w:sz w:val="24"/>
          <w:szCs w:val="24"/>
        </w:rPr>
        <w:t>t</w:t>
      </w:r>
      <w:r w:rsidR="004A2969" w:rsidRPr="00554FAF">
        <w:rPr>
          <w:rFonts w:ascii="Times New Roman" w:hAnsi="Times New Roman" w:cs="Times New Roman"/>
          <w:sz w:val="24"/>
          <w:szCs w:val="24"/>
        </w:rPr>
        <w:t>ë</w:t>
      </w:r>
      <w:r w:rsidR="00D13D8C" w:rsidRPr="00554FAF">
        <w:rPr>
          <w:rFonts w:ascii="Times New Roman" w:hAnsi="Times New Roman" w:cs="Times New Roman"/>
          <w:sz w:val="24"/>
          <w:szCs w:val="24"/>
        </w:rPr>
        <w:t xml:space="preserve"> </w:t>
      </w:r>
      <w:r w:rsidR="00E3413B" w:rsidRPr="00554FAF">
        <w:rPr>
          <w:rFonts w:ascii="Times New Roman" w:hAnsi="Times New Roman" w:cs="Times New Roman"/>
          <w:sz w:val="24"/>
          <w:szCs w:val="24"/>
        </w:rPr>
        <w:t>gjitha komunat e Kosovës. Po ashtu</w:t>
      </w:r>
      <w:r w:rsidR="004A2624" w:rsidRPr="00554FAF">
        <w:rPr>
          <w:rFonts w:ascii="Times New Roman" w:hAnsi="Times New Roman" w:cs="Times New Roman"/>
          <w:sz w:val="24"/>
          <w:szCs w:val="24"/>
        </w:rPr>
        <w:t>,</w:t>
      </w:r>
      <w:r w:rsidR="00E3413B" w:rsidRPr="00554FAF">
        <w:rPr>
          <w:rFonts w:ascii="Times New Roman" w:hAnsi="Times New Roman" w:cs="Times New Roman"/>
          <w:sz w:val="24"/>
          <w:szCs w:val="24"/>
        </w:rPr>
        <w:t xml:space="preserve"> për të njëjtën periudhë (2010-2018) sipërfaqet me serra janë shtuar për 105.35 ha, janë ngritur 58 depo dhe 922 stalla. Sipërfaqet me pem</w:t>
      </w:r>
      <w:r w:rsidR="004A2624" w:rsidRPr="00554FAF">
        <w:rPr>
          <w:rFonts w:ascii="Times New Roman" w:hAnsi="Times New Roman" w:cs="Times New Roman"/>
          <w:sz w:val="24"/>
          <w:szCs w:val="24"/>
        </w:rPr>
        <w:t>ë</w:t>
      </w:r>
      <w:r w:rsidR="00E3413B" w:rsidRPr="00554FAF">
        <w:rPr>
          <w:rFonts w:ascii="Times New Roman" w:hAnsi="Times New Roman" w:cs="Times New Roman"/>
          <w:sz w:val="24"/>
          <w:szCs w:val="24"/>
        </w:rPr>
        <w:t xml:space="preserve"> drufrutore janë shtuar për 856.5 ha, ndërsa me pemë manore 179.3 ha. Përkundër faktit se pjesëmarrja e bujqësisë në BPV, ka shënuar rënie me 7.2%</w:t>
      </w:r>
      <w:r w:rsidR="004A2624" w:rsidRPr="00554FAF">
        <w:rPr>
          <w:rFonts w:ascii="Times New Roman" w:hAnsi="Times New Roman" w:cs="Times New Roman"/>
          <w:sz w:val="24"/>
          <w:szCs w:val="24"/>
        </w:rPr>
        <w:t>,</w:t>
      </w:r>
      <w:r w:rsidR="00E3413B" w:rsidRPr="00554FAF">
        <w:rPr>
          <w:rFonts w:ascii="Times New Roman" w:hAnsi="Times New Roman" w:cs="Times New Roman"/>
          <w:sz w:val="24"/>
          <w:szCs w:val="24"/>
        </w:rPr>
        <w:t xml:space="preserve"> por vazhdon të mbetet e rëndësishme.</w:t>
      </w:r>
    </w:p>
    <w:p w14:paraId="01BCFA47" w14:textId="3008AC07" w:rsidR="00E3413B" w:rsidRPr="00554FAF" w:rsidRDefault="00E3413B"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sz w:val="24"/>
          <w:szCs w:val="24"/>
        </w:rPr>
        <w:t xml:space="preserve">Në vitin 2018 vlera e eksportit arriti në 63.9 mil. €, që për dallim nga viti 2017 eksporti pati një rritje prej 4.3%. </w:t>
      </w:r>
      <w:r w:rsidR="004A2624" w:rsidRPr="00554FAF">
        <w:rPr>
          <w:rFonts w:ascii="Times New Roman" w:hAnsi="Times New Roman" w:cs="Times New Roman"/>
          <w:sz w:val="24"/>
          <w:szCs w:val="24"/>
        </w:rPr>
        <w:t xml:space="preserve">Mirëpo, </w:t>
      </w:r>
      <w:r w:rsidRPr="00554FAF">
        <w:rPr>
          <w:rFonts w:ascii="Times New Roman" w:hAnsi="Times New Roman" w:cs="Times New Roman"/>
          <w:sz w:val="24"/>
          <w:szCs w:val="24"/>
        </w:rPr>
        <w:t xml:space="preserve">ajo që vlen të theksohet është se rritja e eksportit ishte më e madhe në krahasim me rritjen e importit, </w:t>
      </w:r>
      <w:r w:rsidR="004A2624" w:rsidRPr="00554FAF">
        <w:rPr>
          <w:rFonts w:ascii="Times New Roman" w:hAnsi="Times New Roman" w:cs="Times New Roman"/>
          <w:sz w:val="24"/>
          <w:szCs w:val="24"/>
        </w:rPr>
        <w:t>gjë</w:t>
      </w:r>
      <w:r w:rsidRPr="00554FAF">
        <w:rPr>
          <w:rFonts w:ascii="Times New Roman" w:hAnsi="Times New Roman" w:cs="Times New Roman"/>
          <w:sz w:val="24"/>
          <w:szCs w:val="24"/>
        </w:rPr>
        <w:t xml:space="preserve"> që bëri që mbulueshmëria e importit me eksport të rritet në 9% në vitin 2018. Në mesin e produkteve agro-përpunuese të eksportuara gjatë vitit 2018, vend të rëndësishëm zënë: </w:t>
      </w:r>
      <w:r w:rsidR="004A2624" w:rsidRPr="00554FAF">
        <w:rPr>
          <w:rFonts w:ascii="Times New Roman" w:hAnsi="Times New Roman" w:cs="Times New Roman"/>
          <w:sz w:val="24"/>
          <w:szCs w:val="24"/>
        </w:rPr>
        <w:t>b</w:t>
      </w:r>
      <w:r w:rsidRPr="00554FAF">
        <w:rPr>
          <w:rFonts w:ascii="Times New Roman" w:hAnsi="Times New Roman" w:cs="Times New Roman"/>
          <w:sz w:val="24"/>
          <w:szCs w:val="24"/>
        </w:rPr>
        <w:t xml:space="preserve">irra (9.0 mil Euro), </w:t>
      </w:r>
      <w:r w:rsidR="004A2624" w:rsidRPr="00554FAF">
        <w:rPr>
          <w:rFonts w:ascii="Times New Roman" w:hAnsi="Times New Roman" w:cs="Times New Roman"/>
          <w:sz w:val="24"/>
          <w:szCs w:val="24"/>
        </w:rPr>
        <w:t>p</w:t>
      </w:r>
      <w:r w:rsidRPr="00554FAF">
        <w:rPr>
          <w:rFonts w:ascii="Times New Roman" w:hAnsi="Times New Roman" w:cs="Times New Roman"/>
          <w:sz w:val="24"/>
          <w:szCs w:val="24"/>
        </w:rPr>
        <w:t xml:space="preserve">ijet freskuese (8.8 mil Euro) dhe </w:t>
      </w:r>
      <w:r w:rsidR="004A2624" w:rsidRPr="00554FAF">
        <w:rPr>
          <w:rFonts w:ascii="Times New Roman" w:hAnsi="Times New Roman" w:cs="Times New Roman"/>
          <w:sz w:val="24"/>
          <w:szCs w:val="24"/>
        </w:rPr>
        <w:t>v</w:t>
      </w:r>
      <w:r w:rsidRPr="00554FAF">
        <w:rPr>
          <w:rFonts w:ascii="Times New Roman" w:hAnsi="Times New Roman" w:cs="Times New Roman"/>
          <w:sz w:val="24"/>
          <w:szCs w:val="24"/>
        </w:rPr>
        <w:t xml:space="preserve">era (4.7 mil Euro)  ndërsa në mesin e produkteve bujqësore janë produktet me vlerë të shtuar si: manaferra (3.5 mil Euro), </w:t>
      </w:r>
      <w:r w:rsidR="00EA0B1C" w:rsidRPr="00554FAF">
        <w:rPr>
          <w:rFonts w:ascii="Times New Roman" w:hAnsi="Times New Roman" w:cs="Times New Roman"/>
          <w:sz w:val="24"/>
          <w:szCs w:val="24"/>
        </w:rPr>
        <w:t>patateje</w:t>
      </w:r>
      <w:r w:rsidRPr="00554FAF">
        <w:rPr>
          <w:rFonts w:ascii="Times New Roman" w:hAnsi="Times New Roman" w:cs="Times New Roman"/>
          <w:sz w:val="24"/>
          <w:szCs w:val="24"/>
        </w:rPr>
        <w:t xml:space="preserve"> (1.6 mil Euro), </w:t>
      </w:r>
      <w:r w:rsidR="004A2624" w:rsidRPr="00554FAF">
        <w:rPr>
          <w:rFonts w:ascii="Times New Roman" w:hAnsi="Times New Roman" w:cs="Times New Roman"/>
          <w:sz w:val="24"/>
          <w:szCs w:val="24"/>
        </w:rPr>
        <w:t>m</w:t>
      </w:r>
      <w:r w:rsidRPr="00554FAF">
        <w:rPr>
          <w:rFonts w:ascii="Times New Roman" w:hAnsi="Times New Roman" w:cs="Times New Roman"/>
          <w:sz w:val="24"/>
          <w:szCs w:val="24"/>
        </w:rPr>
        <w:t>ana tjera ( 1.0 mil Euro), Manaferra t</w:t>
      </w:r>
      <w:r w:rsidR="00D13D8C" w:rsidRPr="00554FAF">
        <w:rPr>
          <w:rFonts w:ascii="Times New Roman" w:hAnsi="Times New Roman" w:cs="Times New Roman"/>
          <w:sz w:val="24"/>
          <w:szCs w:val="24"/>
        </w:rPr>
        <w:t>ë</w:t>
      </w:r>
      <w:r w:rsidRPr="00554FAF">
        <w:rPr>
          <w:rFonts w:ascii="Times New Roman" w:hAnsi="Times New Roman" w:cs="Times New Roman"/>
          <w:sz w:val="24"/>
          <w:szCs w:val="24"/>
        </w:rPr>
        <w:t xml:space="preserve"> buta të përpunuara (1.0 mil Euro). Prandaj synim i MBZHR, vazhdon t</w:t>
      </w:r>
      <w:r w:rsidR="004A2624" w:rsidRPr="00554FAF">
        <w:rPr>
          <w:rFonts w:ascii="Times New Roman" w:hAnsi="Times New Roman" w:cs="Times New Roman"/>
          <w:sz w:val="24"/>
          <w:szCs w:val="24"/>
        </w:rPr>
        <w:t>ë</w:t>
      </w:r>
      <w:r w:rsidRPr="00554FAF">
        <w:rPr>
          <w:rFonts w:ascii="Times New Roman" w:hAnsi="Times New Roman" w:cs="Times New Roman"/>
          <w:sz w:val="24"/>
          <w:szCs w:val="24"/>
        </w:rPr>
        <w:t xml:space="preserve"> jet</w:t>
      </w:r>
      <w:r w:rsidR="004A2624" w:rsidRPr="00554FAF">
        <w:rPr>
          <w:rFonts w:ascii="Times New Roman" w:hAnsi="Times New Roman" w:cs="Times New Roman"/>
          <w:sz w:val="24"/>
          <w:szCs w:val="24"/>
        </w:rPr>
        <w:t>ë</w:t>
      </w:r>
      <w:r w:rsidRPr="00554FAF">
        <w:rPr>
          <w:rFonts w:ascii="Times New Roman" w:hAnsi="Times New Roman" w:cs="Times New Roman"/>
          <w:sz w:val="24"/>
          <w:szCs w:val="24"/>
        </w:rPr>
        <w:t xml:space="preserve">  mbështetja e  produkteve  bujqësore që kanë vlerë të shtuar tregu dhe si rezultat, kanë potencial eksporti dhe zëvendësim të importit. </w:t>
      </w:r>
    </w:p>
    <w:p w14:paraId="49DA1DF4" w14:textId="60AD990E" w:rsidR="00E3413B" w:rsidRPr="00554FAF" w:rsidRDefault="00E3413B" w:rsidP="000702CB">
      <w:pPr>
        <w:spacing w:after="60" w:line="240" w:lineRule="auto"/>
        <w:jc w:val="both"/>
        <w:rPr>
          <w:rFonts w:ascii="Times New Roman" w:eastAsia="Times New Roman" w:hAnsi="Times New Roman" w:cs="Times New Roman"/>
          <w:sz w:val="24"/>
          <w:szCs w:val="24"/>
        </w:rPr>
      </w:pPr>
      <w:r w:rsidRPr="00554FAF">
        <w:rPr>
          <w:rFonts w:ascii="Times New Roman" w:eastAsia="Times New Roman" w:hAnsi="Times New Roman" w:cs="Times New Roman"/>
          <w:sz w:val="24"/>
          <w:szCs w:val="24"/>
        </w:rPr>
        <w:t xml:space="preserve">Zhvillimi i mëtejmë i sektorit të bujqësisë, si dhe sigurimi i qëndrueshmërisë së sektorit në periudhë afatgjatë nuk mund të arrihet pa shfrytëzimin racional të </w:t>
      </w:r>
      <w:r w:rsidR="00D13D8C" w:rsidRPr="00554FAF">
        <w:rPr>
          <w:rFonts w:ascii="Times New Roman" w:eastAsia="Times New Roman" w:hAnsi="Times New Roman" w:cs="Times New Roman"/>
          <w:sz w:val="24"/>
          <w:szCs w:val="24"/>
        </w:rPr>
        <w:t xml:space="preserve">burimeve </w:t>
      </w:r>
      <w:r w:rsidRPr="00554FAF">
        <w:rPr>
          <w:rFonts w:ascii="Times New Roman" w:eastAsia="Times New Roman" w:hAnsi="Times New Roman" w:cs="Times New Roman"/>
          <w:sz w:val="24"/>
          <w:szCs w:val="24"/>
        </w:rPr>
        <w:t>ujore, si dhe pa vendosjen, rehabilitimin dhe zgjerimin e infrastrukturës së ujitjes.</w:t>
      </w:r>
      <w:r w:rsidRPr="00554FAF">
        <w:rPr>
          <w:rFonts w:ascii="Times New Roman" w:hAnsi="Times New Roman" w:cs="Times New Roman"/>
          <w:sz w:val="24"/>
          <w:szCs w:val="24"/>
        </w:rPr>
        <w:t xml:space="preserve"> </w:t>
      </w:r>
      <w:r w:rsidRPr="00554FAF">
        <w:rPr>
          <w:rFonts w:ascii="Times New Roman" w:eastAsia="Times New Roman" w:hAnsi="Times New Roman" w:cs="Times New Roman"/>
          <w:sz w:val="24"/>
          <w:szCs w:val="24"/>
        </w:rPr>
        <w:t>Gjendja teknike e një pjese të madhe të infrastrukturës së ujitjes nuk është e mirë, prandaj infrastruktura aktuale e ujitjes ka nevojë për rehabilitim, për ndërtime të reja</w:t>
      </w:r>
      <w:r w:rsidR="004A2624" w:rsidRPr="00554FAF">
        <w:rPr>
          <w:rFonts w:ascii="Times New Roman" w:eastAsia="Times New Roman" w:hAnsi="Times New Roman" w:cs="Times New Roman"/>
          <w:sz w:val="24"/>
          <w:szCs w:val="24"/>
        </w:rPr>
        <w:t xml:space="preserve"> </w:t>
      </w:r>
      <w:r w:rsidRPr="00554FAF">
        <w:rPr>
          <w:rFonts w:ascii="Times New Roman" w:eastAsia="Times New Roman" w:hAnsi="Times New Roman" w:cs="Times New Roman"/>
          <w:sz w:val="24"/>
          <w:szCs w:val="24"/>
        </w:rPr>
        <w:t xml:space="preserve">dhe për mirëmbajtje të rregullt. </w:t>
      </w:r>
    </w:p>
    <w:p w14:paraId="4FBC0145" w14:textId="011802E7" w:rsidR="00E3413B" w:rsidRPr="00554FAF" w:rsidRDefault="00E3413B" w:rsidP="000702CB">
      <w:pPr>
        <w:spacing w:after="60" w:line="240" w:lineRule="auto"/>
        <w:jc w:val="both"/>
        <w:rPr>
          <w:rFonts w:ascii="Times New Roman" w:hAnsi="Times New Roman" w:cs="Times New Roman"/>
          <w:b/>
          <w:sz w:val="24"/>
          <w:szCs w:val="24"/>
        </w:rPr>
      </w:pPr>
      <w:r w:rsidRPr="00554FAF">
        <w:rPr>
          <w:rFonts w:ascii="Times New Roman" w:eastAsia="Times New Roman" w:hAnsi="Times New Roman" w:cs="Times New Roman"/>
          <w:sz w:val="24"/>
          <w:szCs w:val="24"/>
        </w:rPr>
        <w:t>Sa i përket</w:t>
      </w:r>
      <w:r w:rsidR="004A2624" w:rsidRPr="00554FAF">
        <w:rPr>
          <w:rFonts w:ascii="Times New Roman" w:eastAsia="Times New Roman" w:hAnsi="Times New Roman" w:cs="Times New Roman"/>
          <w:sz w:val="24"/>
          <w:szCs w:val="24"/>
        </w:rPr>
        <w:t xml:space="preserve"> </w:t>
      </w:r>
      <w:r w:rsidRPr="00554FAF">
        <w:rPr>
          <w:rFonts w:ascii="Times New Roman" w:eastAsia="Times New Roman" w:hAnsi="Times New Roman" w:cs="Times New Roman"/>
          <w:b/>
          <w:sz w:val="24"/>
          <w:szCs w:val="24"/>
        </w:rPr>
        <w:t xml:space="preserve">Industrisë </w:t>
      </w:r>
      <w:r w:rsidRPr="00554FAF">
        <w:rPr>
          <w:rFonts w:ascii="Times New Roman" w:eastAsia="Times New Roman" w:hAnsi="Times New Roman" w:cs="Times New Roman"/>
          <w:color w:val="000000"/>
          <w:sz w:val="24"/>
          <w:szCs w:val="24"/>
        </w:rPr>
        <w:t>përkundër progresit të bërë në drejtim të zhvillimit industrial të synuar dhe alokimi i granteve nga</w:t>
      </w:r>
      <w:r w:rsidR="004A2624" w:rsidRPr="00554FAF">
        <w:rPr>
          <w:rFonts w:ascii="Times New Roman" w:eastAsia="Times New Roman" w:hAnsi="Times New Roman" w:cs="Times New Roman"/>
          <w:color w:val="000000"/>
          <w:sz w:val="24"/>
          <w:szCs w:val="24"/>
        </w:rPr>
        <w:t xml:space="preserve"> </w:t>
      </w:r>
      <w:r w:rsidRPr="00554FAF">
        <w:rPr>
          <w:rFonts w:ascii="Times New Roman" w:eastAsia="Times New Roman" w:hAnsi="Times New Roman" w:cs="Times New Roman"/>
          <w:color w:val="000000"/>
          <w:sz w:val="24"/>
          <w:szCs w:val="24"/>
        </w:rPr>
        <w:t>Qeveria përmes programeve për përmirësimin e konkurrueshm</w:t>
      </w:r>
      <w:r w:rsidRPr="00554FAF">
        <w:rPr>
          <w:rFonts w:ascii="Times New Roman" w:hAnsi="Times New Roman" w:cs="Times New Roman"/>
          <w:sz w:val="24"/>
          <w:szCs w:val="24"/>
        </w:rPr>
        <w:t>ë</w:t>
      </w:r>
      <w:r w:rsidRPr="00554FAF">
        <w:rPr>
          <w:rFonts w:ascii="Times New Roman" w:eastAsia="Times New Roman" w:hAnsi="Times New Roman" w:cs="Times New Roman"/>
          <w:color w:val="000000"/>
          <w:sz w:val="24"/>
          <w:szCs w:val="24"/>
        </w:rPr>
        <w:t>ris</w:t>
      </w:r>
      <w:r w:rsidRPr="00554FAF">
        <w:rPr>
          <w:rFonts w:ascii="Times New Roman" w:hAnsi="Times New Roman" w:cs="Times New Roman"/>
          <w:sz w:val="24"/>
          <w:szCs w:val="24"/>
        </w:rPr>
        <w:t>ë</w:t>
      </w:r>
      <w:r w:rsidRPr="00554FAF">
        <w:rPr>
          <w:rFonts w:ascii="Times New Roman" w:eastAsia="Times New Roman" w:hAnsi="Times New Roman" w:cs="Times New Roman"/>
          <w:color w:val="000000"/>
          <w:sz w:val="24"/>
          <w:szCs w:val="24"/>
        </w:rPr>
        <w:t xml:space="preserve">, </w:t>
      </w:r>
      <w:r w:rsidRPr="00554FAF">
        <w:rPr>
          <w:rFonts w:ascii="Times New Roman" w:hAnsi="Times New Roman" w:cs="Times New Roman"/>
          <w:sz w:val="24"/>
          <w:szCs w:val="24"/>
        </w:rPr>
        <w:t>prodhimi industrial ende dominohet me prodhim të vlerës së ulët, mungesë të inovacionit, dhe mungesë të konkurrueshmërisë në tregjet vendore dhe</w:t>
      </w:r>
      <w:r w:rsidR="004A2624" w:rsidRPr="00554FAF">
        <w:rPr>
          <w:rFonts w:ascii="Times New Roman" w:hAnsi="Times New Roman" w:cs="Times New Roman"/>
          <w:sz w:val="24"/>
          <w:szCs w:val="24"/>
        </w:rPr>
        <w:t xml:space="preserve"> të</w:t>
      </w:r>
      <w:r w:rsidRPr="00554FAF">
        <w:rPr>
          <w:rFonts w:ascii="Times New Roman" w:hAnsi="Times New Roman" w:cs="Times New Roman"/>
          <w:sz w:val="24"/>
          <w:szCs w:val="24"/>
        </w:rPr>
        <w:t xml:space="preserve"> jashtme</w:t>
      </w:r>
      <w:r w:rsidRPr="00554FAF">
        <w:rPr>
          <w:rFonts w:ascii="Times New Roman" w:eastAsia="Times New Roman" w:hAnsi="Times New Roman" w:cs="Times New Roman"/>
          <w:color w:val="000000"/>
          <w:sz w:val="24"/>
          <w:szCs w:val="24"/>
        </w:rPr>
        <w:t xml:space="preserve">. Pjesa e industrisë në BPV është e krahasueshme me disa nga vendet rajonale, por </w:t>
      </w:r>
      <w:r w:rsidR="004A2624" w:rsidRPr="00554FAF">
        <w:rPr>
          <w:rFonts w:ascii="Times New Roman" w:eastAsia="Times New Roman" w:hAnsi="Times New Roman" w:cs="Times New Roman"/>
          <w:color w:val="000000"/>
          <w:sz w:val="24"/>
          <w:szCs w:val="24"/>
        </w:rPr>
        <w:t xml:space="preserve">duke </w:t>
      </w:r>
      <w:r w:rsidRPr="00554FAF">
        <w:rPr>
          <w:rFonts w:ascii="Times New Roman" w:eastAsia="Times New Roman" w:hAnsi="Times New Roman" w:cs="Times New Roman"/>
          <w:color w:val="000000"/>
          <w:sz w:val="24"/>
          <w:szCs w:val="24"/>
        </w:rPr>
        <w:t>marrë parasysh nevojat e zhvillimit, përfshirë edhe nevojën për të krijuar vende pune, kjo mund të konsiderohet si e ulët</w:t>
      </w:r>
      <w:r w:rsidRPr="00554FAF">
        <w:rPr>
          <w:rFonts w:ascii="Times New Roman" w:eastAsia="Times New Roman" w:hAnsi="Times New Roman" w:cs="Times New Roman"/>
          <w:color w:val="000000"/>
          <w:sz w:val="24"/>
          <w:szCs w:val="24"/>
          <w:shd w:val="clear" w:color="auto" w:fill="FFFFFF" w:themeFill="background1"/>
        </w:rPr>
        <w:t xml:space="preserve">. </w:t>
      </w:r>
      <w:r w:rsidRPr="00554FAF">
        <w:rPr>
          <w:rFonts w:ascii="Times New Roman" w:hAnsi="Times New Roman" w:cs="Times New Roman"/>
          <w:sz w:val="24"/>
          <w:szCs w:val="24"/>
          <w:shd w:val="clear" w:color="auto" w:fill="FFFFFF" w:themeFill="background1"/>
        </w:rPr>
        <w:t xml:space="preserve">Për vitin 2018 rritja reale e BPV-së në Kosovë krahasuar me vitin 2017 ishte 4.02%. Pjesëmarrja e industrisë përpunuese </w:t>
      </w:r>
      <w:r w:rsidR="00D13D8C" w:rsidRPr="00554FAF">
        <w:rPr>
          <w:rFonts w:ascii="Times New Roman" w:hAnsi="Times New Roman" w:cs="Times New Roman"/>
          <w:sz w:val="24"/>
          <w:szCs w:val="24"/>
          <w:shd w:val="clear" w:color="auto" w:fill="FFFFFF" w:themeFill="background1"/>
        </w:rPr>
        <w:t>në</w:t>
      </w:r>
      <w:r w:rsidRPr="00554FAF">
        <w:rPr>
          <w:rFonts w:ascii="Times New Roman" w:hAnsi="Times New Roman" w:cs="Times New Roman"/>
          <w:sz w:val="24"/>
          <w:szCs w:val="24"/>
          <w:shd w:val="clear" w:color="auto" w:fill="FFFFFF" w:themeFill="background1"/>
        </w:rPr>
        <w:t xml:space="preserve"> BPV për vitin 2018, është relativisht e njëjtë </w:t>
      </w:r>
      <w:r w:rsidRPr="00554FAF">
        <w:rPr>
          <w:rFonts w:ascii="Times New Roman" w:hAnsi="Times New Roman" w:cs="Times New Roman"/>
          <w:sz w:val="24"/>
          <w:szCs w:val="24"/>
        </w:rPr>
        <w:t xml:space="preserve">sikurse në vitin 2017 – rreth 11%. </w:t>
      </w:r>
    </w:p>
    <w:p w14:paraId="7A89868F" w14:textId="77777777" w:rsidR="00E3413B" w:rsidRPr="00554FAF" w:rsidRDefault="00E3413B" w:rsidP="000702CB">
      <w:pPr>
        <w:shd w:val="clear" w:color="auto" w:fill="FFFFFF" w:themeFill="background1"/>
        <w:spacing w:after="60" w:line="240" w:lineRule="auto"/>
        <w:jc w:val="both"/>
        <w:rPr>
          <w:rFonts w:ascii="Times New Roman" w:hAnsi="Times New Roman" w:cs="Times New Roman"/>
          <w:sz w:val="24"/>
          <w:szCs w:val="24"/>
        </w:rPr>
      </w:pPr>
      <w:r w:rsidRPr="00554FAF">
        <w:rPr>
          <w:rFonts w:ascii="Times New Roman" w:hAnsi="Times New Roman" w:cs="Times New Roman"/>
          <w:sz w:val="24"/>
          <w:szCs w:val="24"/>
        </w:rPr>
        <w:t xml:space="preserve">Pjesëmarrja e sektorëve industrial (sektori C) në total të eksporteve për vitin 2018 është 64.45%, me një mbizotërim të produkteve me vlerë të ulët  të shtuar. Ndërsa, për sektorët industrial jo ushqimor, prinë sektori i plastikës me pjesëmarrje 12.64%, sektori i metaleve 5.84%; ndërkaq sektorët tjerë kanë shënuar rënie në vitin 2018, krahasuar me 2017: Druri 1.47% (2018) – krahasuar me 2017 (1.55%); tekstili 2018 – 2.26% (3.5% sa ka qenë në 2017) dhe lëkura 0.74%.  </w:t>
      </w:r>
    </w:p>
    <w:p w14:paraId="08FC1BA1" w14:textId="1F0B9EC4" w:rsidR="00E3413B" w:rsidRPr="00554FAF" w:rsidRDefault="00E3413B" w:rsidP="000702CB">
      <w:pPr>
        <w:spacing w:after="60" w:line="240" w:lineRule="auto"/>
        <w:jc w:val="both"/>
        <w:rPr>
          <w:rFonts w:ascii="Times New Roman" w:hAnsi="Times New Roman" w:cs="Times New Roman"/>
          <w:b/>
          <w:sz w:val="24"/>
          <w:szCs w:val="24"/>
        </w:rPr>
      </w:pPr>
      <w:r w:rsidRPr="00554FAF">
        <w:rPr>
          <w:rFonts w:ascii="Times New Roman" w:hAnsi="Times New Roman" w:cs="Times New Roman"/>
          <w:sz w:val="24"/>
          <w:szCs w:val="24"/>
        </w:rPr>
        <w:t xml:space="preserve">Në mungesë të një prodhimi të duhur industrial, ekonomia e Kosovës cilësohet si "ekonomi e  shërbimeve". Sektori i </w:t>
      </w:r>
      <w:r w:rsidRPr="00554FAF">
        <w:rPr>
          <w:rFonts w:ascii="Times New Roman" w:hAnsi="Times New Roman" w:cs="Times New Roman"/>
          <w:b/>
          <w:sz w:val="24"/>
          <w:szCs w:val="24"/>
        </w:rPr>
        <w:t>shërbimeve</w:t>
      </w:r>
      <w:r w:rsidRPr="00554FAF">
        <w:rPr>
          <w:rFonts w:ascii="Times New Roman" w:hAnsi="Times New Roman" w:cs="Times New Roman"/>
          <w:sz w:val="24"/>
          <w:szCs w:val="24"/>
        </w:rPr>
        <w:t xml:space="preserve"> është shfaqur si segmenti më i madh i ekonomisë dhe forca e tij lëvizëse, duke kontribuar në rritje të vlerës së shtuar të vendit, punësimit dhe tregtisë. Sektori i shërbimeve është zhvilluar duke u bërë sektori më i madh i ekonomisë, me përbërje rreth 72.63% të BPV-së në vitin 2018 dhe me rritje të kontributit të tij me 3.12 % krahasuar me vitin 2017. Për më tepër, në vitin 2018 sektori i shërbimeve ka përbërë rreth 85.3 % të punësimit në Kosovë. </w:t>
      </w:r>
    </w:p>
    <w:p w14:paraId="4ABCB6BF" w14:textId="6C12134D" w:rsidR="00E3413B" w:rsidRPr="00554FAF" w:rsidRDefault="00E3413B"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sz w:val="24"/>
          <w:szCs w:val="24"/>
        </w:rPr>
        <w:t xml:space="preserve">Në kuadër të sektorit të shërbimeve, </w:t>
      </w:r>
      <w:r w:rsidRPr="00554FAF">
        <w:rPr>
          <w:rFonts w:ascii="Times New Roman" w:hAnsi="Times New Roman" w:cs="Times New Roman"/>
          <w:b/>
          <w:sz w:val="24"/>
          <w:szCs w:val="24"/>
        </w:rPr>
        <w:t xml:space="preserve">Turizmi </w:t>
      </w:r>
      <w:r w:rsidRPr="00554FAF">
        <w:rPr>
          <w:rFonts w:ascii="Times New Roman" w:hAnsi="Times New Roman" w:cs="Times New Roman"/>
          <w:sz w:val="24"/>
          <w:szCs w:val="24"/>
        </w:rPr>
        <w:t>edhe përkundër potencialit të madh në krijimin e vendeve të punës në krahasim me sektorët e tjerë, ndodhet ende në një fazë të hershme të zhvillimit. Në vitin 2018</w:t>
      </w:r>
      <w:r w:rsidR="001E36D1" w:rsidRPr="00554FAF">
        <w:rPr>
          <w:rFonts w:ascii="Times New Roman" w:hAnsi="Times New Roman" w:cs="Times New Roman"/>
          <w:sz w:val="24"/>
          <w:szCs w:val="24"/>
        </w:rPr>
        <w:t>,</w:t>
      </w:r>
      <w:r w:rsidRPr="00554FAF">
        <w:rPr>
          <w:rFonts w:ascii="Times New Roman" w:hAnsi="Times New Roman" w:cs="Times New Roman"/>
          <w:sz w:val="24"/>
          <w:szCs w:val="24"/>
        </w:rPr>
        <w:t xml:space="preserve"> numri i vizitorëve vendor është rritur për 21.32% në raport me vitin 2017</w:t>
      </w:r>
      <w:r w:rsidR="001E36D1" w:rsidRPr="00554FAF">
        <w:rPr>
          <w:rFonts w:ascii="Times New Roman" w:hAnsi="Times New Roman" w:cs="Times New Roman"/>
          <w:sz w:val="24"/>
          <w:szCs w:val="24"/>
        </w:rPr>
        <w:t xml:space="preserve"> kurse</w:t>
      </w:r>
      <w:r w:rsidRPr="00554FAF">
        <w:rPr>
          <w:rFonts w:ascii="Times New Roman" w:hAnsi="Times New Roman" w:cs="Times New Roman"/>
          <w:sz w:val="24"/>
          <w:szCs w:val="24"/>
        </w:rPr>
        <w:t xml:space="preserve"> qëndrimet</w:t>
      </w:r>
      <w:r w:rsidR="00D13D8C" w:rsidRPr="00554FAF">
        <w:rPr>
          <w:rFonts w:ascii="Times New Roman" w:hAnsi="Times New Roman" w:cs="Times New Roman"/>
          <w:sz w:val="24"/>
          <w:szCs w:val="24"/>
        </w:rPr>
        <w:t xml:space="preserve"> p</w:t>
      </w:r>
      <w:r w:rsidR="004A2969" w:rsidRPr="00554FAF">
        <w:rPr>
          <w:rFonts w:ascii="Times New Roman" w:hAnsi="Times New Roman" w:cs="Times New Roman"/>
          <w:sz w:val="24"/>
          <w:szCs w:val="24"/>
        </w:rPr>
        <w:t>ë</w:t>
      </w:r>
      <w:r w:rsidR="00D13D8C" w:rsidRPr="00554FAF">
        <w:rPr>
          <w:rFonts w:ascii="Times New Roman" w:hAnsi="Times New Roman" w:cs="Times New Roman"/>
          <w:sz w:val="24"/>
          <w:szCs w:val="24"/>
        </w:rPr>
        <w:t>r nat</w:t>
      </w:r>
      <w:r w:rsidR="004A2969" w:rsidRPr="00554FAF">
        <w:rPr>
          <w:rFonts w:ascii="Times New Roman" w:hAnsi="Times New Roman" w:cs="Times New Roman"/>
          <w:sz w:val="24"/>
          <w:szCs w:val="24"/>
        </w:rPr>
        <w:t>ë</w:t>
      </w:r>
      <w:r w:rsidRPr="00554FAF">
        <w:rPr>
          <w:rFonts w:ascii="Times New Roman" w:hAnsi="Times New Roman" w:cs="Times New Roman"/>
          <w:sz w:val="24"/>
          <w:szCs w:val="24"/>
        </w:rPr>
        <w:t xml:space="preserve"> e vizitorëve vendor janë rritur për 24.96%. Kemi rritje t</w:t>
      </w:r>
      <w:r w:rsidR="00D60D59" w:rsidRPr="00554FAF">
        <w:rPr>
          <w:rFonts w:ascii="Times New Roman" w:hAnsi="Times New Roman" w:cs="Times New Roman"/>
          <w:sz w:val="24"/>
          <w:szCs w:val="24"/>
        </w:rPr>
        <w:t>ë</w:t>
      </w:r>
      <w:r w:rsidRPr="00554FAF">
        <w:rPr>
          <w:rFonts w:ascii="Times New Roman" w:hAnsi="Times New Roman" w:cs="Times New Roman"/>
          <w:sz w:val="24"/>
          <w:szCs w:val="24"/>
        </w:rPr>
        <w:t xml:space="preserve"> vizitorët e jashtëm për 18.82%, kurse </w:t>
      </w:r>
      <w:r w:rsidR="00EA0B1C" w:rsidRPr="00554FAF">
        <w:rPr>
          <w:rFonts w:ascii="Times New Roman" w:hAnsi="Times New Roman" w:cs="Times New Roman"/>
          <w:sz w:val="24"/>
          <w:szCs w:val="24"/>
        </w:rPr>
        <w:t>natë</w:t>
      </w:r>
      <w:r w:rsidR="001E36D1" w:rsidRPr="00554FAF">
        <w:rPr>
          <w:rFonts w:ascii="Times New Roman" w:hAnsi="Times New Roman" w:cs="Times New Roman"/>
          <w:sz w:val="24"/>
          <w:szCs w:val="24"/>
        </w:rPr>
        <w:t xml:space="preserve"> </w:t>
      </w:r>
      <w:r w:rsidRPr="00554FAF">
        <w:rPr>
          <w:rFonts w:ascii="Times New Roman" w:hAnsi="Times New Roman" w:cs="Times New Roman"/>
          <w:sz w:val="24"/>
          <w:szCs w:val="24"/>
        </w:rPr>
        <w:t>qëndrimet e vizitorëve të jashtëm janë rritur për 17.53% n</w:t>
      </w:r>
      <w:r w:rsidR="00D60D59" w:rsidRPr="00554FAF">
        <w:rPr>
          <w:rFonts w:ascii="Times New Roman" w:hAnsi="Times New Roman" w:cs="Times New Roman"/>
          <w:sz w:val="24"/>
          <w:szCs w:val="24"/>
        </w:rPr>
        <w:t>ë</w:t>
      </w:r>
      <w:r w:rsidRPr="00554FAF">
        <w:rPr>
          <w:rFonts w:ascii="Times New Roman" w:hAnsi="Times New Roman" w:cs="Times New Roman"/>
          <w:sz w:val="24"/>
          <w:szCs w:val="24"/>
        </w:rPr>
        <w:t xml:space="preserve"> raport me vitin 2017. Ndërsa, numri i t</w:t>
      </w:r>
      <w:r w:rsidR="001E36D1" w:rsidRPr="00554FAF">
        <w:rPr>
          <w:rFonts w:ascii="Times New Roman" w:hAnsi="Times New Roman" w:cs="Times New Roman"/>
          <w:sz w:val="24"/>
          <w:szCs w:val="24"/>
        </w:rPr>
        <w:t>ë</w:t>
      </w:r>
      <w:r w:rsidRPr="00554FAF">
        <w:rPr>
          <w:rFonts w:ascii="Times New Roman" w:hAnsi="Times New Roman" w:cs="Times New Roman"/>
          <w:sz w:val="24"/>
          <w:szCs w:val="24"/>
        </w:rPr>
        <w:t xml:space="preserve"> punësuarve në vitin 2018 ka qenë rreth 24 mijë, që përfaqëson rreth 7 % të punësuarve në aktivitetet ekonomike</w:t>
      </w:r>
      <w:r w:rsidR="001E36D1" w:rsidRPr="00554FAF">
        <w:rPr>
          <w:rFonts w:ascii="Times New Roman" w:hAnsi="Times New Roman" w:cs="Times New Roman"/>
          <w:sz w:val="24"/>
          <w:szCs w:val="24"/>
        </w:rPr>
        <w:t>.</w:t>
      </w:r>
    </w:p>
    <w:p w14:paraId="44BB8D43" w14:textId="749AF525" w:rsidR="00E3413B" w:rsidRPr="00554FAF" w:rsidRDefault="00E3413B" w:rsidP="000702CB">
      <w:pPr>
        <w:spacing w:after="60" w:line="240" w:lineRule="auto"/>
        <w:jc w:val="both"/>
        <w:rPr>
          <w:rFonts w:ascii="Times New Roman" w:hAnsi="Times New Roman" w:cs="Times New Roman"/>
          <w:color w:val="000000" w:themeColor="text1"/>
          <w:sz w:val="24"/>
          <w:szCs w:val="24"/>
        </w:rPr>
      </w:pPr>
      <w:r w:rsidRPr="00554FAF">
        <w:rPr>
          <w:rFonts w:ascii="Times New Roman" w:hAnsi="Times New Roman" w:cs="Times New Roman"/>
          <w:b/>
          <w:sz w:val="24"/>
          <w:szCs w:val="24"/>
        </w:rPr>
        <w:t>Pengesat strukturore</w:t>
      </w:r>
      <w:r w:rsidRPr="00554FAF">
        <w:rPr>
          <w:rFonts w:ascii="Times New Roman" w:hAnsi="Times New Roman" w:cs="Times New Roman"/>
          <w:sz w:val="24"/>
          <w:szCs w:val="24"/>
        </w:rPr>
        <w:t xml:space="preserve"> kryesore që pengojnë zhvillimin e sektorit të</w:t>
      </w:r>
      <w:r w:rsidRPr="00554FAF">
        <w:rPr>
          <w:rFonts w:ascii="Times New Roman" w:hAnsi="Times New Roman" w:cs="Times New Roman"/>
          <w:b/>
          <w:sz w:val="24"/>
          <w:szCs w:val="24"/>
        </w:rPr>
        <w:t xml:space="preserve"> bujqësisë</w:t>
      </w:r>
      <w:r w:rsidRPr="00554FAF">
        <w:rPr>
          <w:rFonts w:ascii="Times New Roman" w:hAnsi="Times New Roman" w:cs="Times New Roman"/>
          <w:sz w:val="24"/>
          <w:szCs w:val="24"/>
        </w:rPr>
        <w:t xml:space="preserve"> mbeten pothuajse t</w:t>
      </w:r>
      <w:r w:rsidR="001E36D1" w:rsidRPr="00554FAF">
        <w:rPr>
          <w:rFonts w:ascii="Times New Roman" w:hAnsi="Times New Roman" w:cs="Times New Roman"/>
          <w:sz w:val="24"/>
          <w:szCs w:val="24"/>
        </w:rPr>
        <w:t>ë</w:t>
      </w:r>
      <w:r w:rsidRPr="00554FAF">
        <w:rPr>
          <w:rFonts w:ascii="Times New Roman" w:hAnsi="Times New Roman" w:cs="Times New Roman"/>
          <w:sz w:val="24"/>
          <w:szCs w:val="24"/>
        </w:rPr>
        <w:t xml:space="preserve"> pa ndryshuara dhe ndërlidhen me madhësinë mesatare t</w:t>
      </w:r>
      <w:r w:rsidR="001E36D1" w:rsidRPr="00554FAF">
        <w:rPr>
          <w:rFonts w:ascii="Times New Roman" w:hAnsi="Times New Roman" w:cs="Times New Roman"/>
          <w:sz w:val="24"/>
          <w:szCs w:val="24"/>
        </w:rPr>
        <w:t>ë</w:t>
      </w:r>
      <w:r w:rsidRPr="00554FAF">
        <w:rPr>
          <w:rFonts w:ascii="Times New Roman" w:hAnsi="Times New Roman" w:cs="Times New Roman"/>
          <w:sz w:val="24"/>
          <w:szCs w:val="24"/>
        </w:rPr>
        <w:t xml:space="preserve"> vogël t</w:t>
      </w:r>
      <w:r w:rsidR="001E36D1" w:rsidRPr="00554FAF">
        <w:rPr>
          <w:rFonts w:ascii="Times New Roman" w:hAnsi="Times New Roman" w:cs="Times New Roman"/>
          <w:sz w:val="24"/>
          <w:szCs w:val="24"/>
        </w:rPr>
        <w:t>ë</w:t>
      </w:r>
      <w:r w:rsidRPr="00554FAF">
        <w:rPr>
          <w:rFonts w:ascii="Times New Roman" w:hAnsi="Times New Roman" w:cs="Times New Roman"/>
          <w:sz w:val="24"/>
          <w:szCs w:val="24"/>
        </w:rPr>
        <w:t xml:space="preserve"> fermës, fragmentimi</w:t>
      </w:r>
      <w:r w:rsidR="001E36D1" w:rsidRPr="00554FAF">
        <w:rPr>
          <w:rFonts w:ascii="Times New Roman" w:hAnsi="Times New Roman" w:cs="Times New Roman"/>
          <w:sz w:val="24"/>
          <w:szCs w:val="24"/>
        </w:rPr>
        <w:t>n e</w:t>
      </w:r>
      <w:r w:rsidRPr="00554FAF">
        <w:rPr>
          <w:rFonts w:ascii="Times New Roman" w:hAnsi="Times New Roman" w:cs="Times New Roman"/>
          <w:sz w:val="24"/>
          <w:szCs w:val="24"/>
        </w:rPr>
        <w:t xml:space="preserve"> tokës, infrastruktur</w:t>
      </w:r>
      <w:r w:rsidR="001E36D1" w:rsidRPr="00554FAF">
        <w:rPr>
          <w:rFonts w:ascii="Times New Roman" w:hAnsi="Times New Roman" w:cs="Times New Roman"/>
          <w:sz w:val="24"/>
          <w:szCs w:val="24"/>
        </w:rPr>
        <w:t>ën</w:t>
      </w:r>
      <w:r w:rsidRPr="00554FAF">
        <w:rPr>
          <w:rFonts w:ascii="Times New Roman" w:hAnsi="Times New Roman" w:cs="Times New Roman"/>
          <w:sz w:val="24"/>
          <w:szCs w:val="24"/>
        </w:rPr>
        <w:t xml:space="preserve"> e ujitjes, kapacitetet e deponimit, mosfunksionimi</w:t>
      </w:r>
      <w:r w:rsidR="001E36D1" w:rsidRPr="00554FAF">
        <w:rPr>
          <w:rFonts w:ascii="Times New Roman" w:hAnsi="Times New Roman" w:cs="Times New Roman"/>
          <w:sz w:val="24"/>
          <w:szCs w:val="24"/>
        </w:rPr>
        <w:t>n</w:t>
      </w:r>
      <w:r w:rsidRPr="00554FAF">
        <w:rPr>
          <w:rFonts w:ascii="Times New Roman" w:hAnsi="Times New Roman" w:cs="Times New Roman"/>
          <w:sz w:val="24"/>
          <w:szCs w:val="24"/>
        </w:rPr>
        <w:t xml:space="preserve"> dhe jo efikasiteti</w:t>
      </w:r>
      <w:r w:rsidR="001E36D1" w:rsidRPr="00554FAF">
        <w:rPr>
          <w:rFonts w:ascii="Times New Roman" w:hAnsi="Times New Roman" w:cs="Times New Roman"/>
          <w:sz w:val="24"/>
          <w:szCs w:val="24"/>
        </w:rPr>
        <w:t>n</w:t>
      </w:r>
      <w:r w:rsidRPr="00554FAF">
        <w:rPr>
          <w:rFonts w:ascii="Times New Roman" w:hAnsi="Times New Roman" w:cs="Times New Roman"/>
          <w:sz w:val="24"/>
          <w:szCs w:val="24"/>
        </w:rPr>
        <w:t xml:space="preserve"> </w:t>
      </w:r>
      <w:r w:rsidR="001E36D1" w:rsidRPr="00554FAF">
        <w:rPr>
          <w:rFonts w:ascii="Times New Roman" w:hAnsi="Times New Roman" w:cs="Times New Roman"/>
          <w:sz w:val="24"/>
          <w:szCs w:val="24"/>
        </w:rPr>
        <w:t>e</w:t>
      </w:r>
      <w:r w:rsidRPr="00554FAF">
        <w:rPr>
          <w:rFonts w:ascii="Times New Roman" w:hAnsi="Times New Roman" w:cs="Times New Roman"/>
          <w:sz w:val="24"/>
          <w:szCs w:val="24"/>
        </w:rPr>
        <w:t xml:space="preserve"> tregut të tokës, lidhjet e dobëta apo jofunksionale në mes të prodhuesit primar dhe përpunuesve dhe ndërmjet prodhuesve dhe tregut dhe mungesës së specializimit. </w:t>
      </w:r>
    </w:p>
    <w:p w14:paraId="6A270EF1" w14:textId="6F7204B8" w:rsidR="00E3413B" w:rsidRPr="00554FAF" w:rsidRDefault="00E3413B"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b/>
          <w:sz w:val="24"/>
          <w:szCs w:val="24"/>
        </w:rPr>
        <w:t xml:space="preserve">Pengesat strukturore </w:t>
      </w:r>
      <w:r w:rsidR="00D13D8C" w:rsidRPr="00554FAF">
        <w:rPr>
          <w:rFonts w:ascii="Times New Roman" w:hAnsi="Times New Roman" w:cs="Times New Roman"/>
          <w:b/>
          <w:sz w:val="24"/>
          <w:szCs w:val="24"/>
        </w:rPr>
        <w:t>p</w:t>
      </w:r>
      <w:r w:rsidR="004A2969" w:rsidRPr="00554FAF">
        <w:rPr>
          <w:rFonts w:ascii="Times New Roman" w:hAnsi="Times New Roman" w:cs="Times New Roman"/>
          <w:b/>
          <w:sz w:val="24"/>
          <w:szCs w:val="24"/>
        </w:rPr>
        <w:t>ë</w:t>
      </w:r>
      <w:r w:rsidR="00D13D8C" w:rsidRPr="00554FAF">
        <w:rPr>
          <w:rFonts w:ascii="Times New Roman" w:hAnsi="Times New Roman" w:cs="Times New Roman"/>
          <w:b/>
          <w:sz w:val="24"/>
          <w:szCs w:val="24"/>
        </w:rPr>
        <w:t xml:space="preserve">r </w:t>
      </w:r>
      <w:r w:rsidRPr="00554FAF">
        <w:rPr>
          <w:rFonts w:ascii="Times New Roman" w:hAnsi="Times New Roman" w:cs="Times New Roman"/>
          <w:b/>
          <w:sz w:val="24"/>
          <w:szCs w:val="24"/>
        </w:rPr>
        <w:t xml:space="preserve">zhvillimin e industrisë, </w:t>
      </w:r>
      <w:r w:rsidRPr="00554FAF">
        <w:rPr>
          <w:rFonts w:ascii="Times New Roman" w:hAnsi="Times New Roman" w:cs="Times New Roman"/>
          <w:sz w:val="24"/>
          <w:szCs w:val="24"/>
        </w:rPr>
        <w:t xml:space="preserve">ndërlidhen me mungesën e njohurive dhe inovacionit, njohjen e pamjaftueshme e raportimit financiar, mungesa e cilësisë së produktit, qasja në informata, mungesa e rrjetëzimit, pasuar nga kapaciteti i ulët sa i përket sasisë së prodhimit dhe punës </w:t>
      </w:r>
      <w:r w:rsidR="00D13D8C" w:rsidRPr="00554FAF">
        <w:rPr>
          <w:rFonts w:ascii="Times New Roman" w:hAnsi="Times New Roman" w:cs="Times New Roman"/>
          <w:sz w:val="24"/>
          <w:szCs w:val="24"/>
        </w:rPr>
        <w:t>pa t</w:t>
      </w:r>
      <w:r w:rsidR="004A2969" w:rsidRPr="00554FAF">
        <w:rPr>
          <w:rFonts w:ascii="Times New Roman" w:hAnsi="Times New Roman" w:cs="Times New Roman"/>
          <w:sz w:val="24"/>
          <w:szCs w:val="24"/>
        </w:rPr>
        <w:t>ë</w:t>
      </w:r>
      <w:r w:rsidR="00D13D8C" w:rsidRPr="00554FAF">
        <w:rPr>
          <w:rFonts w:ascii="Times New Roman" w:hAnsi="Times New Roman" w:cs="Times New Roman"/>
          <w:sz w:val="24"/>
          <w:szCs w:val="24"/>
        </w:rPr>
        <w:t xml:space="preserve"> cilat </w:t>
      </w:r>
      <w:r w:rsidR="004A2969" w:rsidRPr="00554FAF">
        <w:rPr>
          <w:rFonts w:ascii="Times New Roman" w:hAnsi="Times New Roman" w:cs="Times New Roman"/>
          <w:sz w:val="24"/>
          <w:szCs w:val="24"/>
        </w:rPr>
        <w:t>ë</w:t>
      </w:r>
      <w:r w:rsidR="00D13D8C" w:rsidRPr="00554FAF">
        <w:rPr>
          <w:rFonts w:ascii="Times New Roman" w:hAnsi="Times New Roman" w:cs="Times New Roman"/>
          <w:sz w:val="24"/>
          <w:szCs w:val="24"/>
        </w:rPr>
        <w:t>sht</w:t>
      </w:r>
      <w:r w:rsidR="004A2969" w:rsidRPr="00554FAF">
        <w:rPr>
          <w:rFonts w:ascii="Times New Roman" w:hAnsi="Times New Roman" w:cs="Times New Roman"/>
          <w:sz w:val="24"/>
          <w:szCs w:val="24"/>
        </w:rPr>
        <w:t>ë</w:t>
      </w:r>
      <w:r w:rsidR="00D13D8C" w:rsidRPr="00554FAF">
        <w:rPr>
          <w:rFonts w:ascii="Times New Roman" w:hAnsi="Times New Roman" w:cs="Times New Roman"/>
          <w:sz w:val="24"/>
          <w:szCs w:val="24"/>
        </w:rPr>
        <w:t xml:space="preserve"> v</w:t>
      </w:r>
      <w:r w:rsidR="004A2969" w:rsidRPr="00554FAF">
        <w:rPr>
          <w:rFonts w:ascii="Times New Roman" w:hAnsi="Times New Roman" w:cs="Times New Roman"/>
          <w:sz w:val="24"/>
          <w:szCs w:val="24"/>
        </w:rPr>
        <w:t>ë</w:t>
      </w:r>
      <w:r w:rsidR="00D13D8C" w:rsidRPr="00554FAF">
        <w:rPr>
          <w:rFonts w:ascii="Times New Roman" w:hAnsi="Times New Roman" w:cs="Times New Roman"/>
          <w:sz w:val="24"/>
          <w:szCs w:val="24"/>
        </w:rPr>
        <w:t>shtir</w:t>
      </w:r>
      <w:r w:rsidR="004A2969" w:rsidRPr="00554FAF">
        <w:rPr>
          <w:rFonts w:ascii="Times New Roman" w:hAnsi="Times New Roman" w:cs="Times New Roman"/>
          <w:sz w:val="24"/>
          <w:szCs w:val="24"/>
        </w:rPr>
        <w:t>ë</w:t>
      </w:r>
      <w:r w:rsidR="00D13D8C" w:rsidRPr="00554FAF">
        <w:rPr>
          <w:rFonts w:ascii="Times New Roman" w:hAnsi="Times New Roman" w:cs="Times New Roman"/>
          <w:sz w:val="24"/>
          <w:szCs w:val="24"/>
        </w:rPr>
        <w:t xml:space="preserve"> </w:t>
      </w:r>
      <w:r w:rsidRPr="00554FAF">
        <w:rPr>
          <w:rFonts w:ascii="Times New Roman" w:hAnsi="Times New Roman" w:cs="Times New Roman"/>
          <w:sz w:val="24"/>
          <w:szCs w:val="24"/>
        </w:rPr>
        <w:t>të përballojnë kërkesën relativisht të madhe. Këto dobësi rezultojnë me të ardhura të ulëta dhe rezultojnë që produktet e Kosovës nuk janë konkurruese në tregjet ndërkombëtare.</w:t>
      </w:r>
      <w:r w:rsidRPr="00554FAF" w:rsidDel="001D0DED">
        <w:rPr>
          <w:rFonts w:ascii="Times New Roman" w:hAnsi="Times New Roman" w:cs="Times New Roman"/>
          <w:sz w:val="24"/>
          <w:szCs w:val="24"/>
        </w:rPr>
        <w:t xml:space="preserve"> </w:t>
      </w:r>
      <w:r w:rsidRPr="00554FAF">
        <w:rPr>
          <w:rFonts w:ascii="Times New Roman" w:hAnsi="Times New Roman" w:cs="Times New Roman"/>
          <w:sz w:val="24"/>
          <w:szCs w:val="24"/>
        </w:rPr>
        <w:t xml:space="preserve">  </w:t>
      </w:r>
    </w:p>
    <w:p w14:paraId="777517F4" w14:textId="3B0DB8D8" w:rsidR="00E3413B" w:rsidRPr="00554FAF" w:rsidRDefault="00D60D59" w:rsidP="000702CB">
      <w:pPr>
        <w:spacing w:after="60" w:line="240" w:lineRule="auto"/>
        <w:jc w:val="both"/>
        <w:rPr>
          <w:rFonts w:ascii="Times New Roman" w:hAnsi="Times New Roman" w:cs="Times New Roman"/>
          <w:b/>
          <w:sz w:val="24"/>
          <w:szCs w:val="24"/>
        </w:rPr>
      </w:pPr>
      <w:r w:rsidRPr="00554FAF">
        <w:rPr>
          <w:rFonts w:ascii="Times New Roman" w:hAnsi="Times New Roman" w:cs="Times New Roman"/>
          <w:sz w:val="24"/>
          <w:szCs w:val="24"/>
        </w:rPr>
        <w:t>Ndonëse</w:t>
      </w:r>
      <w:r w:rsidR="00E3413B" w:rsidRPr="00554FAF">
        <w:rPr>
          <w:rFonts w:ascii="Times New Roman" w:hAnsi="Times New Roman" w:cs="Times New Roman"/>
          <w:sz w:val="24"/>
          <w:szCs w:val="24"/>
        </w:rPr>
        <w:t xml:space="preserve"> tregtia në </w:t>
      </w:r>
      <w:r w:rsidR="00E3413B" w:rsidRPr="00554FAF">
        <w:rPr>
          <w:rFonts w:ascii="Times New Roman" w:hAnsi="Times New Roman" w:cs="Times New Roman"/>
          <w:b/>
          <w:sz w:val="24"/>
          <w:szCs w:val="24"/>
        </w:rPr>
        <w:t>Shërbime</w:t>
      </w:r>
      <w:r w:rsidR="00E3413B" w:rsidRPr="00554FAF">
        <w:rPr>
          <w:rFonts w:ascii="Times New Roman" w:hAnsi="Times New Roman" w:cs="Times New Roman"/>
          <w:sz w:val="24"/>
          <w:szCs w:val="24"/>
        </w:rPr>
        <w:t xml:space="preserve"> ka qenë dinamike gjatë dekadës së fundit, ekziston një varësi e lartë  nga shërbimet e udhëtimit (diaspora), që është sektori më i ngadalshëm i rritjes së tregtisë ndërkombëtare në shërbime. Në rastin e Kosovës</w:t>
      </w:r>
      <w:r w:rsidRPr="00554FAF">
        <w:rPr>
          <w:rFonts w:ascii="Times New Roman" w:hAnsi="Times New Roman" w:cs="Times New Roman"/>
          <w:sz w:val="24"/>
          <w:szCs w:val="24"/>
        </w:rPr>
        <w:t>,</w:t>
      </w:r>
      <w:r w:rsidR="00E3413B" w:rsidRPr="00554FAF">
        <w:rPr>
          <w:rFonts w:ascii="Times New Roman" w:hAnsi="Times New Roman" w:cs="Times New Roman"/>
          <w:sz w:val="24"/>
          <w:szCs w:val="24"/>
        </w:rPr>
        <w:t xml:space="preserve"> duket se vizitat familjare reflektojnë në masë të madhe më shumë se ato të turizmit në kuptimin e ngushtë të fjalës. Kosova po zgjeron aktivitetet e shërbimeve të produktivitetit të ulët dhe nuk ka artikulim të mjaftueshëm midis furnizimit të brendshëm të shërbimeve të biznesit dhe sektorëve të prodhimit material. Ekziston një nevojë urgjente për të përmirësuar mbledhjen e të dhënave statistikore mbi aktivitetet e shërbimeve, si në aspektin e llogarive kombëtare, duke gjeneruar shumë më shumë të dhëna të ndara në nivel sektorial</w:t>
      </w:r>
      <w:r w:rsidRPr="00554FAF">
        <w:rPr>
          <w:rFonts w:ascii="Times New Roman" w:hAnsi="Times New Roman" w:cs="Times New Roman"/>
          <w:sz w:val="24"/>
          <w:szCs w:val="24"/>
        </w:rPr>
        <w:t>.</w:t>
      </w:r>
      <w:r w:rsidR="00E3413B" w:rsidRPr="00554FAF">
        <w:rPr>
          <w:rFonts w:ascii="Times New Roman" w:hAnsi="Times New Roman" w:cs="Times New Roman"/>
          <w:sz w:val="24"/>
          <w:szCs w:val="24"/>
        </w:rPr>
        <w:t xml:space="preserve"> </w:t>
      </w:r>
      <w:r w:rsidRPr="00554FAF">
        <w:rPr>
          <w:rFonts w:ascii="Times New Roman" w:hAnsi="Times New Roman" w:cs="Times New Roman"/>
          <w:sz w:val="24"/>
          <w:szCs w:val="24"/>
        </w:rPr>
        <w:t>G</w:t>
      </w:r>
      <w:r w:rsidR="00E3413B" w:rsidRPr="00554FAF">
        <w:rPr>
          <w:rFonts w:ascii="Times New Roman" w:hAnsi="Times New Roman" w:cs="Times New Roman"/>
          <w:sz w:val="24"/>
          <w:szCs w:val="24"/>
        </w:rPr>
        <w:t>jithashtu</w:t>
      </w:r>
      <w:r w:rsidRPr="00554FAF">
        <w:rPr>
          <w:rFonts w:ascii="Times New Roman" w:hAnsi="Times New Roman" w:cs="Times New Roman"/>
          <w:sz w:val="24"/>
          <w:szCs w:val="24"/>
        </w:rPr>
        <w:t>,</w:t>
      </w:r>
      <w:r w:rsidR="00E3413B" w:rsidRPr="00554FAF">
        <w:rPr>
          <w:rFonts w:ascii="Times New Roman" w:hAnsi="Times New Roman" w:cs="Times New Roman"/>
          <w:sz w:val="24"/>
          <w:szCs w:val="24"/>
        </w:rPr>
        <w:t xml:space="preserve"> në lidhje me tregtinë në shërbime, ekziston nevoja për të filluar gjenerimin e të dhënave më të hollësishme për kategoritë e shërbimeve të ndryshme dhe për FATS. </w:t>
      </w:r>
    </w:p>
    <w:p w14:paraId="6224D4C3" w14:textId="77777777" w:rsidR="00E3413B" w:rsidRPr="00554FAF" w:rsidRDefault="00E3413B"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sz w:val="24"/>
          <w:szCs w:val="24"/>
        </w:rPr>
        <w:t>Përkundër zhvillimeve pozitive të viteve të fundit</w:t>
      </w:r>
      <w:r w:rsidRPr="00554FAF">
        <w:rPr>
          <w:rFonts w:ascii="Times New Roman" w:hAnsi="Times New Roman" w:cs="Times New Roman"/>
          <w:b/>
          <w:sz w:val="24"/>
          <w:szCs w:val="24"/>
        </w:rPr>
        <w:t>, produktet dhe shërbimet turistike në dispozicion mbeten ende të kufizuara.</w:t>
      </w:r>
      <w:r w:rsidRPr="00554FAF">
        <w:rPr>
          <w:rFonts w:ascii="Times New Roman" w:hAnsi="Times New Roman" w:cs="Times New Roman"/>
          <w:sz w:val="24"/>
          <w:szCs w:val="24"/>
        </w:rPr>
        <w:t xml:space="preserve"> Pengesat kryesore në këtë sektor mbeten mungesa e kornizës ligjore adekuate dhe koordinimi i duhur institucional, me informata  të pakta në lidhje me vendet turistike, bukuritë si dhe për produktet dhe shërbimet në dispozicion. Mungon zhvillimi i produkteve turistike potenciale në komunitet dhe ‘tour’ operatorët në zonat rurale dhe malore të cilat mund të ofrohen për shitje. Si rezultat, niveli aktual i zhvillimit të sektorit të turizmit mbetet larg prej potencialit të tij me mundësi të të ardhurave dhe punësimit që mbeten të pashfrytëzuara.</w:t>
      </w:r>
    </w:p>
    <w:p w14:paraId="0403A36B" w14:textId="5EA4B13F" w:rsidR="000316F9" w:rsidRPr="00554FAF" w:rsidRDefault="000316F9" w:rsidP="005A5112">
      <w:pPr>
        <w:spacing w:after="60" w:line="240" w:lineRule="auto"/>
        <w:jc w:val="both"/>
        <w:rPr>
          <w:rFonts w:ascii="Times New Roman" w:hAnsi="Times New Roman" w:cs="Times New Roman"/>
          <w:b/>
          <w:sz w:val="24"/>
          <w:szCs w:val="24"/>
        </w:rPr>
      </w:pPr>
      <w:r w:rsidRPr="00554FAF">
        <w:rPr>
          <w:rFonts w:ascii="Times New Roman" w:hAnsi="Times New Roman" w:cs="Times New Roman"/>
          <w:b/>
          <w:sz w:val="24"/>
          <w:szCs w:val="24"/>
        </w:rPr>
        <w:t xml:space="preserve">b. </w:t>
      </w:r>
      <w:r w:rsidR="00921F17" w:rsidRPr="00554FAF">
        <w:rPr>
          <w:rFonts w:ascii="Times New Roman" w:hAnsi="Times New Roman" w:cs="Times New Roman"/>
          <w:b/>
          <w:sz w:val="24"/>
          <w:szCs w:val="24"/>
        </w:rPr>
        <w:t>P</w:t>
      </w:r>
      <w:r w:rsidR="008C7AAB" w:rsidRPr="00554FAF">
        <w:rPr>
          <w:rFonts w:ascii="Times New Roman" w:hAnsi="Times New Roman" w:cs="Times New Roman"/>
          <w:b/>
          <w:sz w:val="24"/>
          <w:szCs w:val="24"/>
        </w:rPr>
        <w:t xml:space="preserve">rioritetet </w:t>
      </w:r>
      <w:r w:rsidR="00921F17" w:rsidRPr="00554FAF">
        <w:rPr>
          <w:rFonts w:ascii="Times New Roman" w:hAnsi="Times New Roman" w:cs="Times New Roman"/>
          <w:b/>
          <w:sz w:val="24"/>
          <w:szCs w:val="24"/>
        </w:rPr>
        <w:t>e reformave strukturore</w:t>
      </w:r>
    </w:p>
    <w:tbl>
      <w:tblPr>
        <w:tblStyle w:val="TableGrid"/>
        <w:tblW w:w="0" w:type="auto"/>
        <w:tblLook w:val="04A0" w:firstRow="1" w:lastRow="0" w:firstColumn="1" w:lastColumn="0" w:noHBand="0" w:noVBand="1"/>
      </w:tblPr>
      <w:tblGrid>
        <w:gridCol w:w="9350"/>
      </w:tblGrid>
      <w:tr w:rsidR="00E3413B" w:rsidRPr="00554FAF" w14:paraId="6B3CB3B2" w14:textId="77777777" w:rsidTr="004A424A">
        <w:tc>
          <w:tcPr>
            <w:tcW w:w="9350" w:type="dxa"/>
            <w:shd w:val="clear" w:color="auto" w:fill="5B9BD5" w:themeFill="accent1"/>
          </w:tcPr>
          <w:p w14:paraId="732EF367" w14:textId="77777777" w:rsidR="00E3413B" w:rsidRPr="00554FAF" w:rsidRDefault="00E3413B" w:rsidP="000702CB">
            <w:pPr>
              <w:spacing w:after="60"/>
              <w:rPr>
                <w:rFonts w:ascii="Times New Roman" w:hAnsi="Times New Roman" w:cs="Times New Roman"/>
                <w:b/>
                <w:bCs/>
                <w:sz w:val="24"/>
                <w:szCs w:val="24"/>
              </w:rPr>
            </w:pPr>
            <w:r w:rsidRPr="00554FAF">
              <w:rPr>
                <w:rFonts w:ascii="Times New Roman" w:hAnsi="Times New Roman" w:cs="Times New Roman"/>
                <w:b/>
                <w:bCs/>
                <w:sz w:val="24"/>
                <w:szCs w:val="24"/>
              </w:rPr>
              <w:t xml:space="preserve">Masa e reformës #3: </w:t>
            </w:r>
            <w:r w:rsidRPr="00554FAF">
              <w:rPr>
                <w:rFonts w:ascii="Times New Roman" w:hAnsi="Times New Roman" w:cs="Times New Roman"/>
                <w:b/>
                <w:sz w:val="24"/>
                <w:szCs w:val="24"/>
              </w:rPr>
              <w:t>Ndryshimet strukturore në sektorin e bujqësisë</w:t>
            </w:r>
          </w:p>
        </w:tc>
      </w:tr>
    </w:tbl>
    <w:p w14:paraId="12C6A87B" w14:textId="6CD308A4" w:rsidR="00E3413B" w:rsidRPr="00554FAF" w:rsidRDefault="00E3413B" w:rsidP="000702CB">
      <w:pPr>
        <w:tabs>
          <w:tab w:val="left" w:pos="850"/>
          <w:tab w:val="left" w:pos="1191"/>
          <w:tab w:val="left" w:pos="1531"/>
        </w:tabs>
        <w:spacing w:after="60" w:line="240" w:lineRule="auto"/>
        <w:jc w:val="both"/>
        <w:rPr>
          <w:rFonts w:ascii="Times New Roman" w:hAnsi="Times New Roman" w:cs="Times New Roman"/>
          <w:sz w:val="24"/>
          <w:szCs w:val="24"/>
        </w:rPr>
      </w:pPr>
      <w:r w:rsidRPr="00554FAF">
        <w:rPr>
          <w:rFonts w:ascii="Times New Roman" w:hAnsi="Times New Roman" w:cs="Times New Roman"/>
          <w:b/>
          <w:bCs/>
          <w:sz w:val="24"/>
          <w:szCs w:val="24"/>
        </w:rPr>
        <w:t>1. Përshkrimi i masës:</w:t>
      </w:r>
      <w:r w:rsidRPr="00554FAF">
        <w:rPr>
          <w:rFonts w:ascii="Times New Roman" w:hAnsi="Times New Roman" w:cs="Times New Roman"/>
          <w:bCs/>
          <w:sz w:val="24"/>
          <w:szCs w:val="24"/>
        </w:rPr>
        <w:t xml:space="preserve"> </w:t>
      </w:r>
      <w:r w:rsidRPr="00554FAF">
        <w:rPr>
          <w:rFonts w:ascii="Times New Roman" w:eastAsia="Times New Roman" w:hAnsi="Times New Roman" w:cs="Times New Roman"/>
          <w:sz w:val="24"/>
          <w:szCs w:val="24"/>
          <w:shd w:val="clear" w:color="auto" w:fill="FFFFFF"/>
          <w:lang w:eastAsia="zh-CN"/>
        </w:rPr>
        <w:t>Zhvillimi i sektorit të buj</w:t>
      </w:r>
      <w:r w:rsidRPr="00554FAF">
        <w:rPr>
          <w:rFonts w:ascii="Times New Roman" w:hAnsi="Times New Roman" w:cs="Times New Roman"/>
          <w:sz w:val="24"/>
          <w:szCs w:val="24"/>
        </w:rPr>
        <w:t>q</w:t>
      </w:r>
      <w:r w:rsidRPr="00554FAF">
        <w:rPr>
          <w:rFonts w:ascii="Times New Roman" w:eastAsia="Times New Roman" w:hAnsi="Times New Roman" w:cs="Times New Roman"/>
          <w:sz w:val="24"/>
          <w:szCs w:val="24"/>
          <w:shd w:val="clear" w:color="auto" w:fill="FFFFFF"/>
          <w:lang w:eastAsia="zh-CN"/>
        </w:rPr>
        <w:t xml:space="preserve">ësisë vazhdon të mbetet njëri ndër prioritetet kyçe dhe planifikohet të ketë trajtim të veçantë edhe në periudhën e ardhshme afatmesme 2020-2022. Gjatë kësaj periudhe  do t’i kushtohet vëmendje e veçantë hartimit dhe miratimit të Programit për Bujqësi dhe Zhvillim Rural, përmes të cilit do të synohet rritja e </w:t>
      </w:r>
      <w:r w:rsidR="00E75D37" w:rsidRPr="00554FAF">
        <w:rPr>
          <w:rFonts w:ascii="Times New Roman" w:eastAsia="Times New Roman" w:hAnsi="Times New Roman" w:cs="Times New Roman"/>
          <w:sz w:val="24"/>
          <w:szCs w:val="24"/>
          <w:shd w:val="clear" w:color="auto" w:fill="FFFFFF"/>
          <w:lang w:eastAsia="zh-CN"/>
        </w:rPr>
        <w:t xml:space="preserve">prodhimtarisë </w:t>
      </w:r>
      <w:r w:rsidRPr="00554FAF">
        <w:rPr>
          <w:rFonts w:ascii="Times New Roman" w:eastAsia="Times New Roman" w:hAnsi="Times New Roman" w:cs="Times New Roman"/>
          <w:sz w:val="24"/>
          <w:szCs w:val="24"/>
          <w:shd w:val="clear" w:color="auto" w:fill="FFFFFF"/>
          <w:lang w:eastAsia="zh-CN"/>
        </w:rPr>
        <w:t>dhe ristrukturimin agro-rural, zhvillimi</w:t>
      </w:r>
      <w:r w:rsidR="00E75D37" w:rsidRPr="00554FAF">
        <w:rPr>
          <w:rFonts w:ascii="Times New Roman" w:eastAsia="Times New Roman" w:hAnsi="Times New Roman" w:cs="Times New Roman"/>
          <w:sz w:val="24"/>
          <w:szCs w:val="24"/>
          <w:shd w:val="clear" w:color="auto" w:fill="FFFFFF"/>
          <w:lang w:eastAsia="zh-CN"/>
        </w:rPr>
        <w:t>t</w:t>
      </w:r>
      <w:r w:rsidRPr="00554FAF">
        <w:rPr>
          <w:rFonts w:ascii="Times New Roman" w:eastAsia="Times New Roman" w:hAnsi="Times New Roman" w:cs="Times New Roman"/>
          <w:sz w:val="24"/>
          <w:szCs w:val="24"/>
          <w:shd w:val="clear" w:color="auto" w:fill="FFFFFF"/>
          <w:lang w:eastAsia="zh-CN"/>
        </w:rPr>
        <w:t xml:space="preserve"> </w:t>
      </w:r>
      <w:r w:rsidR="00E75D37" w:rsidRPr="00554FAF">
        <w:rPr>
          <w:rFonts w:ascii="Times New Roman" w:eastAsia="Times New Roman" w:hAnsi="Times New Roman" w:cs="Times New Roman"/>
          <w:sz w:val="24"/>
          <w:szCs w:val="24"/>
          <w:shd w:val="clear" w:color="auto" w:fill="FFFFFF"/>
          <w:lang w:eastAsia="zh-CN"/>
        </w:rPr>
        <w:t>të</w:t>
      </w:r>
      <w:r w:rsidRPr="00554FAF">
        <w:rPr>
          <w:rFonts w:ascii="Times New Roman" w:eastAsia="Times New Roman" w:hAnsi="Times New Roman" w:cs="Times New Roman"/>
          <w:sz w:val="24"/>
          <w:szCs w:val="24"/>
          <w:shd w:val="clear" w:color="auto" w:fill="FFFFFF"/>
          <w:lang w:eastAsia="zh-CN"/>
        </w:rPr>
        <w:t xml:space="preserve"> sektorit agro-ushqimor përmes përmirësimit të aftësive konkurruese, inovacioneve dhe rritjes së prodhimtarisë. Kjo masë do ta shqyrtoj edhe hartimin e master-planit për ujitjen e tokave bujqësore, zgjerimit dhe rehabilitimit të rrjetit të ujitjes në komunat e Kosovës, ku do të kemi mundësi të paraqesim një pasqyrë më të mirë në kuadër të sektorit të ujitjes. Po ashtu, rëndësi do t’i kushtohet në zgjerimin e zonave me fruta, perime dhe vreshta deri në 25% të sipërfaqeve në periudhën 2020-2022</w:t>
      </w:r>
      <w:r w:rsidR="00E75D37" w:rsidRPr="00554FAF">
        <w:rPr>
          <w:rFonts w:ascii="Times New Roman" w:eastAsia="Times New Roman" w:hAnsi="Times New Roman" w:cs="Times New Roman"/>
          <w:sz w:val="24"/>
          <w:szCs w:val="24"/>
          <w:shd w:val="clear" w:color="auto" w:fill="FFFFFF"/>
          <w:lang w:eastAsia="zh-CN"/>
        </w:rPr>
        <w:t xml:space="preserve"> </w:t>
      </w:r>
      <w:r w:rsidRPr="00554FAF">
        <w:rPr>
          <w:rFonts w:ascii="Times New Roman" w:eastAsia="Times New Roman" w:hAnsi="Times New Roman" w:cs="Times New Roman"/>
          <w:sz w:val="24"/>
          <w:szCs w:val="24"/>
          <w:shd w:val="clear" w:color="auto" w:fill="FFFFFF"/>
          <w:lang w:eastAsia="zh-CN"/>
        </w:rPr>
        <w:t>dhe ofrimi i shërbimeve për edukim dhe trajnim të fermerëve në fusha të caktuara. Kjo masë do të ndikoj</w:t>
      </w:r>
      <w:r w:rsidR="00E75D37" w:rsidRPr="00554FAF">
        <w:rPr>
          <w:rFonts w:ascii="Times New Roman" w:eastAsia="Times New Roman" w:hAnsi="Times New Roman" w:cs="Times New Roman"/>
          <w:sz w:val="24"/>
          <w:szCs w:val="24"/>
          <w:shd w:val="clear" w:color="auto" w:fill="FFFFFF"/>
          <w:lang w:eastAsia="zh-CN"/>
        </w:rPr>
        <w:t>ë</w:t>
      </w:r>
      <w:r w:rsidRPr="00554FAF">
        <w:rPr>
          <w:rFonts w:ascii="Times New Roman" w:eastAsia="Times New Roman" w:hAnsi="Times New Roman" w:cs="Times New Roman"/>
          <w:sz w:val="24"/>
          <w:szCs w:val="24"/>
          <w:shd w:val="clear" w:color="auto" w:fill="FFFFFF"/>
          <w:lang w:eastAsia="zh-CN"/>
        </w:rPr>
        <w:t xml:space="preserve"> në zhvillim të sektorit në përmirësim të kushteve dhe </w:t>
      </w:r>
      <w:r w:rsidR="00E75D37" w:rsidRPr="00554FAF">
        <w:rPr>
          <w:rFonts w:ascii="Times New Roman" w:eastAsia="Times New Roman" w:hAnsi="Times New Roman" w:cs="Times New Roman"/>
          <w:sz w:val="24"/>
          <w:szCs w:val="24"/>
          <w:shd w:val="clear" w:color="auto" w:fill="FFFFFF"/>
          <w:lang w:eastAsia="zh-CN"/>
        </w:rPr>
        <w:t xml:space="preserve">në </w:t>
      </w:r>
      <w:r w:rsidRPr="00554FAF">
        <w:rPr>
          <w:rFonts w:ascii="Times New Roman" w:eastAsia="Times New Roman" w:hAnsi="Times New Roman" w:cs="Times New Roman"/>
          <w:sz w:val="24"/>
          <w:szCs w:val="24"/>
          <w:shd w:val="clear" w:color="auto" w:fill="FFFFFF"/>
          <w:lang w:eastAsia="zh-CN"/>
        </w:rPr>
        <w:t>ofrimi</w:t>
      </w:r>
      <w:r w:rsidR="00E75D37" w:rsidRPr="00554FAF">
        <w:rPr>
          <w:rFonts w:ascii="Times New Roman" w:eastAsia="Times New Roman" w:hAnsi="Times New Roman" w:cs="Times New Roman"/>
          <w:sz w:val="24"/>
          <w:szCs w:val="24"/>
          <w:shd w:val="clear" w:color="auto" w:fill="FFFFFF"/>
          <w:lang w:eastAsia="zh-CN"/>
        </w:rPr>
        <w:t>n</w:t>
      </w:r>
      <w:r w:rsidRPr="00554FAF">
        <w:rPr>
          <w:rFonts w:ascii="Times New Roman" w:eastAsia="Times New Roman" w:hAnsi="Times New Roman" w:cs="Times New Roman"/>
          <w:sz w:val="24"/>
          <w:szCs w:val="24"/>
          <w:shd w:val="clear" w:color="auto" w:fill="FFFFFF"/>
          <w:lang w:eastAsia="zh-CN"/>
        </w:rPr>
        <w:t xml:space="preserve"> </w:t>
      </w:r>
      <w:r w:rsidR="00E75D37" w:rsidRPr="00554FAF">
        <w:rPr>
          <w:rFonts w:ascii="Times New Roman" w:eastAsia="Times New Roman" w:hAnsi="Times New Roman" w:cs="Times New Roman"/>
          <w:sz w:val="24"/>
          <w:szCs w:val="24"/>
          <w:shd w:val="clear" w:color="auto" w:fill="FFFFFF"/>
          <w:lang w:eastAsia="zh-CN"/>
        </w:rPr>
        <w:t>e</w:t>
      </w:r>
      <w:r w:rsidRPr="00554FAF">
        <w:rPr>
          <w:rFonts w:ascii="Times New Roman" w:eastAsia="Times New Roman" w:hAnsi="Times New Roman" w:cs="Times New Roman"/>
          <w:sz w:val="24"/>
          <w:szCs w:val="24"/>
          <w:shd w:val="clear" w:color="auto" w:fill="FFFFFF"/>
          <w:lang w:eastAsia="zh-CN"/>
        </w:rPr>
        <w:t xml:space="preserve"> shërbimeve më të mira. Kjo masë vazhdon të mbetet nga vitet e kaluara për shkak të rëndësisë që ofron disa nga aktivitetet e viteve të kaluara kanë hasur zbatim të plotë disa të tjera janë bartur për zbatim të mëtejmë. </w:t>
      </w:r>
    </w:p>
    <w:p w14:paraId="6A3A310D" w14:textId="77777777" w:rsidR="00E3413B" w:rsidRPr="00554FAF" w:rsidRDefault="00E3413B" w:rsidP="00802FB3">
      <w:pPr>
        <w:pStyle w:val="ListParagraph"/>
        <w:numPr>
          <w:ilvl w:val="0"/>
          <w:numId w:val="39"/>
        </w:numPr>
        <w:spacing w:after="60" w:line="240" w:lineRule="auto"/>
        <w:contextualSpacing w:val="0"/>
        <w:jc w:val="both"/>
        <w:rPr>
          <w:rFonts w:ascii="Times New Roman" w:hAnsi="Times New Roman" w:cs="Times New Roman"/>
          <w:b/>
          <w:bCs/>
          <w:sz w:val="24"/>
          <w:szCs w:val="24"/>
        </w:rPr>
      </w:pPr>
      <w:r w:rsidRPr="00554FAF">
        <w:rPr>
          <w:rFonts w:ascii="Times New Roman" w:hAnsi="Times New Roman" w:cs="Times New Roman"/>
          <w:b/>
          <w:bCs/>
          <w:sz w:val="24"/>
          <w:szCs w:val="24"/>
        </w:rPr>
        <w:t>Aktivitetet e planifikuara për 2020:</w:t>
      </w:r>
    </w:p>
    <w:p w14:paraId="5578ACAB" w14:textId="77777777" w:rsidR="00E3413B" w:rsidRPr="00554FAF" w:rsidRDefault="00E3413B" w:rsidP="00BA1A1D">
      <w:pPr>
        <w:pStyle w:val="Default"/>
        <w:numPr>
          <w:ilvl w:val="0"/>
          <w:numId w:val="1"/>
        </w:numPr>
        <w:spacing w:after="60"/>
        <w:ind w:left="720"/>
        <w:rPr>
          <w:bCs/>
          <w:lang w:val="sq-AL"/>
        </w:rPr>
      </w:pPr>
      <w:r w:rsidRPr="00554FAF">
        <w:rPr>
          <w:bCs/>
          <w:lang w:val="sq-AL"/>
        </w:rPr>
        <w:t>Hartimi dhe miratimi i Programit për Bujqësi dhe Zhvillim Rural 2021-2027; (MBPZHR)</w:t>
      </w:r>
    </w:p>
    <w:p w14:paraId="1184FA02" w14:textId="76FF757C" w:rsidR="00E3413B" w:rsidRPr="00554FAF" w:rsidRDefault="00E3413B" w:rsidP="00BA1A1D">
      <w:pPr>
        <w:pStyle w:val="Default"/>
        <w:numPr>
          <w:ilvl w:val="0"/>
          <w:numId w:val="1"/>
        </w:numPr>
        <w:spacing w:after="60"/>
        <w:ind w:left="720"/>
        <w:rPr>
          <w:bCs/>
          <w:lang w:val="sq-AL"/>
        </w:rPr>
      </w:pPr>
      <w:r w:rsidRPr="00554FAF">
        <w:rPr>
          <w:bCs/>
          <w:lang w:val="sq-AL"/>
        </w:rPr>
        <w:t>Zgjerimi dhe rehabilitimi i rrjetit të ujitjes në komunat e Kosovës; (MBPZHR)</w:t>
      </w:r>
    </w:p>
    <w:p w14:paraId="3577E90E" w14:textId="77777777" w:rsidR="00E3413B" w:rsidRPr="00554FAF" w:rsidRDefault="00E3413B" w:rsidP="00BA1A1D">
      <w:pPr>
        <w:pStyle w:val="Default"/>
        <w:numPr>
          <w:ilvl w:val="0"/>
          <w:numId w:val="1"/>
        </w:numPr>
        <w:spacing w:after="60"/>
        <w:ind w:left="720"/>
        <w:rPr>
          <w:bCs/>
          <w:lang w:val="sq-AL"/>
        </w:rPr>
      </w:pPr>
      <w:r w:rsidRPr="00554FAF">
        <w:rPr>
          <w:bCs/>
          <w:lang w:val="sq-AL"/>
        </w:rPr>
        <w:t>Hartimi i Master Planit për ujitjen e tokave bujqësore; (MBPZHR)</w:t>
      </w:r>
    </w:p>
    <w:p w14:paraId="54349F1E" w14:textId="000D8F02" w:rsidR="00E3413B" w:rsidRPr="00554FAF" w:rsidRDefault="00E3413B" w:rsidP="00BA1A1D">
      <w:pPr>
        <w:pStyle w:val="Default"/>
        <w:numPr>
          <w:ilvl w:val="0"/>
          <w:numId w:val="1"/>
        </w:numPr>
        <w:spacing w:after="60"/>
        <w:ind w:left="720"/>
        <w:rPr>
          <w:bCs/>
          <w:lang w:val="sq-AL"/>
        </w:rPr>
      </w:pPr>
      <w:r w:rsidRPr="00554FAF">
        <w:rPr>
          <w:bCs/>
          <w:lang w:val="sq-AL"/>
        </w:rPr>
        <w:t>Rritja e sipërfaqeve me kultura bujqësore me fokus n</w:t>
      </w:r>
      <w:r w:rsidR="00E75D37" w:rsidRPr="00554FAF">
        <w:rPr>
          <w:bCs/>
          <w:lang w:val="sq-AL"/>
        </w:rPr>
        <w:t>ë</w:t>
      </w:r>
      <w:r w:rsidRPr="00554FAF">
        <w:rPr>
          <w:bCs/>
          <w:lang w:val="sq-AL"/>
        </w:rPr>
        <w:t xml:space="preserve"> produkte me vlerë të shtuar; (MBPZHR)</w:t>
      </w:r>
    </w:p>
    <w:p w14:paraId="01C9245C" w14:textId="77777777" w:rsidR="00E3413B" w:rsidRPr="00554FAF" w:rsidRDefault="00E3413B" w:rsidP="00BA1A1D">
      <w:pPr>
        <w:pStyle w:val="Default"/>
        <w:numPr>
          <w:ilvl w:val="0"/>
          <w:numId w:val="1"/>
        </w:numPr>
        <w:spacing w:after="60"/>
        <w:ind w:left="720"/>
        <w:rPr>
          <w:bCs/>
          <w:lang w:val="sq-AL"/>
        </w:rPr>
      </w:pPr>
      <w:r w:rsidRPr="00554FAF">
        <w:rPr>
          <w:bCs/>
          <w:lang w:val="sq-AL"/>
        </w:rPr>
        <w:t>Ofrim i shërbimeve për edukim dhe trajnimin e rreth 4000 fermerëve fushën e transferimit të njohurive teknike, menaxhim të fermës, proces i aplikimit për grante; (MBPZHR)</w:t>
      </w:r>
    </w:p>
    <w:p w14:paraId="22DA6EB3" w14:textId="2EF420F4" w:rsidR="00E3413B" w:rsidRPr="00554FAF" w:rsidRDefault="00E3413B" w:rsidP="00BA1A1D">
      <w:pPr>
        <w:pStyle w:val="Default"/>
        <w:numPr>
          <w:ilvl w:val="0"/>
          <w:numId w:val="1"/>
        </w:numPr>
        <w:spacing w:after="60"/>
        <w:ind w:left="720"/>
        <w:rPr>
          <w:lang w:val="sq-AL"/>
        </w:rPr>
      </w:pPr>
      <w:r w:rsidRPr="00554FAF">
        <w:rPr>
          <w:bCs/>
          <w:lang w:val="sq-AL"/>
        </w:rPr>
        <w:t>Zhvillimi i softuerit për Agjencinë e Zhvillimit Bujqësor</w:t>
      </w:r>
      <w:r w:rsidR="00E75D37" w:rsidRPr="00554FAF">
        <w:rPr>
          <w:bCs/>
          <w:lang w:val="sq-AL"/>
        </w:rPr>
        <w:t>;</w:t>
      </w:r>
      <w:r w:rsidRPr="00554FAF">
        <w:rPr>
          <w:bCs/>
          <w:lang w:val="sq-AL"/>
        </w:rPr>
        <w:t xml:space="preserve"> (MBPZHR)</w:t>
      </w:r>
    </w:p>
    <w:p w14:paraId="30D58C9D" w14:textId="77777777" w:rsidR="00E3413B" w:rsidRPr="00554FAF" w:rsidRDefault="00E3413B" w:rsidP="00802FB3">
      <w:pPr>
        <w:pStyle w:val="ListParagraph"/>
        <w:numPr>
          <w:ilvl w:val="0"/>
          <w:numId w:val="39"/>
        </w:numPr>
        <w:spacing w:after="60" w:line="240" w:lineRule="auto"/>
        <w:contextualSpacing w:val="0"/>
        <w:rPr>
          <w:rFonts w:ascii="Times New Roman" w:hAnsi="Times New Roman" w:cs="Times New Roman"/>
          <w:b/>
          <w:bCs/>
          <w:sz w:val="24"/>
          <w:szCs w:val="24"/>
        </w:rPr>
      </w:pPr>
      <w:r w:rsidRPr="00554FAF">
        <w:rPr>
          <w:rFonts w:ascii="Times New Roman" w:hAnsi="Times New Roman" w:cs="Times New Roman"/>
          <w:b/>
          <w:bCs/>
          <w:sz w:val="24"/>
          <w:szCs w:val="24"/>
        </w:rPr>
        <w:t>Aktivitetet e planifikuara për 2021:</w:t>
      </w:r>
    </w:p>
    <w:p w14:paraId="0B8036BC" w14:textId="77777777" w:rsidR="00E3413B" w:rsidRPr="00554FAF" w:rsidRDefault="00E3413B" w:rsidP="00BA1A1D">
      <w:pPr>
        <w:pStyle w:val="ListParagraph"/>
        <w:numPr>
          <w:ilvl w:val="0"/>
          <w:numId w:val="2"/>
        </w:numPr>
        <w:spacing w:after="60" w:line="240" w:lineRule="auto"/>
        <w:ind w:left="720" w:right="466"/>
        <w:contextualSpacing w:val="0"/>
        <w:jc w:val="both"/>
        <w:rPr>
          <w:rFonts w:ascii="Times New Roman" w:hAnsi="Times New Roman" w:cs="Times New Roman"/>
          <w:sz w:val="24"/>
          <w:szCs w:val="24"/>
        </w:rPr>
      </w:pPr>
      <w:r w:rsidRPr="00554FAF">
        <w:rPr>
          <w:rFonts w:ascii="Times New Roman" w:hAnsi="Times New Roman" w:cs="Times New Roman"/>
          <w:sz w:val="24"/>
          <w:szCs w:val="24"/>
        </w:rPr>
        <w:t xml:space="preserve">Zbatimi i masave të reja dhe pagesave të drejtpërdrejta që dalin nga PZHRB 2021-2027; </w:t>
      </w:r>
      <w:r w:rsidRPr="00554FAF">
        <w:rPr>
          <w:rFonts w:ascii="Times New Roman" w:hAnsi="Times New Roman" w:cs="Times New Roman"/>
          <w:bCs/>
          <w:sz w:val="24"/>
          <w:szCs w:val="24"/>
        </w:rPr>
        <w:t>(MBPZHR)</w:t>
      </w:r>
    </w:p>
    <w:p w14:paraId="50C079A7" w14:textId="77777777" w:rsidR="00E3413B" w:rsidRPr="00554FAF" w:rsidRDefault="00E3413B" w:rsidP="00BA1A1D">
      <w:pPr>
        <w:pStyle w:val="ListParagraph"/>
        <w:numPr>
          <w:ilvl w:val="0"/>
          <w:numId w:val="2"/>
        </w:numPr>
        <w:spacing w:after="60" w:line="240" w:lineRule="auto"/>
        <w:ind w:left="720" w:right="466"/>
        <w:contextualSpacing w:val="0"/>
        <w:jc w:val="both"/>
        <w:rPr>
          <w:rFonts w:ascii="Times New Roman" w:hAnsi="Times New Roman" w:cs="Times New Roman"/>
          <w:sz w:val="24"/>
          <w:szCs w:val="24"/>
        </w:rPr>
      </w:pPr>
      <w:r w:rsidRPr="00554FAF">
        <w:rPr>
          <w:rFonts w:ascii="Times New Roman" w:hAnsi="Times New Roman" w:cs="Times New Roman"/>
          <w:sz w:val="24"/>
          <w:szCs w:val="24"/>
        </w:rPr>
        <w:t xml:space="preserve">Miratimi dhe zbatimi i Master Planit për ujitjen e tokave bujqësore; </w:t>
      </w:r>
      <w:r w:rsidRPr="00554FAF">
        <w:rPr>
          <w:rFonts w:ascii="Times New Roman" w:hAnsi="Times New Roman" w:cs="Times New Roman"/>
          <w:bCs/>
          <w:sz w:val="24"/>
          <w:szCs w:val="24"/>
        </w:rPr>
        <w:t>(MBPZHR)</w:t>
      </w:r>
    </w:p>
    <w:p w14:paraId="0307CDB8" w14:textId="66A10B4D" w:rsidR="00E3413B" w:rsidRPr="00554FAF" w:rsidRDefault="00E3413B" w:rsidP="00BA1A1D">
      <w:pPr>
        <w:pStyle w:val="ListParagraph"/>
        <w:numPr>
          <w:ilvl w:val="0"/>
          <w:numId w:val="2"/>
        </w:numPr>
        <w:spacing w:after="60" w:line="240" w:lineRule="auto"/>
        <w:ind w:left="720" w:right="466"/>
        <w:contextualSpacing w:val="0"/>
        <w:jc w:val="both"/>
        <w:rPr>
          <w:rFonts w:ascii="Times New Roman" w:hAnsi="Times New Roman" w:cs="Times New Roman"/>
          <w:sz w:val="24"/>
          <w:szCs w:val="24"/>
        </w:rPr>
      </w:pPr>
      <w:r w:rsidRPr="00554FAF">
        <w:rPr>
          <w:rFonts w:ascii="Times New Roman" w:hAnsi="Times New Roman" w:cs="Times New Roman"/>
          <w:sz w:val="24"/>
          <w:szCs w:val="24"/>
        </w:rPr>
        <w:t>Rritja e sipërfaqeve me kultura bujqësore</w:t>
      </w:r>
      <w:r w:rsidRPr="00554FAF">
        <w:rPr>
          <w:rFonts w:ascii="Times New Roman" w:hAnsi="Times New Roman" w:cs="Times New Roman"/>
          <w:bCs/>
          <w:sz w:val="24"/>
          <w:szCs w:val="24"/>
        </w:rPr>
        <w:t xml:space="preserve"> me fokus n</w:t>
      </w:r>
      <w:r w:rsidR="00E75D37" w:rsidRPr="00554FAF">
        <w:rPr>
          <w:rFonts w:ascii="Times New Roman" w:hAnsi="Times New Roman" w:cs="Times New Roman"/>
          <w:bCs/>
          <w:sz w:val="24"/>
          <w:szCs w:val="24"/>
        </w:rPr>
        <w:t>ë</w:t>
      </w:r>
      <w:r w:rsidRPr="00554FAF">
        <w:rPr>
          <w:rFonts w:ascii="Times New Roman" w:hAnsi="Times New Roman" w:cs="Times New Roman"/>
          <w:bCs/>
          <w:sz w:val="24"/>
          <w:szCs w:val="24"/>
        </w:rPr>
        <w:t xml:space="preserve"> produkte me vlerë të shtuar</w:t>
      </w:r>
      <w:r w:rsidRPr="00554FAF">
        <w:rPr>
          <w:rFonts w:ascii="Times New Roman" w:hAnsi="Times New Roman" w:cs="Times New Roman"/>
          <w:sz w:val="24"/>
          <w:szCs w:val="24"/>
        </w:rPr>
        <w:t xml:space="preserve">; </w:t>
      </w:r>
      <w:r w:rsidRPr="00554FAF">
        <w:rPr>
          <w:rFonts w:ascii="Times New Roman" w:hAnsi="Times New Roman" w:cs="Times New Roman"/>
          <w:bCs/>
          <w:sz w:val="24"/>
          <w:szCs w:val="24"/>
        </w:rPr>
        <w:t>(MBPZHR)</w:t>
      </w:r>
    </w:p>
    <w:p w14:paraId="08FF2552" w14:textId="4B3B80EF" w:rsidR="00E3413B" w:rsidRPr="00554FAF" w:rsidRDefault="00E3413B" w:rsidP="00BA1A1D">
      <w:pPr>
        <w:pStyle w:val="ListParagraph"/>
        <w:numPr>
          <w:ilvl w:val="0"/>
          <w:numId w:val="2"/>
        </w:numPr>
        <w:spacing w:after="60" w:line="240" w:lineRule="auto"/>
        <w:ind w:left="720" w:right="466"/>
        <w:contextualSpacing w:val="0"/>
        <w:jc w:val="both"/>
        <w:rPr>
          <w:rFonts w:ascii="Times New Roman" w:hAnsi="Times New Roman" w:cs="Times New Roman"/>
          <w:sz w:val="24"/>
          <w:szCs w:val="24"/>
        </w:rPr>
      </w:pPr>
      <w:r w:rsidRPr="00554FAF">
        <w:rPr>
          <w:rFonts w:ascii="Times New Roman" w:hAnsi="Times New Roman" w:cs="Times New Roman"/>
          <w:sz w:val="24"/>
          <w:szCs w:val="24"/>
        </w:rPr>
        <w:t xml:space="preserve">Ofrim i shërbimeve për edukim dhe trajnimin e rreth 4000 fermerëve në fushën e transferimit të njohurve teknike, menaxhim të fermës, proces i aplikimit për grante; </w:t>
      </w:r>
      <w:r w:rsidRPr="00554FAF">
        <w:rPr>
          <w:rFonts w:ascii="Times New Roman" w:hAnsi="Times New Roman" w:cs="Times New Roman"/>
          <w:bCs/>
          <w:sz w:val="24"/>
          <w:szCs w:val="24"/>
        </w:rPr>
        <w:t>(MBPZHR)</w:t>
      </w:r>
    </w:p>
    <w:p w14:paraId="3F47790E" w14:textId="77777777" w:rsidR="00E3413B" w:rsidRPr="00554FAF" w:rsidRDefault="00E3413B" w:rsidP="00802FB3">
      <w:pPr>
        <w:pStyle w:val="ListParagraph"/>
        <w:numPr>
          <w:ilvl w:val="0"/>
          <w:numId w:val="39"/>
        </w:numPr>
        <w:spacing w:after="60" w:line="240" w:lineRule="auto"/>
        <w:contextualSpacing w:val="0"/>
        <w:rPr>
          <w:rFonts w:ascii="Times New Roman" w:hAnsi="Times New Roman" w:cs="Times New Roman"/>
          <w:b/>
          <w:bCs/>
          <w:sz w:val="24"/>
          <w:szCs w:val="24"/>
        </w:rPr>
      </w:pPr>
      <w:r w:rsidRPr="00554FAF">
        <w:rPr>
          <w:rFonts w:ascii="Times New Roman" w:hAnsi="Times New Roman" w:cs="Times New Roman"/>
          <w:b/>
          <w:bCs/>
          <w:sz w:val="24"/>
          <w:szCs w:val="24"/>
        </w:rPr>
        <w:t>Aktivitetet e planifikuara për 2022:</w:t>
      </w:r>
    </w:p>
    <w:p w14:paraId="33FBE5C1" w14:textId="77777777" w:rsidR="00E3413B" w:rsidRPr="00554FAF" w:rsidRDefault="00E3413B" w:rsidP="00BA1A1D">
      <w:pPr>
        <w:pStyle w:val="ListParagraph"/>
        <w:numPr>
          <w:ilvl w:val="0"/>
          <w:numId w:val="3"/>
        </w:numPr>
        <w:spacing w:after="60" w:line="240" w:lineRule="auto"/>
        <w:ind w:right="466"/>
        <w:contextualSpacing w:val="0"/>
        <w:jc w:val="both"/>
        <w:rPr>
          <w:rFonts w:ascii="Times New Roman" w:hAnsi="Times New Roman" w:cs="Times New Roman"/>
          <w:bCs/>
          <w:sz w:val="24"/>
          <w:szCs w:val="24"/>
        </w:rPr>
      </w:pPr>
      <w:r w:rsidRPr="00554FAF">
        <w:rPr>
          <w:rFonts w:ascii="Times New Roman" w:hAnsi="Times New Roman" w:cs="Times New Roman"/>
          <w:bCs/>
          <w:sz w:val="24"/>
          <w:szCs w:val="24"/>
        </w:rPr>
        <w:t>Zbatimi i masave dhe pagesave që dalin nga PZHRB 2021-2027; (MBPZHR)</w:t>
      </w:r>
    </w:p>
    <w:p w14:paraId="61A9E485" w14:textId="77777777" w:rsidR="00E3413B" w:rsidRPr="00554FAF" w:rsidRDefault="00E3413B" w:rsidP="00BA1A1D">
      <w:pPr>
        <w:pStyle w:val="ListParagraph"/>
        <w:numPr>
          <w:ilvl w:val="0"/>
          <w:numId w:val="3"/>
        </w:numPr>
        <w:spacing w:after="60" w:line="240" w:lineRule="auto"/>
        <w:ind w:right="466"/>
        <w:contextualSpacing w:val="0"/>
        <w:jc w:val="both"/>
        <w:rPr>
          <w:rFonts w:ascii="Times New Roman" w:hAnsi="Times New Roman" w:cs="Times New Roman"/>
          <w:bCs/>
          <w:sz w:val="24"/>
          <w:szCs w:val="24"/>
        </w:rPr>
      </w:pPr>
      <w:r w:rsidRPr="00554FAF">
        <w:rPr>
          <w:rFonts w:ascii="Times New Roman" w:hAnsi="Times New Roman" w:cs="Times New Roman"/>
          <w:bCs/>
          <w:sz w:val="24"/>
          <w:szCs w:val="24"/>
        </w:rPr>
        <w:t>Zbatimi i Master Planit për ujitjen e tokave bujqësore; (MBPZHR)</w:t>
      </w:r>
    </w:p>
    <w:p w14:paraId="4DB0A020" w14:textId="77777777" w:rsidR="00E3413B" w:rsidRPr="00554FAF" w:rsidRDefault="00E3413B" w:rsidP="00BA1A1D">
      <w:pPr>
        <w:pStyle w:val="ListParagraph"/>
        <w:numPr>
          <w:ilvl w:val="0"/>
          <w:numId w:val="3"/>
        </w:numPr>
        <w:spacing w:after="60" w:line="240" w:lineRule="auto"/>
        <w:ind w:right="466"/>
        <w:contextualSpacing w:val="0"/>
        <w:jc w:val="both"/>
        <w:rPr>
          <w:rFonts w:ascii="Times New Roman" w:hAnsi="Times New Roman" w:cs="Times New Roman"/>
          <w:bCs/>
          <w:sz w:val="24"/>
          <w:szCs w:val="24"/>
        </w:rPr>
      </w:pPr>
      <w:r w:rsidRPr="00554FAF">
        <w:rPr>
          <w:rFonts w:ascii="Times New Roman" w:hAnsi="Times New Roman" w:cs="Times New Roman"/>
          <w:bCs/>
          <w:sz w:val="24"/>
          <w:szCs w:val="24"/>
        </w:rPr>
        <w:t>Rritja e sipërfaqeve me kultura bujqësore me fokus ne produkte me vlerë të shtuar; (MBPZHR)</w:t>
      </w:r>
    </w:p>
    <w:p w14:paraId="57349C7C" w14:textId="2C50AE1E" w:rsidR="00E3413B" w:rsidRPr="00BA1A1D" w:rsidRDefault="00E3413B" w:rsidP="00BA1A1D">
      <w:pPr>
        <w:pStyle w:val="ListParagraph"/>
        <w:numPr>
          <w:ilvl w:val="0"/>
          <w:numId w:val="3"/>
        </w:numPr>
        <w:spacing w:after="60" w:line="240" w:lineRule="auto"/>
        <w:ind w:right="466"/>
        <w:contextualSpacing w:val="0"/>
        <w:jc w:val="both"/>
        <w:rPr>
          <w:rFonts w:ascii="Times New Roman" w:hAnsi="Times New Roman" w:cs="Times New Roman"/>
          <w:bCs/>
          <w:sz w:val="24"/>
          <w:szCs w:val="24"/>
        </w:rPr>
      </w:pPr>
      <w:r w:rsidRPr="00554FAF">
        <w:rPr>
          <w:rFonts w:ascii="Times New Roman" w:hAnsi="Times New Roman" w:cs="Times New Roman"/>
          <w:bCs/>
          <w:sz w:val="24"/>
          <w:szCs w:val="24"/>
        </w:rPr>
        <w:t>Ofrim i shërbimeve për edukim dhe trajnimin e rreth 4000 fermerëve në fushën e transferimit të njohurive teknike, menaxhim të fermës, proces i aplikimit për grante; (MBPZHR)</w:t>
      </w:r>
    </w:p>
    <w:p w14:paraId="18642321" w14:textId="77777777" w:rsidR="00E3413B" w:rsidRPr="00554FAF" w:rsidRDefault="00E3413B" w:rsidP="000702CB">
      <w:pPr>
        <w:spacing w:after="60" w:line="240" w:lineRule="auto"/>
        <w:rPr>
          <w:rFonts w:ascii="Times New Roman" w:hAnsi="Times New Roman" w:cs="Times New Roman"/>
          <w:b/>
          <w:bCs/>
          <w:sz w:val="24"/>
          <w:szCs w:val="24"/>
        </w:rPr>
      </w:pPr>
      <w:r w:rsidRPr="00554FAF">
        <w:rPr>
          <w:rFonts w:ascii="Times New Roman" w:hAnsi="Times New Roman" w:cs="Times New Roman"/>
          <w:b/>
          <w:sz w:val="24"/>
          <w:szCs w:val="24"/>
        </w:rPr>
        <w:t>2. Treguesit e rezultateve</w:t>
      </w:r>
      <w:r w:rsidRPr="00554FAF">
        <w:rPr>
          <w:rFonts w:ascii="Times New Roman" w:hAnsi="Times New Roman" w:cs="Times New Roman"/>
          <w:b/>
          <w:bCs/>
          <w:sz w:val="24"/>
          <w:szCs w:val="24"/>
        </w:rPr>
        <w:t xml:space="preserve">: </w:t>
      </w:r>
    </w:p>
    <w:tbl>
      <w:tblPr>
        <w:tblpPr w:leftFromText="180" w:rightFromText="180" w:vertAnchor="text" w:horzAnchor="margin" w:tblpY="168"/>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5"/>
        <w:gridCol w:w="990"/>
        <w:gridCol w:w="1530"/>
        <w:gridCol w:w="1080"/>
      </w:tblGrid>
      <w:tr w:rsidR="00E3413B" w:rsidRPr="00554FAF" w14:paraId="7B024CDD" w14:textId="77777777" w:rsidTr="004A424A">
        <w:trPr>
          <w:trHeight w:val="620"/>
        </w:trPr>
        <w:tc>
          <w:tcPr>
            <w:tcW w:w="5395" w:type="dxa"/>
            <w:shd w:val="clear" w:color="auto" w:fill="auto"/>
            <w:vAlign w:val="center"/>
          </w:tcPr>
          <w:p w14:paraId="54A479E9" w14:textId="77777777" w:rsidR="00E3413B" w:rsidRPr="00554FAF" w:rsidRDefault="00E3413B" w:rsidP="000702CB">
            <w:pPr>
              <w:pStyle w:val="Default"/>
              <w:spacing w:after="60"/>
              <w:rPr>
                <w:b/>
                <w:color w:val="auto"/>
                <w:lang w:val="sq-AL"/>
              </w:rPr>
            </w:pPr>
            <w:r w:rsidRPr="00554FAF">
              <w:rPr>
                <w:b/>
                <w:color w:val="auto"/>
                <w:lang w:val="sq-AL"/>
              </w:rPr>
              <w:t>Treguesi</w:t>
            </w:r>
          </w:p>
        </w:tc>
        <w:tc>
          <w:tcPr>
            <w:tcW w:w="990" w:type="dxa"/>
            <w:shd w:val="clear" w:color="auto" w:fill="auto"/>
          </w:tcPr>
          <w:p w14:paraId="44E5C014" w14:textId="77777777" w:rsidR="00E3413B" w:rsidRPr="00554FAF" w:rsidRDefault="00E3413B" w:rsidP="000702CB">
            <w:pPr>
              <w:pStyle w:val="Default"/>
              <w:spacing w:after="60"/>
              <w:jc w:val="center"/>
              <w:rPr>
                <w:b/>
                <w:color w:val="auto"/>
                <w:lang w:val="sq-AL"/>
              </w:rPr>
            </w:pPr>
            <w:r w:rsidRPr="00554FAF">
              <w:rPr>
                <w:b/>
                <w:color w:val="auto"/>
                <w:lang w:val="sq-AL"/>
              </w:rPr>
              <w:t>Baza 2018</w:t>
            </w:r>
          </w:p>
        </w:tc>
        <w:tc>
          <w:tcPr>
            <w:tcW w:w="1530" w:type="dxa"/>
            <w:shd w:val="clear" w:color="auto" w:fill="auto"/>
          </w:tcPr>
          <w:p w14:paraId="3D069057" w14:textId="61A60919" w:rsidR="00E3413B" w:rsidRPr="00554FAF" w:rsidRDefault="002205E6" w:rsidP="000702CB">
            <w:pPr>
              <w:pStyle w:val="Default"/>
              <w:spacing w:after="60"/>
              <w:jc w:val="center"/>
              <w:rPr>
                <w:b/>
                <w:color w:val="auto"/>
                <w:lang w:val="sq-AL"/>
              </w:rPr>
            </w:pPr>
            <w:r w:rsidRPr="00554FAF">
              <w:rPr>
                <w:b/>
                <w:color w:val="auto"/>
                <w:lang w:val="sq-AL"/>
              </w:rPr>
              <w:t xml:space="preserve">Synimi </w:t>
            </w:r>
            <w:r w:rsidR="00E3413B" w:rsidRPr="00554FAF">
              <w:rPr>
                <w:b/>
                <w:color w:val="auto"/>
                <w:lang w:val="sq-AL"/>
              </w:rPr>
              <w:t xml:space="preserve">i ndërmjetëm   </w:t>
            </w:r>
          </w:p>
        </w:tc>
        <w:tc>
          <w:tcPr>
            <w:tcW w:w="1080" w:type="dxa"/>
            <w:shd w:val="clear" w:color="auto" w:fill="auto"/>
          </w:tcPr>
          <w:p w14:paraId="3FDC219D" w14:textId="77777777" w:rsidR="00E3413B" w:rsidRPr="00554FAF" w:rsidRDefault="00E3413B" w:rsidP="000702CB">
            <w:pPr>
              <w:pStyle w:val="Default"/>
              <w:spacing w:after="60"/>
              <w:jc w:val="center"/>
              <w:rPr>
                <w:b/>
                <w:color w:val="auto"/>
                <w:lang w:val="sq-AL"/>
              </w:rPr>
            </w:pPr>
            <w:r w:rsidRPr="00554FAF">
              <w:rPr>
                <w:b/>
                <w:color w:val="auto"/>
                <w:lang w:val="sq-AL"/>
              </w:rPr>
              <w:t>Synimi 2022</w:t>
            </w:r>
          </w:p>
        </w:tc>
      </w:tr>
      <w:tr w:rsidR="00E3413B" w:rsidRPr="00554FAF" w14:paraId="7A5C59D1" w14:textId="77777777" w:rsidTr="004A424A">
        <w:trPr>
          <w:trHeight w:val="595"/>
        </w:trPr>
        <w:tc>
          <w:tcPr>
            <w:tcW w:w="5395" w:type="dxa"/>
            <w:shd w:val="clear" w:color="auto" w:fill="auto"/>
          </w:tcPr>
          <w:p w14:paraId="224BA968" w14:textId="39B7F41A" w:rsidR="00E3413B" w:rsidRPr="00554FAF" w:rsidRDefault="00E3413B" w:rsidP="000702CB">
            <w:pPr>
              <w:spacing w:after="60" w:line="240" w:lineRule="auto"/>
              <w:rPr>
                <w:rFonts w:ascii="Times New Roman" w:hAnsi="Times New Roman" w:cs="Times New Roman"/>
                <w:sz w:val="24"/>
                <w:szCs w:val="24"/>
              </w:rPr>
            </w:pPr>
            <w:r w:rsidRPr="00554FAF">
              <w:rPr>
                <w:rFonts w:ascii="Times New Roman" w:hAnsi="Times New Roman" w:cs="Times New Roman"/>
                <w:sz w:val="24"/>
                <w:szCs w:val="24"/>
              </w:rPr>
              <w:t>Pjesëmarrja e eksportit t</w:t>
            </w:r>
            <w:r w:rsidR="002205E6" w:rsidRPr="00554FAF">
              <w:rPr>
                <w:rFonts w:ascii="Times New Roman" w:hAnsi="Times New Roman" w:cs="Times New Roman"/>
                <w:sz w:val="24"/>
                <w:szCs w:val="24"/>
              </w:rPr>
              <w:t>ë</w:t>
            </w:r>
            <w:r w:rsidRPr="00554FAF">
              <w:rPr>
                <w:rFonts w:ascii="Times New Roman" w:hAnsi="Times New Roman" w:cs="Times New Roman"/>
                <w:sz w:val="24"/>
                <w:szCs w:val="24"/>
              </w:rPr>
              <w:t xml:space="preserve"> produkteve bujqësore (1-24) në eksportin e përgjithshëm (1-98)</w:t>
            </w:r>
          </w:p>
        </w:tc>
        <w:tc>
          <w:tcPr>
            <w:tcW w:w="990" w:type="dxa"/>
            <w:shd w:val="clear" w:color="auto" w:fill="auto"/>
            <w:vAlign w:val="center"/>
          </w:tcPr>
          <w:p w14:paraId="4BAEBCA5" w14:textId="77777777" w:rsidR="00E3413B" w:rsidRPr="00554FAF" w:rsidRDefault="00E3413B" w:rsidP="000702CB">
            <w:pPr>
              <w:pStyle w:val="Default"/>
              <w:spacing w:after="60"/>
              <w:jc w:val="center"/>
              <w:rPr>
                <w:iCs/>
                <w:lang w:val="sq-AL"/>
              </w:rPr>
            </w:pPr>
            <w:r w:rsidRPr="00554FAF">
              <w:rPr>
                <w:iCs/>
                <w:lang w:val="sq-AL"/>
              </w:rPr>
              <w:t>17.4%</w:t>
            </w:r>
          </w:p>
        </w:tc>
        <w:tc>
          <w:tcPr>
            <w:tcW w:w="1530" w:type="dxa"/>
            <w:shd w:val="clear" w:color="auto" w:fill="auto"/>
            <w:vAlign w:val="center"/>
          </w:tcPr>
          <w:p w14:paraId="0987D2D2" w14:textId="77777777" w:rsidR="00E3413B" w:rsidRPr="00554FAF" w:rsidRDefault="00E3413B" w:rsidP="000702CB">
            <w:pPr>
              <w:pStyle w:val="Default"/>
              <w:spacing w:after="60"/>
              <w:jc w:val="center"/>
              <w:rPr>
                <w:iCs/>
                <w:lang w:val="sq-AL"/>
              </w:rPr>
            </w:pPr>
            <w:r w:rsidRPr="00554FAF">
              <w:rPr>
                <w:iCs/>
                <w:lang w:val="sq-AL"/>
              </w:rPr>
              <w:t>20%</w:t>
            </w:r>
          </w:p>
        </w:tc>
        <w:tc>
          <w:tcPr>
            <w:tcW w:w="1080" w:type="dxa"/>
            <w:shd w:val="clear" w:color="auto" w:fill="auto"/>
            <w:vAlign w:val="center"/>
          </w:tcPr>
          <w:p w14:paraId="3AAF83B4" w14:textId="77777777" w:rsidR="00E3413B" w:rsidRPr="00554FAF" w:rsidRDefault="00E3413B" w:rsidP="000702CB">
            <w:pPr>
              <w:pStyle w:val="Default"/>
              <w:spacing w:after="60"/>
              <w:jc w:val="center"/>
              <w:rPr>
                <w:iCs/>
                <w:lang w:val="sq-AL"/>
              </w:rPr>
            </w:pPr>
            <w:r w:rsidRPr="00554FAF">
              <w:rPr>
                <w:iCs/>
                <w:lang w:val="sq-AL"/>
              </w:rPr>
              <w:t>23%</w:t>
            </w:r>
          </w:p>
        </w:tc>
      </w:tr>
      <w:tr w:rsidR="00E3413B" w:rsidRPr="00554FAF" w14:paraId="45D8B565" w14:textId="77777777" w:rsidTr="004A424A">
        <w:trPr>
          <w:trHeight w:val="550"/>
        </w:trPr>
        <w:tc>
          <w:tcPr>
            <w:tcW w:w="5395" w:type="dxa"/>
            <w:shd w:val="clear" w:color="auto" w:fill="auto"/>
          </w:tcPr>
          <w:p w14:paraId="43EEA76E" w14:textId="77777777" w:rsidR="00E3413B" w:rsidRPr="00554FAF" w:rsidRDefault="00E3413B" w:rsidP="000702CB">
            <w:pPr>
              <w:spacing w:after="60" w:line="240" w:lineRule="auto"/>
              <w:rPr>
                <w:rFonts w:ascii="Times New Roman" w:hAnsi="Times New Roman" w:cs="Times New Roman"/>
                <w:sz w:val="24"/>
                <w:szCs w:val="24"/>
              </w:rPr>
            </w:pPr>
            <w:r w:rsidRPr="00554FAF">
              <w:rPr>
                <w:rFonts w:ascii="Times New Roman" w:hAnsi="Times New Roman" w:cs="Times New Roman"/>
                <w:sz w:val="24"/>
                <w:szCs w:val="24"/>
              </w:rPr>
              <w:t xml:space="preserve">Pjesëmarrja  e importit të produkteve bujqësore(1-24) në importin e përgjithshëm (1-98) </w:t>
            </w:r>
          </w:p>
        </w:tc>
        <w:tc>
          <w:tcPr>
            <w:tcW w:w="990" w:type="dxa"/>
            <w:shd w:val="clear" w:color="auto" w:fill="auto"/>
            <w:vAlign w:val="center"/>
          </w:tcPr>
          <w:p w14:paraId="3599EE38" w14:textId="77777777" w:rsidR="00E3413B" w:rsidRPr="00554FAF" w:rsidRDefault="00E3413B" w:rsidP="000702CB">
            <w:pPr>
              <w:pStyle w:val="Default"/>
              <w:spacing w:after="60"/>
              <w:jc w:val="center"/>
              <w:rPr>
                <w:iCs/>
                <w:lang w:val="sq-AL"/>
              </w:rPr>
            </w:pPr>
            <w:r w:rsidRPr="00554FAF">
              <w:rPr>
                <w:iCs/>
                <w:lang w:val="sq-AL"/>
              </w:rPr>
              <w:t>21.3%</w:t>
            </w:r>
          </w:p>
        </w:tc>
        <w:tc>
          <w:tcPr>
            <w:tcW w:w="1530" w:type="dxa"/>
            <w:shd w:val="clear" w:color="auto" w:fill="auto"/>
            <w:vAlign w:val="center"/>
          </w:tcPr>
          <w:p w14:paraId="6D54AA37" w14:textId="77777777" w:rsidR="00E3413B" w:rsidRPr="00554FAF" w:rsidRDefault="00E3413B" w:rsidP="000702CB">
            <w:pPr>
              <w:pStyle w:val="Default"/>
              <w:spacing w:after="60"/>
              <w:jc w:val="center"/>
              <w:rPr>
                <w:iCs/>
                <w:lang w:val="sq-AL"/>
              </w:rPr>
            </w:pPr>
            <w:r w:rsidRPr="00554FAF">
              <w:rPr>
                <w:iCs/>
                <w:lang w:val="sq-AL"/>
              </w:rPr>
              <w:t>19.5%</w:t>
            </w:r>
          </w:p>
        </w:tc>
        <w:tc>
          <w:tcPr>
            <w:tcW w:w="1080" w:type="dxa"/>
            <w:shd w:val="clear" w:color="auto" w:fill="auto"/>
            <w:vAlign w:val="center"/>
          </w:tcPr>
          <w:p w14:paraId="6412F1F2" w14:textId="77777777" w:rsidR="00E3413B" w:rsidRPr="00554FAF" w:rsidRDefault="00E3413B" w:rsidP="000702CB">
            <w:pPr>
              <w:pStyle w:val="Default"/>
              <w:spacing w:after="60"/>
              <w:jc w:val="center"/>
              <w:rPr>
                <w:iCs/>
                <w:lang w:val="sq-AL"/>
              </w:rPr>
            </w:pPr>
            <w:r w:rsidRPr="00554FAF">
              <w:rPr>
                <w:iCs/>
                <w:lang w:val="sq-AL"/>
              </w:rPr>
              <w:t>17.5%</w:t>
            </w:r>
          </w:p>
        </w:tc>
      </w:tr>
      <w:tr w:rsidR="00E3413B" w:rsidRPr="00554FAF" w14:paraId="5D44A223" w14:textId="77777777" w:rsidTr="004A424A">
        <w:trPr>
          <w:trHeight w:val="246"/>
        </w:trPr>
        <w:tc>
          <w:tcPr>
            <w:tcW w:w="5395" w:type="dxa"/>
            <w:shd w:val="clear" w:color="auto" w:fill="auto"/>
            <w:vAlign w:val="center"/>
          </w:tcPr>
          <w:p w14:paraId="25B3AD6C" w14:textId="77777777" w:rsidR="00E3413B" w:rsidRPr="00554FAF" w:rsidRDefault="00E3413B" w:rsidP="000702CB">
            <w:pPr>
              <w:spacing w:after="60" w:line="240" w:lineRule="auto"/>
              <w:rPr>
                <w:rFonts w:ascii="Times New Roman" w:hAnsi="Times New Roman" w:cs="Times New Roman"/>
                <w:sz w:val="24"/>
                <w:szCs w:val="24"/>
              </w:rPr>
            </w:pPr>
            <w:r w:rsidRPr="00554FAF">
              <w:rPr>
                <w:rFonts w:ascii="Times New Roman" w:hAnsi="Times New Roman" w:cs="Times New Roman"/>
                <w:bCs/>
                <w:sz w:val="24"/>
                <w:szCs w:val="24"/>
              </w:rPr>
              <w:t>Rritja e sipërfaqeve me kultura bujqësore</w:t>
            </w:r>
          </w:p>
        </w:tc>
        <w:tc>
          <w:tcPr>
            <w:tcW w:w="990" w:type="dxa"/>
            <w:shd w:val="clear" w:color="auto" w:fill="auto"/>
            <w:vAlign w:val="center"/>
          </w:tcPr>
          <w:p w14:paraId="7910D7E1" w14:textId="77777777" w:rsidR="00E3413B" w:rsidRPr="00554FAF" w:rsidRDefault="00E3413B" w:rsidP="000702CB">
            <w:pPr>
              <w:pStyle w:val="Default"/>
              <w:spacing w:after="60"/>
              <w:jc w:val="center"/>
              <w:rPr>
                <w:iCs/>
                <w:lang w:val="sq-AL"/>
              </w:rPr>
            </w:pPr>
            <w:r w:rsidRPr="00554FAF">
              <w:rPr>
                <w:iCs/>
                <w:lang w:val="sq-AL"/>
              </w:rPr>
              <w:t>20%</w:t>
            </w:r>
          </w:p>
        </w:tc>
        <w:tc>
          <w:tcPr>
            <w:tcW w:w="1530" w:type="dxa"/>
            <w:shd w:val="clear" w:color="auto" w:fill="auto"/>
            <w:vAlign w:val="center"/>
          </w:tcPr>
          <w:p w14:paraId="1636D62A" w14:textId="77777777" w:rsidR="00E3413B" w:rsidRPr="00554FAF" w:rsidRDefault="00E3413B" w:rsidP="000702CB">
            <w:pPr>
              <w:pStyle w:val="Default"/>
              <w:spacing w:after="60"/>
              <w:jc w:val="center"/>
              <w:rPr>
                <w:iCs/>
                <w:lang w:val="sq-AL"/>
              </w:rPr>
            </w:pPr>
            <w:r w:rsidRPr="00554FAF">
              <w:rPr>
                <w:iCs/>
                <w:lang w:val="sq-AL"/>
              </w:rPr>
              <w:t>22%</w:t>
            </w:r>
          </w:p>
        </w:tc>
        <w:tc>
          <w:tcPr>
            <w:tcW w:w="1080" w:type="dxa"/>
            <w:shd w:val="clear" w:color="auto" w:fill="auto"/>
            <w:vAlign w:val="center"/>
          </w:tcPr>
          <w:p w14:paraId="50C2D3D0" w14:textId="77777777" w:rsidR="00E3413B" w:rsidRPr="00554FAF" w:rsidRDefault="00E3413B" w:rsidP="000702CB">
            <w:pPr>
              <w:pStyle w:val="Default"/>
              <w:spacing w:after="60"/>
              <w:jc w:val="center"/>
              <w:rPr>
                <w:iCs/>
                <w:lang w:val="sq-AL"/>
              </w:rPr>
            </w:pPr>
            <w:r w:rsidRPr="00554FAF">
              <w:rPr>
                <w:iCs/>
                <w:lang w:val="sq-AL"/>
              </w:rPr>
              <w:t>25%</w:t>
            </w:r>
          </w:p>
        </w:tc>
      </w:tr>
    </w:tbl>
    <w:p w14:paraId="2D0CEECF" w14:textId="77777777" w:rsidR="00E3413B" w:rsidRPr="00554FAF" w:rsidRDefault="00E3413B" w:rsidP="000702CB">
      <w:pPr>
        <w:spacing w:after="60" w:line="240" w:lineRule="auto"/>
        <w:jc w:val="both"/>
        <w:rPr>
          <w:rFonts w:ascii="Times New Roman" w:hAnsi="Times New Roman" w:cs="Times New Roman"/>
          <w:b/>
          <w:bCs/>
          <w:sz w:val="24"/>
          <w:szCs w:val="24"/>
        </w:rPr>
      </w:pPr>
    </w:p>
    <w:p w14:paraId="643249B9" w14:textId="738CC604" w:rsidR="00E3413B" w:rsidRPr="00554FAF" w:rsidRDefault="00E3413B" w:rsidP="000702CB">
      <w:pPr>
        <w:spacing w:after="60" w:line="240" w:lineRule="auto"/>
        <w:jc w:val="both"/>
        <w:rPr>
          <w:rFonts w:ascii="Times New Roman" w:hAnsi="Times New Roman" w:cs="Times New Roman"/>
          <w:bCs/>
          <w:sz w:val="24"/>
          <w:szCs w:val="24"/>
        </w:rPr>
      </w:pPr>
      <w:r w:rsidRPr="00554FAF">
        <w:rPr>
          <w:rFonts w:ascii="Times New Roman" w:hAnsi="Times New Roman" w:cs="Times New Roman"/>
          <w:b/>
          <w:bCs/>
          <w:sz w:val="24"/>
          <w:szCs w:val="24"/>
        </w:rPr>
        <w:t xml:space="preserve">3. Ndikimi i pritur në konkurrueshmëri: </w:t>
      </w:r>
      <w:r w:rsidRPr="00554FAF">
        <w:rPr>
          <w:rFonts w:ascii="Times New Roman" w:hAnsi="Times New Roman" w:cs="Times New Roman"/>
          <w:bCs/>
          <w:sz w:val="24"/>
          <w:szCs w:val="24"/>
        </w:rPr>
        <w:t>Zbatimi i aktiviteteve të kësaj mase do të kontribuojë në rritjen e prodhimit n</w:t>
      </w:r>
      <w:r w:rsidRPr="00554FAF">
        <w:rPr>
          <w:rFonts w:ascii="Times New Roman" w:hAnsi="Times New Roman" w:cs="Times New Roman"/>
          <w:sz w:val="24"/>
          <w:szCs w:val="24"/>
        </w:rPr>
        <w:t>ë sektorin e bujqësisë,</w:t>
      </w:r>
      <w:r w:rsidRPr="00554FAF">
        <w:rPr>
          <w:rFonts w:ascii="Times New Roman" w:hAnsi="Times New Roman" w:cs="Times New Roman"/>
          <w:bCs/>
          <w:sz w:val="24"/>
          <w:szCs w:val="24"/>
        </w:rPr>
        <w:t xml:space="preserve"> me fokus të veçant</w:t>
      </w:r>
      <w:r w:rsidR="002205E6" w:rsidRPr="00554FAF">
        <w:rPr>
          <w:rFonts w:ascii="Times New Roman" w:hAnsi="Times New Roman" w:cs="Times New Roman"/>
          <w:bCs/>
          <w:sz w:val="24"/>
          <w:szCs w:val="24"/>
        </w:rPr>
        <w:t>ë</w:t>
      </w:r>
      <w:r w:rsidRPr="00554FAF">
        <w:rPr>
          <w:rFonts w:ascii="Times New Roman" w:hAnsi="Times New Roman" w:cs="Times New Roman"/>
          <w:bCs/>
          <w:sz w:val="24"/>
          <w:szCs w:val="24"/>
        </w:rPr>
        <w:t xml:space="preserve"> në produktet bujqësore </w:t>
      </w:r>
      <w:r w:rsidR="002205E6" w:rsidRPr="00554FAF">
        <w:rPr>
          <w:rFonts w:ascii="Times New Roman" w:hAnsi="Times New Roman" w:cs="Times New Roman"/>
          <w:bCs/>
          <w:sz w:val="24"/>
          <w:szCs w:val="24"/>
        </w:rPr>
        <w:t xml:space="preserve">të tregut </w:t>
      </w:r>
      <w:r w:rsidRPr="00554FAF">
        <w:rPr>
          <w:rFonts w:ascii="Times New Roman" w:hAnsi="Times New Roman" w:cs="Times New Roman"/>
          <w:bCs/>
          <w:sz w:val="24"/>
          <w:szCs w:val="24"/>
        </w:rPr>
        <w:t xml:space="preserve">me vlerë të shtuar. Masat për mbështetje të sektorit </w:t>
      </w:r>
      <w:r w:rsidR="002205E6" w:rsidRPr="00554FAF">
        <w:rPr>
          <w:rFonts w:ascii="Times New Roman" w:hAnsi="Times New Roman" w:cs="Times New Roman"/>
          <w:bCs/>
          <w:sz w:val="24"/>
          <w:szCs w:val="24"/>
        </w:rPr>
        <w:t>të</w:t>
      </w:r>
      <w:r w:rsidRPr="00554FAF">
        <w:rPr>
          <w:rFonts w:ascii="Times New Roman" w:hAnsi="Times New Roman" w:cs="Times New Roman"/>
          <w:bCs/>
          <w:sz w:val="24"/>
          <w:szCs w:val="24"/>
        </w:rPr>
        <w:t xml:space="preserve"> bujqësisë, presim që do të kenë ndikim pozitiv gjatë periudhës së ardhshme afatmesme, duke pasur parasysh investimet e konsiderueshme që po ndodhin  në këtë sektor</w:t>
      </w:r>
      <w:r w:rsidR="002205E6" w:rsidRPr="00554FAF">
        <w:rPr>
          <w:rFonts w:ascii="Times New Roman" w:hAnsi="Times New Roman" w:cs="Times New Roman"/>
          <w:bCs/>
          <w:sz w:val="24"/>
          <w:szCs w:val="24"/>
        </w:rPr>
        <w:t xml:space="preserve"> </w:t>
      </w:r>
      <w:r w:rsidRPr="00554FAF">
        <w:rPr>
          <w:rFonts w:ascii="Times New Roman" w:hAnsi="Times New Roman" w:cs="Times New Roman"/>
          <w:bCs/>
          <w:sz w:val="24"/>
          <w:szCs w:val="24"/>
        </w:rPr>
        <w:t>dhe ky efekt do të jetë i dukshëm përmes zëvendësimit të importit të produkteve bujqësore dhe rritjes së eksporteve. Gjithashtu, përmirësimi i marketingut të prodhimeve bujqësore dhe mbështetja e aktiviteteve të  zinxhirit të vlerës për një grup të veçantë të produkteve bujqësore (siç janë pemët), pritet të kontribuoj tutje në rritjen e konkurrueshmërisë si në tregun e brendshëm ashtu edhe atë të jashtëm. Shikuar në aspektin e shkëmbimit tregtar kemi trend të rritjes së eksportit të produkteve bujqësore në vitin 2018 me 63.9 mil. € apo 4.3% rritje krahasuar me vitin 2017. Aktualisht, bujqësia përbën</w:t>
      </w:r>
      <w:r w:rsidR="002205E6" w:rsidRPr="00554FAF">
        <w:rPr>
          <w:rFonts w:ascii="Times New Roman" w:hAnsi="Times New Roman" w:cs="Times New Roman"/>
          <w:bCs/>
          <w:sz w:val="24"/>
          <w:szCs w:val="24"/>
        </w:rPr>
        <w:t>ë</w:t>
      </w:r>
      <w:r w:rsidRPr="00554FAF">
        <w:rPr>
          <w:rFonts w:ascii="Times New Roman" w:hAnsi="Times New Roman" w:cs="Times New Roman"/>
          <w:bCs/>
          <w:sz w:val="24"/>
          <w:szCs w:val="24"/>
        </w:rPr>
        <w:t xml:space="preserve"> 7.2% të BPV-së në vitit 2018, me 8,066 vende pune të krijuara përmes mbështetjes së parashikuar për periudhën 2009-2018.</w:t>
      </w:r>
    </w:p>
    <w:p w14:paraId="784325D4" w14:textId="56D6F319" w:rsidR="00E3413B" w:rsidRPr="00554FAF" w:rsidRDefault="00E3413B" w:rsidP="000702CB">
      <w:pPr>
        <w:spacing w:after="60" w:line="240" w:lineRule="auto"/>
        <w:jc w:val="both"/>
        <w:rPr>
          <w:rFonts w:ascii="Times New Roman" w:hAnsi="Times New Roman" w:cs="Times New Roman"/>
          <w:b/>
          <w:bCs/>
          <w:sz w:val="24"/>
          <w:szCs w:val="24"/>
        </w:rPr>
      </w:pPr>
      <w:r w:rsidRPr="00554FAF">
        <w:rPr>
          <w:rFonts w:ascii="Times New Roman" w:hAnsi="Times New Roman" w:cs="Times New Roman"/>
          <w:b/>
          <w:bCs/>
          <w:sz w:val="24"/>
          <w:szCs w:val="24"/>
        </w:rPr>
        <w:t xml:space="preserve">4. Vlerësimi i kostos së aktiviteteve dhe </w:t>
      </w:r>
      <w:r w:rsidRPr="00554FAF">
        <w:rPr>
          <w:rFonts w:ascii="Times New Roman" w:hAnsi="Times New Roman" w:cs="Times New Roman"/>
          <w:b/>
          <w:sz w:val="24"/>
          <w:szCs w:val="24"/>
        </w:rPr>
        <w:t xml:space="preserve">burimet e financimit: </w:t>
      </w:r>
      <w:r w:rsidRPr="00554FAF">
        <w:rPr>
          <w:rFonts w:ascii="Times New Roman" w:hAnsi="Times New Roman" w:cs="Times New Roman"/>
          <w:color w:val="000000" w:themeColor="text1"/>
          <w:sz w:val="24"/>
          <w:szCs w:val="24"/>
        </w:rPr>
        <w:t>Zbatimi i këtyre masave do të jetë në formën e partneritetit publiko privat-grante me bashkëfinancim 60/40% dhe për disa masa në 65/35%, apo edhe (50/50) në favor të sektorit privat</w:t>
      </w:r>
      <w:r w:rsidRPr="00554FAF">
        <w:rPr>
          <w:rFonts w:ascii="Times New Roman" w:hAnsi="Times New Roman" w:cs="Times New Roman"/>
          <w:sz w:val="24"/>
          <w:szCs w:val="24"/>
        </w:rPr>
        <w:t xml:space="preserve">. Kosto e përgjithshme për zbatim të kësaj mase gjatë viteve 2020-2022 vlerësohet të jetë  rreth 172,000,000 EUR. Nga kjo vlerë </w:t>
      </w:r>
      <w:r w:rsidRPr="00554FAF">
        <w:rPr>
          <w:rFonts w:ascii="Times New Roman" w:eastAsia="Times New Roman" w:hAnsi="Times New Roman" w:cs="Times New Roman"/>
          <w:color w:val="000000"/>
          <w:sz w:val="24"/>
          <w:szCs w:val="24"/>
        </w:rPr>
        <w:t xml:space="preserve">55,197,022 </w:t>
      </w:r>
      <w:r w:rsidRPr="00554FAF">
        <w:rPr>
          <w:rFonts w:ascii="Times New Roman" w:hAnsi="Times New Roman" w:cs="Times New Roman"/>
          <w:sz w:val="24"/>
          <w:szCs w:val="24"/>
        </w:rPr>
        <w:t>EUR vlerësohet kosto për vitin 2020, 50,977,022 EUR për vitin 2021 dhe  49,977,022 EUR për vitin 2022. Pjesa më e madhe e kësaj kosto pritet të financohet nga buxheti i Kosovës, përkatësisht nga skema e Subvencioneve dhe Transfereve nga MBZHR me vlerat përkatëse, 49</w:t>
      </w:r>
      <w:r w:rsidRPr="00554FAF">
        <w:rPr>
          <w:rFonts w:ascii="Times New Roman" w:eastAsia="Times New Roman" w:hAnsi="Times New Roman" w:cs="Times New Roman"/>
          <w:color w:val="000000"/>
          <w:sz w:val="24"/>
          <w:szCs w:val="24"/>
        </w:rPr>
        <w:t>,477,022 (2020), 47,101,826 (2021) dhe 49,977,022 (2022)</w:t>
      </w:r>
      <w:r w:rsidRPr="00554FAF">
        <w:rPr>
          <w:rFonts w:ascii="Times New Roman" w:hAnsi="Times New Roman" w:cs="Times New Roman"/>
          <w:sz w:val="24"/>
          <w:szCs w:val="24"/>
        </w:rPr>
        <w:t xml:space="preserve"> të cilat ofrohen si grante për fermerët për zhvillimin e sektorit të bujqësisë. Pjesa tjetër e aktiviteteve  do të mbulohet nga Projekti i Bankës Botërore, me vlerë prej 10,000,000 EUR për vitet 2020-2022 që do të fokusohet n</w:t>
      </w:r>
      <w:r w:rsidR="002205E6" w:rsidRPr="00554FAF">
        <w:rPr>
          <w:rFonts w:ascii="Times New Roman" w:hAnsi="Times New Roman" w:cs="Times New Roman"/>
          <w:sz w:val="24"/>
          <w:szCs w:val="24"/>
        </w:rPr>
        <w:t>ë</w:t>
      </w:r>
      <w:r w:rsidRPr="00554FAF">
        <w:rPr>
          <w:rFonts w:ascii="Times New Roman" w:hAnsi="Times New Roman" w:cs="Times New Roman"/>
          <w:sz w:val="24"/>
          <w:szCs w:val="24"/>
        </w:rPr>
        <w:t xml:space="preserve"> zbatimin e Master Planit për Ujitje te Tokave Bujqësore dhe rreth 700,000 pritet të jetë përkrahja nga Projekt i BE-së për hartim të Programit për Bujqësi dhe Zhvillim Rural (2020). </w:t>
      </w:r>
      <w:r w:rsidR="00F72852" w:rsidRPr="00554FAF">
        <w:rPr>
          <w:rFonts w:ascii="Times New Roman" w:hAnsi="Times New Roman" w:cs="Times New Roman"/>
          <w:sz w:val="24"/>
          <w:szCs w:val="24"/>
        </w:rPr>
        <w:t xml:space="preserve">Për investime kapitale, </w:t>
      </w:r>
      <w:r w:rsidRPr="00554FAF">
        <w:rPr>
          <w:rFonts w:ascii="Times New Roman" w:hAnsi="Times New Roman" w:cs="Times New Roman"/>
          <w:sz w:val="24"/>
          <w:szCs w:val="24"/>
        </w:rPr>
        <w:t>400,000 EUR shtesë janë planifikuar nën shpenzimet kapitale për zhvillimin e softuerit për Agjencinë e Zhvillimit Bujqësor.</w:t>
      </w:r>
      <w:r w:rsidRPr="00554FAF">
        <w:rPr>
          <w:rFonts w:ascii="Times New Roman" w:hAnsi="Times New Roman" w:cs="Times New Roman"/>
          <w:b/>
          <w:bCs/>
          <w:sz w:val="24"/>
          <w:szCs w:val="24"/>
        </w:rPr>
        <w:t xml:space="preserve"> </w:t>
      </w:r>
    </w:p>
    <w:p w14:paraId="430F3E3C" w14:textId="24F24D52" w:rsidR="00E3413B" w:rsidRPr="00554FAF" w:rsidRDefault="00E3413B"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b/>
          <w:bCs/>
          <w:sz w:val="24"/>
          <w:szCs w:val="24"/>
        </w:rPr>
        <w:t xml:space="preserve">5. Ndikimet e pritshme mbi rezultatet sociale, të tilla si punësimi, reduktimi i varfërisë, barazia gjinore: </w:t>
      </w:r>
      <w:r w:rsidRPr="00554FAF">
        <w:rPr>
          <w:rFonts w:ascii="Times New Roman" w:hAnsi="Times New Roman" w:cs="Times New Roman"/>
          <w:sz w:val="24"/>
          <w:szCs w:val="24"/>
          <w:shd w:val="clear" w:color="auto" w:fill="FFFFFF"/>
        </w:rPr>
        <w:t xml:space="preserve">Përmes kësaj mase ndikohet pozitivisht në stimulimin e popullatës në aktivitet bujqësore si dhe punimin dhe kultivimin e tokës bujqësore, futja e kulturave të veçanta në prodhim të cilat mund të kenë prioritet dhe aftësi konkurruese. Përmes masave synohet të respektohet barazia gjinore ku nuk mungojnë edhe përparësitë në vlerësim gjatë aplikimit dhe po ashtu gjenerimi i vendeve të punës është një ndër prioritetet </w:t>
      </w:r>
      <w:r w:rsidR="00FF1AD6" w:rsidRPr="00554FAF">
        <w:rPr>
          <w:rFonts w:ascii="Times New Roman" w:hAnsi="Times New Roman" w:cs="Times New Roman"/>
          <w:sz w:val="24"/>
          <w:szCs w:val="24"/>
          <w:shd w:val="clear" w:color="auto" w:fill="FFFFFF"/>
        </w:rPr>
        <w:t>kryesore t</w:t>
      </w:r>
      <w:r w:rsidR="004A2969" w:rsidRPr="00554FAF">
        <w:rPr>
          <w:rFonts w:ascii="Times New Roman" w:hAnsi="Times New Roman" w:cs="Times New Roman"/>
          <w:sz w:val="24"/>
          <w:szCs w:val="24"/>
          <w:shd w:val="clear" w:color="auto" w:fill="FFFFFF"/>
        </w:rPr>
        <w:t>ë</w:t>
      </w:r>
      <w:r w:rsidRPr="00554FAF">
        <w:rPr>
          <w:rFonts w:ascii="Times New Roman" w:hAnsi="Times New Roman" w:cs="Times New Roman"/>
          <w:sz w:val="24"/>
          <w:szCs w:val="24"/>
          <w:shd w:val="clear" w:color="auto" w:fill="FFFFFF"/>
        </w:rPr>
        <w:t xml:space="preserve"> cilat synojnë që përmes të hyrave të gjeneruar</w:t>
      </w:r>
      <w:r w:rsidR="00FF1AD6" w:rsidRPr="00554FAF">
        <w:rPr>
          <w:rFonts w:ascii="Times New Roman" w:hAnsi="Times New Roman" w:cs="Times New Roman"/>
          <w:sz w:val="24"/>
          <w:szCs w:val="24"/>
          <w:shd w:val="clear" w:color="auto" w:fill="FFFFFF"/>
        </w:rPr>
        <w:t>a</w:t>
      </w:r>
      <w:r w:rsidRPr="00554FAF">
        <w:rPr>
          <w:rFonts w:ascii="Times New Roman" w:hAnsi="Times New Roman" w:cs="Times New Roman"/>
          <w:sz w:val="24"/>
          <w:szCs w:val="24"/>
          <w:shd w:val="clear" w:color="auto" w:fill="FFFFFF"/>
        </w:rPr>
        <w:t xml:space="preserve"> nga aktivitetet bujqësore të zbutet varfëria, vlerësohet se në periudhën 2009-2018 janë gjeneruar gjithsej 16,150 vende të lira pune përmes mbështetjes së dhënë.</w:t>
      </w:r>
    </w:p>
    <w:p w14:paraId="3AD36654" w14:textId="77777777" w:rsidR="00E3413B" w:rsidRPr="00554FAF" w:rsidRDefault="00E3413B" w:rsidP="000702CB">
      <w:pPr>
        <w:spacing w:after="60" w:line="240" w:lineRule="auto"/>
        <w:jc w:val="both"/>
        <w:rPr>
          <w:rFonts w:ascii="Times New Roman" w:hAnsi="Times New Roman" w:cs="Times New Roman"/>
          <w:bCs/>
          <w:iCs/>
          <w:sz w:val="24"/>
          <w:szCs w:val="24"/>
        </w:rPr>
      </w:pPr>
      <w:r w:rsidRPr="00554FAF">
        <w:rPr>
          <w:rFonts w:ascii="Times New Roman" w:hAnsi="Times New Roman" w:cs="Times New Roman"/>
          <w:b/>
          <w:bCs/>
          <w:color w:val="000000"/>
          <w:sz w:val="24"/>
          <w:szCs w:val="24"/>
        </w:rPr>
        <w:t xml:space="preserve">6. Ndikimi i pritshëm në mjedis: </w:t>
      </w:r>
      <w:r w:rsidRPr="00554FAF">
        <w:rPr>
          <w:rFonts w:ascii="Times New Roman" w:hAnsi="Times New Roman" w:cs="Times New Roman"/>
          <w:bCs/>
          <w:iCs/>
          <w:sz w:val="24"/>
          <w:szCs w:val="24"/>
        </w:rPr>
        <w:t>Sa i përket kësaj mase nuk ka ndonjë informacion mbi ndikimin e pritshëm në mjedis.</w:t>
      </w:r>
    </w:p>
    <w:p w14:paraId="5B0978E2" w14:textId="77777777" w:rsidR="00E3413B" w:rsidRPr="00554FAF" w:rsidRDefault="00E3413B" w:rsidP="000702CB">
      <w:pPr>
        <w:spacing w:after="60" w:line="240" w:lineRule="auto"/>
        <w:jc w:val="both"/>
        <w:rPr>
          <w:rFonts w:ascii="Times New Roman" w:hAnsi="Times New Roman" w:cs="Times New Roman"/>
          <w:b/>
          <w:bCs/>
          <w:iCs/>
          <w:sz w:val="24"/>
          <w:szCs w:val="24"/>
        </w:rPr>
      </w:pPr>
      <w:r w:rsidRPr="00554FAF">
        <w:rPr>
          <w:rFonts w:ascii="Times New Roman" w:hAnsi="Times New Roman" w:cs="Times New Roman"/>
          <w:b/>
          <w:bCs/>
          <w:iCs/>
          <w:sz w:val="24"/>
          <w:szCs w:val="24"/>
        </w:rPr>
        <w:t>7. Rreziqet Potenciale:</w:t>
      </w:r>
    </w:p>
    <w:tbl>
      <w:tblPr>
        <w:tblpPr w:leftFromText="180" w:rightFromText="180" w:vertAnchor="text" w:horzAnchor="margin" w:tblpY="313"/>
        <w:tblOverlap w:val="neve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3330"/>
        <w:gridCol w:w="4320"/>
      </w:tblGrid>
      <w:tr w:rsidR="00E3413B" w:rsidRPr="00554FAF" w14:paraId="61EDAA21" w14:textId="77777777" w:rsidTr="004A424A">
        <w:trPr>
          <w:trHeight w:val="260"/>
        </w:trPr>
        <w:tc>
          <w:tcPr>
            <w:tcW w:w="1975" w:type="dxa"/>
            <w:shd w:val="clear" w:color="auto" w:fill="auto"/>
          </w:tcPr>
          <w:p w14:paraId="156F642D" w14:textId="77777777" w:rsidR="00E3413B" w:rsidRPr="00554FAF" w:rsidRDefault="00E3413B" w:rsidP="000702CB">
            <w:pPr>
              <w:pStyle w:val="Default"/>
              <w:spacing w:after="60"/>
              <w:jc w:val="both"/>
              <w:rPr>
                <w:lang w:val="sq-AL"/>
              </w:rPr>
            </w:pPr>
            <w:r w:rsidRPr="00554FAF">
              <w:rPr>
                <w:b/>
                <w:bCs/>
                <w:lang w:val="sq-AL"/>
              </w:rPr>
              <w:t xml:space="preserve">Rreziku </w:t>
            </w:r>
          </w:p>
        </w:tc>
        <w:tc>
          <w:tcPr>
            <w:tcW w:w="3330" w:type="dxa"/>
            <w:shd w:val="clear" w:color="auto" w:fill="auto"/>
          </w:tcPr>
          <w:p w14:paraId="6D62BF4D" w14:textId="77777777" w:rsidR="00E3413B" w:rsidRPr="00554FAF" w:rsidRDefault="00E3413B" w:rsidP="000702CB">
            <w:pPr>
              <w:pStyle w:val="Default"/>
              <w:spacing w:after="60"/>
              <w:ind w:right="-122"/>
              <w:rPr>
                <w:lang w:val="sq-AL"/>
              </w:rPr>
            </w:pPr>
            <w:r w:rsidRPr="00554FAF">
              <w:rPr>
                <w:b/>
                <w:bCs/>
                <w:lang w:val="sq-AL"/>
              </w:rPr>
              <w:t xml:space="preserve">Probabiliteti (i ulët ose i lartë) </w:t>
            </w:r>
          </w:p>
        </w:tc>
        <w:tc>
          <w:tcPr>
            <w:tcW w:w="4320" w:type="dxa"/>
            <w:shd w:val="clear" w:color="auto" w:fill="auto"/>
          </w:tcPr>
          <w:p w14:paraId="0051EC94" w14:textId="77777777" w:rsidR="00E3413B" w:rsidRPr="00554FAF" w:rsidRDefault="00E3413B" w:rsidP="000702CB">
            <w:pPr>
              <w:pStyle w:val="Default"/>
              <w:spacing w:after="60"/>
              <w:rPr>
                <w:lang w:val="sq-AL"/>
              </w:rPr>
            </w:pPr>
            <w:r w:rsidRPr="00554FAF">
              <w:rPr>
                <w:b/>
                <w:bCs/>
                <w:lang w:val="sq-AL"/>
              </w:rPr>
              <w:t xml:space="preserve">Veprimi lehtësues i planifikuar </w:t>
            </w:r>
          </w:p>
        </w:tc>
      </w:tr>
      <w:tr w:rsidR="00E3413B" w:rsidRPr="00554FAF" w14:paraId="6D389EA8" w14:textId="77777777" w:rsidTr="004A424A">
        <w:trPr>
          <w:trHeight w:val="606"/>
        </w:trPr>
        <w:tc>
          <w:tcPr>
            <w:tcW w:w="1975" w:type="dxa"/>
          </w:tcPr>
          <w:p w14:paraId="75A48EF3" w14:textId="77777777" w:rsidR="00E3413B" w:rsidRPr="00554FAF" w:rsidRDefault="00E3413B" w:rsidP="000702CB">
            <w:pPr>
              <w:pStyle w:val="Default"/>
              <w:spacing w:after="60"/>
              <w:jc w:val="both"/>
              <w:rPr>
                <w:lang w:val="sq-AL"/>
              </w:rPr>
            </w:pPr>
            <w:r w:rsidRPr="00554FAF">
              <w:rPr>
                <w:lang w:val="sq-AL"/>
              </w:rPr>
              <w:t>Vonesa në zbatim.</w:t>
            </w:r>
          </w:p>
        </w:tc>
        <w:tc>
          <w:tcPr>
            <w:tcW w:w="3330" w:type="dxa"/>
          </w:tcPr>
          <w:p w14:paraId="450CFC22" w14:textId="77777777" w:rsidR="00E3413B" w:rsidRPr="00554FAF" w:rsidRDefault="00E3413B" w:rsidP="000702CB">
            <w:pPr>
              <w:pStyle w:val="Default"/>
              <w:spacing w:after="60"/>
              <w:jc w:val="both"/>
              <w:rPr>
                <w:lang w:val="sq-AL"/>
              </w:rPr>
            </w:pPr>
            <w:r w:rsidRPr="00554FAF">
              <w:rPr>
                <w:lang w:val="sq-AL"/>
              </w:rPr>
              <w:t>Probabiliteti i  mesëm</w:t>
            </w:r>
          </w:p>
        </w:tc>
        <w:tc>
          <w:tcPr>
            <w:tcW w:w="4320" w:type="dxa"/>
          </w:tcPr>
          <w:p w14:paraId="1E3187EF" w14:textId="77777777" w:rsidR="00E3413B" w:rsidRPr="00554FAF" w:rsidRDefault="00E3413B" w:rsidP="000702CB">
            <w:pPr>
              <w:pStyle w:val="Default"/>
              <w:spacing w:after="60"/>
              <w:jc w:val="both"/>
              <w:rPr>
                <w:color w:val="FF0000"/>
                <w:lang w:val="sq-AL"/>
              </w:rPr>
            </w:pPr>
            <w:r w:rsidRPr="00554FAF">
              <w:rPr>
                <w:lang w:val="sq-AL"/>
              </w:rPr>
              <w:t>Nënshkrimi me kohë i programeve dhe publikimi i thirrjeve për aplikim me kohë.</w:t>
            </w:r>
          </w:p>
        </w:tc>
      </w:tr>
    </w:tbl>
    <w:p w14:paraId="302B9422" w14:textId="77777777" w:rsidR="00E3413B" w:rsidRPr="00554FAF" w:rsidRDefault="00E3413B" w:rsidP="000702CB">
      <w:pPr>
        <w:spacing w:after="60" w:line="240" w:lineRule="auto"/>
        <w:rPr>
          <w:rFonts w:ascii="Times New Roman" w:hAnsi="Times New Roman" w:cs="Times New Roman"/>
          <w:sz w:val="24"/>
          <w:szCs w:val="24"/>
        </w:rPr>
      </w:pPr>
    </w:p>
    <w:p w14:paraId="12DEB4FF" w14:textId="77777777" w:rsidR="00E3413B" w:rsidRPr="00554FAF" w:rsidRDefault="00E3413B" w:rsidP="000702CB">
      <w:pPr>
        <w:spacing w:after="6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00E3413B" w:rsidRPr="00554FAF" w14:paraId="09D3E848" w14:textId="77777777" w:rsidTr="004A424A">
        <w:tc>
          <w:tcPr>
            <w:tcW w:w="9350" w:type="dxa"/>
            <w:shd w:val="clear" w:color="auto" w:fill="5B9BD5" w:themeFill="accent1"/>
          </w:tcPr>
          <w:p w14:paraId="6D2043BF" w14:textId="77777777" w:rsidR="00E3413B" w:rsidRPr="00554FAF" w:rsidRDefault="00E3413B" w:rsidP="000702CB">
            <w:pPr>
              <w:spacing w:after="60"/>
              <w:rPr>
                <w:rFonts w:ascii="Times New Roman" w:hAnsi="Times New Roman" w:cs="Times New Roman"/>
                <w:b/>
                <w:bCs/>
                <w:sz w:val="24"/>
                <w:szCs w:val="24"/>
              </w:rPr>
            </w:pPr>
            <w:r w:rsidRPr="00554FAF">
              <w:rPr>
                <w:rFonts w:ascii="Times New Roman" w:hAnsi="Times New Roman" w:cs="Times New Roman"/>
                <w:b/>
                <w:bCs/>
                <w:sz w:val="24"/>
                <w:szCs w:val="24"/>
              </w:rPr>
              <w:t xml:space="preserve">Masa e reformës# 4: </w:t>
            </w:r>
            <w:r w:rsidRPr="00554FAF">
              <w:rPr>
                <w:rFonts w:ascii="Times New Roman" w:eastAsia="Times New Roman" w:hAnsi="Times New Roman" w:cs="Times New Roman"/>
                <w:b/>
                <w:bCs/>
                <w:spacing w:val="-1"/>
                <w:sz w:val="24"/>
                <w:szCs w:val="24"/>
              </w:rPr>
              <w:t>Rritja e konkurrueshmërisë në industrinë prodhuese</w:t>
            </w:r>
          </w:p>
        </w:tc>
      </w:tr>
    </w:tbl>
    <w:p w14:paraId="2182C93B" w14:textId="35D75DD9" w:rsidR="00E3413B" w:rsidRPr="00554FAF" w:rsidRDefault="00E3413B" w:rsidP="000702CB">
      <w:pPr>
        <w:spacing w:after="60" w:line="240" w:lineRule="auto"/>
        <w:jc w:val="both"/>
        <w:rPr>
          <w:rFonts w:ascii="Times New Roman" w:hAnsi="Times New Roman" w:cs="Times New Roman"/>
          <w:bCs/>
          <w:sz w:val="24"/>
          <w:szCs w:val="24"/>
        </w:rPr>
      </w:pPr>
      <w:r w:rsidRPr="00554FAF">
        <w:rPr>
          <w:rFonts w:ascii="Times New Roman" w:hAnsi="Times New Roman" w:cs="Times New Roman"/>
          <w:b/>
          <w:bCs/>
          <w:sz w:val="24"/>
          <w:szCs w:val="24"/>
        </w:rPr>
        <w:t>1. Përshkrimi i masës:</w:t>
      </w:r>
      <w:r w:rsidRPr="00554FAF">
        <w:rPr>
          <w:rFonts w:ascii="Times New Roman" w:hAnsi="Times New Roman" w:cs="Times New Roman"/>
          <w:bCs/>
          <w:sz w:val="24"/>
          <w:szCs w:val="24"/>
        </w:rPr>
        <w:t xml:space="preserve"> Kjo reformë do të ndihmo</w:t>
      </w:r>
      <w:r w:rsidR="002726C9" w:rsidRPr="00554FAF">
        <w:rPr>
          <w:rFonts w:ascii="Times New Roman" w:hAnsi="Times New Roman" w:cs="Times New Roman"/>
          <w:bCs/>
          <w:sz w:val="24"/>
          <w:szCs w:val="24"/>
        </w:rPr>
        <w:t>jë</w:t>
      </w:r>
      <w:r w:rsidRPr="00554FAF">
        <w:rPr>
          <w:rFonts w:ascii="Times New Roman" w:hAnsi="Times New Roman" w:cs="Times New Roman"/>
          <w:bCs/>
          <w:sz w:val="24"/>
          <w:szCs w:val="24"/>
        </w:rPr>
        <w:t xml:space="preserve"> që të krijojmë një politikë më të koordinuar për zhvillimin e industrisë, në tërë zingjirin e furnizimit, në asistimin e industrisë përpunuese, rritjen e konkurrueshmërisë dhe ndërkombëtarizimin e NVM-ve. Masa do të </w:t>
      </w:r>
      <w:r w:rsidR="002726C9" w:rsidRPr="00554FAF">
        <w:rPr>
          <w:rFonts w:ascii="Times New Roman" w:hAnsi="Times New Roman" w:cs="Times New Roman"/>
          <w:bCs/>
          <w:sz w:val="24"/>
          <w:szCs w:val="24"/>
        </w:rPr>
        <w:t xml:space="preserve">mbështes </w:t>
      </w:r>
      <w:r w:rsidRPr="00554FAF">
        <w:rPr>
          <w:rFonts w:ascii="Times New Roman" w:hAnsi="Times New Roman" w:cs="Times New Roman"/>
          <w:bCs/>
          <w:sz w:val="24"/>
          <w:szCs w:val="24"/>
        </w:rPr>
        <w:t>NVM-të që të mund të rriten dhe të kalojnë në aktivitete me vlerë të shtuar më të lartë dhe të prodhojnë mallra të tregtueshme për eksport</w:t>
      </w:r>
      <w:r w:rsidR="002726C9" w:rsidRPr="00554FAF">
        <w:rPr>
          <w:rFonts w:ascii="Times New Roman" w:hAnsi="Times New Roman" w:cs="Times New Roman"/>
          <w:bCs/>
          <w:sz w:val="24"/>
          <w:szCs w:val="24"/>
        </w:rPr>
        <w:t xml:space="preserve">. Po ashtu, ajo </w:t>
      </w:r>
      <w:r w:rsidRPr="00554FAF">
        <w:rPr>
          <w:rFonts w:ascii="Times New Roman" w:hAnsi="Times New Roman" w:cs="Times New Roman"/>
          <w:bCs/>
          <w:sz w:val="24"/>
          <w:szCs w:val="24"/>
        </w:rPr>
        <w:t>ofron lehtësim n</w:t>
      </w:r>
      <w:r w:rsidR="002726C9" w:rsidRPr="00554FAF">
        <w:rPr>
          <w:rFonts w:ascii="Times New Roman" w:hAnsi="Times New Roman" w:cs="Times New Roman"/>
          <w:bCs/>
          <w:sz w:val="24"/>
          <w:szCs w:val="24"/>
        </w:rPr>
        <w:t>ë</w:t>
      </w:r>
      <w:r w:rsidRPr="00554FAF">
        <w:rPr>
          <w:rFonts w:ascii="Times New Roman" w:hAnsi="Times New Roman" w:cs="Times New Roman"/>
          <w:bCs/>
          <w:sz w:val="24"/>
          <w:szCs w:val="24"/>
        </w:rPr>
        <w:t xml:space="preserve"> qasje në financa për NVM-të, përkrahje teknike në lidhjet ndërmjet ndërmarrjeve në grupime industriale (klasteret), përkrahje në përmirësimin e standardeve të cilësisë dhe kalimin në aktivitete me vlerë më të lartë të shtuar dhe rritjen e nivelit të Investimeve të Huaja Direkte (IHD) dhe atyre të diasporës. Në linjë me Strategjinë Kombëtare për Zhvillim 2016 – 2021 (SKZH) – shtylla 3: Industritë konkurruese, Programi Kombëtar për Zbatimin e MSA-së dhe Programi i Qeverisë 2017-2021 dhe Kornizën Afatmesme të Shpenzimeve KASH 2020-2022, është një masë disa vjeçare, e cila synon zhvillimin industrial në vazhdimësi, e specifikuar edhe në PRE 2019-2021.</w:t>
      </w:r>
    </w:p>
    <w:p w14:paraId="316EA351" w14:textId="77777777" w:rsidR="00E3413B" w:rsidRPr="00554FAF" w:rsidRDefault="00E3413B" w:rsidP="00BA1A1D">
      <w:pPr>
        <w:spacing w:after="60" w:line="240" w:lineRule="auto"/>
        <w:jc w:val="both"/>
        <w:rPr>
          <w:rFonts w:ascii="Times New Roman" w:hAnsi="Times New Roman" w:cs="Times New Roman"/>
          <w:b/>
          <w:bCs/>
          <w:sz w:val="24"/>
          <w:szCs w:val="24"/>
        </w:rPr>
      </w:pPr>
      <w:r w:rsidRPr="00554FAF">
        <w:rPr>
          <w:rFonts w:ascii="Times New Roman" w:hAnsi="Times New Roman" w:cs="Times New Roman"/>
          <w:b/>
          <w:bCs/>
          <w:sz w:val="24"/>
          <w:szCs w:val="24"/>
        </w:rPr>
        <w:t>a. Aktivitetet e planifikuara për 2020:</w:t>
      </w:r>
    </w:p>
    <w:p w14:paraId="7C7C2DD1" w14:textId="696C50D6" w:rsidR="00E3413B" w:rsidRPr="00554FAF" w:rsidRDefault="00E3413B" w:rsidP="00802FB3">
      <w:pPr>
        <w:pStyle w:val="Default"/>
        <w:numPr>
          <w:ilvl w:val="0"/>
          <w:numId w:val="50"/>
        </w:numPr>
        <w:spacing w:after="60"/>
        <w:jc w:val="both"/>
        <w:rPr>
          <w:lang w:val="sq-AL"/>
        </w:rPr>
      </w:pPr>
      <w:r w:rsidRPr="00554FAF">
        <w:rPr>
          <w:lang w:val="sq-AL"/>
        </w:rPr>
        <w:t>Analiza për identifikimin e sektorëve konkurrues të industrisë prodhuese, si bazë për zhvillimin e politikave të përshtatshme</w:t>
      </w:r>
      <w:r w:rsidR="002726C9" w:rsidRPr="00554FAF">
        <w:rPr>
          <w:lang w:val="sq-AL"/>
        </w:rPr>
        <w:t>;</w:t>
      </w:r>
      <w:r w:rsidRPr="00554FAF">
        <w:rPr>
          <w:lang w:val="sq-AL"/>
        </w:rPr>
        <w:t xml:space="preserve"> (MTI)</w:t>
      </w:r>
    </w:p>
    <w:p w14:paraId="42F6B17F" w14:textId="7B66046B" w:rsidR="00E3413B" w:rsidRPr="00554FAF" w:rsidRDefault="00E3413B" w:rsidP="00802FB3">
      <w:pPr>
        <w:pStyle w:val="Default"/>
        <w:numPr>
          <w:ilvl w:val="0"/>
          <w:numId w:val="50"/>
        </w:numPr>
        <w:spacing w:after="60"/>
        <w:jc w:val="both"/>
        <w:rPr>
          <w:lang w:val="sq-AL"/>
        </w:rPr>
      </w:pPr>
      <w:r w:rsidRPr="00554FAF">
        <w:rPr>
          <w:bCs/>
          <w:lang w:val="sq-AL"/>
        </w:rPr>
        <w:t>Hartimi i Strategjisë për Zhvillimin Industrial</w:t>
      </w:r>
      <w:r w:rsidR="002726C9" w:rsidRPr="00554FAF">
        <w:rPr>
          <w:bCs/>
          <w:lang w:val="sq-AL"/>
        </w:rPr>
        <w:t>;</w:t>
      </w:r>
      <w:r w:rsidRPr="00554FAF">
        <w:rPr>
          <w:bCs/>
          <w:lang w:val="sq-AL"/>
        </w:rPr>
        <w:t xml:space="preserve"> (Politika Industriale)  </w:t>
      </w:r>
      <w:r w:rsidRPr="00554FAF">
        <w:rPr>
          <w:lang w:val="sq-AL"/>
        </w:rPr>
        <w:t xml:space="preserve"> </w:t>
      </w:r>
    </w:p>
    <w:p w14:paraId="0D0437AC" w14:textId="77777777" w:rsidR="00E3413B" w:rsidRPr="00554FAF" w:rsidRDefault="00E3413B" w:rsidP="00802FB3">
      <w:pPr>
        <w:pStyle w:val="Default"/>
        <w:numPr>
          <w:ilvl w:val="0"/>
          <w:numId w:val="50"/>
        </w:numPr>
        <w:spacing w:after="60"/>
        <w:jc w:val="both"/>
        <w:rPr>
          <w:lang w:val="sq-AL"/>
        </w:rPr>
      </w:pPr>
      <w:r w:rsidRPr="00554FAF">
        <w:rPr>
          <w:lang w:val="sq-AL"/>
        </w:rPr>
        <w:t xml:space="preserve">Studimi i zingjirit të vlerës për sektorin e tekstilit; </w:t>
      </w:r>
    </w:p>
    <w:p w14:paraId="75D86F7D" w14:textId="7C8BDC76" w:rsidR="00E3413B" w:rsidRPr="00554FAF" w:rsidRDefault="00E3413B" w:rsidP="00802FB3">
      <w:pPr>
        <w:pStyle w:val="Default"/>
        <w:numPr>
          <w:ilvl w:val="0"/>
          <w:numId w:val="50"/>
        </w:numPr>
        <w:spacing w:after="60"/>
        <w:jc w:val="both"/>
        <w:rPr>
          <w:lang w:val="sq-AL"/>
        </w:rPr>
      </w:pPr>
      <w:r w:rsidRPr="00554FAF">
        <w:rPr>
          <w:lang w:val="sq-AL"/>
        </w:rPr>
        <w:t>Lehtësimi i pjesëmarrjes n</w:t>
      </w:r>
      <w:r w:rsidR="002726C9" w:rsidRPr="00554FAF">
        <w:rPr>
          <w:lang w:val="sq-AL"/>
        </w:rPr>
        <w:t>ë</w:t>
      </w:r>
      <w:r w:rsidRPr="00554FAF">
        <w:rPr>
          <w:lang w:val="sq-AL"/>
        </w:rPr>
        <w:t xml:space="preserve"> së paku 10 Panaire ndërkombëtare ku do të dërgohen 70 kompani prodhuese nga Kosova, me potencial eksportues; </w:t>
      </w:r>
    </w:p>
    <w:p w14:paraId="0B39FC7C" w14:textId="77777777" w:rsidR="00E3413B" w:rsidRPr="00554FAF" w:rsidRDefault="00E3413B" w:rsidP="00802FB3">
      <w:pPr>
        <w:pStyle w:val="Default"/>
        <w:numPr>
          <w:ilvl w:val="0"/>
          <w:numId w:val="50"/>
        </w:numPr>
        <w:spacing w:after="60"/>
        <w:jc w:val="both"/>
        <w:rPr>
          <w:lang w:val="sq-AL"/>
        </w:rPr>
      </w:pPr>
      <w:r w:rsidRPr="00554FAF">
        <w:rPr>
          <w:lang w:val="sq-AL"/>
        </w:rPr>
        <w:t>Përkrahja e 15 NVM-ve për subvencionim në certifikimin e produktit dhe në ofrimin e këshillimeve me qëllim të rritjes së konkurueshmërisë dhe rritjes së eksportit;</w:t>
      </w:r>
    </w:p>
    <w:p w14:paraId="4A97CE14" w14:textId="32AA1071" w:rsidR="00E3413B" w:rsidRPr="00554FAF" w:rsidRDefault="00E3413B" w:rsidP="00802FB3">
      <w:pPr>
        <w:pStyle w:val="Default"/>
        <w:numPr>
          <w:ilvl w:val="0"/>
          <w:numId w:val="50"/>
        </w:numPr>
        <w:spacing w:after="60"/>
        <w:jc w:val="both"/>
        <w:rPr>
          <w:lang w:val="sq-AL"/>
        </w:rPr>
      </w:pPr>
      <w:r w:rsidRPr="00554FAF">
        <w:rPr>
          <w:lang w:val="sq-AL"/>
        </w:rPr>
        <w:t>Përkrahje financiare e 20 NVM-ve për investime n</w:t>
      </w:r>
      <w:r w:rsidR="002726C9" w:rsidRPr="00554FAF">
        <w:rPr>
          <w:lang w:val="sq-AL"/>
        </w:rPr>
        <w:t>ë</w:t>
      </w:r>
      <w:r w:rsidRPr="00554FAF">
        <w:rPr>
          <w:lang w:val="sq-AL"/>
        </w:rPr>
        <w:t xml:space="preserve"> teknologji t</w:t>
      </w:r>
      <w:r w:rsidR="002726C9" w:rsidRPr="00554FAF">
        <w:rPr>
          <w:lang w:val="sq-AL"/>
        </w:rPr>
        <w:t>ë</w:t>
      </w:r>
      <w:r w:rsidRPr="00554FAF">
        <w:rPr>
          <w:lang w:val="sq-AL"/>
        </w:rPr>
        <w:t xml:space="preserve"> reja (makinerive prodhuese-përpunuese);</w:t>
      </w:r>
    </w:p>
    <w:p w14:paraId="3CC9B579" w14:textId="41459179" w:rsidR="00E3413B" w:rsidRPr="00554FAF" w:rsidRDefault="00E3413B" w:rsidP="00802FB3">
      <w:pPr>
        <w:pStyle w:val="Default"/>
        <w:numPr>
          <w:ilvl w:val="0"/>
          <w:numId w:val="50"/>
        </w:numPr>
        <w:spacing w:after="60"/>
        <w:jc w:val="both"/>
        <w:rPr>
          <w:lang w:val="sq-AL"/>
        </w:rPr>
      </w:pPr>
      <w:r w:rsidRPr="00554FAF">
        <w:rPr>
          <w:lang w:val="sq-AL"/>
        </w:rPr>
        <w:t>Vazhdimi i ndërtimit t</w:t>
      </w:r>
      <w:r w:rsidR="002726C9" w:rsidRPr="00554FAF">
        <w:rPr>
          <w:lang w:val="sq-AL"/>
        </w:rPr>
        <w:t>ë</w:t>
      </w:r>
      <w:r w:rsidRPr="00554FAF">
        <w:rPr>
          <w:lang w:val="sq-AL"/>
        </w:rPr>
        <w:t xml:space="preserve"> infrastrukturës fizike të tri zonave ekonomike, respektivisht të parqeve të biznesit (Suharekë, Viti dhe Vushtrri); </w:t>
      </w:r>
    </w:p>
    <w:p w14:paraId="3FFC20C8" w14:textId="5421A234" w:rsidR="00E3413B" w:rsidRPr="00BA1A1D" w:rsidRDefault="00E3413B" w:rsidP="00802FB3">
      <w:pPr>
        <w:pStyle w:val="Default"/>
        <w:numPr>
          <w:ilvl w:val="0"/>
          <w:numId w:val="50"/>
        </w:numPr>
        <w:spacing w:after="60"/>
        <w:jc w:val="both"/>
        <w:rPr>
          <w:lang w:val="sq-AL"/>
        </w:rPr>
      </w:pPr>
      <w:r w:rsidRPr="00554FAF">
        <w:rPr>
          <w:lang w:val="sq-AL"/>
        </w:rPr>
        <w:t>Organizimi i 4 forumeve për investime n</w:t>
      </w:r>
      <w:r w:rsidR="002726C9" w:rsidRPr="00554FAF">
        <w:rPr>
          <w:lang w:val="sq-AL"/>
        </w:rPr>
        <w:t>ë</w:t>
      </w:r>
      <w:r w:rsidRPr="00554FAF">
        <w:rPr>
          <w:lang w:val="sq-AL"/>
        </w:rPr>
        <w:t xml:space="preserve"> vendet evropiane, të cilat kanë për qëllim mbështetjen dhe rritjen e investimeve dhe eksportit. </w:t>
      </w:r>
    </w:p>
    <w:p w14:paraId="4682605D" w14:textId="77777777" w:rsidR="00E3413B" w:rsidRPr="00554FAF" w:rsidRDefault="00E3413B" w:rsidP="00BA1A1D">
      <w:pPr>
        <w:spacing w:after="60" w:line="240" w:lineRule="auto"/>
        <w:ind w:left="180" w:hanging="180"/>
        <w:rPr>
          <w:rFonts w:ascii="Times New Roman" w:hAnsi="Times New Roman" w:cs="Times New Roman"/>
          <w:b/>
          <w:bCs/>
          <w:sz w:val="24"/>
          <w:szCs w:val="24"/>
        </w:rPr>
      </w:pPr>
      <w:r w:rsidRPr="00554FAF">
        <w:rPr>
          <w:rFonts w:ascii="Times New Roman" w:hAnsi="Times New Roman" w:cs="Times New Roman"/>
          <w:b/>
          <w:bCs/>
          <w:sz w:val="24"/>
          <w:szCs w:val="24"/>
        </w:rPr>
        <w:t>b. Aktivitetet e planifikuara për 2021:</w:t>
      </w:r>
    </w:p>
    <w:p w14:paraId="12B7A31C" w14:textId="77777777" w:rsidR="00E3413B" w:rsidRPr="00554FAF" w:rsidRDefault="00E3413B" w:rsidP="00802FB3">
      <w:pPr>
        <w:pStyle w:val="Default"/>
        <w:numPr>
          <w:ilvl w:val="0"/>
          <w:numId w:val="51"/>
        </w:numPr>
        <w:spacing w:after="60"/>
        <w:jc w:val="both"/>
        <w:rPr>
          <w:lang w:val="sq-AL"/>
        </w:rPr>
      </w:pPr>
      <w:r w:rsidRPr="00554FAF">
        <w:rPr>
          <w:lang w:val="sq-AL"/>
        </w:rPr>
        <w:t>Studimi i zingjirit të vlerës për njërin nga sektorët me potencial më të madh industrial dhe krijimi i data-bazës për sektorin e përzgjedhur;</w:t>
      </w:r>
    </w:p>
    <w:p w14:paraId="29F91C0D" w14:textId="596961CF" w:rsidR="00E3413B" w:rsidRPr="00554FAF" w:rsidRDefault="00E3413B" w:rsidP="00802FB3">
      <w:pPr>
        <w:pStyle w:val="Default"/>
        <w:numPr>
          <w:ilvl w:val="0"/>
          <w:numId w:val="51"/>
        </w:numPr>
        <w:spacing w:after="60"/>
        <w:jc w:val="both"/>
        <w:rPr>
          <w:lang w:val="sq-AL"/>
        </w:rPr>
      </w:pPr>
      <w:r w:rsidRPr="00554FAF">
        <w:rPr>
          <w:lang w:val="sq-AL"/>
        </w:rPr>
        <w:t>Lehtësimi i pjesëmarrjes n</w:t>
      </w:r>
      <w:r w:rsidR="00602588" w:rsidRPr="00554FAF">
        <w:rPr>
          <w:lang w:val="sq-AL"/>
        </w:rPr>
        <w:t>ë</w:t>
      </w:r>
      <w:r w:rsidRPr="00554FAF">
        <w:rPr>
          <w:lang w:val="sq-AL"/>
        </w:rPr>
        <w:t xml:space="preserve"> së paku 10 Panaire Ndërkombëtare ku do t</w:t>
      </w:r>
      <w:r w:rsidR="00602588" w:rsidRPr="00554FAF">
        <w:rPr>
          <w:lang w:val="sq-AL"/>
        </w:rPr>
        <w:t>ë</w:t>
      </w:r>
      <w:r w:rsidRPr="00554FAF">
        <w:rPr>
          <w:lang w:val="sq-AL"/>
        </w:rPr>
        <w:t xml:space="preserve"> dërgohen 70 kompani prodhuese nga Kosova, me potencial eksportues; </w:t>
      </w:r>
    </w:p>
    <w:p w14:paraId="54B5DF03" w14:textId="77777777" w:rsidR="00E3413B" w:rsidRPr="00554FAF" w:rsidRDefault="00E3413B" w:rsidP="00802FB3">
      <w:pPr>
        <w:pStyle w:val="Default"/>
        <w:numPr>
          <w:ilvl w:val="0"/>
          <w:numId w:val="51"/>
        </w:numPr>
        <w:spacing w:after="60"/>
        <w:jc w:val="both"/>
        <w:rPr>
          <w:lang w:val="sq-AL"/>
        </w:rPr>
      </w:pPr>
      <w:r w:rsidRPr="00554FAF">
        <w:rPr>
          <w:lang w:val="sq-AL"/>
        </w:rPr>
        <w:t xml:space="preserve">Përkrahje e 15 NVM-ve për subvencionim në certifikimin e produktit dhe në ofrimin e këshillimeve me qëllim të rritjes së konkurueshmërisë dhe rritjes së eksportit;  </w:t>
      </w:r>
    </w:p>
    <w:p w14:paraId="60394A15" w14:textId="2BEA2C92" w:rsidR="00E3413B" w:rsidRPr="00554FAF" w:rsidRDefault="00E3413B" w:rsidP="00802FB3">
      <w:pPr>
        <w:pStyle w:val="Default"/>
        <w:numPr>
          <w:ilvl w:val="0"/>
          <w:numId w:val="51"/>
        </w:numPr>
        <w:spacing w:after="60"/>
        <w:jc w:val="both"/>
        <w:rPr>
          <w:lang w:val="sq-AL"/>
        </w:rPr>
      </w:pPr>
      <w:r w:rsidRPr="00554FAF">
        <w:rPr>
          <w:lang w:val="sq-AL"/>
        </w:rPr>
        <w:t>Përkrahje financiare e 20 NVM-ve për investime n</w:t>
      </w:r>
      <w:r w:rsidR="00602588" w:rsidRPr="00554FAF">
        <w:rPr>
          <w:lang w:val="sq-AL"/>
        </w:rPr>
        <w:t>ë</w:t>
      </w:r>
      <w:r w:rsidRPr="00554FAF">
        <w:rPr>
          <w:lang w:val="sq-AL"/>
        </w:rPr>
        <w:t xml:space="preserve"> teknologji t</w:t>
      </w:r>
      <w:r w:rsidR="00602588" w:rsidRPr="00554FAF">
        <w:rPr>
          <w:lang w:val="sq-AL"/>
        </w:rPr>
        <w:t>ë</w:t>
      </w:r>
      <w:r w:rsidRPr="00554FAF">
        <w:rPr>
          <w:lang w:val="sq-AL"/>
        </w:rPr>
        <w:t xml:space="preserve"> reja (makinerive prodhuese-përpunuese) </w:t>
      </w:r>
    </w:p>
    <w:p w14:paraId="10DBF939" w14:textId="77777777" w:rsidR="00E3413B" w:rsidRPr="00554FAF" w:rsidRDefault="00E3413B" w:rsidP="00802FB3">
      <w:pPr>
        <w:pStyle w:val="Default"/>
        <w:numPr>
          <w:ilvl w:val="0"/>
          <w:numId w:val="51"/>
        </w:numPr>
        <w:spacing w:after="60"/>
        <w:jc w:val="both"/>
        <w:rPr>
          <w:lang w:val="sq-AL"/>
        </w:rPr>
      </w:pPr>
      <w:r w:rsidRPr="00554FAF">
        <w:rPr>
          <w:lang w:val="sq-AL"/>
        </w:rPr>
        <w:t>Organizimi i 4 forume për investime, të cilat kanë për qëllim mbështetjen dhe rritjen e investimeve dhe eksportit.</w:t>
      </w:r>
    </w:p>
    <w:p w14:paraId="24877DEE" w14:textId="77777777" w:rsidR="00E3413B" w:rsidRPr="00554FAF" w:rsidRDefault="00E3413B" w:rsidP="000702CB">
      <w:pPr>
        <w:pStyle w:val="Default"/>
        <w:spacing w:after="60"/>
        <w:ind w:left="346"/>
        <w:jc w:val="both"/>
        <w:rPr>
          <w:lang w:val="sq-AL"/>
        </w:rPr>
      </w:pPr>
      <w:r w:rsidRPr="00554FAF">
        <w:rPr>
          <w:lang w:val="sq-AL"/>
        </w:rPr>
        <w:t xml:space="preserve"> </w:t>
      </w:r>
    </w:p>
    <w:p w14:paraId="7CF6D4DF" w14:textId="77777777" w:rsidR="00E3413B" w:rsidRPr="00554FAF" w:rsidRDefault="00E3413B" w:rsidP="000702CB">
      <w:pPr>
        <w:spacing w:after="60" w:line="240" w:lineRule="auto"/>
        <w:rPr>
          <w:rFonts w:ascii="Times New Roman" w:hAnsi="Times New Roman" w:cs="Times New Roman"/>
          <w:b/>
          <w:bCs/>
          <w:sz w:val="24"/>
          <w:szCs w:val="24"/>
        </w:rPr>
      </w:pPr>
      <w:r w:rsidRPr="00554FAF">
        <w:rPr>
          <w:rFonts w:ascii="Times New Roman" w:hAnsi="Times New Roman" w:cs="Times New Roman"/>
          <w:b/>
          <w:bCs/>
          <w:sz w:val="24"/>
          <w:szCs w:val="24"/>
        </w:rPr>
        <w:t xml:space="preserve">2. </w:t>
      </w:r>
      <w:r w:rsidRPr="00554FAF">
        <w:rPr>
          <w:rFonts w:ascii="Times New Roman" w:hAnsi="Times New Roman" w:cs="Times New Roman"/>
          <w:b/>
          <w:sz w:val="24"/>
          <w:szCs w:val="24"/>
        </w:rPr>
        <w:t>Treguesit e rezultateve</w:t>
      </w:r>
      <w:r w:rsidRPr="00554FAF">
        <w:rPr>
          <w:rFonts w:ascii="Times New Roman" w:hAnsi="Times New Roman" w:cs="Times New Roman"/>
          <w:b/>
          <w:bCs/>
          <w:sz w:val="24"/>
          <w:szCs w:val="24"/>
        </w:rPr>
        <w:t xml:space="preserve">: </w:t>
      </w:r>
    </w:p>
    <w:tbl>
      <w:tblPr>
        <w:tblpPr w:leftFromText="180" w:rightFromText="180" w:vertAnchor="text" w:horzAnchor="margin" w:tblpY="168"/>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5"/>
        <w:gridCol w:w="1170"/>
        <w:gridCol w:w="2160"/>
        <w:gridCol w:w="1170"/>
      </w:tblGrid>
      <w:tr w:rsidR="00E3413B" w:rsidRPr="00554FAF" w14:paraId="0956FDCB" w14:textId="77777777" w:rsidTr="004A424A">
        <w:trPr>
          <w:trHeight w:val="528"/>
        </w:trPr>
        <w:tc>
          <w:tcPr>
            <w:tcW w:w="4585" w:type="dxa"/>
            <w:shd w:val="clear" w:color="auto" w:fill="auto"/>
          </w:tcPr>
          <w:p w14:paraId="24515ECF" w14:textId="77777777" w:rsidR="00E3413B" w:rsidRPr="00554FAF" w:rsidRDefault="00E3413B" w:rsidP="000702CB">
            <w:pPr>
              <w:pStyle w:val="Default"/>
              <w:spacing w:after="60"/>
              <w:jc w:val="center"/>
              <w:rPr>
                <w:color w:val="auto"/>
                <w:lang w:val="sq-AL"/>
              </w:rPr>
            </w:pPr>
            <w:r w:rsidRPr="00554FAF">
              <w:rPr>
                <w:color w:val="auto"/>
                <w:lang w:val="sq-AL"/>
              </w:rPr>
              <w:t>Treguesi</w:t>
            </w:r>
          </w:p>
        </w:tc>
        <w:tc>
          <w:tcPr>
            <w:tcW w:w="1170" w:type="dxa"/>
            <w:shd w:val="clear" w:color="auto" w:fill="auto"/>
          </w:tcPr>
          <w:p w14:paraId="60AEDEF9" w14:textId="77777777" w:rsidR="00E3413B" w:rsidRPr="00554FAF" w:rsidRDefault="00E3413B" w:rsidP="000702CB">
            <w:pPr>
              <w:pStyle w:val="Default"/>
              <w:spacing w:after="60"/>
              <w:jc w:val="center"/>
              <w:rPr>
                <w:color w:val="auto"/>
                <w:lang w:val="sq-AL"/>
              </w:rPr>
            </w:pPr>
            <w:r w:rsidRPr="00554FAF">
              <w:rPr>
                <w:color w:val="auto"/>
                <w:lang w:val="sq-AL"/>
              </w:rPr>
              <w:t>Baza 2018</w:t>
            </w:r>
          </w:p>
        </w:tc>
        <w:tc>
          <w:tcPr>
            <w:tcW w:w="2160" w:type="dxa"/>
            <w:shd w:val="clear" w:color="auto" w:fill="auto"/>
          </w:tcPr>
          <w:p w14:paraId="2FACE401" w14:textId="51BCB5D4" w:rsidR="00E3413B" w:rsidRPr="00554FAF" w:rsidRDefault="00F517B8" w:rsidP="000702CB">
            <w:pPr>
              <w:pStyle w:val="Default"/>
              <w:spacing w:after="60"/>
              <w:jc w:val="center"/>
              <w:rPr>
                <w:color w:val="auto"/>
                <w:lang w:val="sq-AL"/>
              </w:rPr>
            </w:pPr>
            <w:r w:rsidRPr="00554FAF">
              <w:rPr>
                <w:color w:val="auto"/>
                <w:lang w:val="sq-AL"/>
              </w:rPr>
              <w:t xml:space="preserve">Synime </w:t>
            </w:r>
            <w:r w:rsidR="00E3413B" w:rsidRPr="00554FAF">
              <w:rPr>
                <w:color w:val="auto"/>
                <w:lang w:val="sq-AL"/>
              </w:rPr>
              <w:t>i ndërmjetëm   2020</w:t>
            </w:r>
          </w:p>
        </w:tc>
        <w:tc>
          <w:tcPr>
            <w:tcW w:w="1170" w:type="dxa"/>
            <w:shd w:val="clear" w:color="auto" w:fill="auto"/>
          </w:tcPr>
          <w:p w14:paraId="16B3C345" w14:textId="77777777" w:rsidR="00E3413B" w:rsidRPr="00554FAF" w:rsidRDefault="00E3413B" w:rsidP="000702CB">
            <w:pPr>
              <w:pStyle w:val="Default"/>
              <w:spacing w:after="60"/>
              <w:jc w:val="center"/>
              <w:rPr>
                <w:color w:val="auto"/>
                <w:lang w:val="sq-AL"/>
              </w:rPr>
            </w:pPr>
            <w:r w:rsidRPr="00554FAF">
              <w:rPr>
                <w:color w:val="auto"/>
                <w:lang w:val="sq-AL"/>
              </w:rPr>
              <w:t>Synimi 2022</w:t>
            </w:r>
          </w:p>
        </w:tc>
      </w:tr>
      <w:tr w:rsidR="00E3413B" w:rsidRPr="00554FAF" w14:paraId="067F5E6C" w14:textId="77777777" w:rsidTr="004A424A">
        <w:trPr>
          <w:trHeight w:val="443"/>
        </w:trPr>
        <w:tc>
          <w:tcPr>
            <w:tcW w:w="4585" w:type="dxa"/>
            <w:shd w:val="clear" w:color="auto" w:fill="auto"/>
          </w:tcPr>
          <w:p w14:paraId="69531269" w14:textId="77777777" w:rsidR="00E3413B" w:rsidRPr="00554FAF" w:rsidRDefault="00E3413B" w:rsidP="000702CB">
            <w:pPr>
              <w:pStyle w:val="Default"/>
              <w:spacing w:after="60"/>
              <w:jc w:val="both"/>
              <w:rPr>
                <w:iCs/>
                <w:lang w:val="sq-AL"/>
              </w:rPr>
            </w:pPr>
            <w:r w:rsidRPr="00554FAF">
              <w:rPr>
                <w:lang w:val="sq-AL"/>
              </w:rPr>
              <w:t>Pjesëmarrja e Industrisë Përpunuese në BPV të përgjithshëm (%)</w:t>
            </w:r>
          </w:p>
        </w:tc>
        <w:tc>
          <w:tcPr>
            <w:tcW w:w="1170" w:type="dxa"/>
            <w:shd w:val="clear" w:color="auto" w:fill="auto"/>
          </w:tcPr>
          <w:p w14:paraId="32F632CB" w14:textId="77777777" w:rsidR="00E3413B" w:rsidRPr="00554FAF" w:rsidRDefault="00E3413B" w:rsidP="000702CB">
            <w:pPr>
              <w:pStyle w:val="Default"/>
              <w:spacing w:after="60"/>
              <w:jc w:val="center"/>
              <w:rPr>
                <w:iCs/>
                <w:lang w:val="sq-AL"/>
              </w:rPr>
            </w:pPr>
            <w:r w:rsidRPr="00554FAF">
              <w:rPr>
                <w:lang w:val="sq-AL"/>
              </w:rPr>
              <w:t>11.08%</w:t>
            </w:r>
          </w:p>
        </w:tc>
        <w:tc>
          <w:tcPr>
            <w:tcW w:w="2160" w:type="dxa"/>
            <w:shd w:val="clear" w:color="auto" w:fill="auto"/>
          </w:tcPr>
          <w:p w14:paraId="2A0757C2" w14:textId="77777777" w:rsidR="00E3413B" w:rsidRPr="00554FAF" w:rsidRDefault="00E3413B" w:rsidP="000702CB">
            <w:pPr>
              <w:pStyle w:val="Default"/>
              <w:spacing w:after="60"/>
              <w:jc w:val="center"/>
              <w:rPr>
                <w:iCs/>
                <w:lang w:val="sq-AL"/>
              </w:rPr>
            </w:pPr>
            <w:r w:rsidRPr="00554FAF">
              <w:rPr>
                <w:lang w:val="sq-AL"/>
              </w:rPr>
              <w:t>12%</w:t>
            </w:r>
          </w:p>
        </w:tc>
        <w:tc>
          <w:tcPr>
            <w:tcW w:w="1170" w:type="dxa"/>
            <w:shd w:val="clear" w:color="auto" w:fill="auto"/>
          </w:tcPr>
          <w:p w14:paraId="76BE8849" w14:textId="77777777" w:rsidR="00E3413B" w:rsidRPr="00554FAF" w:rsidRDefault="00E3413B" w:rsidP="000702CB">
            <w:pPr>
              <w:pStyle w:val="Default"/>
              <w:spacing w:after="60"/>
              <w:jc w:val="center"/>
              <w:rPr>
                <w:iCs/>
                <w:lang w:val="sq-AL"/>
              </w:rPr>
            </w:pPr>
            <w:r w:rsidRPr="00554FAF">
              <w:rPr>
                <w:lang w:val="sq-AL"/>
              </w:rPr>
              <w:t>13%</w:t>
            </w:r>
          </w:p>
        </w:tc>
      </w:tr>
      <w:tr w:rsidR="00E3413B" w:rsidRPr="00554FAF" w14:paraId="3223B6EC" w14:textId="77777777" w:rsidTr="004A424A">
        <w:trPr>
          <w:trHeight w:val="528"/>
        </w:trPr>
        <w:tc>
          <w:tcPr>
            <w:tcW w:w="4585" w:type="dxa"/>
            <w:shd w:val="clear" w:color="auto" w:fill="auto"/>
          </w:tcPr>
          <w:p w14:paraId="5F55F920" w14:textId="77777777" w:rsidR="00E3413B" w:rsidRPr="00554FAF" w:rsidRDefault="00E3413B" w:rsidP="000702CB">
            <w:pPr>
              <w:keepNext/>
              <w:spacing w:after="60" w:line="240" w:lineRule="auto"/>
              <w:rPr>
                <w:rFonts w:ascii="Times New Roman" w:hAnsi="Times New Roman" w:cs="Times New Roman"/>
                <w:sz w:val="24"/>
                <w:szCs w:val="24"/>
              </w:rPr>
            </w:pPr>
            <w:r w:rsidRPr="00554FAF">
              <w:rPr>
                <w:rFonts w:ascii="Times New Roman" w:hAnsi="Times New Roman" w:cs="Times New Roman"/>
                <w:sz w:val="24"/>
                <w:szCs w:val="24"/>
              </w:rPr>
              <w:t>Numri i kompanive të përkrahura për certifikimin e produkteve  për tregun e BE-së</w:t>
            </w:r>
          </w:p>
        </w:tc>
        <w:tc>
          <w:tcPr>
            <w:tcW w:w="1170" w:type="dxa"/>
            <w:shd w:val="clear" w:color="auto" w:fill="auto"/>
          </w:tcPr>
          <w:p w14:paraId="00431AB1" w14:textId="77777777" w:rsidR="00E3413B" w:rsidRPr="00554FAF" w:rsidRDefault="00E3413B" w:rsidP="000702CB">
            <w:pPr>
              <w:pStyle w:val="Default"/>
              <w:spacing w:after="60"/>
              <w:jc w:val="center"/>
              <w:rPr>
                <w:iCs/>
                <w:lang w:val="sq-AL"/>
              </w:rPr>
            </w:pPr>
            <w:r w:rsidRPr="00554FAF">
              <w:rPr>
                <w:iCs/>
                <w:lang w:val="sq-AL"/>
              </w:rPr>
              <w:t>4</w:t>
            </w:r>
          </w:p>
        </w:tc>
        <w:tc>
          <w:tcPr>
            <w:tcW w:w="2160" w:type="dxa"/>
            <w:shd w:val="clear" w:color="auto" w:fill="auto"/>
          </w:tcPr>
          <w:p w14:paraId="2963B884" w14:textId="77777777" w:rsidR="00E3413B" w:rsidRPr="00554FAF" w:rsidRDefault="00E3413B" w:rsidP="000702CB">
            <w:pPr>
              <w:pStyle w:val="Default"/>
              <w:spacing w:after="60"/>
              <w:jc w:val="center"/>
              <w:rPr>
                <w:lang w:val="sq-AL"/>
              </w:rPr>
            </w:pPr>
            <w:r w:rsidRPr="00554FAF">
              <w:rPr>
                <w:lang w:val="sq-AL"/>
              </w:rPr>
              <w:t>40</w:t>
            </w:r>
          </w:p>
        </w:tc>
        <w:tc>
          <w:tcPr>
            <w:tcW w:w="1170" w:type="dxa"/>
            <w:shd w:val="clear" w:color="auto" w:fill="auto"/>
          </w:tcPr>
          <w:p w14:paraId="71AA6CFA" w14:textId="77777777" w:rsidR="00E3413B" w:rsidRPr="00554FAF" w:rsidRDefault="00E3413B" w:rsidP="000702CB">
            <w:pPr>
              <w:pStyle w:val="Default"/>
              <w:spacing w:after="60"/>
              <w:jc w:val="center"/>
              <w:rPr>
                <w:iCs/>
                <w:lang w:val="sq-AL"/>
              </w:rPr>
            </w:pPr>
            <w:r w:rsidRPr="00554FAF">
              <w:rPr>
                <w:iCs/>
                <w:lang w:val="sq-AL"/>
              </w:rPr>
              <w:t>N/A</w:t>
            </w:r>
          </w:p>
        </w:tc>
      </w:tr>
    </w:tbl>
    <w:p w14:paraId="1F2D3834" w14:textId="77777777" w:rsidR="00E3413B" w:rsidRPr="00554FAF" w:rsidRDefault="00E3413B" w:rsidP="000702CB">
      <w:pPr>
        <w:spacing w:after="60" w:line="240" w:lineRule="auto"/>
        <w:rPr>
          <w:rFonts w:ascii="Times New Roman" w:hAnsi="Times New Roman" w:cs="Times New Roman"/>
          <w:b/>
          <w:bCs/>
          <w:sz w:val="24"/>
          <w:szCs w:val="24"/>
        </w:rPr>
      </w:pPr>
    </w:p>
    <w:p w14:paraId="24D1ECC6" w14:textId="26C12FA6" w:rsidR="00E3413B" w:rsidRPr="00554FAF" w:rsidRDefault="00E3413B"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b/>
          <w:bCs/>
          <w:sz w:val="24"/>
          <w:szCs w:val="24"/>
        </w:rPr>
        <w:t xml:space="preserve">3. Ndikimi i pritur në konkurrueshmëri: </w:t>
      </w:r>
      <w:r w:rsidRPr="00554FAF">
        <w:rPr>
          <w:rFonts w:ascii="Times New Roman" w:hAnsi="Times New Roman" w:cs="Times New Roman"/>
          <w:sz w:val="24"/>
          <w:szCs w:val="24"/>
        </w:rPr>
        <w:t xml:space="preserve">Zhvillimi i politikave në sektorët industrial (studimet) do të kenë ndikim në krijimin e mundësive të reja dhe identifikimin e fushave për përmirësimin e mjedisit të biznesit, si dhe rrjetëzimin e ndërmarrjeve në sektorët me potencial zhvillimi përmes zingjirit të vlerës. </w:t>
      </w:r>
      <w:r w:rsidR="00F517B8" w:rsidRPr="00554FAF">
        <w:rPr>
          <w:rFonts w:ascii="Times New Roman" w:hAnsi="Times New Roman" w:cs="Times New Roman"/>
          <w:sz w:val="24"/>
          <w:szCs w:val="24"/>
        </w:rPr>
        <w:t xml:space="preserve">Zbatimi </w:t>
      </w:r>
      <w:r w:rsidRPr="00554FAF">
        <w:rPr>
          <w:rFonts w:ascii="Times New Roman" w:hAnsi="Times New Roman" w:cs="Times New Roman"/>
          <w:sz w:val="24"/>
          <w:szCs w:val="24"/>
        </w:rPr>
        <w:t xml:space="preserve">i masave të </w:t>
      </w:r>
      <w:r w:rsidR="00F517B8" w:rsidRPr="00554FAF">
        <w:rPr>
          <w:rFonts w:ascii="Times New Roman" w:hAnsi="Times New Roman" w:cs="Times New Roman"/>
          <w:sz w:val="24"/>
          <w:szCs w:val="24"/>
        </w:rPr>
        <w:t xml:space="preserve">politikave </w:t>
      </w:r>
      <w:r w:rsidRPr="00554FAF">
        <w:rPr>
          <w:rFonts w:ascii="Times New Roman" w:hAnsi="Times New Roman" w:cs="Times New Roman"/>
          <w:sz w:val="24"/>
          <w:szCs w:val="24"/>
        </w:rPr>
        <w:t xml:space="preserve">industriale do të </w:t>
      </w:r>
      <w:r w:rsidR="00EA0B1C" w:rsidRPr="00554FAF">
        <w:rPr>
          <w:rFonts w:ascii="Times New Roman" w:hAnsi="Times New Roman" w:cs="Times New Roman"/>
          <w:sz w:val="24"/>
          <w:szCs w:val="24"/>
        </w:rPr>
        <w:t>mbështes</w:t>
      </w:r>
      <w:r w:rsidR="00F517B8" w:rsidRPr="00554FAF">
        <w:rPr>
          <w:rFonts w:ascii="Times New Roman" w:hAnsi="Times New Roman" w:cs="Times New Roman"/>
          <w:sz w:val="24"/>
          <w:szCs w:val="24"/>
        </w:rPr>
        <w:t xml:space="preserve"> </w:t>
      </w:r>
      <w:r w:rsidRPr="00554FAF">
        <w:rPr>
          <w:rFonts w:ascii="Times New Roman" w:hAnsi="Times New Roman" w:cs="Times New Roman"/>
          <w:sz w:val="24"/>
          <w:szCs w:val="24"/>
        </w:rPr>
        <w:t>krijimin e produkteve inovative me vlerë t</w:t>
      </w:r>
      <w:r w:rsidR="00F517B8" w:rsidRPr="00554FAF">
        <w:rPr>
          <w:rFonts w:ascii="Times New Roman" w:hAnsi="Times New Roman" w:cs="Times New Roman"/>
          <w:sz w:val="24"/>
          <w:szCs w:val="24"/>
        </w:rPr>
        <w:t>ë</w:t>
      </w:r>
      <w:r w:rsidRPr="00554FAF">
        <w:rPr>
          <w:rFonts w:ascii="Times New Roman" w:hAnsi="Times New Roman" w:cs="Times New Roman"/>
          <w:sz w:val="24"/>
          <w:szCs w:val="24"/>
        </w:rPr>
        <w:t xml:space="preserve"> shtuar, duke shfrytëzuar në bizneset e tyre përparësitë nga teknologjia moderne</w:t>
      </w:r>
      <w:r w:rsidR="00F517B8" w:rsidRPr="00554FAF">
        <w:rPr>
          <w:rFonts w:ascii="Times New Roman" w:hAnsi="Times New Roman" w:cs="Times New Roman"/>
          <w:sz w:val="24"/>
          <w:szCs w:val="24"/>
        </w:rPr>
        <w:t xml:space="preserve"> </w:t>
      </w:r>
      <w:r w:rsidRPr="00554FAF">
        <w:rPr>
          <w:rFonts w:ascii="Times New Roman" w:hAnsi="Times New Roman" w:cs="Times New Roman"/>
          <w:sz w:val="24"/>
          <w:szCs w:val="24"/>
        </w:rPr>
        <w:t xml:space="preserve">dhe mundësitë e bashkëpunimit të kompanive vendore me partnerë të rajonit dhe të BE-së. Investimet në zonat ekonomike, teknologjitë e reja dhe modernizimi të industrisë, do të </w:t>
      </w:r>
      <w:r w:rsidR="00F517B8" w:rsidRPr="00554FAF">
        <w:rPr>
          <w:rFonts w:ascii="Times New Roman" w:hAnsi="Times New Roman" w:cs="Times New Roman"/>
          <w:sz w:val="24"/>
          <w:szCs w:val="24"/>
        </w:rPr>
        <w:t xml:space="preserve">rrisin </w:t>
      </w:r>
      <w:r w:rsidRPr="00554FAF">
        <w:rPr>
          <w:rFonts w:ascii="Times New Roman" w:hAnsi="Times New Roman" w:cs="Times New Roman"/>
          <w:sz w:val="24"/>
          <w:szCs w:val="24"/>
        </w:rPr>
        <w:t>kualitetin e produkteve, konkur</w:t>
      </w:r>
      <w:r w:rsidR="00EA0B1C" w:rsidRPr="00554FAF">
        <w:rPr>
          <w:rFonts w:ascii="Times New Roman" w:hAnsi="Times New Roman" w:cs="Times New Roman"/>
          <w:sz w:val="24"/>
          <w:szCs w:val="24"/>
        </w:rPr>
        <w:t>r</w:t>
      </w:r>
      <w:r w:rsidRPr="00554FAF">
        <w:rPr>
          <w:rFonts w:ascii="Times New Roman" w:hAnsi="Times New Roman" w:cs="Times New Roman"/>
          <w:sz w:val="24"/>
          <w:szCs w:val="24"/>
        </w:rPr>
        <w:t>ueshmërinë në nivel të kompanive, me</w:t>
      </w:r>
      <w:r w:rsidR="00F517B8" w:rsidRPr="00554FAF">
        <w:rPr>
          <w:rFonts w:ascii="Times New Roman" w:hAnsi="Times New Roman" w:cs="Times New Roman"/>
          <w:sz w:val="24"/>
          <w:szCs w:val="24"/>
        </w:rPr>
        <w:t xml:space="preserve"> </w:t>
      </w:r>
      <w:r w:rsidR="00EA0B1C" w:rsidRPr="00554FAF">
        <w:rPr>
          <w:rFonts w:ascii="Times New Roman" w:hAnsi="Times New Roman" w:cs="Times New Roman"/>
          <w:sz w:val="24"/>
          <w:szCs w:val="24"/>
        </w:rPr>
        <w:t>ç ‘rast</w:t>
      </w:r>
      <w:r w:rsidRPr="00554FAF">
        <w:rPr>
          <w:rFonts w:ascii="Times New Roman" w:hAnsi="Times New Roman" w:cs="Times New Roman"/>
          <w:sz w:val="24"/>
          <w:szCs w:val="24"/>
        </w:rPr>
        <w:t xml:space="preserve"> hapen mundësitë për përmirësimin e konkurueshmërisë në ekonomi. Pjesëmarrja n</w:t>
      </w:r>
      <w:r w:rsidR="00F517B8" w:rsidRPr="00554FAF">
        <w:rPr>
          <w:rFonts w:ascii="Times New Roman" w:hAnsi="Times New Roman" w:cs="Times New Roman"/>
          <w:sz w:val="24"/>
          <w:szCs w:val="24"/>
        </w:rPr>
        <w:t>ë</w:t>
      </w:r>
      <w:r w:rsidRPr="00554FAF">
        <w:rPr>
          <w:rFonts w:ascii="Times New Roman" w:hAnsi="Times New Roman" w:cs="Times New Roman"/>
          <w:sz w:val="24"/>
          <w:szCs w:val="24"/>
        </w:rPr>
        <w:t xml:space="preserve"> panaire ndërkombëtare do t’iu ofron mundësinë ndërmarrjeve që të jenë pjesë e tregut global si dhe rritjen e potencialeve për eksport. Po ashtu, kjo masë do t</w:t>
      </w:r>
      <w:r w:rsidR="00F517B8" w:rsidRPr="00554FAF">
        <w:rPr>
          <w:rFonts w:ascii="Times New Roman" w:hAnsi="Times New Roman" w:cs="Times New Roman"/>
          <w:sz w:val="24"/>
          <w:szCs w:val="24"/>
        </w:rPr>
        <w:t>’</w:t>
      </w:r>
      <w:r w:rsidRPr="00554FAF">
        <w:rPr>
          <w:rFonts w:ascii="Times New Roman" w:hAnsi="Times New Roman" w:cs="Times New Roman"/>
          <w:sz w:val="24"/>
          <w:szCs w:val="24"/>
        </w:rPr>
        <w:t>u mundëson kompanive të jenë me produktive duke përdorur teknologjinë e avancuar si dhe punësimin e stafit me kualifikime adekuate.</w:t>
      </w:r>
    </w:p>
    <w:p w14:paraId="24751F27" w14:textId="717291AF" w:rsidR="00E3413B" w:rsidRPr="00554FAF" w:rsidRDefault="00E3413B" w:rsidP="000702CB">
      <w:pPr>
        <w:spacing w:after="60" w:line="240" w:lineRule="auto"/>
        <w:jc w:val="both"/>
        <w:rPr>
          <w:rFonts w:ascii="Times New Roman" w:hAnsi="Times New Roman" w:cs="Times New Roman"/>
          <w:b/>
          <w:sz w:val="24"/>
          <w:szCs w:val="24"/>
        </w:rPr>
      </w:pPr>
      <w:r w:rsidRPr="00554FAF">
        <w:rPr>
          <w:rFonts w:ascii="Times New Roman" w:hAnsi="Times New Roman" w:cs="Times New Roman"/>
          <w:b/>
          <w:bCs/>
          <w:sz w:val="24"/>
          <w:szCs w:val="24"/>
        </w:rPr>
        <w:t xml:space="preserve">4. Vlerësimi i kostos së aktiviteteve dhe </w:t>
      </w:r>
      <w:r w:rsidRPr="00554FAF">
        <w:rPr>
          <w:rFonts w:ascii="Times New Roman" w:hAnsi="Times New Roman" w:cs="Times New Roman"/>
          <w:b/>
          <w:sz w:val="24"/>
          <w:szCs w:val="24"/>
        </w:rPr>
        <w:t xml:space="preserve">burimet e financimit: </w:t>
      </w:r>
      <w:r w:rsidRPr="00554FAF">
        <w:rPr>
          <w:rFonts w:ascii="Times New Roman" w:hAnsi="Times New Roman" w:cs="Times New Roman"/>
          <w:bCs/>
          <w:sz w:val="24"/>
          <w:szCs w:val="24"/>
        </w:rPr>
        <w:t>Shuma e përgjithshme e buxhetit t</w:t>
      </w:r>
      <w:r w:rsidR="00F517B8" w:rsidRPr="00554FAF">
        <w:rPr>
          <w:rFonts w:ascii="Times New Roman" w:hAnsi="Times New Roman" w:cs="Times New Roman"/>
          <w:bCs/>
          <w:sz w:val="24"/>
          <w:szCs w:val="24"/>
        </w:rPr>
        <w:t>ë</w:t>
      </w:r>
      <w:r w:rsidRPr="00554FAF">
        <w:rPr>
          <w:rFonts w:ascii="Times New Roman" w:hAnsi="Times New Roman" w:cs="Times New Roman"/>
          <w:bCs/>
          <w:sz w:val="24"/>
          <w:szCs w:val="24"/>
        </w:rPr>
        <w:t xml:space="preserve"> planifikuar për këto aktivitete për 2 vite është 4,138,890.00 euro, e ndar</w:t>
      </w:r>
      <w:r w:rsidR="00F517B8" w:rsidRPr="00554FAF">
        <w:rPr>
          <w:rFonts w:ascii="Times New Roman" w:hAnsi="Times New Roman" w:cs="Times New Roman"/>
          <w:bCs/>
          <w:sz w:val="24"/>
          <w:szCs w:val="24"/>
        </w:rPr>
        <w:t>ë</w:t>
      </w:r>
      <w:r w:rsidRPr="00554FAF">
        <w:rPr>
          <w:rFonts w:ascii="Times New Roman" w:hAnsi="Times New Roman" w:cs="Times New Roman"/>
          <w:bCs/>
          <w:sz w:val="24"/>
          <w:szCs w:val="24"/>
        </w:rPr>
        <w:t xml:space="preserve"> sipas viteve: 2,993,890.00 euro për vitin 2020 dhe 1,205,000.00 euro për vitin 2021. </w:t>
      </w:r>
      <w:r w:rsidR="00170647" w:rsidRPr="00554FAF">
        <w:rPr>
          <w:rFonts w:ascii="Times New Roman" w:hAnsi="Times New Roman" w:cs="Times New Roman"/>
          <w:bCs/>
          <w:sz w:val="24"/>
          <w:szCs w:val="24"/>
        </w:rPr>
        <w:t>Prej këtij buxheti, 1,700,00 euro janë të planifikuara me shpenzime kapitale të dedikuara për ndërtimin e infrastrukturës fizike të tri zonave ekonomike. 1,150,000 euro janë planifikuar si subvencioneve dhe transf</w:t>
      </w:r>
      <w:r w:rsidR="00EA0B1C" w:rsidRPr="00554FAF">
        <w:rPr>
          <w:rFonts w:ascii="Times New Roman" w:hAnsi="Times New Roman" w:cs="Times New Roman"/>
          <w:bCs/>
          <w:sz w:val="24"/>
          <w:szCs w:val="24"/>
        </w:rPr>
        <w:t>ere për vitet 2020 dhe 2021, pë</w:t>
      </w:r>
      <w:r w:rsidR="00170647" w:rsidRPr="00554FAF">
        <w:rPr>
          <w:rFonts w:ascii="Times New Roman" w:hAnsi="Times New Roman" w:cs="Times New Roman"/>
          <w:bCs/>
          <w:sz w:val="24"/>
          <w:szCs w:val="24"/>
        </w:rPr>
        <w:t>r ofrimin e mbështetjes financiare of SME, duke i mbështetur ata mbi certifikimin e produkteve dhe pjesëmarrjen e tyre në panairet ndërkombëtare.</w:t>
      </w:r>
    </w:p>
    <w:p w14:paraId="3C38EFFD" w14:textId="39ACC6D3" w:rsidR="00E3413B" w:rsidRPr="00554FAF" w:rsidRDefault="00E3413B" w:rsidP="000702CB">
      <w:pPr>
        <w:spacing w:after="60" w:line="240" w:lineRule="auto"/>
        <w:jc w:val="both"/>
        <w:rPr>
          <w:rFonts w:ascii="Times New Roman" w:hAnsi="Times New Roman" w:cs="Times New Roman"/>
          <w:b/>
          <w:bCs/>
          <w:color w:val="000000"/>
          <w:sz w:val="24"/>
          <w:szCs w:val="24"/>
        </w:rPr>
      </w:pPr>
      <w:r w:rsidRPr="00BA1A1D">
        <w:rPr>
          <w:rFonts w:ascii="Times New Roman" w:hAnsi="Times New Roman" w:cs="Times New Roman"/>
          <w:b/>
          <w:bCs/>
          <w:sz w:val="24"/>
          <w:szCs w:val="24"/>
        </w:rPr>
        <w:t xml:space="preserve">5. Ndikimet e pritshme mbi rezultatet sociale, të tilla si punësimi, reduktimi i varfërisë, barazia gjinore: </w:t>
      </w:r>
      <w:r w:rsidRPr="00BA1A1D">
        <w:rPr>
          <w:rFonts w:ascii="Times New Roman" w:hAnsi="Times New Roman" w:cs="Times New Roman"/>
          <w:sz w:val="24"/>
          <w:szCs w:val="24"/>
        </w:rPr>
        <w:t>Priten efekte pozitive në rritjen e punësimit në sektorët industrial t</w:t>
      </w:r>
      <w:r w:rsidRPr="00BA1A1D">
        <w:rPr>
          <w:rFonts w:ascii="Times New Roman" w:hAnsi="Times New Roman" w:cs="Times New Roman"/>
          <w:bCs/>
          <w:sz w:val="24"/>
          <w:szCs w:val="24"/>
        </w:rPr>
        <w:t>ë</w:t>
      </w:r>
      <w:r w:rsidRPr="00BA1A1D">
        <w:rPr>
          <w:rFonts w:ascii="Times New Roman" w:hAnsi="Times New Roman" w:cs="Times New Roman"/>
          <w:sz w:val="24"/>
          <w:szCs w:val="24"/>
        </w:rPr>
        <w:t xml:space="preserve"> </w:t>
      </w:r>
      <w:r w:rsidR="00F517B8" w:rsidRPr="00BA1A1D">
        <w:rPr>
          <w:rFonts w:ascii="Times New Roman" w:hAnsi="Times New Roman" w:cs="Times New Roman"/>
          <w:sz w:val="24"/>
          <w:szCs w:val="24"/>
        </w:rPr>
        <w:t>synuar</w:t>
      </w:r>
      <w:r w:rsidRPr="00BA1A1D">
        <w:rPr>
          <w:rFonts w:ascii="Times New Roman" w:hAnsi="Times New Roman" w:cs="Times New Roman"/>
          <w:sz w:val="24"/>
          <w:szCs w:val="24"/>
        </w:rPr>
        <w:t>. Si rezultat i zbatimit të kësaj mase pritet që të krijohen mundësi punësi</w:t>
      </w:r>
      <w:r w:rsidR="00252FC2" w:rsidRPr="00BA1A1D">
        <w:rPr>
          <w:rFonts w:ascii="Times New Roman" w:hAnsi="Times New Roman" w:cs="Times New Roman"/>
          <w:sz w:val="24"/>
          <w:szCs w:val="24"/>
        </w:rPr>
        <w:t>mi për rreth 200 persona në vit dhe do të sigurohet barazia gjinore.</w:t>
      </w:r>
    </w:p>
    <w:p w14:paraId="2E609735" w14:textId="44BFDE01" w:rsidR="00E3413B" w:rsidRPr="00BA1A1D" w:rsidRDefault="00E3413B" w:rsidP="00BA1A1D">
      <w:pPr>
        <w:pStyle w:val="Default"/>
        <w:spacing w:after="60"/>
        <w:jc w:val="both"/>
        <w:rPr>
          <w:bCs/>
          <w:iCs/>
          <w:lang w:val="sq-AL"/>
        </w:rPr>
      </w:pPr>
      <w:r w:rsidRPr="00554FAF">
        <w:rPr>
          <w:b/>
          <w:bCs/>
          <w:lang w:val="sq-AL"/>
        </w:rPr>
        <w:t xml:space="preserve">6. Ndikimi i pritshëm në mjedis: </w:t>
      </w:r>
      <w:r w:rsidR="00F517B8" w:rsidRPr="00554FAF">
        <w:rPr>
          <w:bCs/>
          <w:iCs/>
          <w:lang w:val="sq-AL"/>
        </w:rPr>
        <w:t>I</w:t>
      </w:r>
      <w:r w:rsidRPr="00554FAF">
        <w:rPr>
          <w:bCs/>
          <w:iCs/>
          <w:lang w:val="sq-AL"/>
        </w:rPr>
        <w:t>nvestim</w:t>
      </w:r>
      <w:r w:rsidR="00F517B8" w:rsidRPr="00554FAF">
        <w:rPr>
          <w:bCs/>
          <w:iCs/>
          <w:lang w:val="sq-AL"/>
        </w:rPr>
        <w:t>e</w:t>
      </w:r>
      <w:r w:rsidRPr="00554FAF">
        <w:rPr>
          <w:bCs/>
          <w:iCs/>
          <w:lang w:val="sq-AL"/>
        </w:rPr>
        <w:t>t në zonat ekonomike, pritet të ke</w:t>
      </w:r>
      <w:r w:rsidR="00F517B8" w:rsidRPr="00554FAF">
        <w:rPr>
          <w:bCs/>
          <w:iCs/>
          <w:lang w:val="sq-AL"/>
        </w:rPr>
        <w:t>n</w:t>
      </w:r>
      <w:r w:rsidRPr="00554FAF">
        <w:rPr>
          <w:bCs/>
          <w:iCs/>
          <w:lang w:val="sq-AL"/>
        </w:rPr>
        <w:t>ë ndikim në mjedis gjat</w:t>
      </w:r>
      <w:r w:rsidR="00F517B8" w:rsidRPr="00554FAF">
        <w:rPr>
          <w:bCs/>
          <w:iCs/>
          <w:lang w:val="sq-AL"/>
        </w:rPr>
        <w:t>ë</w:t>
      </w:r>
      <w:r w:rsidRPr="00554FAF">
        <w:rPr>
          <w:bCs/>
          <w:iCs/>
          <w:lang w:val="sq-AL"/>
        </w:rPr>
        <w:t xml:space="preserve"> punëve n</w:t>
      </w:r>
      <w:r w:rsidR="00F517B8" w:rsidRPr="00554FAF">
        <w:rPr>
          <w:bCs/>
          <w:iCs/>
          <w:lang w:val="sq-AL"/>
        </w:rPr>
        <w:t>ë</w:t>
      </w:r>
      <w:r w:rsidRPr="00554FAF">
        <w:rPr>
          <w:bCs/>
          <w:iCs/>
          <w:lang w:val="sq-AL"/>
        </w:rPr>
        <w:t xml:space="preserve"> ndërtim t</w:t>
      </w:r>
      <w:r w:rsidR="00F517B8" w:rsidRPr="00554FAF">
        <w:rPr>
          <w:bCs/>
          <w:iCs/>
          <w:lang w:val="sq-AL"/>
        </w:rPr>
        <w:t>ë</w:t>
      </w:r>
      <w:r w:rsidRPr="00554FAF">
        <w:rPr>
          <w:bCs/>
          <w:iCs/>
          <w:lang w:val="sq-AL"/>
        </w:rPr>
        <w:t xml:space="preserve"> infrastrukturës. Megjithatë para miratimit për investime, bëhet studimi i fizibilitetit që përfshinë edhe ndikimin në mjedis. Gjithashtu</w:t>
      </w:r>
      <w:r w:rsidR="00F517B8" w:rsidRPr="00554FAF">
        <w:rPr>
          <w:bCs/>
          <w:iCs/>
          <w:lang w:val="sq-AL"/>
        </w:rPr>
        <w:t>,</w:t>
      </w:r>
      <w:r w:rsidRPr="00554FAF">
        <w:rPr>
          <w:bCs/>
          <w:iCs/>
          <w:lang w:val="sq-AL"/>
        </w:rPr>
        <w:t xml:space="preserve"> bizneset obligohen q</w:t>
      </w:r>
      <w:r w:rsidR="00F517B8" w:rsidRPr="00554FAF">
        <w:rPr>
          <w:bCs/>
          <w:iCs/>
          <w:lang w:val="sq-AL"/>
        </w:rPr>
        <w:t>ë</w:t>
      </w:r>
      <w:r w:rsidRPr="00554FAF">
        <w:rPr>
          <w:bCs/>
          <w:iCs/>
          <w:lang w:val="sq-AL"/>
        </w:rPr>
        <w:t xml:space="preserve"> ta sjellin pëlqimin mjedisor </w:t>
      </w:r>
      <w:r w:rsidR="00EA0B1C" w:rsidRPr="00554FAF">
        <w:rPr>
          <w:bCs/>
          <w:iCs/>
          <w:lang w:val="sq-AL"/>
        </w:rPr>
        <w:t>të lëshuar</w:t>
      </w:r>
      <w:r w:rsidRPr="00554FAF">
        <w:rPr>
          <w:bCs/>
          <w:iCs/>
          <w:lang w:val="sq-AL"/>
        </w:rPr>
        <w:t xml:space="preserve"> nga MMPH  për aktivitetet e tyre. Po ashtu, përkrahja e NVM-ve për investime n</w:t>
      </w:r>
      <w:r w:rsidR="00F517B8" w:rsidRPr="00554FAF">
        <w:rPr>
          <w:bCs/>
          <w:iCs/>
          <w:lang w:val="sq-AL"/>
        </w:rPr>
        <w:t>ë</w:t>
      </w:r>
      <w:r w:rsidRPr="00554FAF">
        <w:rPr>
          <w:bCs/>
          <w:iCs/>
          <w:lang w:val="sq-AL"/>
        </w:rPr>
        <w:t xml:space="preserve"> teknologjinë moderne, do t</w:t>
      </w:r>
      <w:r w:rsidR="00F517B8" w:rsidRPr="00554FAF">
        <w:rPr>
          <w:bCs/>
          <w:iCs/>
          <w:lang w:val="sq-AL"/>
        </w:rPr>
        <w:t>ë</w:t>
      </w:r>
      <w:r w:rsidRPr="00554FAF">
        <w:rPr>
          <w:bCs/>
          <w:iCs/>
          <w:lang w:val="sq-AL"/>
        </w:rPr>
        <w:t xml:space="preserve"> ketë ndikim pozitiv n</w:t>
      </w:r>
      <w:r w:rsidR="00F517B8" w:rsidRPr="00554FAF">
        <w:rPr>
          <w:bCs/>
          <w:iCs/>
          <w:lang w:val="sq-AL"/>
        </w:rPr>
        <w:t>ë</w:t>
      </w:r>
      <w:r w:rsidRPr="00554FAF">
        <w:rPr>
          <w:bCs/>
          <w:iCs/>
          <w:lang w:val="sq-AL"/>
        </w:rPr>
        <w:t xml:space="preserve"> mjedis.</w:t>
      </w:r>
    </w:p>
    <w:tbl>
      <w:tblPr>
        <w:tblpPr w:leftFromText="180" w:rightFromText="180" w:vertAnchor="text" w:horzAnchor="margin" w:tblpY="584"/>
        <w:tblOverlap w:val="neve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1787"/>
        <w:gridCol w:w="4590"/>
      </w:tblGrid>
      <w:tr w:rsidR="00E3413B" w:rsidRPr="00554FAF" w14:paraId="78C4EC0A" w14:textId="77777777" w:rsidTr="00FD626A">
        <w:trPr>
          <w:trHeight w:val="618"/>
        </w:trPr>
        <w:tc>
          <w:tcPr>
            <w:tcW w:w="2978" w:type="dxa"/>
            <w:shd w:val="clear" w:color="auto" w:fill="auto"/>
          </w:tcPr>
          <w:p w14:paraId="4A958559" w14:textId="77777777" w:rsidR="00E3413B" w:rsidRPr="00554FAF" w:rsidRDefault="00E3413B" w:rsidP="000702CB">
            <w:pPr>
              <w:pStyle w:val="Default"/>
              <w:spacing w:after="60"/>
              <w:jc w:val="both"/>
              <w:rPr>
                <w:lang w:val="sq-AL"/>
              </w:rPr>
            </w:pPr>
            <w:r w:rsidRPr="00554FAF">
              <w:rPr>
                <w:b/>
                <w:bCs/>
                <w:lang w:val="sq-AL"/>
              </w:rPr>
              <w:t xml:space="preserve">Rreziku </w:t>
            </w:r>
          </w:p>
          <w:p w14:paraId="652990E7" w14:textId="77777777" w:rsidR="00E3413B" w:rsidRPr="00554FAF" w:rsidRDefault="00E3413B" w:rsidP="000702CB">
            <w:pPr>
              <w:pStyle w:val="Default"/>
              <w:spacing w:after="60"/>
              <w:jc w:val="both"/>
              <w:rPr>
                <w:lang w:val="sq-AL"/>
              </w:rPr>
            </w:pPr>
          </w:p>
        </w:tc>
        <w:tc>
          <w:tcPr>
            <w:tcW w:w="1787" w:type="dxa"/>
            <w:shd w:val="clear" w:color="auto" w:fill="auto"/>
          </w:tcPr>
          <w:p w14:paraId="06A8EB80" w14:textId="77777777" w:rsidR="00E3413B" w:rsidRPr="00554FAF" w:rsidRDefault="00E3413B" w:rsidP="000702CB">
            <w:pPr>
              <w:pStyle w:val="Default"/>
              <w:spacing w:after="60"/>
              <w:ind w:right="-122"/>
              <w:rPr>
                <w:lang w:val="sq-AL"/>
              </w:rPr>
            </w:pPr>
            <w:r w:rsidRPr="00554FAF">
              <w:rPr>
                <w:b/>
                <w:bCs/>
                <w:lang w:val="sq-AL"/>
              </w:rPr>
              <w:t xml:space="preserve">Probabiliteti (i ulët ose i lartë) </w:t>
            </w:r>
          </w:p>
        </w:tc>
        <w:tc>
          <w:tcPr>
            <w:tcW w:w="4590" w:type="dxa"/>
            <w:shd w:val="clear" w:color="auto" w:fill="auto"/>
          </w:tcPr>
          <w:p w14:paraId="195F5176" w14:textId="77777777" w:rsidR="00E3413B" w:rsidRPr="00554FAF" w:rsidRDefault="00E3413B" w:rsidP="000702CB">
            <w:pPr>
              <w:pStyle w:val="Default"/>
              <w:spacing w:after="60"/>
              <w:rPr>
                <w:lang w:val="sq-AL"/>
              </w:rPr>
            </w:pPr>
            <w:r w:rsidRPr="00554FAF">
              <w:rPr>
                <w:b/>
                <w:bCs/>
                <w:lang w:val="sq-AL"/>
              </w:rPr>
              <w:t xml:space="preserve">Veprimi lehtësues i planifikuar </w:t>
            </w:r>
          </w:p>
        </w:tc>
      </w:tr>
      <w:tr w:rsidR="00E3413B" w:rsidRPr="00554FAF" w14:paraId="18569DC3" w14:textId="77777777" w:rsidTr="00FD626A">
        <w:trPr>
          <w:trHeight w:val="606"/>
        </w:trPr>
        <w:tc>
          <w:tcPr>
            <w:tcW w:w="2978" w:type="dxa"/>
            <w:shd w:val="clear" w:color="auto" w:fill="auto"/>
          </w:tcPr>
          <w:p w14:paraId="35A0231C" w14:textId="17F11B93" w:rsidR="00E3413B" w:rsidRPr="00554FAF" w:rsidRDefault="00E3413B" w:rsidP="000702CB">
            <w:pPr>
              <w:pStyle w:val="Default"/>
              <w:spacing w:after="60"/>
              <w:jc w:val="both"/>
              <w:rPr>
                <w:lang w:val="sq-AL"/>
              </w:rPr>
            </w:pPr>
            <w:r w:rsidRPr="00554FAF">
              <w:rPr>
                <w:lang w:val="sq-AL"/>
              </w:rPr>
              <w:t>1.</w:t>
            </w:r>
            <w:r w:rsidRPr="00554FAF">
              <w:rPr>
                <w:bCs/>
                <w:color w:val="auto"/>
                <w:lang w:val="sq-AL"/>
              </w:rPr>
              <w:t xml:space="preserve"> Mungesa e njohurive t</w:t>
            </w:r>
            <w:r w:rsidR="00F517B8" w:rsidRPr="00554FAF">
              <w:rPr>
                <w:bCs/>
                <w:color w:val="auto"/>
                <w:lang w:val="sq-AL"/>
              </w:rPr>
              <w:t>ë</w:t>
            </w:r>
            <w:r w:rsidRPr="00554FAF">
              <w:rPr>
                <w:bCs/>
                <w:color w:val="auto"/>
                <w:lang w:val="sq-AL"/>
              </w:rPr>
              <w:t xml:space="preserve"> bizneseve për mundësitë e përkrahjes nga ana e institucioneve qeveritare</w:t>
            </w:r>
          </w:p>
        </w:tc>
        <w:tc>
          <w:tcPr>
            <w:tcW w:w="1787" w:type="dxa"/>
            <w:shd w:val="clear" w:color="auto" w:fill="auto"/>
          </w:tcPr>
          <w:p w14:paraId="5B6FBD2A" w14:textId="77777777" w:rsidR="00E3413B" w:rsidRPr="00554FAF" w:rsidRDefault="00E3413B" w:rsidP="000702CB">
            <w:pPr>
              <w:pStyle w:val="Default"/>
              <w:spacing w:after="60"/>
              <w:jc w:val="center"/>
              <w:rPr>
                <w:lang w:val="sq-AL"/>
              </w:rPr>
            </w:pPr>
            <w:r w:rsidRPr="00554FAF">
              <w:rPr>
                <w:lang w:val="sq-AL"/>
              </w:rPr>
              <w:t>I mesëm</w:t>
            </w:r>
          </w:p>
        </w:tc>
        <w:tc>
          <w:tcPr>
            <w:tcW w:w="4590" w:type="dxa"/>
            <w:shd w:val="clear" w:color="auto" w:fill="auto"/>
          </w:tcPr>
          <w:p w14:paraId="68B8E5D9" w14:textId="77777777" w:rsidR="00E3413B" w:rsidRPr="00554FAF" w:rsidRDefault="00E3413B" w:rsidP="000702CB">
            <w:pPr>
              <w:pStyle w:val="Default"/>
              <w:spacing w:after="60"/>
              <w:jc w:val="both"/>
              <w:rPr>
                <w:lang w:val="sq-AL"/>
              </w:rPr>
            </w:pPr>
            <w:r w:rsidRPr="00554FAF">
              <w:rPr>
                <w:lang w:val="sq-AL"/>
              </w:rPr>
              <w:t xml:space="preserve">Takime informuese për bizneset, organizimi i punëtorive, informimi përmes portaleve elektronike  </w:t>
            </w:r>
          </w:p>
        </w:tc>
      </w:tr>
      <w:tr w:rsidR="00E3413B" w:rsidRPr="00554FAF" w14:paraId="1C6BF77E" w14:textId="77777777" w:rsidTr="00FD626A">
        <w:trPr>
          <w:trHeight w:val="606"/>
        </w:trPr>
        <w:tc>
          <w:tcPr>
            <w:tcW w:w="2978" w:type="dxa"/>
            <w:shd w:val="clear" w:color="auto" w:fill="auto"/>
          </w:tcPr>
          <w:p w14:paraId="4DEEF2D8" w14:textId="77777777" w:rsidR="00E3413B" w:rsidRPr="00554FAF" w:rsidRDefault="00E3413B" w:rsidP="000702CB">
            <w:pPr>
              <w:pStyle w:val="Default"/>
              <w:spacing w:after="60"/>
              <w:jc w:val="both"/>
              <w:rPr>
                <w:lang w:val="sq-AL"/>
              </w:rPr>
            </w:pPr>
            <w:r w:rsidRPr="00554FAF">
              <w:rPr>
                <w:lang w:val="sq-AL"/>
              </w:rPr>
              <w:t>2.</w:t>
            </w:r>
            <w:r w:rsidRPr="00554FAF">
              <w:rPr>
                <w:bCs/>
                <w:color w:val="auto"/>
                <w:lang w:val="sq-AL"/>
              </w:rPr>
              <w:t xml:space="preserve"> Mungesa e Koordinimit dhe komunikimit me të gjithë akterët relevant </w:t>
            </w:r>
          </w:p>
        </w:tc>
        <w:tc>
          <w:tcPr>
            <w:tcW w:w="1787" w:type="dxa"/>
            <w:shd w:val="clear" w:color="auto" w:fill="auto"/>
          </w:tcPr>
          <w:p w14:paraId="62E71A5D" w14:textId="77777777" w:rsidR="00E3413B" w:rsidRPr="00554FAF" w:rsidRDefault="00E3413B" w:rsidP="000702CB">
            <w:pPr>
              <w:pStyle w:val="Default"/>
              <w:spacing w:after="60"/>
              <w:jc w:val="center"/>
              <w:rPr>
                <w:lang w:val="sq-AL"/>
              </w:rPr>
            </w:pPr>
            <w:r w:rsidRPr="00554FAF">
              <w:rPr>
                <w:lang w:val="sq-AL"/>
              </w:rPr>
              <w:t>I mesëm</w:t>
            </w:r>
          </w:p>
        </w:tc>
        <w:tc>
          <w:tcPr>
            <w:tcW w:w="4590" w:type="dxa"/>
            <w:shd w:val="clear" w:color="auto" w:fill="auto"/>
          </w:tcPr>
          <w:p w14:paraId="56EB5014" w14:textId="5074ECC3" w:rsidR="00E3413B" w:rsidRPr="00554FAF" w:rsidRDefault="00E3413B" w:rsidP="006F41B2">
            <w:pPr>
              <w:pStyle w:val="Default"/>
              <w:spacing w:after="60"/>
              <w:jc w:val="both"/>
              <w:rPr>
                <w:lang w:val="sq-AL"/>
              </w:rPr>
            </w:pPr>
            <w:r w:rsidRPr="00554FAF">
              <w:rPr>
                <w:lang w:val="sq-AL"/>
              </w:rPr>
              <w:t>Takimet e rregullta t</w:t>
            </w:r>
            <w:r w:rsidR="00F517B8" w:rsidRPr="00554FAF">
              <w:rPr>
                <w:lang w:val="sq-AL"/>
              </w:rPr>
              <w:t>ë</w:t>
            </w:r>
            <w:r w:rsidRPr="00554FAF">
              <w:rPr>
                <w:lang w:val="sq-AL"/>
              </w:rPr>
              <w:t xml:space="preserve"> Forumit për Zhvillimin e Politikave Industriale (FZHPI) dhe t</w:t>
            </w:r>
            <w:r w:rsidR="00F517B8" w:rsidRPr="00554FAF">
              <w:rPr>
                <w:lang w:val="sq-AL"/>
              </w:rPr>
              <w:t>ë</w:t>
            </w:r>
            <w:r w:rsidRPr="00554FAF">
              <w:rPr>
                <w:lang w:val="sq-AL"/>
              </w:rPr>
              <w:t xml:space="preserve"> fokus grupeve n</w:t>
            </w:r>
            <w:r w:rsidR="00F517B8" w:rsidRPr="00554FAF">
              <w:rPr>
                <w:lang w:val="sq-AL"/>
              </w:rPr>
              <w:t>ë</w:t>
            </w:r>
            <w:r w:rsidRPr="00554FAF">
              <w:rPr>
                <w:lang w:val="sq-AL"/>
              </w:rPr>
              <w:t xml:space="preserve"> nivel lokal</w:t>
            </w:r>
          </w:p>
        </w:tc>
      </w:tr>
      <w:tr w:rsidR="00E3413B" w:rsidRPr="00554FAF" w14:paraId="70BBE188" w14:textId="77777777" w:rsidTr="00FD626A">
        <w:trPr>
          <w:trHeight w:val="606"/>
        </w:trPr>
        <w:tc>
          <w:tcPr>
            <w:tcW w:w="2978" w:type="dxa"/>
            <w:shd w:val="clear" w:color="auto" w:fill="auto"/>
          </w:tcPr>
          <w:p w14:paraId="750269A6" w14:textId="4D803437" w:rsidR="00E3413B" w:rsidRPr="00554FAF" w:rsidRDefault="00E3413B" w:rsidP="006F41B2">
            <w:pPr>
              <w:pStyle w:val="Default"/>
              <w:spacing w:after="60"/>
              <w:jc w:val="both"/>
              <w:rPr>
                <w:lang w:val="sq-AL"/>
              </w:rPr>
            </w:pPr>
            <w:r w:rsidRPr="00554FAF">
              <w:rPr>
                <w:lang w:val="sq-AL"/>
              </w:rPr>
              <w:t>3. NVM-te nuk kan</w:t>
            </w:r>
            <w:r w:rsidR="00F517B8" w:rsidRPr="00554FAF">
              <w:rPr>
                <w:lang w:val="sq-AL"/>
              </w:rPr>
              <w:t>ë</w:t>
            </w:r>
            <w:r w:rsidRPr="00554FAF">
              <w:rPr>
                <w:lang w:val="sq-AL"/>
              </w:rPr>
              <w:t xml:space="preserve"> përvojë n</w:t>
            </w:r>
            <w:r w:rsidR="00F517B8" w:rsidRPr="00554FAF">
              <w:rPr>
                <w:lang w:val="sq-AL"/>
              </w:rPr>
              <w:t>ë</w:t>
            </w:r>
            <w:r w:rsidRPr="00554FAF">
              <w:rPr>
                <w:lang w:val="sq-AL"/>
              </w:rPr>
              <w:t xml:space="preserve"> eksport</w:t>
            </w:r>
          </w:p>
        </w:tc>
        <w:tc>
          <w:tcPr>
            <w:tcW w:w="1787" w:type="dxa"/>
            <w:shd w:val="clear" w:color="auto" w:fill="auto"/>
          </w:tcPr>
          <w:p w14:paraId="789BED14" w14:textId="77777777" w:rsidR="00E3413B" w:rsidRPr="00554FAF" w:rsidRDefault="00E3413B" w:rsidP="000702CB">
            <w:pPr>
              <w:pStyle w:val="Default"/>
              <w:spacing w:after="60"/>
              <w:jc w:val="center"/>
              <w:rPr>
                <w:lang w:val="sq-AL"/>
              </w:rPr>
            </w:pPr>
            <w:r w:rsidRPr="00554FAF">
              <w:rPr>
                <w:lang w:val="sq-AL"/>
              </w:rPr>
              <w:t xml:space="preserve">I mesëm </w:t>
            </w:r>
          </w:p>
        </w:tc>
        <w:tc>
          <w:tcPr>
            <w:tcW w:w="4590" w:type="dxa"/>
            <w:shd w:val="clear" w:color="auto" w:fill="auto"/>
          </w:tcPr>
          <w:p w14:paraId="10E30823" w14:textId="7A27D681" w:rsidR="00E3413B" w:rsidRPr="00554FAF" w:rsidRDefault="00E3413B" w:rsidP="000702CB">
            <w:pPr>
              <w:pStyle w:val="Default"/>
              <w:spacing w:after="60"/>
              <w:jc w:val="both"/>
              <w:rPr>
                <w:lang w:val="sq-AL"/>
              </w:rPr>
            </w:pPr>
            <w:r w:rsidRPr="00554FAF">
              <w:rPr>
                <w:lang w:val="sq-AL"/>
              </w:rPr>
              <w:t>Mbështetje</w:t>
            </w:r>
            <w:r w:rsidR="00F517B8" w:rsidRPr="00554FAF">
              <w:rPr>
                <w:lang w:val="sq-AL"/>
              </w:rPr>
              <w:t xml:space="preserve"> </w:t>
            </w:r>
            <w:r w:rsidRPr="00554FAF">
              <w:rPr>
                <w:lang w:val="sq-AL"/>
              </w:rPr>
              <w:t>e ofruar për certifikimin e produkteve dhe këshillime për rritjen e eksportit</w:t>
            </w:r>
          </w:p>
        </w:tc>
      </w:tr>
    </w:tbl>
    <w:p w14:paraId="72C80ECC" w14:textId="77777777" w:rsidR="00E3413B" w:rsidRPr="00554FAF" w:rsidRDefault="00E3413B" w:rsidP="000702CB">
      <w:pPr>
        <w:spacing w:after="60" w:line="240" w:lineRule="auto"/>
        <w:rPr>
          <w:rFonts w:ascii="Times New Roman" w:hAnsi="Times New Roman" w:cs="Times New Roman"/>
          <w:sz w:val="24"/>
          <w:szCs w:val="24"/>
        </w:rPr>
      </w:pPr>
      <w:r w:rsidRPr="00554FAF">
        <w:rPr>
          <w:rFonts w:ascii="Times New Roman" w:hAnsi="Times New Roman" w:cs="Times New Roman"/>
          <w:b/>
          <w:bCs/>
          <w:color w:val="000000"/>
          <w:sz w:val="24"/>
          <w:szCs w:val="24"/>
        </w:rPr>
        <w:t>7. Rreziqet potenciale:</w:t>
      </w:r>
    </w:p>
    <w:p w14:paraId="7FEC93A1" w14:textId="77777777" w:rsidR="00E3413B" w:rsidRPr="00554FAF" w:rsidRDefault="00E3413B" w:rsidP="000702CB">
      <w:pPr>
        <w:spacing w:after="60" w:line="240" w:lineRule="auto"/>
        <w:jc w:val="both"/>
        <w:rPr>
          <w:rFonts w:ascii="Times New Roman" w:hAnsi="Times New Roman" w:cs="Times New Roman"/>
          <w:bCs/>
          <w:sz w:val="24"/>
          <w:szCs w:val="24"/>
        </w:rPr>
      </w:pPr>
    </w:p>
    <w:tbl>
      <w:tblPr>
        <w:tblStyle w:val="TableGrid"/>
        <w:tblW w:w="0" w:type="auto"/>
        <w:tblLook w:val="04A0" w:firstRow="1" w:lastRow="0" w:firstColumn="1" w:lastColumn="0" w:noHBand="0" w:noVBand="1"/>
      </w:tblPr>
      <w:tblGrid>
        <w:gridCol w:w="9350"/>
      </w:tblGrid>
      <w:tr w:rsidR="00E3413B" w:rsidRPr="00554FAF" w14:paraId="7FBC0485" w14:textId="77777777" w:rsidTr="004A424A">
        <w:tc>
          <w:tcPr>
            <w:tcW w:w="9350" w:type="dxa"/>
            <w:shd w:val="clear" w:color="auto" w:fill="5B9BD5" w:themeFill="accent1"/>
          </w:tcPr>
          <w:p w14:paraId="384665CC" w14:textId="7B71442E" w:rsidR="00E3413B" w:rsidRPr="00554FAF" w:rsidRDefault="00E3413B" w:rsidP="000702CB">
            <w:pPr>
              <w:spacing w:after="60"/>
              <w:rPr>
                <w:rFonts w:ascii="Times New Roman" w:hAnsi="Times New Roman" w:cs="Times New Roman"/>
                <w:b/>
                <w:bCs/>
                <w:sz w:val="24"/>
                <w:szCs w:val="24"/>
              </w:rPr>
            </w:pPr>
            <w:r w:rsidRPr="00554FAF">
              <w:rPr>
                <w:rFonts w:ascii="Times New Roman" w:hAnsi="Times New Roman" w:cs="Times New Roman"/>
                <w:b/>
                <w:bCs/>
                <w:sz w:val="24"/>
                <w:szCs w:val="24"/>
              </w:rPr>
              <w:t xml:space="preserve">Masa e reformës#5: </w:t>
            </w:r>
            <w:r w:rsidRPr="00554FAF">
              <w:rPr>
                <w:rFonts w:ascii="Times New Roman" w:eastAsia="Times New Roman" w:hAnsi="Times New Roman" w:cs="Times New Roman"/>
                <w:b/>
                <w:bCs/>
                <w:spacing w:val="-1"/>
                <w:sz w:val="24"/>
                <w:szCs w:val="24"/>
              </w:rPr>
              <w:t xml:space="preserve">Ngritja e </w:t>
            </w:r>
            <w:r w:rsidR="00F517B8" w:rsidRPr="00554FAF">
              <w:rPr>
                <w:rFonts w:ascii="Times New Roman" w:eastAsia="Times New Roman" w:hAnsi="Times New Roman" w:cs="Times New Roman"/>
                <w:b/>
                <w:bCs/>
                <w:spacing w:val="-1"/>
                <w:sz w:val="24"/>
                <w:szCs w:val="24"/>
              </w:rPr>
              <w:t>k</w:t>
            </w:r>
            <w:r w:rsidRPr="00554FAF">
              <w:rPr>
                <w:rFonts w:ascii="Times New Roman" w:eastAsia="Times New Roman" w:hAnsi="Times New Roman" w:cs="Times New Roman"/>
                <w:b/>
                <w:bCs/>
                <w:spacing w:val="-1"/>
                <w:sz w:val="24"/>
                <w:szCs w:val="24"/>
              </w:rPr>
              <w:t xml:space="preserve">onkurueshmërisë në </w:t>
            </w:r>
            <w:r w:rsidR="00F517B8" w:rsidRPr="00554FAF">
              <w:rPr>
                <w:rFonts w:ascii="Times New Roman" w:eastAsia="Times New Roman" w:hAnsi="Times New Roman" w:cs="Times New Roman"/>
                <w:b/>
                <w:bCs/>
                <w:spacing w:val="-1"/>
                <w:sz w:val="24"/>
                <w:szCs w:val="24"/>
              </w:rPr>
              <w:t>s</w:t>
            </w:r>
            <w:r w:rsidRPr="00554FAF">
              <w:rPr>
                <w:rFonts w:ascii="Times New Roman" w:eastAsia="Times New Roman" w:hAnsi="Times New Roman" w:cs="Times New Roman"/>
                <w:b/>
                <w:bCs/>
                <w:spacing w:val="-1"/>
                <w:sz w:val="24"/>
                <w:szCs w:val="24"/>
              </w:rPr>
              <w:t xml:space="preserve">ektorin e </w:t>
            </w:r>
            <w:r w:rsidR="00F517B8" w:rsidRPr="00554FAF">
              <w:rPr>
                <w:rFonts w:ascii="Times New Roman" w:eastAsia="Times New Roman" w:hAnsi="Times New Roman" w:cs="Times New Roman"/>
                <w:b/>
                <w:bCs/>
                <w:spacing w:val="-1"/>
                <w:sz w:val="24"/>
                <w:szCs w:val="24"/>
              </w:rPr>
              <w:t>t</w:t>
            </w:r>
            <w:r w:rsidRPr="00554FAF">
              <w:rPr>
                <w:rFonts w:ascii="Times New Roman" w:eastAsia="Times New Roman" w:hAnsi="Times New Roman" w:cs="Times New Roman"/>
                <w:b/>
                <w:bCs/>
                <w:spacing w:val="-1"/>
                <w:sz w:val="24"/>
                <w:szCs w:val="24"/>
              </w:rPr>
              <w:t xml:space="preserve">urizmit dhe </w:t>
            </w:r>
            <w:r w:rsidR="00F517B8" w:rsidRPr="00554FAF">
              <w:rPr>
                <w:rFonts w:ascii="Times New Roman" w:eastAsia="Times New Roman" w:hAnsi="Times New Roman" w:cs="Times New Roman"/>
                <w:b/>
                <w:bCs/>
                <w:spacing w:val="-1"/>
                <w:sz w:val="24"/>
                <w:szCs w:val="24"/>
              </w:rPr>
              <w:t>h</w:t>
            </w:r>
            <w:r w:rsidRPr="00554FAF">
              <w:rPr>
                <w:rFonts w:ascii="Times New Roman" w:eastAsia="Times New Roman" w:hAnsi="Times New Roman" w:cs="Times New Roman"/>
                <w:b/>
                <w:bCs/>
                <w:spacing w:val="-1"/>
                <w:sz w:val="24"/>
                <w:szCs w:val="24"/>
              </w:rPr>
              <w:t>otelerisë</w:t>
            </w:r>
          </w:p>
        </w:tc>
      </w:tr>
    </w:tbl>
    <w:p w14:paraId="6B06521B" w14:textId="14CC48C2" w:rsidR="00E3413B" w:rsidRPr="00554FAF" w:rsidRDefault="00E3413B" w:rsidP="000702CB">
      <w:pPr>
        <w:tabs>
          <w:tab w:val="left" w:pos="850"/>
          <w:tab w:val="left" w:pos="1191"/>
          <w:tab w:val="left" w:pos="1531"/>
        </w:tabs>
        <w:spacing w:after="60" w:line="240" w:lineRule="auto"/>
        <w:jc w:val="both"/>
        <w:rPr>
          <w:rFonts w:ascii="Times New Roman" w:hAnsi="Times New Roman" w:cs="Times New Roman"/>
          <w:sz w:val="24"/>
          <w:szCs w:val="24"/>
        </w:rPr>
      </w:pPr>
      <w:r w:rsidRPr="00554FAF">
        <w:rPr>
          <w:rFonts w:ascii="Times New Roman" w:hAnsi="Times New Roman" w:cs="Times New Roman"/>
          <w:b/>
          <w:bCs/>
          <w:sz w:val="24"/>
          <w:szCs w:val="24"/>
        </w:rPr>
        <w:t>1. Përshkrimi i masës:</w:t>
      </w:r>
      <w:r w:rsidRPr="00554FAF">
        <w:rPr>
          <w:rFonts w:ascii="Times New Roman" w:hAnsi="Times New Roman" w:cs="Times New Roman"/>
          <w:bCs/>
          <w:sz w:val="24"/>
          <w:szCs w:val="24"/>
        </w:rPr>
        <w:t xml:space="preserve"> </w:t>
      </w:r>
      <w:r w:rsidRPr="00554FAF">
        <w:rPr>
          <w:rFonts w:ascii="Times New Roman" w:eastAsia="Times New Roman" w:hAnsi="Times New Roman" w:cs="Times New Roman"/>
          <w:sz w:val="24"/>
          <w:szCs w:val="24"/>
          <w:shd w:val="clear" w:color="auto" w:fill="FFFFFF"/>
          <w:lang w:eastAsia="zh-CN"/>
        </w:rPr>
        <w:t>Qëllimi kryesor i kësaj mase është nxitja e zhvillimit te konkurueshmërisë në sektorin e turizmit e cila do të ndiko</w:t>
      </w:r>
      <w:r w:rsidR="00F517B8" w:rsidRPr="00554FAF">
        <w:rPr>
          <w:rFonts w:ascii="Times New Roman" w:eastAsia="Times New Roman" w:hAnsi="Times New Roman" w:cs="Times New Roman"/>
          <w:sz w:val="24"/>
          <w:szCs w:val="24"/>
          <w:shd w:val="clear" w:color="auto" w:fill="FFFFFF"/>
          <w:lang w:eastAsia="zh-CN"/>
        </w:rPr>
        <w:t>jë</w:t>
      </w:r>
      <w:r w:rsidRPr="00554FAF">
        <w:rPr>
          <w:rFonts w:ascii="Times New Roman" w:eastAsia="Times New Roman" w:hAnsi="Times New Roman" w:cs="Times New Roman"/>
          <w:sz w:val="24"/>
          <w:szCs w:val="24"/>
          <w:shd w:val="clear" w:color="auto" w:fill="FFFFFF"/>
          <w:lang w:eastAsia="zh-CN"/>
        </w:rPr>
        <w:t xml:space="preserve"> pastaj në rritjen e vlerës ekonomike të turizmit dhe rritjen e punësimit. Aktivitetet që do të ndërmerren në këtë masë ndikojnë drejtpërdrejtë në rritjen e ofertës turistike, nëpërmjet nxitjes së zhvillimit t</w:t>
      </w:r>
      <w:r w:rsidR="00F517B8" w:rsidRPr="00554FAF">
        <w:rPr>
          <w:rFonts w:ascii="Times New Roman" w:eastAsia="Times New Roman" w:hAnsi="Times New Roman" w:cs="Times New Roman"/>
          <w:sz w:val="24"/>
          <w:szCs w:val="24"/>
          <w:shd w:val="clear" w:color="auto" w:fill="FFFFFF"/>
          <w:lang w:eastAsia="zh-CN"/>
        </w:rPr>
        <w:t>ë</w:t>
      </w:r>
      <w:r w:rsidRPr="00554FAF">
        <w:rPr>
          <w:rFonts w:ascii="Times New Roman" w:eastAsia="Times New Roman" w:hAnsi="Times New Roman" w:cs="Times New Roman"/>
          <w:sz w:val="24"/>
          <w:szCs w:val="24"/>
          <w:shd w:val="clear" w:color="auto" w:fill="FFFFFF"/>
          <w:lang w:eastAsia="zh-CN"/>
        </w:rPr>
        <w:t xml:space="preserve"> produkteve për të qenë të gatshme të ofrohen në tregun turistik, nëpërmjet promovimit të produkteve turistike, njëkohësisht duke përmirësuar infrastrukturën ligjore sipas praktikave evropiane dhe</w:t>
      </w:r>
      <w:r w:rsidR="006731AD" w:rsidRPr="00554FAF">
        <w:rPr>
          <w:rFonts w:ascii="Times New Roman" w:eastAsia="Times New Roman" w:hAnsi="Times New Roman" w:cs="Times New Roman"/>
          <w:sz w:val="24"/>
          <w:szCs w:val="24"/>
          <w:shd w:val="clear" w:color="auto" w:fill="FFFFFF"/>
          <w:lang w:eastAsia="zh-CN"/>
        </w:rPr>
        <w:t xml:space="preserve"> duke</w:t>
      </w:r>
      <w:r w:rsidRPr="00554FAF">
        <w:rPr>
          <w:rFonts w:ascii="Times New Roman" w:eastAsia="Times New Roman" w:hAnsi="Times New Roman" w:cs="Times New Roman"/>
          <w:sz w:val="24"/>
          <w:szCs w:val="24"/>
          <w:shd w:val="clear" w:color="auto" w:fill="FFFFFF"/>
          <w:lang w:eastAsia="zh-CN"/>
        </w:rPr>
        <w:t xml:space="preserve"> krijuar bazë ligjore për operimin e bizneseve turistike. Masa është vazhdimësi nga PRE e vitit 2019. Kjo masë ndërlidhet indirekt me SKZH 2017-2021, si dhe masa q</w:t>
      </w:r>
      <w:r w:rsidR="00F517B8" w:rsidRPr="00554FAF">
        <w:rPr>
          <w:rFonts w:ascii="Times New Roman" w:eastAsia="Times New Roman" w:hAnsi="Times New Roman" w:cs="Times New Roman"/>
          <w:sz w:val="24"/>
          <w:szCs w:val="24"/>
          <w:shd w:val="clear" w:color="auto" w:fill="FFFFFF"/>
          <w:lang w:eastAsia="zh-CN"/>
        </w:rPr>
        <w:t>ë</w:t>
      </w:r>
      <w:r w:rsidRPr="00554FAF">
        <w:rPr>
          <w:rFonts w:ascii="Times New Roman" w:eastAsia="Times New Roman" w:hAnsi="Times New Roman" w:cs="Times New Roman"/>
          <w:sz w:val="24"/>
          <w:szCs w:val="24"/>
          <w:shd w:val="clear" w:color="auto" w:fill="FFFFFF"/>
          <w:lang w:eastAsia="zh-CN"/>
        </w:rPr>
        <w:t xml:space="preserve"> lidhet me subvencione për zhvillimin e turizmit rural përmes Programit për bujqësi dhe zhvillim rural, si dhe n</w:t>
      </w:r>
      <w:r w:rsidR="00F517B8" w:rsidRPr="00554FAF">
        <w:rPr>
          <w:rFonts w:ascii="Times New Roman" w:eastAsia="Times New Roman" w:hAnsi="Times New Roman" w:cs="Times New Roman"/>
          <w:sz w:val="24"/>
          <w:szCs w:val="24"/>
          <w:shd w:val="clear" w:color="auto" w:fill="FFFFFF"/>
          <w:lang w:eastAsia="zh-CN"/>
        </w:rPr>
        <w:t>ë</w:t>
      </w:r>
      <w:r w:rsidRPr="00554FAF">
        <w:rPr>
          <w:rFonts w:ascii="Times New Roman" w:eastAsia="Times New Roman" w:hAnsi="Times New Roman" w:cs="Times New Roman"/>
          <w:sz w:val="24"/>
          <w:szCs w:val="24"/>
          <w:shd w:val="clear" w:color="auto" w:fill="FFFFFF"/>
          <w:lang w:eastAsia="zh-CN"/>
        </w:rPr>
        <w:t xml:space="preserve"> aspektin e promovimit t</w:t>
      </w:r>
      <w:r w:rsidR="00F517B8" w:rsidRPr="00554FAF">
        <w:rPr>
          <w:rFonts w:ascii="Times New Roman" w:eastAsia="Times New Roman" w:hAnsi="Times New Roman" w:cs="Times New Roman"/>
          <w:sz w:val="24"/>
          <w:szCs w:val="24"/>
          <w:shd w:val="clear" w:color="auto" w:fill="FFFFFF"/>
          <w:lang w:eastAsia="zh-CN"/>
        </w:rPr>
        <w:t>ë</w:t>
      </w:r>
      <w:r w:rsidRPr="00554FAF">
        <w:rPr>
          <w:rFonts w:ascii="Times New Roman" w:eastAsia="Times New Roman" w:hAnsi="Times New Roman" w:cs="Times New Roman"/>
          <w:sz w:val="24"/>
          <w:szCs w:val="24"/>
          <w:shd w:val="clear" w:color="auto" w:fill="FFFFFF"/>
          <w:lang w:eastAsia="zh-CN"/>
        </w:rPr>
        <w:t xml:space="preserve"> trashëgimisë kulturore, ndërlidhet me Strategjinë Kombëtare për Trashëgiminë Kulturore 2017-2027.</w:t>
      </w:r>
    </w:p>
    <w:p w14:paraId="6C88D64F" w14:textId="77777777" w:rsidR="00E3413B" w:rsidRPr="00554FAF" w:rsidRDefault="00E3413B" w:rsidP="00BA1A1D">
      <w:pPr>
        <w:spacing w:after="60" w:line="240" w:lineRule="auto"/>
        <w:ind w:left="180" w:hanging="180"/>
        <w:jc w:val="both"/>
        <w:rPr>
          <w:rFonts w:ascii="Times New Roman" w:hAnsi="Times New Roman" w:cs="Times New Roman"/>
          <w:b/>
          <w:bCs/>
          <w:sz w:val="24"/>
          <w:szCs w:val="24"/>
        </w:rPr>
      </w:pPr>
      <w:r w:rsidRPr="00554FAF">
        <w:rPr>
          <w:rFonts w:ascii="Times New Roman" w:hAnsi="Times New Roman" w:cs="Times New Roman"/>
          <w:b/>
          <w:bCs/>
          <w:sz w:val="24"/>
          <w:szCs w:val="24"/>
        </w:rPr>
        <w:t>a. Aktivitetet e planifikuara për 2020:</w:t>
      </w:r>
    </w:p>
    <w:p w14:paraId="58928251" w14:textId="77777777" w:rsidR="00E3413B" w:rsidRPr="00554FAF" w:rsidRDefault="00E3413B" w:rsidP="00802FB3">
      <w:pPr>
        <w:pStyle w:val="Default"/>
        <w:numPr>
          <w:ilvl w:val="0"/>
          <w:numId w:val="52"/>
        </w:numPr>
        <w:spacing w:after="60"/>
        <w:jc w:val="both"/>
        <w:rPr>
          <w:bCs/>
          <w:lang w:val="sq-AL"/>
        </w:rPr>
      </w:pPr>
      <w:r w:rsidRPr="00554FAF">
        <w:rPr>
          <w:bCs/>
          <w:lang w:val="sq-AL"/>
        </w:rPr>
        <w:t>Hartimi i strategjisë për sektorin e turizmit – Plani i veprimit; (MTI)</w:t>
      </w:r>
    </w:p>
    <w:p w14:paraId="079E53BE" w14:textId="25121BD6" w:rsidR="00E3413B" w:rsidRPr="00554FAF" w:rsidRDefault="00E3413B" w:rsidP="00802FB3">
      <w:pPr>
        <w:pStyle w:val="Default"/>
        <w:numPr>
          <w:ilvl w:val="0"/>
          <w:numId w:val="52"/>
        </w:numPr>
        <w:spacing w:after="60"/>
        <w:jc w:val="both"/>
        <w:rPr>
          <w:bCs/>
          <w:lang w:val="sq-AL"/>
        </w:rPr>
      </w:pPr>
      <w:r w:rsidRPr="00554FAF">
        <w:rPr>
          <w:bCs/>
          <w:lang w:val="sq-AL"/>
        </w:rPr>
        <w:t xml:space="preserve">Miratimi i </w:t>
      </w:r>
      <w:r w:rsidR="00F517B8" w:rsidRPr="00554FAF">
        <w:rPr>
          <w:bCs/>
          <w:lang w:val="sq-AL"/>
        </w:rPr>
        <w:t>p</w:t>
      </w:r>
      <w:r w:rsidRPr="00554FAF">
        <w:rPr>
          <w:bCs/>
          <w:lang w:val="sq-AL"/>
        </w:rPr>
        <w:t xml:space="preserve">rojektligjit për </w:t>
      </w:r>
      <w:r w:rsidR="00F517B8" w:rsidRPr="00554FAF">
        <w:rPr>
          <w:bCs/>
          <w:lang w:val="sq-AL"/>
        </w:rPr>
        <w:t>t</w:t>
      </w:r>
      <w:r w:rsidRPr="00554FAF">
        <w:rPr>
          <w:bCs/>
          <w:lang w:val="sq-AL"/>
        </w:rPr>
        <w:t>urizmin</w:t>
      </w:r>
      <w:r w:rsidR="00F517B8" w:rsidRPr="00554FAF">
        <w:rPr>
          <w:bCs/>
          <w:lang w:val="sq-AL"/>
        </w:rPr>
        <w:t>;</w:t>
      </w:r>
    </w:p>
    <w:p w14:paraId="5FFF4C3B" w14:textId="394E78F9" w:rsidR="00E3413B" w:rsidRPr="00554FAF" w:rsidRDefault="00E3413B" w:rsidP="00802FB3">
      <w:pPr>
        <w:pStyle w:val="Default"/>
        <w:numPr>
          <w:ilvl w:val="0"/>
          <w:numId w:val="52"/>
        </w:numPr>
        <w:spacing w:after="60"/>
        <w:jc w:val="both"/>
        <w:rPr>
          <w:bCs/>
          <w:lang w:val="sq-AL"/>
        </w:rPr>
      </w:pPr>
      <w:r w:rsidRPr="00554FAF">
        <w:rPr>
          <w:bCs/>
          <w:lang w:val="sq-AL"/>
        </w:rPr>
        <w:t>Hartimi i akteve tjera nënligjore që dalin nga ligji i turizmit (Udhëzimi Administrativ për Udhërrëfyesit Turistik, Udhëzimi Administrativ për regjistrin me të dhënat e Agjencive Turistike, Udhëzimi Administrativ për programin dhe procedurat e licencimit të ekspertëve të pavarur dhe klasifikimin e strukturave akomoduese)</w:t>
      </w:r>
      <w:r w:rsidR="00F517B8" w:rsidRPr="00554FAF">
        <w:rPr>
          <w:bCs/>
          <w:lang w:val="sq-AL"/>
        </w:rPr>
        <w:t>;</w:t>
      </w:r>
    </w:p>
    <w:p w14:paraId="601C53B7" w14:textId="77777777" w:rsidR="00E3413B" w:rsidRPr="00554FAF" w:rsidRDefault="00E3413B" w:rsidP="00802FB3">
      <w:pPr>
        <w:pStyle w:val="Default"/>
        <w:numPr>
          <w:ilvl w:val="0"/>
          <w:numId w:val="52"/>
        </w:numPr>
        <w:spacing w:after="60"/>
        <w:jc w:val="both"/>
        <w:rPr>
          <w:bCs/>
          <w:lang w:val="sq-AL"/>
        </w:rPr>
      </w:pPr>
      <w:r w:rsidRPr="00554FAF">
        <w:rPr>
          <w:bCs/>
          <w:lang w:val="sq-AL"/>
        </w:rPr>
        <w:t>Analiza e potencialeve për zhvillimin e turizmit në regjione dhe zona të ndryshme në Kosovë; (MTI)</w:t>
      </w:r>
    </w:p>
    <w:p w14:paraId="39C47CFB" w14:textId="023D6FF4" w:rsidR="00E3413B" w:rsidRPr="00554FAF" w:rsidRDefault="00E3413B" w:rsidP="00802FB3">
      <w:pPr>
        <w:pStyle w:val="Default"/>
        <w:numPr>
          <w:ilvl w:val="0"/>
          <w:numId w:val="52"/>
        </w:numPr>
        <w:spacing w:after="60"/>
        <w:jc w:val="both"/>
        <w:rPr>
          <w:bCs/>
          <w:lang w:val="sq-AL"/>
        </w:rPr>
      </w:pPr>
      <w:r w:rsidRPr="00554FAF">
        <w:rPr>
          <w:bCs/>
          <w:lang w:val="sq-AL"/>
        </w:rPr>
        <w:t>Digjitalizimi i destinacioneve turistike</w:t>
      </w:r>
      <w:r w:rsidR="00F517B8" w:rsidRPr="00554FAF">
        <w:rPr>
          <w:bCs/>
          <w:lang w:val="sq-AL"/>
        </w:rPr>
        <w:t xml:space="preserve"> </w:t>
      </w:r>
      <w:r w:rsidRPr="00554FAF">
        <w:rPr>
          <w:bCs/>
          <w:lang w:val="sq-AL"/>
        </w:rPr>
        <w:t>dhe përfshirja n</w:t>
      </w:r>
      <w:r w:rsidR="00F517B8" w:rsidRPr="00554FAF">
        <w:rPr>
          <w:bCs/>
          <w:lang w:val="sq-AL"/>
        </w:rPr>
        <w:t>ë</w:t>
      </w:r>
      <w:r w:rsidR="004A2969" w:rsidRPr="00554FAF">
        <w:rPr>
          <w:bCs/>
          <w:lang w:val="sq-AL"/>
        </w:rPr>
        <w:t xml:space="preserve"> u</w:t>
      </w:r>
      <w:r w:rsidRPr="00554FAF">
        <w:rPr>
          <w:bCs/>
          <w:lang w:val="sq-AL"/>
        </w:rPr>
        <w:t>eb portalin e turizmit</w:t>
      </w:r>
      <w:r w:rsidR="00F517B8" w:rsidRPr="00554FAF">
        <w:rPr>
          <w:bCs/>
          <w:lang w:val="sq-AL"/>
        </w:rPr>
        <w:t>;</w:t>
      </w:r>
    </w:p>
    <w:p w14:paraId="676E5F67" w14:textId="4FC903A3" w:rsidR="00E3413B" w:rsidRPr="00554FAF" w:rsidRDefault="00E3413B" w:rsidP="00802FB3">
      <w:pPr>
        <w:pStyle w:val="Default"/>
        <w:numPr>
          <w:ilvl w:val="0"/>
          <w:numId w:val="52"/>
        </w:numPr>
        <w:spacing w:after="60"/>
        <w:jc w:val="both"/>
        <w:rPr>
          <w:lang w:val="sq-AL"/>
        </w:rPr>
      </w:pPr>
      <w:r w:rsidRPr="00554FAF">
        <w:rPr>
          <w:bCs/>
          <w:lang w:val="sq-AL"/>
        </w:rPr>
        <w:t>Përkrahja e bizneseve në zhvillimin e turizmit rural edhe agro-turizëm (MBPZHR)</w:t>
      </w:r>
      <w:r w:rsidR="00F517B8" w:rsidRPr="00554FAF">
        <w:rPr>
          <w:bCs/>
          <w:lang w:val="sq-AL"/>
        </w:rPr>
        <w:t>.</w:t>
      </w:r>
    </w:p>
    <w:p w14:paraId="104EE895" w14:textId="77777777" w:rsidR="00E3413B" w:rsidRPr="00554FAF" w:rsidRDefault="00E3413B" w:rsidP="00BA1A1D">
      <w:pPr>
        <w:spacing w:after="60" w:line="240" w:lineRule="auto"/>
        <w:ind w:left="180" w:hanging="180"/>
        <w:rPr>
          <w:rFonts w:ascii="Times New Roman" w:hAnsi="Times New Roman" w:cs="Times New Roman"/>
          <w:b/>
          <w:bCs/>
          <w:sz w:val="24"/>
          <w:szCs w:val="24"/>
        </w:rPr>
      </w:pPr>
      <w:r w:rsidRPr="00554FAF">
        <w:rPr>
          <w:rFonts w:ascii="Times New Roman" w:hAnsi="Times New Roman" w:cs="Times New Roman"/>
          <w:b/>
          <w:bCs/>
          <w:sz w:val="24"/>
          <w:szCs w:val="24"/>
        </w:rPr>
        <w:t>b. Aktivitetet e planifikuara për 2021:</w:t>
      </w:r>
    </w:p>
    <w:p w14:paraId="3E3D60C3" w14:textId="77777777" w:rsidR="00E3413B" w:rsidRPr="00BA1A1D" w:rsidRDefault="00E3413B" w:rsidP="00802FB3">
      <w:pPr>
        <w:pStyle w:val="ListParagraph"/>
        <w:numPr>
          <w:ilvl w:val="0"/>
          <w:numId w:val="53"/>
        </w:numPr>
        <w:spacing w:after="60" w:line="240" w:lineRule="auto"/>
        <w:ind w:right="466"/>
        <w:jc w:val="both"/>
        <w:rPr>
          <w:rFonts w:ascii="Times New Roman" w:hAnsi="Times New Roman" w:cs="Times New Roman"/>
          <w:sz w:val="24"/>
          <w:szCs w:val="24"/>
        </w:rPr>
      </w:pPr>
      <w:r w:rsidRPr="00BA1A1D">
        <w:rPr>
          <w:rFonts w:ascii="Times New Roman" w:hAnsi="Times New Roman" w:cs="Times New Roman"/>
          <w:sz w:val="24"/>
          <w:szCs w:val="24"/>
        </w:rPr>
        <w:t>Hartimi i 2 Udhëzime Administrative që dalin nga ligji i turizmit; (MTI)</w:t>
      </w:r>
    </w:p>
    <w:p w14:paraId="53B6015D" w14:textId="0FCA6014" w:rsidR="00E3413B" w:rsidRPr="00BA1A1D" w:rsidRDefault="00E3413B" w:rsidP="00802FB3">
      <w:pPr>
        <w:pStyle w:val="ListParagraph"/>
        <w:numPr>
          <w:ilvl w:val="0"/>
          <w:numId w:val="53"/>
        </w:numPr>
        <w:spacing w:after="60" w:line="240" w:lineRule="auto"/>
        <w:ind w:right="466"/>
        <w:jc w:val="both"/>
        <w:rPr>
          <w:rFonts w:ascii="Times New Roman" w:hAnsi="Times New Roman" w:cs="Times New Roman"/>
          <w:sz w:val="24"/>
          <w:szCs w:val="24"/>
        </w:rPr>
      </w:pPr>
      <w:r w:rsidRPr="00BA1A1D">
        <w:rPr>
          <w:rFonts w:ascii="Times New Roman" w:hAnsi="Times New Roman" w:cs="Times New Roman"/>
          <w:sz w:val="24"/>
          <w:szCs w:val="24"/>
        </w:rPr>
        <w:t>Certifikimi i Guida</w:t>
      </w:r>
      <w:r w:rsidR="00F517B8" w:rsidRPr="00BA1A1D">
        <w:rPr>
          <w:rFonts w:ascii="Times New Roman" w:hAnsi="Times New Roman" w:cs="Times New Roman"/>
          <w:sz w:val="24"/>
          <w:szCs w:val="24"/>
        </w:rPr>
        <w:t>ve</w:t>
      </w:r>
      <w:r w:rsidRPr="00BA1A1D">
        <w:rPr>
          <w:rFonts w:ascii="Times New Roman" w:hAnsi="Times New Roman" w:cs="Times New Roman"/>
          <w:sz w:val="24"/>
          <w:szCs w:val="24"/>
        </w:rPr>
        <w:t xml:space="preserve"> Turistike; (MTI)</w:t>
      </w:r>
    </w:p>
    <w:p w14:paraId="085F358A" w14:textId="367F3DF8" w:rsidR="00E3413B" w:rsidRPr="00BA1A1D" w:rsidRDefault="00E3413B" w:rsidP="00802FB3">
      <w:pPr>
        <w:pStyle w:val="ListParagraph"/>
        <w:numPr>
          <w:ilvl w:val="0"/>
          <w:numId w:val="53"/>
        </w:numPr>
        <w:spacing w:after="60" w:line="240" w:lineRule="auto"/>
        <w:ind w:right="466"/>
        <w:jc w:val="both"/>
        <w:rPr>
          <w:rFonts w:ascii="Times New Roman" w:hAnsi="Times New Roman" w:cs="Times New Roman"/>
          <w:i/>
          <w:sz w:val="24"/>
          <w:szCs w:val="24"/>
        </w:rPr>
      </w:pPr>
      <w:r w:rsidRPr="00BA1A1D">
        <w:rPr>
          <w:rFonts w:ascii="Times New Roman" w:hAnsi="Times New Roman" w:cs="Times New Roman"/>
          <w:sz w:val="24"/>
          <w:szCs w:val="24"/>
        </w:rPr>
        <w:t xml:space="preserve">Zhvillimi i produkteve turistike në zonat e trashëgimisë kulturore (Lipjan, Graqanica, Prizreni) do dedikohet për aktivitete si: </w:t>
      </w:r>
      <w:r w:rsidRPr="00BA1A1D">
        <w:rPr>
          <w:rFonts w:ascii="Times New Roman" w:hAnsi="Times New Roman" w:cs="Times New Roman"/>
          <w:iCs/>
          <w:sz w:val="24"/>
          <w:szCs w:val="24"/>
        </w:rPr>
        <w:t>artizanate tradicionale, kopshtari, transport rural dhe produkte të larmishme turistike, posaçërisht për ato produkte që rrezikojnë të zhduken</w:t>
      </w:r>
      <w:r w:rsidR="00F517B8" w:rsidRPr="00BA1A1D">
        <w:rPr>
          <w:rFonts w:ascii="Times New Roman" w:hAnsi="Times New Roman" w:cs="Times New Roman"/>
          <w:iCs/>
          <w:sz w:val="24"/>
          <w:szCs w:val="24"/>
        </w:rPr>
        <w:t>;</w:t>
      </w:r>
    </w:p>
    <w:p w14:paraId="522A50BD" w14:textId="1F45C8A6" w:rsidR="00E3413B" w:rsidRPr="00BA1A1D" w:rsidRDefault="00E3413B" w:rsidP="00802FB3">
      <w:pPr>
        <w:pStyle w:val="ListParagraph"/>
        <w:numPr>
          <w:ilvl w:val="0"/>
          <w:numId w:val="53"/>
        </w:numPr>
        <w:spacing w:after="60" w:line="240" w:lineRule="auto"/>
        <w:ind w:right="466"/>
        <w:jc w:val="both"/>
        <w:rPr>
          <w:rFonts w:ascii="Times New Roman" w:hAnsi="Times New Roman" w:cs="Times New Roman"/>
          <w:sz w:val="24"/>
          <w:szCs w:val="24"/>
        </w:rPr>
      </w:pPr>
      <w:r w:rsidRPr="00BA1A1D">
        <w:rPr>
          <w:rFonts w:ascii="Times New Roman" w:hAnsi="Times New Roman" w:cs="Times New Roman"/>
          <w:sz w:val="24"/>
          <w:szCs w:val="24"/>
        </w:rPr>
        <w:t>Analiza dhe hulumtimi i tregjeve turistike për qasjen dhe promovimin e ofertës turistike të Kosovës në tregjet ndërkombëtare</w:t>
      </w:r>
      <w:r w:rsidR="00F517B8" w:rsidRPr="00BA1A1D">
        <w:rPr>
          <w:rFonts w:ascii="Times New Roman" w:hAnsi="Times New Roman" w:cs="Times New Roman"/>
          <w:sz w:val="24"/>
          <w:szCs w:val="24"/>
        </w:rPr>
        <w:t>.</w:t>
      </w:r>
    </w:p>
    <w:p w14:paraId="3C685514" w14:textId="77777777" w:rsidR="00E3413B" w:rsidRPr="00554FAF" w:rsidRDefault="00E3413B" w:rsidP="000702CB">
      <w:pPr>
        <w:spacing w:after="60" w:line="240" w:lineRule="auto"/>
        <w:rPr>
          <w:rFonts w:ascii="Times New Roman" w:hAnsi="Times New Roman" w:cs="Times New Roman"/>
          <w:b/>
          <w:bCs/>
          <w:sz w:val="24"/>
          <w:szCs w:val="24"/>
        </w:rPr>
      </w:pPr>
      <w:r w:rsidRPr="00554FAF">
        <w:rPr>
          <w:rFonts w:ascii="Times New Roman" w:hAnsi="Times New Roman" w:cs="Times New Roman"/>
          <w:b/>
          <w:sz w:val="24"/>
          <w:szCs w:val="24"/>
        </w:rPr>
        <w:t>2. Treguesit e rezultateve</w:t>
      </w:r>
      <w:r w:rsidRPr="00554FAF">
        <w:rPr>
          <w:rFonts w:ascii="Times New Roman" w:hAnsi="Times New Roman" w:cs="Times New Roman"/>
          <w:b/>
          <w:bCs/>
          <w:sz w:val="24"/>
          <w:szCs w:val="24"/>
        </w:rPr>
        <w:t xml:space="preserve">: </w:t>
      </w:r>
    </w:p>
    <w:tbl>
      <w:tblPr>
        <w:tblpPr w:leftFromText="180" w:rightFromText="180" w:vertAnchor="text" w:horzAnchor="margin" w:tblpY="168"/>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5"/>
        <w:gridCol w:w="1080"/>
        <w:gridCol w:w="1440"/>
        <w:gridCol w:w="1260"/>
        <w:gridCol w:w="1260"/>
      </w:tblGrid>
      <w:tr w:rsidR="00E3413B" w:rsidRPr="00554FAF" w14:paraId="3A9BA55A" w14:textId="77777777" w:rsidTr="00FD626A">
        <w:trPr>
          <w:trHeight w:val="710"/>
        </w:trPr>
        <w:tc>
          <w:tcPr>
            <w:tcW w:w="4045" w:type="dxa"/>
            <w:shd w:val="clear" w:color="auto" w:fill="auto"/>
            <w:vAlign w:val="center"/>
          </w:tcPr>
          <w:p w14:paraId="0994A1C2" w14:textId="77777777" w:rsidR="00E3413B" w:rsidRPr="00554FAF" w:rsidRDefault="00E3413B" w:rsidP="000702CB">
            <w:pPr>
              <w:pStyle w:val="Default"/>
              <w:spacing w:after="60"/>
              <w:rPr>
                <w:color w:val="auto"/>
                <w:lang w:val="sq-AL"/>
              </w:rPr>
            </w:pPr>
            <w:r w:rsidRPr="00554FAF">
              <w:rPr>
                <w:color w:val="auto"/>
                <w:lang w:val="sq-AL"/>
              </w:rPr>
              <w:t>Treguesi</w:t>
            </w:r>
          </w:p>
          <w:p w14:paraId="260E3983" w14:textId="77777777" w:rsidR="00E3413B" w:rsidRPr="00554FAF" w:rsidRDefault="00E3413B" w:rsidP="000702CB">
            <w:pPr>
              <w:pStyle w:val="Default"/>
              <w:spacing w:after="60"/>
              <w:rPr>
                <w:color w:val="auto"/>
                <w:lang w:val="sq-AL"/>
              </w:rPr>
            </w:pPr>
          </w:p>
        </w:tc>
        <w:tc>
          <w:tcPr>
            <w:tcW w:w="1080" w:type="dxa"/>
            <w:shd w:val="clear" w:color="auto" w:fill="auto"/>
          </w:tcPr>
          <w:p w14:paraId="0AC12C9C" w14:textId="77777777" w:rsidR="00E3413B" w:rsidRPr="00554FAF" w:rsidRDefault="00E3413B" w:rsidP="000702CB">
            <w:pPr>
              <w:pStyle w:val="Default"/>
              <w:spacing w:after="60"/>
              <w:jc w:val="center"/>
              <w:rPr>
                <w:color w:val="auto"/>
                <w:lang w:val="sq-AL"/>
              </w:rPr>
            </w:pPr>
            <w:r w:rsidRPr="00554FAF">
              <w:rPr>
                <w:color w:val="auto"/>
                <w:lang w:val="sq-AL"/>
              </w:rPr>
              <w:t>Baza 2018</w:t>
            </w:r>
          </w:p>
          <w:p w14:paraId="2FD9243B" w14:textId="77777777" w:rsidR="00E3413B" w:rsidRPr="00554FAF" w:rsidRDefault="00E3413B" w:rsidP="000702CB">
            <w:pPr>
              <w:pStyle w:val="Default"/>
              <w:spacing w:after="60"/>
              <w:jc w:val="center"/>
              <w:rPr>
                <w:color w:val="auto"/>
                <w:lang w:val="sq-AL"/>
              </w:rPr>
            </w:pPr>
          </w:p>
        </w:tc>
        <w:tc>
          <w:tcPr>
            <w:tcW w:w="1440" w:type="dxa"/>
            <w:shd w:val="clear" w:color="auto" w:fill="auto"/>
          </w:tcPr>
          <w:p w14:paraId="384FB0D1" w14:textId="24CE7C0C" w:rsidR="00E3413B" w:rsidRPr="00554FAF" w:rsidRDefault="00F517B8" w:rsidP="000702CB">
            <w:pPr>
              <w:pStyle w:val="Default"/>
              <w:spacing w:after="60"/>
              <w:jc w:val="center"/>
              <w:rPr>
                <w:color w:val="auto"/>
                <w:lang w:val="sq-AL"/>
              </w:rPr>
            </w:pPr>
            <w:r w:rsidRPr="00554FAF">
              <w:rPr>
                <w:color w:val="auto"/>
                <w:lang w:val="sq-AL"/>
              </w:rPr>
              <w:t xml:space="preserve">Synimi </w:t>
            </w:r>
            <w:r w:rsidR="00E3413B" w:rsidRPr="00554FAF">
              <w:rPr>
                <w:color w:val="auto"/>
                <w:lang w:val="sq-AL"/>
              </w:rPr>
              <w:t>i ndërmjetëm   2020</w:t>
            </w:r>
          </w:p>
        </w:tc>
        <w:tc>
          <w:tcPr>
            <w:tcW w:w="1260" w:type="dxa"/>
            <w:shd w:val="clear" w:color="auto" w:fill="auto"/>
          </w:tcPr>
          <w:p w14:paraId="643F2368" w14:textId="77777777" w:rsidR="00E3413B" w:rsidRPr="00554FAF" w:rsidRDefault="00E3413B" w:rsidP="000702CB">
            <w:pPr>
              <w:pStyle w:val="Default"/>
              <w:spacing w:after="60"/>
              <w:jc w:val="center"/>
              <w:rPr>
                <w:color w:val="auto"/>
                <w:lang w:val="sq-AL"/>
              </w:rPr>
            </w:pPr>
            <w:r w:rsidRPr="00554FAF">
              <w:rPr>
                <w:color w:val="auto"/>
                <w:lang w:val="sq-AL"/>
              </w:rPr>
              <w:t>Synimi 2021</w:t>
            </w:r>
          </w:p>
          <w:p w14:paraId="653E32AF" w14:textId="77777777" w:rsidR="00E3413B" w:rsidRPr="00554FAF" w:rsidRDefault="00E3413B" w:rsidP="000702CB">
            <w:pPr>
              <w:pStyle w:val="Default"/>
              <w:spacing w:after="60"/>
              <w:jc w:val="center"/>
              <w:rPr>
                <w:color w:val="auto"/>
                <w:lang w:val="sq-AL"/>
              </w:rPr>
            </w:pPr>
          </w:p>
        </w:tc>
        <w:tc>
          <w:tcPr>
            <w:tcW w:w="1260" w:type="dxa"/>
            <w:shd w:val="clear" w:color="auto" w:fill="auto"/>
          </w:tcPr>
          <w:p w14:paraId="1E2B3E9D" w14:textId="77777777" w:rsidR="00E3413B" w:rsidRPr="00554FAF" w:rsidRDefault="00E3413B" w:rsidP="000702CB">
            <w:pPr>
              <w:pStyle w:val="Default"/>
              <w:spacing w:after="60"/>
              <w:jc w:val="center"/>
              <w:rPr>
                <w:color w:val="auto"/>
                <w:lang w:val="sq-AL"/>
              </w:rPr>
            </w:pPr>
            <w:r w:rsidRPr="00554FAF">
              <w:rPr>
                <w:color w:val="auto"/>
                <w:lang w:val="sq-AL"/>
              </w:rPr>
              <w:t>Synimi 2022</w:t>
            </w:r>
          </w:p>
          <w:p w14:paraId="7C0DDB1B" w14:textId="77777777" w:rsidR="00E3413B" w:rsidRPr="00554FAF" w:rsidRDefault="00E3413B" w:rsidP="000702CB">
            <w:pPr>
              <w:pStyle w:val="Default"/>
              <w:spacing w:after="60"/>
              <w:jc w:val="center"/>
              <w:rPr>
                <w:color w:val="auto"/>
                <w:lang w:val="sq-AL"/>
              </w:rPr>
            </w:pPr>
          </w:p>
        </w:tc>
      </w:tr>
      <w:tr w:rsidR="00E3413B" w:rsidRPr="00554FAF" w14:paraId="15EBDEC5" w14:textId="77777777" w:rsidTr="004A424A">
        <w:trPr>
          <w:trHeight w:val="528"/>
        </w:trPr>
        <w:tc>
          <w:tcPr>
            <w:tcW w:w="4045" w:type="dxa"/>
            <w:shd w:val="clear" w:color="auto" w:fill="auto"/>
            <w:vAlign w:val="center"/>
          </w:tcPr>
          <w:p w14:paraId="002341FE" w14:textId="20799607" w:rsidR="00E3413B" w:rsidRPr="00554FAF" w:rsidRDefault="00E3413B" w:rsidP="000702CB">
            <w:pPr>
              <w:pStyle w:val="Default"/>
              <w:spacing w:after="60"/>
              <w:rPr>
                <w:color w:val="auto"/>
                <w:lang w:val="sq-AL"/>
              </w:rPr>
            </w:pPr>
            <w:r w:rsidRPr="00554FAF">
              <w:rPr>
                <w:bCs/>
                <w:color w:val="auto"/>
                <w:lang w:val="sq-AL"/>
              </w:rPr>
              <w:t>Numri i shtetasve t</w:t>
            </w:r>
            <w:r w:rsidR="00F517B8" w:rsidRPr="00554FAF">
              <w:rPr>
                <w:bCs/>
                <w:color w:val="auto"/>
                <w:lang w:val="sq-AL"/>
              </w:rPr>
              <w:t>ë</w:t>
            </w:r>
            <w:r w:rsidRPr="00554FAF">
              <w:rPr>
                <w:bCs/>
                <w:color w:val="auto"/>
                <w:lang w:val="sq-AL"/>
              </w:rPr>
              <w:t xml:space="preserve"> huaj  që kanë hyrë në Kosovë</w:t>
            </w:r>
            <w:r w:rsidRPr="00554FAF">
              <w:rPr>
                <w:rStyle w:val="FootnoteReference"/>
                <w:bCs/>
                <w:color w:val="auto"/>
                <w:lang w:val="sq-AL"/>
              </w:rPr>
              <w:footnoteReference w:id="31"/>
            </w:r>
          </w:p>
        </w:tc>
        <w:tc>
          <w:tcPr>
            <w:tcW w:w="1080" w:type="dxa"/>
            <w:shd w:val="clear" w:color="auto" w:fill="auto"/>
          </w:tcPr>
          <w:p w14:paraId="63A76E02" w14:textId="77777777" w:rsidR="00E3413B" w:rsidRPr="00554FAF" w:rsidRDefault="00E3413B" w:rsidP="000702CB">
            <w:pPr>
              <w:pStyle w:val="Default"/>
              <w:spacing w:after="60"/>
              <w:jc w:val="center"/>
              <w:rPr>
                <w:color w:val="auto"/>
                <w:lang w:val="sq-AL"/>
              </w:rPr>
            </w:pPr>
            <w:r w:rsidRPr="00554FAF">
              <w:rPr>
                <w:lang w:val="sq-AL"/>
              </w:rPr>
              <w:t>4,579,002</w:t>
            </w:r>
          </w:p>
        </w:tc>
        <w:tc>
          <w:tcPr>
            <w:tcW w:w="1440" w:type="dxa"/>
            <w:shd w:val="clear" w:color="auto" w:fill="auto"/>
          </w:tcPr>
          <w:p w14:paraId="29344089" w14:textId="77777777" w:rsidR="00E3413B" w:rsidRPr="00554FAF" w:rsidRDefault="00E3413B" w:rsidP="000702CB">
            <w:pPr>
              <w:pStyle w:val="Default"/>
              <w:spacing w:after="60"/>
              <w:jc w:val="center"/>
              <w:rPr>
                <w:color w:val="auto"/>
                <w:lang w:val="sq-AL"/>
              </w:rPr>
            </w:pPr>
            <w:r w:rsidRPr="00554FAF">
              <w:rPr>
                <w:lang w:val="sq-AL"/>
              </w:rPr>
              <w:t>4,807,952</w:t>
            </w:r>
          </w:p>
        </w:tc>
        <w:tc>
          <w:tcPr>
            <w:tcW w:w="1260" w:type="dxa"/>
            <w:shd w:val="clear" w:color="auto" w:fill="auto"/>
          </w:tcPr>
          <w:p w14:paraId="549C88A8" w14:textId="77777777" w:rsidR="00E3413B" w:rsidRPr="00554FAF" w:rsidRDefault="00E3413B" w:rsidP="000702CB">
            <w:pPr>
              <w:pStyle w:val="Default"/>
              <w:spacing w:after="60"/>
              <w:jc w:val="center"/>
              <w:rPr>
                <w:color w:val="auto"/>
                <w:lang w:val="sq-AL"/>
              </w:rPr>
            </w:pPr>
            <w:r w:rsidRPr="00554FAF">
              <w:rPr>
                <w:lang w:val="sq-AL"/>
              </w:rPr>
              <w:t>5,048,349</w:t>
            </w:r>
          </w:p>
        </w:tc>
        <w:tc>
          <w:tcPr>
            <w:tcW w:w="1260" w:type="dxa"/>
            <w:shd w:val="clear" w:color="auto" w:fill="auto"/>
          </w:tcPr>
          <w:p w14:paraId="14337A6A" w14:textId="77777777" w:rsidR="00E3413B" w:rsidRPr="00554FAF" w:rsidRDefault="00E3413B" w:rsidP="000702CB">
            <w:pPr>
              <w:pStyle w:val="Default"/>
              <w:spacing w:after="60"/>
              <w:jc w:val="center"/>
              <w:rPr>
                <w:color w:val="auto"/>
                <w:lang w:val="sq-AL"/>
              </w:rPr>
            </w:pPr>
            <w:r w:rsidRPr="00554FAF">
              <w:rPr>
                <w:lang w:val="sq-AL"/>
              </w:rPr>
              <w:t>5,300,767</w:t>
            </w:r>
          </w:p>
        </w:tc>
      </w:tr>
      <w:tr w:rsidR="00E3413B" w:rsidRPr="00554FAF" w14:paraId="1F2D28E1" w14:textId="77777777" w:rsidTr="004A424A">
        <w:trPr>
          <w:trHeight w:val="620"/>
        </w:trPr>
        <w:tc>
          <w:tcPr>
            <w:tcW w:w="4045" w:type="dxa"/>
            <w:shd w:val="clear" w:color="auto" w:fill="auto"/>
          </w:tcPr>
          <w:p w14:paraId="14CDF021" w14:textId="737D50D3" w:rsidR="00E3413B" w:rsidRPr="00554FAF" w:rsidRDefault="00E3413B" w:rsidP="006F41B2">
            <w:pPr>
              <w:spacing w:after="60" w:line="240" w:lineRule="auto"/>
              <w:rPr>
                <w:rFonts w:ascii="Times New Roman" w:hAnsi="Times New Roman" w:cs="Times New Roman"/>
                <w:sz w:val="24"/>
                <w:szCs w:val="24"/>
              </w:rPr>
            </w:pPr>
            <w:r w:rsidRPr="00554FAF">
              <w:rPr>
                <w:rFonts w:ascii="Times New Roman" w:hAnsi="Times New Roman" w:cs="Times New Roman"/>
                <w:sz w:val="24"/>
                <w:szCs w:val="24"/>
              </w:rPr>
              <w:t>Kontributi i Turizmit n</w:t>
            </w:r>
            <w:r w:rsidR="00F517B8" w:rsidRPr="00554FAF">
              <w:rPr>
                <w:rFonts w:ascii="Times New Roman" w:hAnsi="Times New Roman" w:cs="Times New Roman"/>
                <w:sz w:val="24"/>
                <w:szCs w:val="24"/>
              </w:rPr>
              <w:t>ë</w:t>
            </w:r>
            <w:r w:rsidRPr="00554FAF">
              <w:rPr>
                <w:rFonts w:ascii="Times New Roman" w:hAnsi="Times New Roman" w:cs="Times New Roman"/>
                <w:sz w:val="24"/>
                <w:szCs w:val="24"/>
              </w:rPr>
              <w:t xml:space="preserve"> GDP e vendit</w:t>
            </w:r>
          </w:p>
        </w:tc>
        <w:tc>
          <w:tcPr>
            <w:tcW w:w="1080" w:type="dxa"/>
            <w:shd w:val="clear" w:color="auto" w:fill="auto"/>
          </w:tcPr>
          <w:p w14:paraId="3B81DD2F" w14:textId="39AC9C7C" w:rsidR="00E3413B" w:rsidRPr="00554FAF" w:rsidRDefault="00E3413B" w:rsidP="000702CB">
            <w:pPr>
              <w:pStyle w:val="Default"/>
              <w:spacing w:after="60"/>
              <w:jc w:val="center"/>
              <w:rPr>
                <w:iCs/>
                <w:lang w:val="sq-AL"/>
              </w:rPr>
            </w:pPr>
          </w:p>
          <w:p w14:paraId="000F1A96" w14:textId="77777777" w:rsidR="00E3413B" w:rsidRPr="00554FAF" w:rsidRDefault="00E3413B" w:rsidP="000702CB">
            <w:pPr>
              <w:pStyle w:val="Default"/>
              <w:spacing w:after="60"/>
              <w:jc w:val="center"/>
              <w:rPr>
                <w:iCs/>
                <w:lang w:val="sq-AL"/>
              </w:rPr>
            </w:pPr>
            <w:r w:rsidRPr="00554FAF">
              <w:rPr>
                <w:iCs/>
                <w:lang w:val="sq-AL"/>
              </w:rPr>
              <w:t>1.3%</w:t>
            </w:r>
          </w:p>
        </w:tc>
        <w:tc>
          <w:tcPr>
            <w:tcW w:w="1440" w:type="dxa"/>
            <w:shd w:val="clear" w:color="auto" w:fill="auto"/>
          </w:tcPr>
          <w:p w14:paraId="5E7B9D0B" w14:textId="77777777" w:rsidR="00E3413B" w:rsidRPr="00554FAF" w:rsidRDefault="00E3413B" w:rsidP="000702CB">
            <w:pPr>
              <w:pStyle w:val="Default"/>
              <w:spacing w:after="60"/>
              <w:jc w:val="center"/>
              <w:rPr>
                <w:iCs/>
                <w:lang w:val="sq-AL"/>
              </w:rPr>
            </w:pPr>
          </w:p>
        </w:tc>
        <w:tc>
          <w:tcPr>
            <w:tcW w:w="1260" w:type="dxa"/>
            <w:shd w:val="clear" w:color="auto" w:fill="auto"/>
          </w:tcPr>
          <w:p w14:paraId="4744A3D0" w14:textId="77777777" w:rsidR="00E3413B" w:rsidRPr="00554FAF" w:rsidRDefault="00E3413B" w:rsidP="000702CB">
            <w:pPr>
              <w:pStyle w:val="Default"/>
              <w:spacing w:after="60"/>
              <w:jc w:val="center"/>
              <w:rPr>
                <w:iCs/>
                <w:lang w:val="sq-AL"/>
              </w:rPr>
            </w:pPr>
          </w:p>
        </w:tc>
        <w:tc>
          <w:tcPr>
            <w:tcW w:w="1260" w:type="dxa"/>
            <w:shd w:val="clear" w:color="auto" w:fill="auto"/>
          </w:tcPr>
          <w:p w14:paraId="2F4D2A7F" w14:textId="77777777" w:rsidR="00E3413B" w:rsidRPr="00554FAF" w:rsidRDefault="00E3413B" w:rsidP="000702CB">
            <w:pPr>
              <w:pStyle w:val="Default"/>
              <w:spacing w:after="60"/>
              <w:jc w:val="center"/>
              <w:rPr>
                <w:iCs/>
                <w:lang w:val="sq-AL"/>
              </w:rPr>
            </w:pPr>
          </w:p>
          <w:p w14:paraId="3E640C00" w14:textId="77777777" w:rsidR="00E3413B" w:rsidRPr="00554FAF" w:rsidRDefault="00E3413B" w:rsidP="000702CB">
            <w:pPr>
              <w:pStyle w:val="Default"/>
              <w:spacing w:after="60"/>
              <w:jc w:val="center"/>
              <w:rPr>
                <w:iCs/>
                <w:lang w:val="sq-AL"/>
              </w:rPr>
            </w:pPr>
            <w:r w:rsidRPr="00554FAF">
              <w:rPr>
                <w:iCs/>
                <w:lang w:val="sq-AL"/>
              </w:rPr>
              <w:t>2.00 %</w:t>
            </w:r>
          </w:p>
        </w:tc>
      </w:tr>
    </w:tbl>
    <w:p w14:paraId="22860127" w14:textId="77777777" w:rsidR="00E3413B" w:rsidRPr="00554FAF" w:rsidRDefault="00E3413B" w:rsidP="000702CB">
      <w:pPr>
        <w:spacing w:after="60" w:line="240" w:lineRule="auto"/>
        <w:rPr>
          <w:rFonts w:ascii="Times New Roman" w:hAnsi="Times New Roman" w:cs="Times New Roman"/>
          <w:b/>
          <w:bCs/>
          <w:sz w:val="24"/>
          <w:szCs w:val="24"/>
        </w:rPr>
      </w:pPr>
    </w:p>
    <w:p w14:paraId="09E6FE9A" w14:textId="107C427E" w:rsidR="00E3413B" w:rsidRPr="00554FAF" w:rsidRDefault="00E3413B" w:rsidP="000702CB">
      <w:pPr>
        <w:spacing w:after="60" w:line="240" w:lineRule="auto"/>
        <w:jc w:val="both"/>
        <w:rPr>
          <w:rFonts w:ascii="Times New Roman" w:hAnsi="Times New Roman" w:cs="Times New Roman"/>
          <w:sz w:val="24"/>
          <w:szCs w:val="24"/>
          <w:shd w:val="clear" w:color="auto" w:fill="FFFFFF"/>
        </w:rPr>
      </w:pPr>
      <w:r w:rsidRPr="00554FAF">
        <w:rPr>
          <w:rFonts w:ascii="Times New Roman" w:hAnsi="Times New Roman" w:cs="Times New Roman"/>
          <w:b/>
          <w:bCs/>
          <w:sz w:val="24"/>
          <w:szCs w:val="24"/>
        </w:rPr>
        <w:t xml:space="preserve">3. Ndikimi i pritur në konkurrueshmëri: </w:t>
      </w:r>
      <w:r w:rsidRPr="00554FAF">
        <w:rPr>
          <w:rFonts w:ascii="Times New Roman" w:hAnsi="Times New Roman" w:cs="Times New Roman"/>
          <w:sz w:val="24"/>
          <w:szCs w:val="24"/>
          <w:shd w:val="clear" w:color="auto" w:fill="FFFFFF"/>
        </w:rPr>
        <w:t>Kjo masë do të ndiko</w:t>
      </w:r>
      <w:r w:rsidR="006F41B2" w:rsidRPr="00554FAF">
        <w:rPr>
          <w:rFonts w:ascii="Times New Roman" w:hAnsi="Times New Roman" w:cs="Times New Roman"/>
          <w:sz w:val="24"/>
          <w:szCs w:val="24"/>
          <w:shd w:val="clear" w:color="auto" w:fill="FFFFFF"/>
        </w:rPr>
        <w:t>jë</w:t>
      </w:r>
      <w:r w:rsidRPr="00554FAF">
        <w:rPr>
          <w:rFonts w:ascii="Times New Roman" w:hAnsi="Times New Roman" w:cs="Times New Roman"/>
          <w:sz w:val="24"/>
          <w:szCs w:val="24"/>
          <w:shd w:val="clear" w:color="auto" w:fill="FFFFFF"/>
        </w:rPr>
        <w:t xml:space="preserve"> në uljen e informalitetit në sektorin e turizmit, promovimin e vlerave konkurruese në rajon. Zhvillimi i turizmit do të zgjerohet në zonat rurale dhe malore ku synohet rritja e punësimit në këto zona, rritja e </w:t>
      </w:r>
      <w:r w:rsidRPr="00554FAF">
        <w:rPr>
          <w:rFonts w:ascii="Times New Roman" w:hAnsi="Times New Roman" w:cs="Times New Roman"/>
          <w:color w:val="000000" w:themeColor="text1"/>
          <w:sz w:val="24"/>
          <w:szCs w:val="24"/>
          <w:shd w:val="clear" w:color="auto" w:fill="FFFFFF"/>
        </w:rPr>
        <w:t xml:space="preserve">bizneseve familjare ku gratë do të kenë mundësi të lehta të punësimit, sidomos në fushën e kulinarisë dhe artizanateve. </w:t>
      </w:r>
      <w:r w:rsidRPr="00554FAF">
        <w:rPr>
          <w:rFonts w:ascii="Times New Roman" w:hAnsi="Times New Roman" w:cs="Times New Roman"/>
          <w:sz w:val="24"/>
          <w:szCs w:val="24"/>
          <w:shd w:val="clear" w:color="auto" w:fill="FFFFFF"/>
        </w:rPr>
        <w:t>Ligji i ri për turizëm do t</w:t>
      </w:r>
      <w:r w:rsidR="006F41B2" w:rsidRPr="00554FAF">
        <w:rPr>
          <w:rFonts w:ascii="Times New Roman" w:hAnsi="Times New Roman" w:cs="Times New Roman"/>
          <w:sz w:val="24"/>
          <w:szCs w:val="24"/>
          <w:shd w:val="clear" w:color="auto" w:fill="FFFFFF"/>
        </w:rPr>
        <w:t>ë</w:t>
      </w:r>
      <w:r w:rsidRPr="00554FAF">
        <w:rPr>
          <w:rFonts w:ascii="Times New Roman" w:hAnsi="Times New Roman" w:cs="Times New Roman"/>
          <w:sz w:val="24"/>
          <w:szCs w:val="24"/>
          <w:shd w:val="clear" w:color="auto" w:fill="FFFFFF"/>
        </w:rPr>
        <w:t xml:space="preserve"> rregullo</w:t>
      </w:r>
      <w:r w:rsidR="006F41B2" w:rsidRPr="00554FAF">
        <w:rPr>
          <w:rFonts w:ascii="Times New Roman" w:hAnsi="Times New Roman" w:cs="Times New Roman"/>
          <w:sz w:val="24"/>
          <w:szCs w:val="24"/>
          <w:shd w:val="clear" w:color="auto" w:fill="FFFFFF"/>
        </w:rPr>
        <w:t>jë</w:t>
      </w:r>
      <w:r w:rsidRPr="00554FAF">
        <w:rPr>
          <w:rFonts w:ascii="Times New Roman" w:hAnsi="Times New Roman" w:cs="Times New Roman"/>
          <w:sz w:val="24"/>
          <w:szCs w:val="24"/>
          <w:shd w:val="clear" w:color="auto" w:fill="FFFFFF"/>
        </w:rPr>
        <w:t xml:space="preserve"> infrastrukturën ligjore në aspektin e njohjes si profesionit të guidave, </w:t>
      </w:r>
      <w:r w:rsidR="00482270" w:rsidRPr="00554FAF">
        <w:rPr>
          <w:rFonts w:ascii="Times New Roman" w:hAnsi="Times New Roman" w:cs="Times New Roman"/>
          <w:sz w:val="24"/>
          <w:szCs w:val="24"/>
          <w:shd w:val="clear" w:color="auto" w:fill="FFFFFF"/>
        </w:rPr>
        <w:t>akumulimi</w:t>
      </w:r>
      <w:r w:rsidRPr="00554FAF">
        <w:rPr>
          <w:rFonts w:ascii="Times New Roman" w:hAnsi="Times New Roman" w:cs="Times New Roman"/>
          <w:sz w:val="24"/>
          <w:szCs w:val="24"/>
          <w:shd w:val="clear" w:color="auto" w:fill="FFFFFF"/>
        </w:rPr>
        <w:t xml:space="preserve"> i taksës së akomodimit, rregullimit të operimit të </w:t>
      </w:r>
      <w:r w:rsidR="00482270" w:rsidRPr="00554FAF">
        <w:rPr>
          <w:rFonts w:ascii="Times New Roman" w:hAnsi="Times New Roman" w:cs="Times New Roman"/>
          <w:sz w:val="24"/>
          <w:szCs w:val="24"/>
          <w:shd w:val="clear" w:color="auto" w:fill="FFFFFF"/>
        </w:rPr>
        <w:t>Agjencive</w:t>
      </w:r>
      <w:r w:rsidRPr="00554FAF">
        <w:rPr>
          <w:rFonts w:ascii="Times New Roman" w:hAnsi="Times New Roman" w:cs="Times New Roman"/>
          <w:sz w:val="24"/>
          <w:szCs w:val="24"/>
          <w:shd w:val="clear" w:color="auto" w:fill="FFFFFF"/>
        </w:rPr>
        <w:t xml:space="preserve"> turistike si dhe ngritjen e promovimit të turizmit në nivel kombëtar. </w:t>
      </w:r>
      <w:r w:rsidRPr="00554FAF">
        <w:rPr>
          <w:rFonts w:ascii="Times New Roman" w:hAnsi="Times New Roman" w:cs="Times New Roman"/>
          <w:color w:val="000000" w:themeColor="text1"/>
          <w:sz w:val="24"/>
          <w:szCs w:val="24"/>
          <w:shd w:val="clear" w:color="auto" w:fill="FFFFFF"/>
        </w:rPr>
        <w:t>Rritja e produkteve të reja turistike do të ndiko</w:t>
      </w:r>
      <w:r w:rsidR="006F41B2" w:rsidRPr="00554FAF">
        <w:rPr>
          <w:rFonts w:ascii="Times New Roman" w:hAnsi="Times New Roman" w:cs="Times New Roman"/>
          <w:color w:val="000000" w:themeColor="text1"/>
          <w:sz w:val="24"/>
          <w:szCs w:val="24"/>
          <w:shd w:val="clear" w:color="auto" w:fill="FFFFFF"/>
        </w:rPr>
        <w:t>jë</w:t>
      </w:r>
      <w:r w:rsidRPr="00554FAF">
        <w:rPr>
          <w:rFonts w:ascii="Times New Roman" w:hAnsi="Times New Roman" w:cs="Times New Roman"/>
          <w:color w:val="000000" w:themeColor="text1"/>
          <w:sz w:val="24"/>
          <w:szCs w:val="24"/>
          <w:shd w:val="clear" w:color="auto" w:fill="FFFFFF"/>
        </w:rPr>
        <w:t xml:space="preserve"> në zgjerimin e ofertës turistike të Kosovës e cila ndikon direkt në rritjen e konsumit të shërbimeve turistike dhe si rezultat nxit punësimin dhe rritjen e mirëqenies. </w:t>
      </w:r>
    </w:p>
    <w:p w14:paraId="7DC20DB8" w14:textId="4343F998" w:rsidR="00E3413B" w:rsidRPr="00554FAF" w:rsidRDefault="00E3413B" w:rsidP="000702CB">
      <w:pPr>
        <w:spacing w:after="60" w:line="240" w:lineRule="auto"/>
        <w:jc w:val="both"/>
        <w:rPr>
          <w:rFonts w:ascii="Times New Roman" w:hAnsi="Times New Roman" w:cs="Times New Roman"/>
          <w:sz w:val="24"/>
          <w:szCs w:val="24"/>
        </w:rPr>
      </w:pPr>
      <w:r w:rsidRPr="00252FC2">
        <w:rPr>
          <w:rFonts w:ascii="Times New Roman" w:hAnsi="Times New Roman" w:cs="Times New Roman"/>
          <w:b/>
          <w:bCs/>
          <w:sz w:val="24"/>
          <w:szCs w:val="24"/>
        </w:rPr>
        <w:t xml:space="preserve">4. Vlerësimi i kostos së aktiviteteve dhe </w:t>
      </w:r>
      <w:r w:rsidRPr="00252FC2">
        <w:rPr>
          <w:rFonts w:ascii="Times New Roman" w:hAnsi="Times New Roman" w:cs="Times New Roman"/>
          <w:b/>
          <w:sz w:val="24"/>
          <w:szCs w:val="24"/>
        </w:rPr>
        <w:t xml:space="preserve">burimet e financimit: </w:t>
      </w:r>
      <w:r w:rsidRPr="00252FC2">
        <w:rPr>
          <w:rFonts w:ascii="Times New Roman" w:hAnsi="Times New Roman" w:cs="Times New Roman"/>
          <w:sz w:val="24"/>
          <w:szCs w:val="24"/>
        </w:rPr>
        <w:t>Zbatimi i kësaj mase</w:t>
      </w:r>
      <w:r w:rsidRPr="00252FC2">
        <w:rPr>
          <w:rFonts w:ascii="Times New Roman" w:hAnsi="Times New Roman" w:cs="Times New Roman"/>
          <w:b/>
          <w:sz w:val="24"/>
          <w:szCs w:val="24"/>
        </w:rPr>
        <w:t xml:space="preserve"> </w:t>
      </w:r>
      <w:r w:rsidRPr="00252FC2">
        <w:rPr>
          <w:rFonts w:ascii="Times New Roman" w:hAnsi="Times New Roman" w:cs="Times New Roman"/>
          <w:sz w:val="24"/>
          <w:szCs w:val="24"/>
        </w:rPr>
        <w:t>për periudhën 2020</w:t>
      </w:r>
      <w:r w:rsidR="00170647" w:rsidRPr="00252FC2">
        <w:rPr>
          <w:rFonts w:ascii="Times New Roman" w:hAnsi="Times New Roman" w:cs="Times New Roman"/>
          <w:sz w:val="24"/>
          <w:szCs w:val="24"/>
        </w:rPr>
        <w:t xml:space="preserve">. Pjesa më e madhe e buxhetit të vitit 2020 është paraparë me </w:t>
      </w:r>
      <w:r w:rsidR="006731AD" w:rsidRPr="00252FC2">
        <w:rPr>
          <w:rFonts w:ascii="Times New Roman" w:hAnsi="Times New Roman" w:cs="Times New Roman"/>
          <w:sz w:val="24"/>
          <w:szCs w:val="24"/>
        </w:rPr>
        <w:t>MBPZHR</w:t>
      </w:r>
      <w:r w:rsidR="00170647" w:rsidRPr="00252FC2">
        <w:rPr>
          <w:rFonts w:ascii="Times New Roman" w:hAnsi="Times New Roman" w:cs="Times New Roman"/>
          <w:sz w:val="24"/>
          <w:szCs w:val="24"/>
        </w:rPr>
        <w:t>, për mbështetjen e bizneseve në zhvillimin e turizmit rural dhe agruturizmin nga buxheti i Kosovës. Kurse në vitin 2021, afër 220,000 janë paraparë të mbulohen nga projekti IPA që do të mbështesë zhvillimin e turizmit përmes trashëgimisë kulturore.</w:t>
      </w:r>
    </w:p>
    <w:p w14:paraId="18953964" w14:textId="44D12025" w:rsidR="00E3413B" w:rsidRPr="00554FAF" w:rsidRDefault="00E3413B" w:rsidP="000702CB">
      <w:pPr>
        <w:spacing w:after="60" w:line="240" w:lineRule="auto"/>
        <w:jc w:val="both"/>
        <w:rPr>
          <w:rFonts w:ascii="Times New Roman" w:hAnsi="Times New Roman" w:cs="Times New Roman"/>
          <w:color w:val="FF0000"/>
          <w:sz w:val="24"/>
          <w:szCs w:val="24"/>
          <w:shd w:val="clear" w:color="auto" w:fill="FFFFFF"/>
        </w:rPr>
      </w:pPr>
      <w:r w:rsidRPr="00554FAF">
        <w:rPr>
          <w:rFonts w:ascii="Times New Roman" w:hAnsi="Times New Roman" w:cs="Times New Roman"/>
          <w:b/>
          <w:bCs/>
          <w:sz w:val="24"/>
          <w:szCs w:val="24"/>
        </w:rPr>
        <w:t xml:space="preserve">5. Ndikimet e pritshme mbi rezultatet sociale, të tilla si punësimi, reduktimi i varfërisë, barazia gjinore: </w:t>
      </w:r>
      <w:r w:rsidRPr="00554FAF">
        <w:rPr>
          <w:rFonts w:ascii="Times New Roman" w:hAnsi="Times New Roman" w:cs="Times New Roman"/>
          <w:sz w:val="24"/>
          <w:szCs w:val="24"/>
        </w:rPr>
        <w:t>z</w:t>
      </w:r>
      <w:r w:rsidRPr="00554FAF">
        <w:rPr>
          <w:rFonts w:ascii="Times New Roman" w:hAnsi="Times New Roman" w:cs="Times New Roman"/>
          <w:sz w:val="24"/>
          <w:szCs w:val="24"/>
          <w:shd w:val="clear" w:color="auto" w:fill="FFFFFF"/>
        </w:rPr>
        <w:t>hvillimi i turizmit do të zgjerohet në zonat rurale dhe malore ku synohet rritja e punësimit në këto zona, rritja e bizneseve familjare ku femrat do të kenë mundësi të lehta të punësimit, sidomos në fushën e kulinarisë dhe artizanateve. Gjithashtu</w:t>
      </w:r>
      <w:r w:rsidR="006F41B2" w:rsidRPr="00554FAF">
        <w:rPr>
          <w:rFonts w:ascii="Times New Roman" w:hAnsi="Times New Roman" w:cs="Times New Roman"/>
          <w:sz w:val="24"/>
          <w:szCs w:val="24"/>
          <w:shd w:val="clear" w:color="auto" w:fill="FFFFFF"/>
        </w:rPr>
        <w:t>,</w:t>
      </w:r>
      <w:r w:rsidRPr="00554FAF">
        <w:rPr>
          <w:rFonts w:ascii="Times New Roman" w:hAnsi="Times New Roman" w:cs="Times New Roman"/>
          <w:sz w:val="24"/>
          <w:szCs w:val="24"/>
          <w:shd w:val="clear" w:color="auto" w:fill="FFFFFF"/>
        </w:rPr>
        <w:t xml:space="preserve"> aktiviteti i IPA fondeve përqendrohet në mbështetjen e MTI-së për të krijuar një skemë të ardhsh</w:t>
      </w:r>
      <w:r w:rsidR="006F41B2" w:rsidRPr="00554FAF">
        <w:rPr>
          <w:rFonts w:ascii="Times New Roman" w:hAnsi="Times New Roman" w:cs="Times New Roman"/>
          <w:sz w:val="24"/>
          <w:szCs w:val="24"/>
          <w:shd w:val="clear" w:color="auto" w:fill="FFFFFF"/>
        </w:rPr>
        <w:t>me</w:t>
      </w:r>
      <w:r w:rsidRPr="00554FAF">
        <w:rPr>
          <w:rFonts w:ascii="Times New Roman" w:hAnsi="Times New Roman" w:cs="Times New Roman"/>
          <w:sz w:val="24"/>
          <w:szCs w:val="24"/>
          <w:shd w:val="clear" w:color="auto" w:fill="FFFFFF"/>
        </w:rPr>
        <w:t xml:space="preserve"> të granteve të vogla për prodhuesit vendor, në mënyrë që të kontribuojë në biznesin në shkallë të vogël të sektorit privat, veçanërisht me fokusin në fuqizimin e grave në këtë sektor të biznesit. Skema e grantit gjithashtu do të synojë rritjen e cilësisë dhe sasisë së produktit dhe rritjen e aftësive të biznesit të komunitetit. Deri në fund të vitit 2022 numri i të punësuarve në fushën e turizmit pritet të rritet rreth 5 %. Ndërsa, pjesëmarrja e të </w:t>
      </w:r>
      <w:r w:rsidR="00482270" w:rsidRPr="00554FAF">
        <w:rPr>
          <w:rFonts w:ascii="Times New Roman" w:hAnsi="Times New Roman" w:cs="Times New Roman"/>
          <w:sz w:val="24"/>
          <w:szCs w:val="24"/>
          <w:shd w:val="clear" w:color="auto" w:fill="FFFFFF"/>
        </w:rPr>
        <w:t>punësuarave</w:t>
      </w:r>
      <w:r w:rsidRPr="00554FAF">
        <w:rPr>
          <w:rFonts w:ascii="Times New Roman" w:hAnsi="Times New Roman" w:cs="Times New Roman"/>
          <w:sz w:val="24"/>
          <w:szCs w:val="24"/>
          <w:shd w:val="clear" w:color="auto" w:fill="FFFFFF"/>
        </w:rPr>
        <w:t xml:space="preserve"> femra në fushën e turizmit synohet, nga 2,700 sa janë të punësuara në 2018, të rritet rreth 20%. Zgjerimi i ofertës turistike, duke ofruar shërbimeve cilësore dhe të standardizuara si dhe promovimi i Kosovës në tregjet ndërkombëtare, do të sjell edhe prurje të reja të turistëve ndërkombëtar dhe kjo do të rezulton në veçanti në rritjen e numrit të turistëve ndërkombëtar në Kosovë, ku pritet q</w:t>
      </w:r>
      <w:r w:rsidR="006F41B2" w:rsidRPr="00554FAF">
        <w:rPr>
          <w:rFonts w:ascii="Times New Roman" w:hAnsi="Times New Roman" w:cs="Times New Roman"/>
          <w:sz w:val="24"/>
          <w:szCs w:val="24"/>
          <w:shd w:val="clear" w:color="auto" w:fill="FFFFFF"/>
        </w:rPr>
        <w:t>ë</w:t>
      </w:r>
      <w:r w:rsidRPr="00554FAF">
        <w:rPr>
          <w:rFonts w:ascii="Times New Roman" w:hAnsi="Times New Roman" w:cs="Times New Roman"/>
          <w:sz w:val="24"/>
          <w:szCs w:val="24"/>
          <w:shd w:val="clear" w:color="auto" w:fill="FFFFFF"/>
        </w:rPr>
        <w:t xml:space="preserve"> deri në fund të vitit 2022 të kemi rreth 40% rritje, me një ngritje të vazhdueshme nga 10% për çdo vit. Kjo pritet të ndiko</w:t>
      </w:r>
      <w:r w:rsidR="006F41B2" w:rsidRPr="00554FAF">
        <w:rPr>
          <w:rFonts w:ascii="Times New Roman" w:hAnsi="Times New Roman" w:cs="Times New Roman"/>
          <w:sz w:val="24"/>
          <w:szCs w:val="24"/>
          <w:shd w:val="clear" w:color="auto" w:fill="FFFFFF"/>
        </w:rPr>
        <w:t>jë</w:t>
      </w:r>
      <w:r w:rsidRPr="00554FAF">
        <w:rPr>
          <w:rFonts w:ascii="Times New Roman" w:hAnsi="Times New Roman" w:cs="Times New Roman"/>
          <w:sz w:val="24"/>
          <w:szCs w:val="24"/>
          <w:shd w:val="clear" w:color="auto" w:fill="FFFFFF"/>
        </w:rPr>
        <w:t xml:space="preserve"> drejtpërdrejt edhe në kohëzgjatjen e qëndrimit në njësitë e akomodimit prandaj pritet të kemi një ngritje të </w:t>
      </w:r>
      <w:r w:rsidR="006F41B2" w:rsidRPr="00554FAF">
        <w:rPr>
          <w:rFonts w:ascii="Times New Roman" w:hAnsi="Times New Roman" w:cs="Times New Roman"/>
          <w:sz w:val="24"/>
          <w:szCs w:val="24"/>
          <w:shd w:val="clear" w:color="auto" w:fill="FFFFFF"/>
        </w:rPr>
        <w:t xml:space="preserve">natë qëndrimeve </w:t>
      </w:r>
      <w:r w:rsidRPr="00554FAF">
        <w:rPr>
          <w:rFonts w:ascii="Times New Roman" w:hAnsi="Times New Roman" w:cs="Times New Roman"/>
          <w:sz w:val="24"/>
          <w:szCs w:val="24"/>
          <w:shd w:val="clear" w:color="auto" w:fill="FFFFFF"/>
        </w:rPr>
        <w:t xml:space="preserve">deri në 30 % (shih tabelën më lartë). Ndërsa pjesëmarrja e turizmit në BPV pritet të rritet në 2%. </w:t>
      </w:r>
    </w:p>
    <w:p w14:paraId="2FC77A62" w14:textId="0E336569" w:rsidR="00E3413B" w:rsidRPr="00554FAF" w:rsidRDefault="00E3413B" w:rsidP="000702CB">
      <w:pPr>
        <w:spacing w:after="60" w:line="240" w:lineRule="auto"/>
        <w:jc w:val="both"/>
        <w:rPr>
          <w:rFonts w:ascii="Times New Roman" w:hAnsi="Times New Roman" w:cs="Times New Roman"/>
          <w:bCs/>
          <w:iCs/>
          <w:sz w:val="24"/>
          <w:szCs w:val="24"/>
        </w:rPr>
      </w:pPr>
      <w:r w:rsidRPr="00554FAF">
        <w:rPr>
          <w:rFonts w:ascii="Times New Roman" w:hAnsi="Times New Roman" w:cs="Times New Roman"/>
          <w:b/>
          <w:bCs/>
          <w:color w:val="000000"/>
          <w:sz w:val="24"/>
          <w:szCs w:val="24"/>
        </w:rPr>
        <w:t xml:space="preserve">6. Ndikimi i pritshëm në mjedis: </w:t>
      </w:r>
      <w:r w:rsidRPr="00554FAF">
        <w:rPr>
          <w:rFonts w:ascii="Times New Roman" w:hAnsi="Times New Roman" w:cs="Times New Roman"/>
          <w:bCs/>
          <w:iCs/>
          <w:sz w:val="24"/>
          <w:szCs w:val="24"/>
        </w:rPr>
        <w:t>Zhvillimi i turizmit në zonat e mbrojtura mund të çoj në rritjen e ndotjes, më shumë mbeturina, humbjen e habitatit natyror dhe në prekjen e specieve që janë në zhdukje. Këto afekte mjedisore gradualisht</w:t>
      </w:r>
      <w:r w:rsidR="006F41B2" w:rsidRPr="00554FAF">
        <w:rPr>
          <w:rFonts w:ascii="Times New Roman" w:hAnsi="Times New Roman" w:cs="Times New Roman"/>
          <w:bCs/>
          <w:iCs/>
          <w:sz w:val="24"/>
          <w:szCs w:val="24"/>
        </w:rPr>
        <w:t xml:space="preserve"> mund</w:t>
      </w:r>
      <w:r w:rsidRPr="00554FAF">
        <w:rPr>
          <w:rFonts w:ascii="Times New Roman" w:hAnsi="Times New Roman" w:cs="Times New Roman"/>
          <w:bCs/>
          <w:iCs/>
          <w:sz w:val="24"/>
          <w:szCs w:val="24"/>
        </w:rPr>
        <w:t xml:space="preserve"> të ndikojnë edhe në dëmtimin e burimeve turistike prej të cilave varet turizmi. Prandaj kjo masë kërkon një bashkëveprim më të madh ndërinstitucional (ndërministror dhe me komunat), në mënyrë që të zhvillohet një turizëm i qëndrueshëm. Rol kyç në ngritjen të bashkëpunimit ndërministror ka Këshilli i Turizmit, të cilin tashmë e ka themeluar MTI, i cili në përbërjen e vet ka anëtarë nga ministritë e linjës për turizëm përfshirë edhe Ministrinë e Mjedisit dhe Planifikimit Hapësinor. MTI ka planifikuar edhe hartimin e strategjisë për sektorin e turizmit dhe synim do të jetë zhvillimi i turizmit të qëndrueshëm.</w:t>
      </w:r>
    </w:p>
    <w:p w14:paraId="5416EFD5" w14:textId="77777777" w:rsidR="00E3413B" w:rsidRPr="00554FAF" w:rsidRDefault="00E3413B" w:rsidP="000702CB">
      <w:pPr>
        <w:spacing w:after="60" w:line="240" w:lineRule="auto"/>
        <w:rPr>
          <w:rFonts w:ascii="Times New Roman" w:hAnsi="Times New Roman" w:cs="Times New Roman"/>
          <w:bCs/>
          <w:sz w:val="24"/>
          <w:szCs w:val="24"/>
        </w:rPr>
      </w:pPr>
      <w:r w:rsidRPr="00554FAF">
        <w:rPr>
          <w:rFonts w:ascii="Times New Roman" w:hAnsi="Times New Roman" w:cs="Times New Roman"/>
          <w:b/>
          <w:bCs/>
          <w:color w:val="000000"/>
          <w:sz w:val="24"/>
          <w:szCs w:val="24"/>
        </w:rPr>
        <w:t>7. Rreziqet potenciale:</w:t>
      </w:r>
    </w:p>
    <w:tbl>
      <w:tblPr>
        <w:tblpPr w:leftFromText="180" w:rightFromText="180" w:vertAnchor="text" w:horzAnchor="margin" w:tblpY="79"/>
        <w:tblOverlap w:val="neve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1697"/>
        <w:gridCol w:w="4950"/>
      </w:tblGrid>
      <w:tr w:rsidR="00BA1A1D" w:rsidRPr="00554FAF" w14:paraId="64EE9A12" w14:textId="77777777" w:rsidTr="00BA1A1D">
        <w:trPr>
          <w:trHeight w:val="618"/>
        </w:trPr>
        <w:tc>
          <w:tcPr>
            <w:tcW w:w="2978" w:type="dxa"/>
            <w:shd w:val="clear" w:color="auto" w:fill="auto"/>
          </w:tcPr>
          <w:p w14:paraId="6E8B828B" w14:textId="77777777" w:rsidR="00BA1A1D" w:rsidRPr="00554FAF" w:rsidRDefault="00BA1A1D" w:rsidP="00BA1A1D">
            <w:pPr>
              <w:pStyle w:val="Default"/>
              <w:spacing w:after="60"/>
              <w:jc w:val="both"/>
              <w:rPr>
                <w:lang w:val="sq-AL"/>
              </w:rPr>
            </w:pPr>
            <w:r w:rsidRPr="00554FAF">
              <w:rPr>
                <w:b/>
                <w:bCs/>
                <w:lang w:val="sq-AL"/>
              </w:rPr>
              <w:t xml:space="preserve">Rreziku </w:t>
            </w:r>
          </w:p>
          <w:p w14:paraId="791BFBE3" w14:textId="77777777" w:rsidR="00BA1A1D" w:rsidRPr="00554FAF" w:rsidRDefault="00BA1A1D" w:rsidP="00BA1A1D">
            <w:pPr>
              <w:pStyle w:val="Default"/>
              <w:spacing w:after="60"/>
              <w:jc w:val="both"/>
              <w:rPr>
                <w:lang w:val="sq-AL"/>
              </w:rPr>
            </w:pPr>
          </w:p>
        </w:tc>
        <w:tc>
          <w:tcPr>
            <w:tcW w:w="1697" w:type="dxa"/>
            <w:shd w:val="clear" w:color="auto" w:fill="auto"/>
          </w:tcPr>
          <w:p w14:paraId="419B3B29" w14:textId="77777777" w:rsidR="00BA1A1D" w:rsidRPr="00554FAF" w:rsidRDefault="00BA1A1D" w:rsidP="00BA1A1D">
            <w:pPr>
              <w:pStyle w:val="Default"/>
              <w:spacing w:after="60"/>
              <w:ind w:right="-122"/>
              <w:rPr>
                <w:lang w:val="sq-AL"/>
              </w:rPr>
            </w:pPr>
            <w:r w:rsidRPr="00554FAF">
              <w:rPr>
                <w:b/>
                <w:bCs/>
                <w:lang w:val="sq-AL"/>
              </w:rPr>
              <w:t xml:space="preserve">Probabiliteti (i ulët ose i lartë) </w:t>
            </w:r>
          </w:p>
        </w:tc>
        <w:tc>
          <w:tcPr>
            <w:tcW w:w="4950" w:type="dxa"/>
            <w:shd w:val="clear" w:color="auto" w:fill="auto"/>
          </w:tcPr>
          <w:p w14:paraId="7B396BEF" w14:textId="77777777" w:rsidR="00BA1A1D" w:rsidRPr="00554FAF" w:rsidRDefault="00BA1A1D" w:rsidP="00BA1A1D">
            <w:pPr>
              <w:pStyle w:val="Default"/>
              <w:spacing w:after="60"/>
              <w:rPr>
                <w:lang w:val="sq-AL"/>
              </w:rPr>
            </w:pPr>
            <w:r w:rsidRPr="00554FAF">
              <w:rPr>
                <w:b/>
                <w:bCs/>
                <w:lang w:val="sq-AL"/>
              </w:rPr>
              <w:t xml:space="preserve">Veprimi lehtësues i planifikuar </w:t>
            </w:r>
          </w:p>
        </w:tc>
      </w:tr>
      <w:tr w:rsidR="00BA1A1D" w:rsidRPr="00554FAF" w14:paraId="2CE6F6B4" w14:textId="77777777" w:rsidTr="00BA1A1D">
        <w:trPr>
          <w:trHeight w:val="606"/>
        </w:trPr>
        <w:tc>
          <w:tcPr>
            <w:tcW w:w="2978" w:type="dxa"/>
            <w:shd w:val="clear" w:color="auto" w:fill="auto"/>
          </w:tcPr>
          <w:p w14:paraId="30999442" w14:textId="77777777" w:rsidR="00BA1A1D" w:rsidRPr="00554FAF" w:rsidRDefault="00BA1A1D" w:rsidP="00BA1A1D">
            <w:pPr>
              <w:pStyle w:val="Default"/>
              <w:spacing w:after="60"/>
              <w:rPr>
                <w:lang w:val="sq-AL"/>
              </w:rPr>
            </w:pPr>
            <w:r w:rsidRPr="00554FAF">
              <w:rPr>
                <w:lang w:val="sq-AL"/>
              </w:rPr>
              <w:t>1. Kapacitetet e pamjaftueshme njerëzore institucionale</w:t>
            </w:r>
          </w:p>
        </w:tc>
        <w:tc>
          <w:tcPr>
            <w:tcW w:w="1697" w:type="dxa"/>
            <w:shd w:val="clear" w:color="auto" w:fill="auto"/>
          </w:tcPr>
          <w:p w14:paraId="0ED97B26" w14:textId="77777777" w:rsidR="00BA1A1D" w:rsidRPr="00554FAF" w:rsidRDefault="00BA1A1D" w:rsidP="00BA1A1D">
            <w:pPr>
              <w:pStyle w:val="Default"/>
              <w:spacing w:after="60"/>
              <w:jc w:val="both"/>
              <w:rPr>
                <w:lang w:val="sq-AL"/>
              </w:rPr>
            </w:pPr>
            <w:r w:rsidRPr="00554FAF">
              <w:rPr>
                <w:lang w:val="sq-AL"/>
              </w:rPr>
              <w:t>I lartë</w:t>
            </w:r>
          </w:p>
        </w:tc>
        <w:tc>
          <w:tcPr>
            <w:tcW w:w="4950" w:type="dxa"/>
            <w:shd w:val="clear" w:color="auto" w:fill="auto"/>
          </w:tcPr>
          <w:p w14:paraId="48562C1C" w14:textId="77777777" w:rsidR="00BA1A1D" w:rsidRPr="00554FAF" w:rsidRDefault="00BA1A1D" w:rsidP="00BA1A1D">
            <w:pPr>
              <w:pStyle w:val="Default"/>
              <w:spacing w:after="60"/>
              <w:jc w:val="both"/>
              <w:rPr>
                <w:lang w:val="sq-AL"/>
              </w:rPr>
            </w:pPr>
            <w:r w:rsidRPr="00554FAF">
              <w:rPr>
                <w:lang w:val="sq-AL"/>
              </w:rPr>
              <w:t xml:space="preserve">Departamenti i Turizmit  është duke u funksionalizuar, pritet të shtohet numri i stafit të Departamentit </w:t>
            </w:r>
          </w:p>
        </w:tc>
      </w:tr>
      <w:tr w:rsidR="00BA1A1D" w:rsidRPr="00554FAF" w14:paraId="0BE8B7EA" w14:textId="77777777" w:rsidTr="00BA1A1D">
        <w:trPr>
          <w:trHeight w:val="606"/>
        </w:trPr>
        <w:tc>
          <w:tcPr>
            <w:tcW w:w="2978" w:type="dxa"/>
            <w:shd w:val="clear" w:color="auto" w:fill="auto"/>
          </w:tcPr>
          <w:p w14:paraId="33932AA3" w14:textId="77777777" w:rsidR="00BA1A1D" w:rsidRPr="00554FAF" w:rsidRDefault="00BA1A1D" w:rsidP="00BA1A1D">
            <w:pPr>
              <w:pStyle w:val="Default"/>
              <w:spacing w:after="60"/>
              <w:rPr>
                <w:lang w:val="sq-AL"/>
              </w:rPr>
            </w:pPr>
            <w:r w:rsidRPr="00554FAF">
              <w:rPr>
                <w:lang w:val="sq-AL"/>
              </w:rPr>
              <w:t xml:space="preserve">2. Bashkëpunimi jo i mjaftueshëm me komunat </w:t>
            </w:r>
          </w:p>
        </w:tc>
        <w:tc>
          <w:tcPr>
            <w:tcW w:w="1697" w:type="dxa"/>
            <w:shd w:val="clear" w:color="auto" w:fill="auto"/>
          </w:tcPr>
          <w:p w14:paraId="2FD7817D" w14:textId="77777777" w:rsidR="00BA1A1D" w:rsidRPr="00554FAF" w:rsidRDefault="00BA1A1D" w:rsidP="00BA1A1D">
            <w:pPr>
              <w:pStyle w:val="Default"/>
              <w:spacing w:after="60"/>
              <w:jc w:val="both"/>
              <w:rPr>
                <w:lang w:val="sq-AL"/>
              </w:rPr>
            </w:pPr>
            <w:r w:rsidRPr="00554FAF">
              <w:rPr>
                <w:lang w:val="sq-AL"/>
              </w:rPr>
              <w:t>I ulët</w:t>
            </w:r>
          </w:p>
        </w:tc>
        <w:tc>
          <w:tcPr>
            <w:tcW w:w="4950" w:type="dxa"/>
            <w:shd w:val="clear" w:color="auto" w:fill="auto"/>
          </w:tcPr>
          <w:p w14:paraId="798F5CD1" w14:textId="77777777" w:rsidR="00BA1A1D" w:rsidRPr="00554FAF" w:rsidRDefault="00BA1A1D" w:rsidP="00BA1A1D">
            <w:pPr>
              <w:pStyle w:val="Default"/>
              <w:spacing w:after="60"/>
              <w:jc w:val="both"/>
              <w:rPr>
                <w:lang w:val="sq-AL"/>
              </w:rPr>
            </w:pPr>
            <w:r w:rsidRPr="00554FAF">
              <w:rPr>
                <w:lang w:val="sq-AL"/>
              </w:rPr>
              <w:t xml:space="preserve">Planifikohet të intensifikohen takimet me komunat me potencial më të lartë për turizëm </w:t>
            </w:r>
          </w:p>
        </w:tc>
      </w:tr>
    </w:tbl>
    <w:p w14:paraId="09BE50B5" w14:textId="77777777" w:rsidR="005370F7" w:rsidRPr="00554FAF" w:rsidRDefault="005370F7" w:rsidP="000702CB">
      <w:pPr>
        <w:spacing w:after="60" w:line="240" w:lineRule="auto"/>
        <w:jc w:val="both"/>
        <w:rPr>
          <w:rFonts w:ascii="Times New Roman" w:hAnsi="Times New Roman" w:cs="Times New Roman"/>
          <w:bCs/>
          <w:sz w:val="24"/>
          <w:szCs w:val="24"/>
        </w:rPr>
      </w:pPr>
    </w:p>
    <w:tbl>
      <w:tblPr>
        <w:tblStyle w:val="TableGrid"/>
        <w:tblW w:w="0" w:type="auto"/>
        <w:tblLook w:val="04A0" w:firstRow="1" w:lastRow="0" w:firstColumn="1" w:lastColumn="0" w:noHBand="0" w:noVBand="1"/>
      </w:tblPr>
      <w:tblGrid>
        <w:gridCol w:w="9350"/>
      </w:tblGrid>
      <w:tr w:rsidR="00E3413B" w:rsidRPr="00554FAF" w14:paraId="5EBD2346" w14:textId="77777777" w:rsidTr="004A424A">
        <w:tc>
          <w:tcPr>
            <w:tcW w:w="9350" w:type="dxa"/>
            <w:shd w:val="clear" w:color="auto" w:fill="5B9BD5" w:themeFill="accent1"/>
          </w:tcPr>
          <w:p w14:paraId="11D2CADC" w14:textId="77777777" w:rsidR="00E3413B" w:rsidRPr="00554FAF" w:rsidRDefault="00E3413B" w:rsidP="000702CB">
            <w:pPr>
              <w:spacing w:after="60"/>
              <w:rPr>
                <w:rFonts w:ascii="Times New Roman" w:hAnsi="Times New Roman" w:cs="Times New Roman"/>
                <w:b/>
                <w:bCs/>
                <w:sz w:val="24"/>
                <w:szCs w:val="24"/>
              </w:rPr>
            </w:pPr>
            <w:r w:rsidRPr="00554FAF">
              <w:rPr>
                <w:rFonts w:ascii="Times New Roman" w:hAnsi="Times New Roman" w:cs="Times New Roman"/>
                <w:b/>
                <w:bCs/>
                <w:sz w:val="24"/>
                <w:szCs w:val="24"/>
              </w:rPr>
              <w:t>Masa e reformës #6: Rritja e konkurrueshmërisë në sektorin e tregtisë në shërbime</w:t>
            </w:r>
          </w:p>
        </w:tc>
      </w:tr>
    </w:tbl>
    <w:p w14:paraId="18FF2DF7" w14:textId="64C6147B" w:rsidR="00E3413B" w:rsidRPr="00554FAF" w:rsidRDefault="00E3413B" w:rsidP="000702CB">
      <w:pPr>
        <w:spacing w:after="60" w:line="240" w:lineRule="auto"/>
        <w:jc w:val="both"/>
        <w:rPr>
          <w:rFonts w:ascii="Times New Roman" w:hAnsi="Times New Roman" w:cs="Times New Roman"/>
          <w:bCs/>
          <w:sz w:val="24"/>
          <w:szCs w:val="24"/>
        </w:rPr>
      </w:pPr>
      <w:r w:rsidRPr="00554FAF">
        <w:rPr>
          <w:rFonts w:ascii="Times New Roman" w:hAnsi="Times New Roman" w:cs="Times New Roman"/>
          <w:b/>
          <w:bCs/>
          <w:sz w:val="24"/>
          <w:szCs w:val="24"/>
        </w:rPr>
        <w:t>1. Përshkrimi i masës:</w:t>
      </w:r>
      <w:r w:rsidRPr="00554FAF">
        <w:rPr>
          <w:rFonts w:ascii="Times New Roman" w:hAnsi="Times New Roman" w:cs="Times New Roman"/>
          <w:bCs/>
          <w:sz w:val="24"/>
          <w:szCs w:val="24"/>
        </w:rPr>
        <w:t xml:space="preserve"> Kjo është një masë e re në PRE që synon të përmirësojë efikasitetin dhe konkurrueshmërinë e veprimtarive të shërbimeve të tregtueshme në Kosovë dhe të  nxisë rëndësinë e tyre në nivel me sektorët si bujqësia dhe industria. Gjithashtu, synon rritjen e niveleve të përgjithshme të produktivitetit dhe konkurrueshmërisë së ekonomisë së Kosovës dhe rritjes së eksporteve të shërbimeve. Kosova tashmë ka marrë obligime në nivel rajonal dhe global, përmes Protokollit 6 të CEFTAs dhe MSA-së. Zhvillimi i shërbimeve moderne dhe efikase parashikohet në SKZH, Programin e Qeverisë dhe Programin Kombëtar për Zbatimin e MSA-së. </w:t>
      </w:r>
    </w:p>
    <w:p w14:paraId="10932809" w14:textId="77777777" w:rsidR="00E3413B" w:rsidRPr="00554FAF" w:rsidRDefault="00E3413B" w:rsidP="00BA1A1D">
      <w:pPr>
        <w:spacing w:after="60" w:line="240" w:lineRule="auto"/>
        <w:ind w:left="180" w:hanging="180"/>
        <w:jc w:val="both"/>
        <w:rPr>
          <w:rFonts w:ascii="Times New Roman" w:hAnsi="Times New Roman" w:cs="Times New Roman"/>
          <w:b/>
          <w:bCs/>
          <w:sz w:val="24"/>
          <w:szCs w:val="24"/>
        </w:rPr>
      </w:pPr>
      <w:r w:rsidRPr="00554FAF">
        <w:rPr>
          <w:rFonts w:ascii="Times New Roman" w:hAnsi="Times New Roman" w:cs="Times New Roman"/>
          <w:b/>
          <w:bCs/>
          <w:sz w:val="24"/>
          <w:szCs w:val="24"/>
        </w:rPr>
        <w:t>a. Aktivitetet e planifikuara për 2020:</w:t>
      </w:r>
    </w:p>
    <w:p w14:paraId="7873A9CC" w14:textId="648B8A6D" w:rsidR="00E3413B" w:rsidRPr="00BA1A1D" w:rsidRDefault="00E3413B" w:rsidP="00802FB3">
      <w:pPr>
        <w:pStyle w:val="ListParagraph"/>
        <w:numPr>
          <w:ilvl w:val="0"/>
          <w:numId w:val="54"/>
        </w:numPr>
        <w:spacing w:after="60" w:line="240" w:lineRule="auto"/>
        <w:ind w:right="466"/>
        <w:jc w:val="both"/>
        <w:rPr>
          <w:rFonts w:ascii="Times New Roman" w:hAnsi="Times New Roman" w:cs="Times New Roman"/>
          <w:sz w:val="24"/>
          <w:szCs w:val="24"/>
        </w:rPr>
      </w:pPr>
      <w:r w:rsidRPr="00BA1A1D">
        <w:rPr>
          <w:rFonts w:ascii="Times New Roman" w:hAnsi="Times New Roman" w:cs="Times New Roman"/>
          <w:sz w:val="24"/>
          <w:szCs w:val="24"/>
        </w:rPr>
        <w:t>Analiza mbi diagnostifikimin e sektorëve  të rëndësishëm të tregtisë së shërbimeve si bazë për formulimin e politikave të përshtatshme</w:t>
      </w:r>
      <w:r w:rsidR="006F41B2" w:rsidRPr="00BA1A1D">
        <w:rPr>
          <w:rFonts w:ascii="Times New Roman" w:hAnsi="Times New Roman" w:cs="Times New Roman"/>
          <w:sz w:val="24"/>
          <w:szCs w:val="24"/>
        </w:rPr>
        <w:t>;</w:t>
      </w:r>
      <w:r w:rsidRPr="00BA1A1D">
        <w:rPr>
          <w:rFonts w:ascii="Times New Roman" w:hAnsi="Times New Roman" w:cs="Times New Roman"/>
          <w:sz w:val="24"/>
          <w:szCs w:val="24"/>
        </w:rPr>
        <w:t xml:space="preserve"> (MTI)</w:t>
      </w:r>
    </w:p>
    <w:p w14:paraId="0845F0B9" w14:textId="584A55DB" w:rsidR="00E3413B" w:rsidRPr="00BA1A1D" w:rsidRDefault="00E3413B" w:rsidP="00802FB3">
      <w:pPr>
        <w:pStyle w:val="ListParagraph"/>
        <w:numPr>
          <w:ilvl w:val="0"/>
          <w:numId w:val="54"/>
        </w:numPr>
        <w:spacing w:after="60" w:line="240" w:lineRule="auto"/>
        <w:jc w:val="both"/>
        <w:rPr>
          <w:rFonts w:ascii="Times New Roman" w:eastAsia="Times New Roman" w:hAnsi="Times New Roman" w:cs="Times New Roman"/>
          <w:sz w:val="24"/>
          <w:szCs w:val="24"/>
          <w:lang w:eastAsia="sq-AL"/>
        </w:rPr>
      </w:pPr>
      <w:r w:rsidRPr="00BA1A1D">
        <w:rPr>
          <w:rFonts w:ascii="Times New Roman" w:eastAsia="Times New Roman" w:hAnsi="Times New Roman" w:cs="Times New Roman"/>
          <w:sz w:val="24"/>
          <w:szCs w:val="24"/>
          <w:lang w:eastAsia="sq-AL"/>
        </w:rPr>
        <w:t>Analiza e të gjitha strategjive të lidhura me sektorët e shërbimeve për të identifikuar çështje dhe boshllëqe horizontale që duhet të adresohen për zhvillimin e mëtejshëm të aktiviteteve të tregtis</w:t>
      </w:r>
      <w:r w:rsidRPr="00BA1A1D">
        <w:rPr>
          <w:rFonts w:ascii="Times New Roman" w:hAnsi="Times New Roman" w:cs="Times New Roman"/>
          <w:sz w:val="24"/>
          <w:szCs w:val="24"/>
        </w:rPr>
        <w:t xml:space="preserve">ë së </w:t>
      </w:r>
      <w:r w:rsidRPr="00BA1A1D">
        <w:rPr>
          <w:rFonts w:ascii="Times New Roman" w:eastAsia="Times New Roman" w:hAnsi="Times New Roman" w:cs="Times New Roman"/>
          <w:sz w:val="24"/>
          <w:szCs w:val="24"/>
          <w:lang w:eastAsia="sq-AL"/>
        </w:rPr>
        <w:t>shërbimeve në Kosov</w:t>
      </w:r>
      <w:r w:rsidRPr="00BA1A1D">
        <w:rPr>
          <w:rFonts w:ascii="Times New Roman" w:hAnsi="Times New Roman" w:cs="Times New Roman"/>
          <w:sz w:val="24"/>
          <w:szCs w:val="24"/>
        </w:rPr>
        <w:t>ë</w:t>
      </w:r>
      <w:r w:rsidR="006F41B2" w:rsidRPr="00BA1A1D">
        <w:rPr>
          <w:rFonts w:ascii="Times New Roman" w:hAnsi="Times New Roman" w:cs="Times New Roman"/>
          <w:sz w:val="24"/>
          <w:szCs w:val="24"/>
        </w:rPr>
        <w:t>;</w:t>
      </w:r>
      <w:r w:rsidRPr="00BA1A1D">
        <w:rPr>
          <w:rFonts w:ascii="Times New Roman" w:eastAsia="Times New Roman" w:hAnsi="Times New Roman" w:cs="Times New Roman"/>
          <w:sz w:val="24"/>
          <w:szCs w:val="24"/>
          <w:lang w:eastAsia="sq-AL"/>
        </w:rPr>
        <w:t xml:space="preserve"> (MTI)</w:t>
      </w:r>
    </w:p>
    <w:p w14:paraId="7E309530" w14:textId="191D1484" w:rsidR="00E3413B" w:rsidRPr="00BA1A1D" w:rsidRDefault="00E3413B" w:rsidP="00802FB3">
      <w:pPr>
        <w:pStyle w:val="ListParagraph"/>
        <w:numPr>
          <w:ilvl w:val="0"/>
          <w:numId w:val="54"/>
        </w:numPr>
        <w:spacing w:after="60" w:line="240" w:lineRule="auto"/>
        <w:jc w:val="both"/>
        <w:rPr>
          <w:rFonts w:ascii="Times New Roman" w:eastAsia="Times New Roman" w:hAnsi="Times New Roman" w:cs="Times New Roman"/>
          <w:sz w:val="24"/>
          <w:szCs w:val="24"/>
          <w:lang w:eastAsia="sq-AL"/>
        </w:rPr>
      </w:pPr>
      <w:r w:rsidRPr="00BA1A1D">
        <w:rPr>
          <w:rFonts w:ascii="Times New Roman" w:eastAsia="Times New Roman" w:hAnsi="Times New Roman" w:cs="Times New Roman"/>
          <w:sz w:val="24"/>
          <w:szCs w:val="24"/>
          <w:lang w:eastAsia="sq-AL"/>
        </w:rPr>
        <w:t>Vlerësimi i përparësisë së konkurrueshmërisë në tregtinë e shërbimeve</w:t>
      </w:r>
      <w:r w:rsidR="006F41B2" w:rsidRPr="00BA1A1D">
        <w:rPr>
          <w:rFonts w:ascii="Times New Roman" w:eastAsia="Times New Roman" w:hAnsi="Times New Roman" w:cs="Times New Roman"/>
          <w:sz w:val="24"/>
          <w:szCs w:val="24"/>
          <w:lang w:eastAsia="sq-AL"/>
        </w:rPr>
        <w:t>;</w:t>
      </w:r>
      <w:r w:rsidRPr="00BA1A1D">
        <w:rPr>
          <w:rFonts w:ascii="Times New Roman" w:eastAsia="Times New Roman" w:hAnsi="Times New Roman" w:cs="Times New Roman"/>
          <w:sz w:val="24"/>
          <w:szCs w:val="24"/>
          <w:lang w:eastAsia="sq-AL"/>
        </w:rPr>
        <w:t xml:space="preserve"> (MTI) </w:t>
      </w:r>
    </w:p>
    <w:p w14:paraId="28D8442E" w14:textId="77777777" w:rsidR="00E3413B" w:rsidRPr="00BA1A1D" w:rsidRDefault="00E3413B" w:rsidP="00802FB3">
      <w:pPr>
        <w:pStyle w:val="ListParagraph"/>
        <w:numPr>
          <w:ilvl w:val="0"/>
          <w:numId w:val="54"/>
        </w:numPr>
        <w:spacing w:after="60" w:line="240" w:lineRule="auto"/>
        <w:ind w:right="466"/>
        <w:jc w:val="both"/>
        <w:rPr>
          <w:rFonts w:ascii="Times New Roman" w:hAnsi="Times New Roman" w:cs="Times New Roman"/>
          <w:sz w:val="24"/>
          <w:szCs w:val="24"/>
        </w:rPr>
      </w:pPr>
      <w:r w:rsidRPr="00BA1A1D">
        <w:rPr>
          <w:rFonts w:ascii="Times New Roman" w:hAnsi="Times New Roman" w:cs="Times New Roman"/>
          <w:sz w:val="24"/>
          <w:szCs w:val="24"/>
        </w:rPr>
        <w:t>Themelimi i Komitetit Kombëtar për Tregti në Shërbime (MTI);</w:t>
      </w:r>
    </w:p>
    <w:p w14:paraId="0BBC685D" w14:textId="77777777" w:rsidR="00E3413B" w:rsidRPr="00BA1A1D" w:rsidRDefault="00E3413B" w:rsidP="00802FB3">
      <w:pPr>
        <w:pStyle w:val="ListParagraph"/>
        <w:numPr>
          <w:ilvl w:val="0"/>
          <w:numId w:val="54"/>
        </w:numPr>
        <w:spacing w:after="60" w:line="240" w:lineRule="auto"/>
        <w:ind w:right="466"/>
        <w:jc w:val="both"/>
        <w:rPr>
          <w:rFonts w:ascii="Times New Roman" w:hAnsi="Times New Roman" w:cs="Times New Roman"/>
          <w:sz w:val="24"/>
          <w:szCs w:val="24"/>
        </w:rPr>
      </w:pPr>
      <w:r w:rsidRPr="00BA1A1D">
        <w:rPr>
          <w:rFonts w:ascii="Times New Roman" w:hAnsi="Times New Roman" w:cs="Times New Roman"/>
          <w:sz w:val="24"/>
          <w:szCs w:val="24"/>
        </w:rPr>
        <w:t>Finalizimi i negociatave për njohjen e ndërsjellë të kualifikimeve profesionale në mes të vendeve anëtare të CEFTAs;</w:t>
      </w:r>
    </w:p>
    <w:p w14:paraId="55FC6E7B" w14:textId="0BA8D7A2" w:rsidR="00E3413B" w:rsidRPr="00BA1A1D" w:rsidRDefault="00E3413B" w:rsidP="00802FB3">
      <w:pPr>
        <w:pStyle w:val="ListParagraph"/>
        <w:numPr>
          <w:ilvl w:val="0"/>
          <w:numId w:val="54"/>
        </w:numPr>
        <w:spacing w:after="60" w:line="240" w:lineRule="auto"/>
        <w:ind w:right="466"/>
        <w:jc w:val="both"/>
        <w:rPr>
          <w:rFonts w:ascii="Times New Roman" w:hAnsi="Times New Roman" w:cs="Times New Roman"/>
          <w:sz w:val="24"/>
          <w:szCs w:val="24"/>
        </w:rPr>
      </w:pPr>
      <w:r w:rsidRPr="00BA1A1D">
        <w:rPr>
          <w:rFonts w:ascii="Times New Roman" w:hAnsi="Times New Roman" w:cs="Times New Roman"/>
          <w:sz w:val="24"/>
          <w:szCs w:val="24"/>
        </w:rPr>
        <w:t>Ratifikimi i Protokollit Shtesë të CEFTAs, AP6 për tregti në shërbime</w:t>
      </w:r>
      <w:r w:rsidR="006F41B2" w:rsidRPr="00BA1A1D">
        <w:rPr>
          <w:rFonts w:ascii="Times New Roman" w:hAnsi="Times New Roman" w:cs="Times New Roman"/>
          <w:sz w:val="24"/>
          <w:szCs w:val="24"/>
        </w:rPr>
        <w:t>;</w:t>
      </w:r>
      <w:r w:rsidRPr="00BA1A1D">
        <w:rPr>
          <w:rFonts w:ascii="Times New Roman" w:hAnsi="Times New Roman" w:cs="Times New Roman"/>
          <w:sz w:val="24"/>
          <w:szCs w:val="24"/>
        </w:rPr>
        <w:t xml:space="preserve"> (MTI)</w:t>
      </w:r>
    </w:p>
    <w:p w14:paraId="50275573" w14:textId="676526DC" w:rsidR="00E3413B" w:rsidRPr="00BA1A1D" w:rsidRDefault="00E3413B" w:rsidP="00802FB3">
      <w:pPr>
        <w:pStyle w:val="ListParagraph"/>
        <w:numPr>
          <w:ilvl w:val="0"/>
          <w:numId w:val="54"/>
        </w:numPr>
        <w:spacing w:after="60" w:line="240" w:lineRule="auto"/>
        <w:jc w:val="both"/>
        <w:rPr>
          <w:rFonts w:ascii="Times New Roman" w:eastAsia="Times New Roman" w:hAnsi="Times New Roman" w:cs="Times New Roman"/>
          <w:color w:val="FF0000"/>
          <w:sz w:val="24"/>
          <w:szCs w:val="24"/>
          <w:lang w:eastAsia="sq-AL"/>
        </w:rPr>
      </w:pPr>
      <w:r w:rsidRPr="00BA1A1D">
        <w:rPr>
          <w:rFonts w:ascii="Times New Roman" w:eastAsia="Times New Roman" w:hAnsi="Times New Roman" w:cs="Times New Roman"/>
          <w:sz w:val="24"/>
          <w:szCs w:val="24"/>
          <w:lang w:eastAsia="sq-AL"/>
        </w:rPr>
        <w:t>Themelimi i Pikës së Kontaktit për shërbime në kuadër të CEFTAs</w:t>
      </w:r>
      <w:r w:rsidR="006F41B2" w:rsidRPr="00BA1A1D">
        <w:rPr>
          <w:rFonts w:ascii="Times New Roman" w:eastAsia="Times New Roman" w:hAnsi="Times New Roman" w:cs="Times New Roman"/>
          <w:sz w:val="24"/>
          <w:szCs w:val="24"/>
          <w:lang w:eastAsia="sq-AL"/>
        </w:rPr>
        <w:t>;</w:t>
      </w:r>
      <w:r w:rsidRPr="00BA1A1D">
        <w:rPr>
          <w:rFonts w:ascii="Times New Roman" w:eastAsia="Times New Roman" w:hAnsi="Times New Roman" w:cs="Times New Roman"/>
          <w:sz w:val="24"/>
          <w:szCs w:val="24"/>
          <w:lang w:eastAsia="sq-AL"/>
        </w:rPr>
        <w:t xml:space="preserve"> </w:t>
      </w:r>
    </w:p>
    <w:p w14:paraId="100604C8" w14:textId="77777777" w:rsidR="00E3413B" w:rsidRPr="00BA1A1D" w:rsidRDefault="00E3413B" w:rsidP="00802FB3">
      <w:pPr>
        <w:pStyle w:val="ListParagraph"/>
        <w:numPr>
          <w:ilvl w:val="0"/>
          <w:numId w:val="54"/>
        </w:numPr>
        <w:spacing w:after="60" w:line="240" w:lineRule="auto"/>
        <w:jc w:val="both"/>
        <w:rPr>
          <w:rFonts w:ascii="Times New Roman" w:eastAsia="Times New Roman" w:hAnsi="Times New Roman" w:cs="Times New Roman"/>
          <w:color w:val="FF0000"/>
          <w:sz w:val="24"/>
          <w:szCs w:val="24"/>
          <w:lang w:eastAsia="sq-AL"/>
        </w:rPr>
      </w:pPr>
      <w:r w:rsidRPr="00BA1A1D">
        <w:rPr>
          <w:rFonts w:ascii="Times New Roman" w:hAnsi="Times New Roman" w:cs="Times New Roman"/>
          <w:sz w:val="24"/>
          <w:szCs w:val="24"/>
        </w:rPr>
        <w:t xml:space="preserve">Hartimi i koncept dokumentit për tregtinë elektronike (MTI);  </w:t>
      </w:r>
    </w:p>
    <w:p w14:paraId="51F224A0" w14:textId="77777777" w:rsidR="00E3413B" w:rsidRPr="00554FAF" w:rsidRDefault="00E3413B" w:rsidP="000702CB">
      <w:pPr>
        <w:spacing w:after="60" w:line="240" w:lineRule="auto"/>
        <w:ind w:left="360"/>
        <w:jc w:val="both"/>
        <w:rPr>
          <w:rFonts w:ascii="Times New Roman" w:eastAsia="Times New Roman" w:hAnsi="Times New Roman" w:cs="Times New Roman"/>
          <w:sz w:val="24"/>
          <w:szCs w:val="24"/>
          <w:lang w:eastAsia="sq-AL"/>
        </w:rPr>
      </w:pPr>
    </w:p>
    <w:p w14:paraId="51740243" w14:textId="77777777" w:rsidR="00E3413B" w:rsidRPr="00554FAF" w:rsidRDefault="00E3413B" w:rsidP="00BA1A1D">
      <w:pPr>
        <w:spacing w:after="60" w:line="240" w:lineRule="auto"/>
        <w:ind w:left="180" w:hanging="180"/>
        <w:rPr>
          <w:rFonts w:ascii="Times New Roman" w:hAnsi="Times New Roman" w:cs="Times New Roman"/>
          <w:b/>
          <w:bCs/>
          <w:sz w:val="24"/>
          <w:szCs w:val="24"/>
        </w:rPr>
      </w:pPr>
      <w:r w:rsidRPr="00554FAF">
        <w:rPr>
          <w:rFonts w:ascii="Times New Roman" w:hAnsi="Times New Roman" w:cs="Times New Roman"/>
          <w:b/>
          <w:bCs/>
          <w:sz w:val="24"/>
          <w:szCs w:val="24"/>
        </w:rPr>
        <w:t>b. Aktivitetet e planifikuara për 2021:</w:t>
      </w:r>
    </w:p>
    <w:p w14:paraId="6A87B302" w14:textId="6007A3AF" w:rsidR="00E3413B" w:rsidRPr="00BA1A1D" w:rsidRDefault="00E3413B" w:rsidP="00802FB3">
      <w:pPr>
        <w:pStyle w:val="ListParagraph"/>
        <w:numPr>
          <w:ilvl w:val="0"/>
          <w:numId w:val="55"/>
        </w:numPr>
        <w:spacing w:after="60" w:line="240" w:lineRule="auto"/>
        <w:ind w:right="466"/>
        <w:jc w:val="both"/>
        <w:rPr>
          <w:rFonts w:ascii="Times New Roman" w:hAnsi="Times New Roman" w:cs="Times New Roman"/>
          <w:sz w:val="24"/>
          <w:szCs w:val="24"/>
        </w:rPr>
      </w:pPr>
      <w:r w:rsidRPr="00BA1A1D">
        <w:rPr>
          <w:rFonts w:ascii="Times New Roman" w:hAnsi="Times New Roman" w:cs="Times New Roman"/>
          <w:sz w:val="24"/>
          <w:szCs w:val="24"/>
        </w:rPr>
        <w:t>Vazhdimi i analizave mbi diagnostifikimin e sektorëve të rëndësishëm të tregtisë së shërbimeve si bazë për formulimin e politikave të përshtatshme</w:t>
      </w:r>
      <w:r w:rsidR="006F41B2" w:rsidRPr="00BA1A1D">
        <w:rPr>
          <w:rFonts w:ascii="Times New Roman" w:hAnsi="Times New Roman" w:cs="Times New Roman"/>
          <w:sz w:val="24"/>
          <w:szCs w:val="24"/>
        </w:rPr>
        <w:t>;</w:t>
      </w:r>
      <w:r w:rsidRPr="00BA1A1D">
        <w:rPr>
          <w:rFonts w:ascii="Times New Roman" w:hAnsi="Times New Roman" w:cs="Times New Roman"/>
          <w:sz w:val="24"/>
          <w:szCs w:val="24"/>
        </w:rPr>
        <w:t xml:space="preserve"> (MTI)</w:t>
      </w:r>
    </w:p>
    <w:p w14:paraId="72EB386D" w14:textId="201F489E" w:rsidR="00E3413B" w:rsidRPr="00BA1A1D" w:rsidRDefault="00E3413B" w:rsidP="00802FB3">
      <w:pPr>
        <w:pStyle w:val="ListParagraph"/>
        <w:numPr>
          <w:ilvl w:val="0"/>
          <w:numId w:val="55"/>
        </w:numPr>
        <w:spacing w:after="60" w:line="240" w:lineRule="auto"/>
        <w:ind w:right="466"/>
        <w:jc w:val="both"/>
        <w:rPr>
          <w:rFonts w:ascii="Times New Roman" w:hAnsi="Times New Roman" w:cs="Times New Roman"/>
          <w:sz w:val="24"/>
          <w:szCs w:val="24"/>
        </w:rPr>
      </w:pPr>
      <w:r w:rsidRPr="00BA1A1D">
        <w:rPr>
          <w:rFonts w:ascii="Times New Roman" w:hAnsi="Times New Roman" w:cs="Times New Roman"/>
          <w:sz w:val="24"/>
          <w:szCs w:val="24"/>
        </w:rPr>
        <w:t>Hartimi dhe Aprovimi i Ligjit për Tregtinë Elektronike</w:t>
      </w:r>
      <w:r w:rsidR="006F41B2" w:rsidRPr="00BA1A1D">
        <w:rPr>
          <w:rFonts w:ascii="Times New Roman" w:hAnsi="Times New Roman" w:cs="Times New Roman"/>
          <w:sz w:val="24"/>
          <w:szCs w:val="24"/>
        </w:rPr>
        <w:t>;</w:t>
      </w:r>
      <w:r w:rsidRPr="00BA1A1D">
        <w:rPr>
          <w:rFonts w:ascii="Times New Roman" w:hAnsi="Times New Roman" w:cs="Times New Roman"/>
          <w:sz w:val="24"/>
          <w:szCs w:val="24"/>
        </w:rPr>
        <w:t xml:space="preserve"> (MTI)</w:t>
      </w:r>
    </w:p>
    <w:p w14:paraId="44E0B298" w14:textId="68D24EB9" w:rsidR="00E3413B" w:rsidRPr="00BA1A1D" w:rsidRDefault="00E3413B" w:rsidP="00802FB3">
      <w:pPr>
        <w:pStyle w:val="ListParagraph"/>
        <w:numPr>
          <w:ilvl w:val="0"/>
          <w:numId w:val="55"/>
        </w:numPr>
        <w:spacing w:after="60" w:line="240" w:lineRule="auto"/>
        <w:ind w:right="466"/>
        <w:jc w:val="both"/>
        <w:rPr>
          <w:rFonts w:ascii="Times New Roman" w:hAnsi="Times New Roman" w:cs="Times New Roman"/>
          <w:sz w:val="24"/>
          <w:szCs w:val="24"/>
        </w:rPr>
      </w:pPr>
      <w:r w:rsidRPr="00BA1A1D">
        <w:rPr>
          <w:rFonts w:ascii="Times New Roman" w:hAnsi="Times New Roman" w:cs="Times New Roman"/>
          <w:sz w:val="24"/>
          <w:szCs w:val="24"/>
        </w:rPr>
        <w:t>Identifikimi i barrierave në tregtinë në shërbime dhe hartimi i planit të veprimit për heqjen e këtyre barrierave n</w:t>
      </w:r>
      <w:r w:rsidR="006F41B2" w:rsidRPr="00BA1A1D">
        <w:rPr>
          <w:rFonts w:ascii="Times New Roman" w:hAnsi="Times New Roman" w:cs="Times New Roman"/>
          <w:sz w:val="24"/>
          <w:szCs w:val="24"/>
        </w:rPr>
        <w:t>ë</w:t>
      </w:r>
      <w:r w:rsidRPr="00BA1A1D">
        <w:rPr>
          <w:rFonts w:ascii="Times New Roman" w:hAnsi="Times New Roman" w:cs="Times New Roman"/>
          <w:sz w:val="24"/>
          <w:szCs w:val="24"/>
        </w:rPr>
        <w:t>n AP6</w:t>
      </w:r>
      <w:r w:rsidR="006F41B2" w:rsidRPr="00BA1A1D">
        <w:rPr>
          <w:rFonts w:ascii="Times New Roman" w:hAnsi="Times New Roman" w:cs="Times New Roman"/>
          <w:sz w:val="24"/>
          <w:szCs w:val="24"/>
        </w:rPr>
        <w:t>;</w:t>
      </w:r>
      <w:r w:rsidRPr="00BA1A1D">
        <w:rPr>
          <w:rFonts w:ascii="Times New Roman" w:hAnsi="Times New Roman" w:cs="Times New Roman"/>
          <w:sz w:val="24"/>
          <w:szCs w:val="24"/>
        </w:rPr>
        <w:t xml:space="preserve"> (MTI)</w:t>
      </w:r>
    </w:p>
    <w:p w14:paraId="7B305AF0" w14:textId="6969E294" w:rsidR="00E3413B" w:rsidRPr="00BA1A1D" w:rsidRDefault="00E3413B" w:rsidP="00802FB3">
      <w:pPr>
        <w:pStyle w:val="ListParagraph"/>
        <w:numPr>
          <w:ilvl w:val="0"/>
          <w:numId w:val="55"/>
        </w:numPr>
        <w:spacing w:after="60" w:line="240" w:lineRule="auto"/>
        <w:ind w:right="466"/>
        <w:jc w:val="both"/>
        <w:rPr>
          <w:rFonts w:ascii="Times New Roman" w:hAnsi="Times New Roman" w:cs="Times New Roman"/>
          <w:sz w:val="24"/>
          <w:szCs w:val="24"/>
        </w:rPr>
      </w:pPr>
      <w:r w:rsidRPr="00BA1A1D">
        <w:rPr>
          <w:rFonts w:ascii="Times New Roman" w:hAnsi="Times New Roman" w:cs="Times New Roman"/>
          <w:sz w:val="24"/>
          <w:szCs w:val="24"/>
        </w:rPr>
        <w:t>Analiza e rregulloreve vendore të cilat duhet të harmonizohen në kuadër të AP6  (MTI)</w:t>
      </w:r>
      <w:r w:rsidR="006F41B2" w:rsidRPr="00BA1A1D">
        <w:rPr>
          <w:rFonts w:ascii="Times New Roman" w:hAnsi="Times New Roman" w:cs="Times New Roman"/>
          <w:sz w:val="24"/>
          <w:szCs w:val="24"/>
        </w:rPr>
        <w:t>;</w:t>
      </w:r>
    </w:p>
    <w:p w14:paraId="091DB4B5" w14:textId="1E264054" w:rsidR="00E3413B" w:rsidRPr="00BA1A1D" w:rsidRDefault="00E3413B" w:rsidP="00802FB3">
      <w:pPr>
        <w:pStyle w:val="ListParagraph"/>
        <w:numPr>
          <w:ilvl w:val="0"/>
          <w:numId w:val="55"/>
        </w:numPr>
        <w:spacing w:after="60" w:line="240" w:lineRule="auto"/>
        <w:ind w:right="466"/>
        <w:jc w:val="both"/>
        <w:rPr>
          <w:rFonts w:ascii="Times New Roman" w:hAnsi="Times New Roman" w:cs="Times New Roman"/>
          <w:sz w:val="24"/>
          <w:szCs w:val="24"/>
        </w:rPr>
      </w:pPr>
      <w:r w:rsidRPr="00BA1A1D">
        <w:rPr>
          <w:rFonts w:ascii="Times New Roman" w:hAnsi="Times New Roman" w:cs="Times New Roman"/>
          <w:sz w:val="24"/>
          <w:szCs w:val="24"/>
        </w:rPr>
        <w:t>Hartimi i planit të veprimit për të mbështetur eksportin e shërbimeve</w:t>
      </w:r>
      <w:r w:rsidRPr="00BA1A1D" w:rsidDel="00BF480D">
        <w:rPr>
          <w:rFonts w:ascii="Times New Roman" w:hAnsi="Times New Roman" w:cs="Times New Roman"/>
          <w:sz w:val="24"/>
          <w:szCs w:val="24"/>
        </w:rPr>
        <w:t xml:space="preserve"> </w:t>
      </w:r>
      <w:r w:rsidRPr="00BA1A1D">
        <w:rPr>
          <w:rFonts w:ascii="Times New Roman" w:hAnsi="Times New Roman" w:cs="Times New Roman"/>
          <w:sz w:val="24"/>
          <w:szCs w:val="24"/>
        </w:rPr>
        <w:t>(MTI)</w:t>
      </w:r>
      <w:r w:rsidR="006F41B2" w:rsidRPr="00BA1A1D">
        <w:rPr>
          <w:rFonts w:ascii="Times New Roman" w:hAnsi="Times New Roman" w:cs="Times New Roman"/>
          <w:sz w:val="24"/>
          <w:szCs w:val="24"/>
        </w:rPr>
        <w:t>.</w:t>
      </w:r>
    </w:p>
    <w:p w14:paraId="53AA3F9F" w14:textId="77777777" w:rsidR="00E3413B" w:rsidRPr="00554FAF" w:rsidRDefault="00E3413B" w:rsidP="000702CB">
      <w:pPr>
        <w:spacing w:after="60" w:line="240" w:lineRule="auto"/>
        <w:rPr>
          <w:rFonts w:ascii="Times New Roman" w:hAnsi="Times New Roman" w:cs="Times New Roman"/>
          <w:b/>
          <w:bCs/>
          <w:sz w:val="24"/>
          <w:szCs w:val="24"/>
        </w:rPr>
      </w:pPr>
    </w:p>
    <w:p w14:paraId="4557959F" w14:textId="77777777" w:rsidR="00E3413B" w:rsidRPr="00554FAF" w:rsidRDefault="00E3413B" w:rsidP="00BA1A1D">
      <w:pPr>
        <w:spacing w:after="60" w:line="240" w:lineRule="auto"/>
        <w:ind w:left="180" w:hanging="180"/>
        <w:rPr>
          <w:rFonts w:ascii="Times New Roman" w:hAnsi="Times New Roman" w:cs="Times New Roman"/>
          <w:b/>
          <w:bCs/>
          <w:sz w:val="24"/>
          <w:szCs w:val="24"/>
        </w:rPr>
      </w:pPr>
      <w:r w:rsidRPr="00554FAF">
        <w:rPr>
          <w:rFonts w:ascii="Times New Roman" w:hAnsi="Times New Roman" w:cs="Times New Roman"/>
          <w:b/>
          <w:bCs/>
          <w:sz w:val="24"/>
          <w:szCs w:val="24"/>
        </w:rPr>
        <w:t>c. Aktivitetet e planifikuara për 2022:</w:t>
      </w:r>
    </w:p>
    <w:p w14:paraId="2EAA7E77" w14:textId="3C7E93F5" w:rsidR="00E3413B" w:rsidRPr="00BA1A1D" w:rsidRDefault="00E3413B" w:rsidP="00802FB3">
      <w:pPr>
        <w:pStyle w:val="ListParagraph"/>
        <w:numPr>
          <w:ilvl w:val="0"/>
          <w:numId w:val="56"/>
        </w:numPr>
        <w:spacing w:after="60" w:line="240" w:lineRule="auto"/>
        <w:ind w:right="466"/>
        <w:jc w:val="both"/>
        <w:rPr>
          <w:rFonts w:ascii="Times New Roman" w:hAnsi="Times New Roman" w:cs="Times New Roman"/>
          <w:sz w:val="24"/>
          <w:szCs w:val="24"/>
        </w:rPr>
      </w:pPr>
      <w:r w:rsidRPr="00BA1A1D">
        <w:rPr>
          <w:rFonts w:ascii="Times New Roman" w:hAnsi="Times New Roman" w:cs="Times New Roman"/>
          <w:sz w:val="24"/>
          <w:szCs w:val="24"/>
        </w:rPr>
        <w:t>Adresimi i agjendës së integruar dhe llogaritja e shkallës së masave kufizuese që ndikojnë në tregtinë në shërbime, duke përdorur metodologjitë e Bankës Botërore dhe OECD-së nën AP6 (Services Trade Restrictiviness Index)</w:t>
      </w:r>
      <w:r w:rsidR="006F41B2" w:rsidRPr="00BA1A1D">
        <w:rPr>
          <w:rFonts w:ascii="Times New Roman" w:hAnsi="Times New Roman" w:cs="Times New Roman"/>
          <w:sz w:val="24"/>
          <w:szCs w:val="24"/>
        </w:rPr>
        <w:t>;</w:t>
      </w:r>
      <w:r w:rsidRPr="00BA1A1D">
        <w:rPr>
          <w:rFonts w:ascii="Times New Roman" w:hAnsi="Times New Roman" w:cs="Times New Roman"/>
          <w:sz w:val="24"/>
          <w:szCs w:val="24"/>
        </w:rPr>
        <w:t xml:space="preserve"> (MTI)</w:t>
      </w:r>
    </w:p>
    <w:p w14:paraId="5DC25C31" w14:textId="5EFEF5BE" w:rsidR="00E3413B" w:rsidRPr="00BA1A1D" w:rsidRDefault="00E3413B" w:rsidP="00802FB3">
      <w:pPr>
        <w:pStyle w:val="ListParagraph"/>
        <w:numPr>
          <w:ilvl w:val="0"/>
          <w:numId w:val="56"/>
        </w:numPr>
        <w:spacing w:after="60" w:line="240" w:lineRule="auto"/>
        <w:ind w:right="466"/>
        <w:jc w:val="both"/>
        <w:rPr>
          <w:rFonts w:ascii="Times New Roman" w:hAnsi="Times New Roman" w:cs="Times New Roman"/>
          <w:sz w:val="24"/>
          <w:szCs w:val="24"/>
        </w:rPr>
      </w:pPr>
      <w:r w:rsidRPr="00BA1A1D">
        <w:rPr>
          <w:rFonts w:ascii="Times New Roman" w:hAnsi="Times New Roman" w:cs="Times New Roman"/>
          <w:sz w:val="24"/>
          <w:szCs w:val="24"/>
        </w:rPr>
        <w:t>Negociata ndërmjet vendeve anëtare të CEFTA-s për liberalizimin e më tej të tregtisë në shërbime</w:t>
      </w:r>
      <w:r w:rsidR="006F41B2" w:rsidRPr="00BA1A1D">
        <w:rPr>
          <w:rFonts w:ascii="Times New Roman" w:hAnsi="Times New Roman" w:cs="Times New Roman"/>
          <w:sz w:val="24"/>
          <w:szCs w:val="24"/>
        </w:rPr>
        <w:t>;</w:t>
      </w:r>
      <w:r w:rsidRPr="00BA1A1D">
        <w:rPr>
          <w:rFonts w:ascii="Times New Roman" w:hAnsi="Times New Roman" w:cs="Times New Roman"/>
          <w:sz w:val="24"/>
          <w:szCs w:val="24"/>
        </w:rPr>
        <w:t xml:space="preserve"> (MTI)</w:t>
      </w:r>
    </w:p>
    <w:p w14:paraId="0457B027" w14:textId="76266EC2" w:rsidR="00E3413B" w:rsidRPr="00BA1A1D" w:rsidRDefault="00E3413B" w:rsidP="00802FB3">
      <w:pPr>
        <w:pStyle w:val="ListParagraph"/>
        <w:numPr>
          <w:ilvl w:val="0"/>
          <w:numId w:val="56"/>
        </w:numPr>
        <w:spacing w:after="60" w:line="240" w:lineRule="auto"/>
        <w:ind w:right="466"/>
        <w:jc w:val="both"/>
        <w:rPr>
          <w:rFonts w:ascii="Times New Roman" w:hAnsi="Times New Roman" w:cs="Times New Roman"/>
          <w:sz w:val="24"/>
          <w:szCs w:val="24"/>
        </w:rPr>
      </w:pPr>
      <w:r w:rsidRPr="00BA1A1D">
        <w:rPr>
          <w:rFonts w:ascii="Times New Roman" w:hAnsi="Times New Roman" w:cs="Times New Roman"/>
          <w:sz w:val="24"/>
          <w:szCs w:val="24"/>
        </w:rPr>
        <w:t>Liberalizimi i shërbimeve me partnerët tregtarë (Mbretëria e Bashkuar, Turqia); (MTI)</w:t>
      </w:r>
    </w:p>
    <w:p w14:paraId="254D91A3" w14:textId="6D9F0226" w:rsidR="00E3413B" w:rsidRPr="00BA1A1D" w:rsidRDefault="00E3413B" w:rsidP="00802FB3">
      <w:pPr>
        <w:pStyle w:val="ListParagraph"/>
        <w:numPr>
          <w:ilvl w:val="0"/>
          <w:numId w:val="56"/>
        </w:numPr>
        <w:spacing w:after="60" w:line="240" w:lineRule="auto"/>
        <w:ind w:right="466"/>
        <w:jc w:val="both"/>
        <w:rPr>
          <w:rFonts w:ascii="Times New Roman" w:hAnsi="Times New Roman" w:cs="Times New Roman"/>
          <w:sz w:val="24"/>
          <w:szCs w:val="24"/>
        </w:rPr>
      </w:pPr>
      <w:r w:rsidRPr="00BA1A1D">
        <w:rPr>
          <w:rFonts w:ascii="Times New Roman" w:hAnsi="Times New Roman" w:cs="Times New Roman"/>
          <w:sz w:val="24"/>
          <w:szCs w:val="24"/>
        </w:rPr>
        <w:t>Mbështetja e eksportit t</w:t>
      </w:r>
      <w:r w:rsidR="006F41B2" w:rsidRPr="00BA1A1D">
        <w:rPr>
          <w:rFonts w:ascii="Times New Roman" w:hAnsi="Times New Roman" w:cs="Times New Roman"/>
          <w:sz w:val="24"/>
          <w:szCs w:val="24"/>
        </w:rPr>
        <w:t>ë</w:t>
      </w:r>
      <w:r w:rsidRPr="00BA1A1D">
        <w:rPr>
          <w:rFonts w:ascii="Times New Roman" w:hAnsi="Times New Roman" w:cs="Times New Roman"/>
          <w:sz w:val="24"/>
          <w:szCs w:val="24"/>
        </w:rPr>
        <w:t xml:space="preserve"> shërbimeve sipas aktiviteteve t</w:t>
      </w:r>
      <w:r w:rsidR="006F41B2" w:rsidRPr="00BA1A1D">
        <w:rPr>
          <w:rFonts w:ascii="Times New Roman" w:hAnsi="Times New Roman" w:cs="Times New Roman"/>
          <w:sz w:val="24"/>
          <w:szCs w:val="24"/>
        </w:rPr>
        <w:t>ë</w:t>
      </w:r>
      <w:r w:rsidRPr="00BA1A1D">
        <w:rPr>
          <w:rFonts w:ascii="Times New Roman" w:hAnsi="Times New Roman" w:cs="Times New Roman"/>
          <w:sz w:val="24"/>
          <w:szCs w:val="24"/>
        </w:rPr>
        <w:t xml:space="preserve"> planifikuara në planin e veprimit</w:t>
      </w:r>
      <w:r w:rsidR="006F41B2" w:rsidRPr="00BA1A1D">
        <w:rPr>
          <w:rFonts w:ascii="Times New Roman" w:hAnsi="Times New Roman" w:cs="Times New Roman"/>
          <w:sz w:val="24"/>
          <w:szCs w:val="24"/>
        </w:rPr>
        <w:t>.</w:t>
      </w:r>
      <w:r w:rsidRPr="00BA1A1D">
        <w:rPr>
          <w:rFonts w:ascii="Times New Roman" w:hAnsi="Times New Roman" w:cs="Times New Roman"/>
          <w:sz w:val="24"/>
          <w:szCs w:val="24"/>
        </w:rPr>
        <w:t xml:space="preserve">  </w:t>
      </w:r>
      <w:r w:rsidRPr="00BA1A1D" w:rsidDel="00BF480D">
        <w:rPr>
          <w:rFonts w:ascii="Times New Roman" w:hAnsi="Times New Roman" w:cs="Times New Roman"/>
          <w:sz w:val="24"/>
          <w:szCs w:val="24"/>
        </w:rPr>
        <w:t xml:space="preserve"> </w:t>
      </w:r>
      <w:r w:rsidRPr="00BA1A1D">
        <w:rPr>
          <w:rFonts w:ascii="Times New Roman" w:hAnsi="Times New Roman" w:cs="Times New Roman"/>
          <w:sz w:val="24"/>
          <w:szCs w:val="24"/>
        </w:rPr>
        <w:t>(MTI)</w:t>
      </w:r>
    </w:p>
    <w:p w14:paraId="2BD8D1E3" w14:textId="77777777" w:rsidR="00E3413B" w:rsidRPr="00554FAF" w:rsidRDefault="00E3413B" w:rsidP="000702CB">
      <w:pPr>
        <w:spacing w:after="60" w:line="240" w:lineRule="auto"/>
        <w:rPr>
          <w:rFonts w:ascii="Times New Roman" w:hAnsi="Times New Roman" w:cs="Times New Roman"/>
          <w:b/>
          <w:bCs/>
          <w:sz w:val="24"/>
          <w:szCs w:val="24"/>
        </w:rPr>
      </w:pPr>
      <w:r w:rsidRPr="00554FAF">
        <w:rPr>
          <w:rFonts w:ascii="Times New Roman" w:hAnsi="Times New Roman" w:cs="Times New Roman"/>
          <w:b/>
          <w:sz w:val="24"/>
          <w:szCs w:val="24"/>
        </w:rPr>
        <w:t>2. Treguesit e rezultateve</w:t>
      </w:r>
      <w:r w:rsidRPr="00554FAF">
        <w:rPr>
          <w:rFonts w:ascii="Times New Roman" w:hAnsi="Times New Roman" w:cs="Times New Roman"/>
          <w:b/>
          <w:bCs/>
          <w:sz w:val="24"/>
          <w:szCs w:val="24"/>
        </w:rPr>
        <w:t xml:space="preserve">: </w:t>
      </w:r>
    </w:p>
    <w:tbl>
      <w:tblPr>
        <w:tblpPr w:leftFromText="180" w:rightFromText="180" w:vertAnchor="text" w:horzAnchor="margin" w:tblpY="168"/>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5"/>
        <w:gridCol w:w="1350"/>
        <w:gridCol w:w="1440"/>
        <w:gridCol w:w="1530"/>
      </w:tblGrid>
      <w:tr w:rsidR="00E3413B" w:rsidRPr="00554FAF" w14:paraId="77207F9E" w14:textId="77777777" w:rsidTr="004A424A">
        <w:trPr>
          <w:trHeight w:val="528"/>
        </w:trPr>
        <w:tc>
          <w:tcPr>
            <w:tcW w:w="4765" w:type="dxa"/>
            <w:shd w:val="clear" w:color="auto" w:fill="auto"/>
          </w:tcPr>
          <w:p w14:paraId="37F8C9BB" w14:textId="77777777" w:rsidR="00E3413B" w:rsidRPr="00554FAF" w:rsidRDefault="00E3413B" w:rsidP="000702CB">
            <w:pPr>
              <w:pStyle w:val="Default"/>
              <w:spacing w:after="60"/>
              <w:jc w:val="both"/>
              <w:rPr>
                <w:color w:val="auto"/>
                <w:lang w:val="sq-AL"/>
              </w:rPr>
            </w:pPr>
            <w:r w:rsidRPr="00554FAF">
              <w:rPr>
                <w:color w:val="auto"/>
                <w:lang w:val="sq-AL"/>
              </w:rPr>
              <w:t>Treguesi</w:t>
            </w:r>
          </w:p>
        </w:tc>
        <w:tc>
          <w:tcPr>
            <w:tcW w:w="1350" w:type="dxa"/>
            <w:shd w:val="clear" w:color="auto" w:fill="auto"/>
          </w:tcPr>
          <w:p w14:paraId="5E5FE3B9" w14:textId="77777777" w:rsidR="00E3413B" w:rsidRPr="00554FAF" w:rsidRDefault="00E3413B" w:rsidP="000702CB">
            <w:pPr>
              <w:pStyle w:val="Default"/>
              <w:spacing w:after="60"/>
              <w:jc w:val="both"/>
              <w:rPr>
                <w:color w:val="auto"/>
                <w:lang w:val="sq-AL"/>
              </w:rPr>
            </w:pPr>
            <w:r w:rsidRPr="00554FAF">
              <w:rPr>
                <w:color w:val="auto"/>
                <w:lang w:val="sq-AL"/>
              </w:rPr>
              <w:t>Baza 2018</w:t>
            </w:r>
          </w:p>
          <w:p w14:paraId="1FB0136A" w14:textId="77777777" w:rsidR="00E3413B" w:rsidRPr="00554FAF" w:rsidRDefault="00E3413B" w:rsidP="000702CB">
            <w:pPr>
              <w:pStyle w:val="Default"/>
              <w:spacing w:after="60"/>
              <w:jc w:val="both"/>
              <w:rPr>
                <w:color w:val="auto"/>
                <w:lang w:val="sq-AL"/>
              </w:rPr>
            </w:pPr>
            <w:r w:rsidRPr="00554FAF">
              <w:rPr>
                <w:color w:val="auto"/>
                <w:lang w:val="sq-AL"/>
              </w:rPr>
              <w:t xml:space="preserve"> </w:t>
            </w:r>
          </w:p>
        </w:tc>
        <w:tc>
          <w:tcPr>
            <w:tcW w:w="1440" w:type="dxa"/>
            <w:shd w:val="clear" w:color="auto" w:fill="auto"/>
          </w:tcPr>
          <w:p w14:paraId="40E58FDE" w14:textId="465613DA" w:rsidR="00E3413B" w:rsidRPr="00554FAF" w:rsidRDefault="006F41B2" w:rsidP="000702CB">
            <w:pPr>
              <w:pStyle w:val="Default"/>
              <w:spacing w:after="60"/>
              <w:jc w:val="both"/>
              <w:rPr>
                <w:color w:val="auto"/>
                <w:lang w:val="sq-AL"/>
              </w:rPr>
            </w:pPr>
            <w:r w:rsidRPr="00554FAF">
              <w:rPr>
                <w:color w:val="auto"/>
                <w:lang w:val="sq-AL"/>
              </w:rPr>
              <w:t xml:space="preserve">Synimi </w:t>
            </w:r>
            <w:r w:rsidR="00E3413B" w:rsidRPr="00554FAF">
              <w:rPr>
                <w:color w:val="auto"/>
                <w:lang w:val="sq-AL"/>
              </w:rPr>
              <w:t>i ndërmjetëm   2020</w:t>
            </w:r>
          </w:p>
        </w:tc>
        <w:tc>
          <w:tcPr>
            <w:tcW w:w="1530" w:type="dxa"/>
            <w:shd w:val="clear" w:color="auto" w:fill="auto"/>
          </w:tcPr>
          <w:p w14:paraId="41CD00A1" w14:textId="77777777" w:rsidR="00E3413B" w:rsidRPr="00554FAF" w:rsidRDefault="00E3413B" w:rsidP="000702CB">
            <w:pPr>
              <w:pStyle w:val="Default"/>
              <w:spacing w:after="60"/>
              <w:jc w:val="both"/>
              <w:rPr>
                <w:color w:val="auto"/>
                <w:lang w:val="sq-AL"/>
              </w:rPr>
            </w:pPr>
            <w:r w:rsidRPr="00554FAF">
              <w:rPr>
                <w:color w:val="auto"/>
                <w:lang w:val="sq-AL"/>
              </w:rPr>
              <w:t>Synimi 2022</w:t>
            </w:r>
          </w:p>
          <w:p w14:paraId="709DF72D" w14:textId="77777777" w:rsidR="00E3413B" w:rsidRPr="00554FAF" w:rsidRDefault="00E3413B" w:rsidP="000702CB">
            <w:pPr>
              <w:pStyle w:val="Default"/>
              <w:spacing w:after="60"/>
              <w:jc w:val="both"/>
              <w:rPr>
                <w:color w:val="auto"/>
                <w:lang w:val="sq-AL"/>
              </w:rPr>
            </w:pPr>
          </w:p>
        </w:tc>
      </w:tr>
      <w:tr w:rsidR="00E3413B" w:rsidRPr="00554FAF" w14:paraId="562D842A" w14:textId="77777777" w:rsidTr="004A424A">
        <w:trPr>
          <w:trHeight w:val="594"/>
        </w:trPr>
        <w:tc>
          <w:tcPr>
            <w:tcW w:w="4765" w:type="dxa"/>
            <w:shd w:val="clear" w:color="auto" w:fill="auto"/>
          </w:tcPr>
          <w:p w14:paraId="34CCBD6C" w14:textId="77777777" w:rsidR="00E3413B" w:rsidRPr="00554FAF" w:rsidRDefault="00E3413B" w:rsidP="000702CB">
            <w:pPr>
              <w:pStyle w:val="Default"/>
              <w:spacing w:after="60"/>
              <w:jc w:val="both"/>
              <w:rPr>
                <w:color w:val="auto"/>
                <w:lang w:val="sq-AL"/>
              </w:rPr>
            </w:pPr>
            <w:r w:rsidRPr="00554FAF">
              <w:rPr>
                <w:color w:val="auto"/>
                <w:lang w:val="sq-AL"/>
              </w:rPr>
              <w:t>Rritja e kontributit të sh</w:t>
            </w:r>
            <w:r w:rsidRPr="00554FAF">
              <w:rPr>
                <w:rFonts w:eastAsia="Times New Roman"/>
                <w:color w:val="auto"/>
                <w:lang w:val="sq-AL" w:eastAsia="sq-AL"/>
              </w:rPr>
              <w:t>ërbimeve të tregtueshme ne BPV</w:t>
            </w:r>
          </w:p>
        </w:tc>
        <w:tc>
          <w:tcPr>
            <w:tcW w:w="1350" w:type="dxa"/>
            <w:shd w:val="clear" w:color="auto" w:fill="auto"/>
          </w:tcPr>
          <w:p w14:paraId="2D8B96CD" w14:textId="77777777" w:rsidR="00E3413B" w:rsidRPr="00554FAF" w:rsidRDefault="00E3413B" w:rsidP="000702CB">
            <w:pPr>
              <w:pStyle w:val="Default"/>
              <w:spacing w:after="60"/>
              <w:jc w:val="center"/>
              <w:rPr>
                <w:color w:val="auto"/>
                <w:lang w:val="sq-AL"/>
              </w:rPr>
            </w:pPr>
            <w:r w:rsidRPr="00554FAF">
              <w:rPr>
                <w:color w:val="auto"/>
                <w:lang w:val="sq-AL"/>
              </w:rPr>
              <w:t>5%</w:t>
            </w:r>
          </w:p>
        </w:tc>
        <w:tc>
          <w:tcPr>
            <w:tcW w:w="1440" w:type="dxa"/>
            <w:shd w:val="clear" w:color="auto" w:fill="auto"/>
          </w:tcPr>
          <w:p w14:paraId="5F2503A6" w14:textId="77777777" w:rsidR="00E3413B" w:rsidRPr="00554FAF" w:rsidRDefault="00E3413B" w:rsidP="000702CB">
            <w:pPr>
              <w:pStyle w:val="Default"/>
              <w:spacing w:after="60"/>
              <w:jc w:val="center"/>
              <w:rPr>
                <w:color w:val="auto"/>
                <w:lang w:val="sq-AL"/>
              </w:rPr>
            </w:pPr>
          </w:p>
        </w:tc>
        <w:tc>
          <w:tcPr>
            <w:tcW w:w="1530" w:type="dxa"/>
            <w:shd w:val="clear" w:color="auto" w:fill="auto"/>
          </w:tcPr>
          <w:p w14:paraId="2A09D498" w14:textId="77777777" w:rsidR="00E3413B" w:rsidRPr="00554FAF" w:rsidRDefault="00E3413B" w:rsidP="000702CB">
            <w:pPr>
              <w:spacing w:after="60" w:line="240" w:lineRule="auto"/>
              <w:jc w:val="center"/>
              <w:rPr>
                <w:rFonts w:ascii="Times New Roman" w:hAnsi="Times New Roman" w:cs="Times New Roman"/>
                <w:sz w:val="24"/>
                <w:szCs w:val="24"/>
              </w:rPr>
            </w:pPr>
            <w:r w:rsidRPr="00554FAF">
              <w:rPr>
                <w:rFonts w:ascii="Times New Roman" w:hAnsi="Times New Roman" w:cs="Times New Roman"/>
                <w:sz w:val="24"/>
                <w:szCs w:val="24"/>
              </w:rPr>
              <w:t>7.5%</w:t>
            </w:r>
          </w:p>
        </w:tc>
      </w:tr>
      <w:tr w:rsidR="00E3413B" w:rsidRPr="00554FAF" w14:paraId="02AA0BF8" w14:textId="77777777" w:rsidTr="004A424A">
        <w:trPr>
          <w:trHeight w:val="801"/>
        </w:trPr>
        <w:tc>
          <w:tcPr>
            <w:tcW w:w="4765" w:type="dxa"/>
            <w:shd w:val="clear" w:color="auto" w:fill="auto"/>
          </w:tcPr>
          <w:p w14:paraId="2B341AE6" w14:textId="77777777" w:rsidR="00E3413B" w:rsidRPr="00554FAF" w:rsidRDefault="00E3413B" w:rsidP="000702CB">
            <w:pPr>
              <w:pStyle w:val="Default"/>
              <w:spacing w:after="60"/>
              <w:jc w:val="both"/>
              <w:rPr>
                <w:color w:val="auto"/>
                <w:lang w:val="sq-AL"/>
              </w:rPr>
            </w:pPr>
            <w:r w:rsidRPr="00554FAF">
              <w:rPr>
                <w:rFonts w:eastAsia="Times New Roman"/>
                <w:color w:val="auto"/>
                <w:lang w:val="sq-AL" w:eastAsia="sq-AL"/>
              </w:rPr>
              <w:t>Rritja e  prodhimit në aktivitetet e shërbimeve me produktivitet të lartë (rritja e produktivitetit të forcës punëtore në shërbimet profesionale)</w:t>
            </w:r>
          </w:p>
        </w:tc>
        <w:tc>
          <w:tcPr>
            <w:tcW w:w="1350" w:type="dxa"/>
            <w:shd w:val="clear" w:color="auto" w:fill="auto"/>
          </w:tcPr>
          <w:p w14:paraId="08F8A2A7" w14:textId="77777777" w:rsidR="00E3413B" w:rsidRPr="00554FAF" w:rsidRDefault="00E3413B" w:rsidP="000702CB">
            <w:pPr>
              <w:pStyle w:val="Default"/>
              <w:spacing w:after="60"/>
              <w:jc w:val="center"/>
              <w:rPr>
                <w:color w:val="auto"/>
                <w:lang w:val="sq-AL"/>
              </w:rPr>
            </w:pPr>
            <w:r w:rsidRPr="00554FAF">
              <w:rPr>
                <w:color w:val="auto"/>
                <w:lang w:val="sq-AL"/>
              </w:rPr>
              <w:t>12,000 €</w:t>
            </w:r>
          </w:p>
        </w:tc>
        <w:tc>
          <w:tcPr>
            <w:tcW w:w="1440" w:type="dxa"/>
            <w:shd w:val="clear" w:color="auto" w:fill="auto"/>
          </w:tcPr>
          <w:p w14:paraId="4584A3E1" w14:textId="77777777" w:rsidR="00E3413B" w:rsidRPr="00554FAF" w:rsidRDefault="00E3413B" w:rsidP="000702CB">
            <w:pPr>
              <w:pStyle w:val="Default"/>
              <w:spacing w:after="60"/>
              <w:jc w:val="center"/>
              <w:rPr>
                <w:color w:val="auto"/>
                <w:lang w:val="sq-AL"/>
              </w:rPr>
            </w:pPr>
          </w:p>
        </w:tc>
        <w:tc>
          <w:tcPr>
            <w:tcW w:w="1530" w:type="dxa"/>
            <w:shd w:val="clear" w:color="auto" w:fill="auto"/>
          </w:tcPr>
          <w:p w14:paraId="0C8FC5F5" w14:textId="77777777" w:rsidR="00E3413B" w:rsidRPr="00554FAF" w:rsidRDefault="00E3413B" w:rsidP="000702CB">
            <w:pPr>
              <w:pStyle w:val="Default"/>
              <w:spacing w:after="60"/>
              <w:jc w:val="center"/>
              <w:rPr>
                <w:color w:val="auto"/>
                <w:lang w:val="sq-AL"/>
              </w:rPr>
            </w:pPr>
            <w:r w:rsidRPr="00554FAF">
              <w:rPr>
                <w:color w:val="auto"/>
                <w:lang w:val="sq-AL"/>
              </w:rPr>
              <w:t>15,600 €</w:t>
            </w:r>
          </w:p>
        </w:tc>
      </w:tr>
      <w:tr w:rsidR="00E3413B" w:rsidRPr="00554FAF" w14:paraId="485495BA" w14:textId="77777777" w:rsidTr="004A424A">
        <w:trPr>
          <w:trHeight w:val="324"/>
        </w:trPr>
        <w:tc>
          <w:tcPr>
            <w:tcW w:w="4765" w:type="dxa"/>
            <w:shd w:val="clear" w:color="auto" w:fill="auto"/>
          </w:tcPr>
          <w:p w14:paraId="5099D2E7" w14:textId="77777777" w:rsidR="00E3413B" w:rsidRPr="00554FAF" w:rsidRDefault="00E3413B" w:rsidP="000702CB">
            <w:pPr>
              <w:pStyle w:val="Default"/>
              <w:spacing w:after="60"/>
              <w:jc w:val="both"/>
              <w:rPr>
                <w:color w:val="auto"/>
                <w:lang w:val="sq-AL"/>
              </w:rPr>
            </w:pPr>
            <w:r w:rsidRPr="00554FAF">
              <w:rPr>
                <w:color w:val="auto"/>
                <w:lang w:val="sq-AL"/>
              </w:rPr>
              <w:t>Shkall</w:t>
            </w:r>
            <w:r w:rsidRPr="00554FAF">
              <w:rPr>
                <w:rFonts w:eastAsia="Times New Roman"/>
                <w:color w:val="auto"/>
                <w:lang w:val="sq-AL" w:eastAsia="sq-AL"/>
              </w:rPr>
              <w:t>a e</w:t>
            </w:r>
            <w:r w:rsidRPr="00554FAF">
              <w:rPr>
                <w:color w:val="auto"/>
                <w:lang w:val="sq-AL"/>
              </w:rPr>
              <w:t xml:space="preserve"> rritjes t</w:t>
            </w:r>
            <w:r w:rsidRPr="00554FAF">
              <w:rPr>
                <w:rFonts w:eastAsia="Times New Roman"/>
                <w:color w:val="auto"/>
                <w:lang w:val="sq-AL" w:eastAsia="sq-AL"/>
              </w:rPr>
              <w:t xml:space="preserve">ë eksportit të shërbimeve </w:t>
            </w:r>
          </w:p>
        </w:tc>
        <w:tc>
          <w:tcPr>
            <w:tcW w:w="1350" w:type="dxa"/>
            <w:shd w:val="clear" w:color="auto" w:fill="auto"/>
          </w:tcPr>
          <w:p w14:paraId="383CCF66" w14:textId="0513E087" w:rsidR="00E3413B" w:rsidRPr="00554FAF" w:rsidRDefault="00E3413B" w:rsidP="000702CB">
            <w:pPr>
              <w:pStyle w:val="Default"/>
              <w:spacing w:after="60"/>
              <w:jc w:val="center"/>
              <w:rPr>
                <w:color w:val="auto"/>
                <w:lang w:val="sq-AL"/>
              </w:rPr>
            </w:pPr>
            <w:r w:rsidRPr="00554FAF">
              <w:rPr>
                <w:color w:val="auto"/>
                <w:lang w:val="sq-AL"/>
              </w:rPr>
              <w:t>1.4 miliard</w:t>
            </w:r>
            <w:r w:rsidR="002E410E" w:rsidRPr="00554FAF">
              <w:rPr>
                <w:color w:val="auto"/>
                <w:lang w:val="sq-AL"/>
              </w:rPr>
              <w:t>ë</w:t>
            </w:r>
            <w:r w:rsidRPr="00554FAF">
              <w:rPr>
                <w:color w:val="auto"/>
                <w:lang w:val="sq-AL"/>
              </w:rPr>
              <w:t xml:space="preserve"> €</w:t>
            </w:r>
          </w:p>
        </w:tc>
        <w:tc>
          <w:tcPr>
            <w:tcW w:w="1440" w:type="dxa"/>
            <w:shd w:val="clear" w:color="auto" w:fill="auto"/>
          </w:tcPr>
          <w:p w14:paraId="0FED409E" w14:textId="77777777" w:rsidR="00E3413B" w:rsidRPr="00554FAF" w:rsidRDefault="00E3413B" w:rsidP="000702CB">
            <w:pPr>
              <w:pStyle w:val="Default"/>
              <w:spacing w:after="60"/>
              <w:jc w:val="center"/>
              <w:rPr>
                <w:color w:val="auto"/>
                <w:lang w:val="sq-AL"/>
              </w:rPr>
            </w:pPr>
          </w:p>
        </w:tc>
        <w:tc>
          <w:tcPr>
            <w:tcW w:w="1530" w:type="dxa"/>
            <w:shd w:val="clear" w:color="auto" w:fill="auto"/>
          </w:tcPr>
          <w:p w14:paraId="1BD4A898" w14:textId="669943F4" w:rsidR="00E3413B" w:rsidRPr="00554FAF" w:rsidRDefault="00E3413B" w:rsidP="000702CB">
            <w:pPr>
              <w:pStyle w:val="Default"/>
              <w:spacing w:after="60"/>
              <w:jc w:val="center"/>
              <w:rPr>
                <w:color w:val="auto"/>
                <w:lang w:val="sq-AL"/>
              </w:rPr>
            </w:pPr>
            <w:r w:rsidRPr="00554FAF">
              <w:rPr>
                <w:color w:val="auto"/>
                <w:lang w:val="sq-AL"/>
              </w:rPr>
              <w:t>1.7 miliard</w:t>
            </w:r>
            <w:r w:rsidR="002E410E" w:rsidRPr="00554FAF">
              <w:rPr>
                <w:color w:val="auto"/>
                <w:lang w:val="sq-AL"/>
              </w:rPr>
              <w:t>ë</w:t>
            </w:r>
            <w:r w:rsidRPr="00554FAF">
              <w:rPr>
                <w:color w:val="auto"/>
                <w:lang w:val="sq-AL"/>
              </w:rPr>
              <w:t xml:space="preserve"> €</w:t>
            </w:r>
          </w:p>
        </w:tc>
      </w:tr>
    </w:tbl>
    <w:p w14:paraId="7000D77C" w14:textId="77777777" w:rsidR="00E3413B" w:rsidRPr="00554FAF" w:rsidRDefault="00E3413B" w:rsidP="000702CB">
      <w:pPr>
        <w:spacing w:after="60" w:line="240" w:lineRule="auto"/>
        <w:rPr>
          <w:rFonts w:ascii="Times New Roman" w:hAnsi="Times New Roman" w:cs="Times New Roman"/>
          <w:b/>
          <w:bCs/>
          <w:sz w:val="24"/>
          <w:szCs w:val="24"/>
        </w:rPr>
      </w:pPr>
    </w:p>
    <w:p w14:paraId="6B57A4DC" w14:textId="6A9CC09E" w:rsidR="00E3413B" w:rsidRPr="00554FAF" w:rsidRDefault="00E3413B"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b/>
          <w:bCs/>
          <w:sz w:val="24"/>
          <w:szCs w:val="24"/>
        </w:rPr>
        <w:t>3. Ndikimi i pritur në konkurrueshmëri:</w:t>
      </w:r>
      <w:r w:rsidRPr="00554FAF">
        <w:rPr>
          <w:rFonts w:ascii="Times New Roman" w:hAnsi="Times New Roman" w:cs="Times New Roman"/>
          <w:sz w:val="24"/>
          <w:szCs w:val="24"/>
        </w:rPr>
        <w:t xml:space="preserve"> Në vitin 2018 në Kosovë u hapën 9,960 biznese të reja, nga të cilat 71,2% (7,092) ishin në sektorin e shërbimeve. Shumica e ndërmarrjeve të reja kanë qenë në fushën e Tregtisë me Pakicë dhe Shumicë/Riparimet e Automjeteve, me 2,558 ndërmarrje të regjistruara në vitin 2018, rreth 25.683% e të gjitha bizneseve që u hapën. Një kategori në rritje në sektorin e shërbimeve është Hoteleri/Turizmi me 999 biznese të reja të regjistruara në vitin 2018, duke përbërë 10.03% të ndërmarrjeve të reja. Duke marr</w:t>
      </w:r>
      <w:r w:rsidR="002E410E" w:rsidRPr="00554FAF">
        <w:rPr>
          <w:rFonts w:ascii="Times New Roman" w:hAnsi="Times New Roman" w:cs="Times New Roman"/>
          <w:sz w:val="24"/>
          <w:szCs w:val="24"/>
        </w:rPr>
        <w:t>ë</w:t>
      </w:r>
      <w:r w:rsidRPr="00554FAF">
        <w:rPr>
          <w:rFonts w:ascii="Times New Roman" w:hAnsi="Times New Roman" w:cs="Times New Roman"/>
          <w:sz w:val="24"/>
          <w:szCs w:val="24"/>
        </w:rPr>
        <w:t xml:space="preserve"> n</w:t>
      </w:r>
      <w:r w:rsidR="002E410E" w:rsidRPr="00554FAF">
        <w:rPr>
          <w:rFonts w:ascii="Times New Roman" w:hAnsi="Times New Roman" w:cs="Times New Roman"/>
          <w:sz w:val="24"/>
          <w:szCs w:val="24"/>
        </w:rPr>
        <w:t>ë</w:t>
      </w:r>
      <w:r w:rsidRPr="00554FAF">
        <w:rPr>
          <w:rFonts w:ascii="Times New Roman" w:hAnsi="Times New Roman" w:cs="Times New Roman"/>
          <w:sz w:val="24"/>
          <w:szCs w:val="24"/>
        </w:rPr>
        <w:t xml:space="preserve"> konsiderat</w:t>
      </w:r>
      <w:r w:rsidR="002E410E" w:rsidRPr="00554FAF">
        <w:rPr>
          <w:rFonts w:ascii="Times New Roman" w:hAnsi="Times New Roman" w:cs="Times New Roman"/>
          <w:sz w:val="24"/>
          <w:szCs w:val="24"/>
        </w:rPr>
        <w:t xml:space="preserve">ë </w:t>
      </w:r>
      <w:r w:rsidRPr="00554FAF">
        <w:rPr>
          <w:rFonts w:ascii="Times New Roman" w:hAnsi="Times New Roman" w:cs="Times New Roman"/>
          <w:sz w:val="24"/>
          <w:szCs w:val="24"/>
        </w:rPr>
        <w:t>q</w:t>
      </w:r>
      <w:r w:rsidR="002E410E" w:rsidRPr="00554FAF">
        <w:rPr>
          <w:rFonts w:ascii="Times New Roman" w:hAnsi="Times New Roman" w:cs="Times New Roman"/>
          <w:sz w:val="24"/>
          <w:szCs w:val="24"/>
        </w:rPr>
        <w:t>ë</w:t>
      </w:r>
      <w:r w:rsidRPr="00554FAF">
        <w:rPr>
          <w:rFonts w:ascii="Times New Roman" w:hAnsi="Times New Roman" w:cs="Times New Roman"/>
          <w:sz w:val="24"/>
          <w:szCs w:val="24"/>
        </w:rPr>
        <w:t xml:space="preserve"> këto biznese t</w:t>
      </w:r>
      <w:r w:rsidR="002E410E" w:rsidRPr="00554FAF">
        <w:rPr>
          <w:rFonts w:ascii="Times New Roman" w:hAnsi="Times New Roman" w:cs="Times New Roman"/>
          <w:sz w:val="24"/>
          <w:szCs w:val="24"/>
        </w:rPr>
        <w:t>ë</w:t>
      </w:r>
      <w:r w:rsidRPr="00554FAF">
        <w:rPr>
          <w:rFonts w:ascii="Times New Roman" w:hAnsi="Times New Roman" w:cs="Times New Roman"/>
          <w:sz w:val="24"/>
          <w:szCs w:val="24"/>
        </w:rPr>
        <w:t xml:space="preserve"> reja kryesisht janë hapur n</w:t>
      </w:r>
      <w:r w:rsidR="002E410E" w:rsidRPr="00554FAF">
        <w:rPr>
          <w:rFonts w:ascii="Times New Roman" w:hAnsi="Times New Roman" w:cs="Times New Roman"/>
          <w:sz w:val="24"/>
          <w:szCs w:val="24"/>
        </w:rPr>
        <w:t>ë</w:t>
      </w:r>
      <w:r w:rsidRPr="00554FAF">
        <w:rPr>
          <w:rFonts w:ascii="Times New Roman" w:hAnsi="Times New Roman" w:cs="Times New Roman"/>
          <w:sz w:val="24"/>
          <w:szCs w:val="24"/>
        </w:rPr>
        <w:t xml:space="preserve"> aktivitetet me produktivitet t</w:t>
      </w:r>
      <w:r w:rsidR="002E410E" w:rsidRPr="00554FAF">
        <w:rPr>
          <w:rFonts w:ascii="Times New Roman" w:hAnsi="Times New Roman" w:cs="Times New Roman"/>
          <w:sz w:val="24"/>
          <w:szCs w:val="24"/>
        </w:rPr>
        <w:t>ë</w:t>
      </w:r>
      <w:r w:rsidRPr="00554FAF">
        <w:rPr>
          <w:rFonts w:ascii="Times New Roman" w:hAnsi="Times New Roman" w:cs="Times New Roman"/>
          <w:sz w:val="24"/>
          <w:szCs w:val="24"/>
        </w:rPr>
        <w:t xml:space="preserve"> ul</w:t>
      </w:r>
      <w:r w:rsidR="002E410E" w:rsidRPr="00554FAF">
        <w:rPr>
          <w:rFonts w:ascii="Times New Roman" w:hAnsi="Times New Roman" w:cs="Times New Roman"/>
          <w:sz w:val="24"/>
          <w:szCs w:val="24"/>
        </w:rPr>
        <w:t>ë</w:t>
      </w:r>
      <w:r w:rsidRPr="00554FAF">
        <w:rPr>
          <w:rFonts w:ascii="Times New Roman" w:hAnsi="Times New Roman" w:cs="Times New Roman"/>
          <w:sz w:val="24"/>
          <w:szCs w:val="24"/>
        </w:rPr>
        <w:t>t, kjo mas</w:t>
      </w:r>
      <w:r w:rsidR="002E410E" w:rsidRPr="00554FAF">
        <w:rPr>
          <w:rFonts w:ascii="Times New Roman" w:hAnsi="Times New Roman" w:cs="Times New Roman"/>
          <w:sz w:val="24"/>
          <w:szCs w:val="24"/>
        </w:rPr>
        <w:t>ë</w:t>
      </w:r>
      <w:r w:rsidRPr="00554FAF">
        <w:rPr>
          <w:rFonts w:ascii="Times New Roman" w:hAnsi="Times New Roman" w:cs="Times New Roman"/>
          <w:sz w:val="24"/>
          <w:szCs w:val="24"/>
        </w:rPr>
        <w:t xml:space="preserve"> ka p</w:t>
      </w:r>
      <w:r w:rsidR="002E410E" w:rsidRPr="00554FAF">
        <w:rPr>
          <w:rFonts w:ascii="Times New Roman" w:hAnsi="Times New Roman" w:cs="Times New Roman"/>
          <w:sz w:val="24"/>
          <w:szCs w:val="24"/>
        </w:rPr>
        <w:t>ë</w:t>
      </w:r>
      <w:r w:rsidRPr="00554FAF">
        <w:rPr>
          <w:rFonts w:ascii="Times New Roman" w:hAnsi="Times New Roman" w:cs="Times New Roman"/>
          <w:sz w:val="24"/>
          <w:szCs w:val="24"/>
        </w:rPr>
        <w:t>r q</w:t>
      </w:r>
      <w:r w:rsidR="002E410E" w:rsidRPr="00554FAF">
        <w:rPr>
          <w:rFonts w:ascii="Times New Roman" w:hAnsi="Times New Roman" w:cs="Times New Roman"/>
          <w:sz w:val="24"/>
          <w:szCs w:val="24"/>
        </w:rPr>
        <w:t>ë</w:t>
      </w:r>
      <w:r w:rsidRPr="00554FAF">
        <w:rPr>
          <w:rFonts w:ascii="Times New Roman" w:hAnsi="Times New Roman" w:cs="Times New Roman"/>
          <w:sz w:val="24"/>
          <w:szCs w:val="24"/>
        </w:rPr>
        <w:t>llim orientimin e tregut drejt aktiviteteve me produktivitet t</w:t>
      </w:r>
      <w:r w:rsidR="002E410E" w:rsidRPr="00554FAF">
        <w:rPr>
          <w:rFonts w:ascii="Times New Roman" w:hAnsi="Times New Roman" w:cs="Times New Roman"/>
          <w:sz w:val="24"/>
          <w:szCs w:val="24"/>
        </w:rPr>
        <w:t>ë</w:t>
      </w:r>
      <w:r w:rsidRPr="00554FAF">
        <w:rPr>
          <w:rFonts w:ascii="Times New Roman" w:hAnsi="Times New Roman" w:cs="Times New Roman"/>
          <w:sz w:val="24"/>
          <w:szCs w:val="24"/>
        </w:rPr>
        <w:t xml:space="preserve"> lart</w:t>
      </w:r>
      <w:r w:rsidR="002E410E" w:rsidRPr="00554FAF">
        <w:rPr>
          <w:rFonts w:ascii="Times New Roman" w:hAnsi="Times New Roman" w:cs="Times New Roman"/>
          <w:sz w:val="24"/>
          <w:szCs w:val="24"/>
        </w:rPr>
        <w:t>ë</w:t>
      </w:r>
      <w:r w:rsidRPr="00554FAF">
        <w:rPr>
          <w:rFonts w:ascii="Times New Roman" w:hAnsi="Times New Roman" w:cs="Times New Roman"/>
          <w:sz w:val="24"/>
          <w:szCs w:val="24"/>
        </w:rPr>
        <w:t>, kryesisht tregtia n</w:t>
      </w:r>
      <w:r w:rsidR="002E410E" w:rsidRPr="00554FAF">
        <w:rPr>
          <w:rFonts w:ascii="Times New Roman" w:hAnsi="Times New Roman" w:cs="Times New Roman"/>
          <w:sz w:val="24"/>
          <w:szCs w:val="24"/>
        </w:rPr>
        <w:t>ë</w:t>
      </w:r>
      <w:r w:rsidRPr="00554FAF">
        <w:rPr>
          <w:rFonts w:ascii="Times New Roman" w:hAnsi="Times New Roman" w:cs="Times New Roman"/>
          <w:sz w:val="24"/>
          <w:szCs w:val="24"/>
        </w:rPr>
        <w:t xml:space="preserve"> shërbime profesionale.</w:t>
      </w:r>
    </w:p>
    <w:p w14:paraId="20C12FB1" w14:textId="6A2D07DC" w:rsidR="00E3413B" w:rsidRPr="00554FAF" w:rsidRDefault="005370F7"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sz w:val="24"/>
          <w:szCs w:val="24"/>
        </w:rPr>
        <w:t xml:space="preserve">Zbatimi </w:t>
      </w:r>
      <w:r w:rsidR="00E3413B" w:rsidRPr="00554FAF">
        <w:rPr>
          <w:rFonts w:ascii="Times New Roman" w:hAnsi="Times New Roman" w:cs="Times New Roman"/>
          <w:sz w:val="24"/>
          <w:szCs w:val="24"/>
        </w:rPr>
        <w:t>i planit për promovimin e eksporteve dhe orientimin e politikave favorizuese në fushën e shërbimeve, si lehtësimi në qasje në financa sidomos për “start ups” në fushën e shërbimeve profesionale do të ndikoj</w:t>
      </w:r>
      <w:r w:rsidR="002E410E" w:rsidRPr="00554FAF">
        <w:rPr>
          <w:rFonts w:ascii="Times New Roman" w:hAnsi="Times New Roman" w:cs="Times New Roman"/>
          <w:sz w:val="24"/>
          <w:szCs w:val="24"/>
        </w:rPr>
        <w:t>ë</w:t>
      </w:r>
      <w:r w:rsidR="00E3413B" w:rsidRPr="00554FAF">
        <w:rPr>
          <w:rFonts w:ascii="Times New Roman" w:hAnsi="Times New Roman" w:cs="Times New Roman"/>
          <w:sz w:val="24"/>
          <w:szCs w:val="24"/>
        </w:rPr>
        <w:t xml:space="preserve"> në rritjen e konkurrueshmërisë të sektorit në përgjithësi dhe n</w:t>
      </w:r>
      <w:r w:rsidR="002E410E" w:rsidRPr="00554FAF">
        <w:rPr>
          <w:rFonts w:ascii="Times New Roman" w:hAnsi="Times New Roman" w:cs="Times New Roman"/>
          <w:sz w:val="24"/>
          <w:szCs w:val="24"/>
        </w:rPr>
        <w:t>ë</w:t>
      </w:r>
      <w:r w:rsidR="00E3413B" w:rsidRPr="00554FAF">
        <w:rPr>
          <w:rFonts w:ascii="Times New Roman" w:hAnsi="Times New Roman" w:cs="Times New Roman"/>
          <w:sz w:val="24"/>
          <w:szCs w:val="24"/>
        </w:rPr>
        <w:t xml:space="preserve"> veçanti t</w:t>
      </w:r>
      <w:r w:rsidR="002E410E" w:rsidRPr="00554FAF">
        <w:rPr>
          <w:rFonts w:ascii="Times New Roman" w:hAnsi="Times New Roman" w:cs="Times New Roman"/>
          <w:sz w:val="24"/>
          <w:szCs w:val="24"/>
        </w:rPr>
        <w:t>ë</w:t>
      </w:r>
      <w:r w:rsidR="00E3413B" w:rsidRPr="00554FAF">
        <w:rPr>
          <w:rFonts w:ascii="Times New Roman" w:hAnsi="Times New Roman" w:cs="Times New Roman"/>
          <w:sz w:val="24"/>
          <w:szCs w:val="24"/>
        </w:rPr>
        <w:t xml:space="preserve"> tregtisë n</w:t>
      </w:r>
      <w:r w:rsidR="002E410E" w:rsidRPr="00554FAF">
        <w:rPr>
          <w:rFonts w:ascii="Times New Roman" w:hAnsi="Times New Roman" w:cs="Times New Roman"/>
          <w:sz w:val="24"/>
          <w:szCs w:val="24"/>
        </w:rPr>
        <w:t>ë</w:t>
      </w:r>
      <w:r w:rsidR="00E3413B" w:rsidRPr="00554FAF">
        <w:rPr>
          <w:rFonts w:ascii="Times New Roman" w:hAnsi="Times New Roman" w:cs="Times New Roman"/>
          <w:sz w:val="24"/>
          <w:szCs w:val="24"/>
        </w:rPr>
        <w:t xml:space="preserve"> shërbimet profesionale, krijimin e vendeve të reja të punës dhe shtimin e investimeve të huaja direkte</w:t>
      </w:r>
      <w:r w:rsidR="00E3413B" w:rsidRPr="00554FAF">
        <w:rPr>
          <w:rStyle w:val="CommentReference"/>
          <w:rFonts w:ascii="Times New Roman" w:hAnsi="Times New Roman" w:cs="Times New Roman"/>
          <w:sz w:val="24"/>
          <w:szCs w:val="24"/>
        </w:rPr>
        <w:t xml:space="preserve"> </w:t>
      </w:r>
      <w:r w:rsidR="00E3413B" w:rsidRPr="00554FAF">
        <w:rPr>
          <w:rFonts w:ascii="Times New Roman" w:hAnsi="Times New Roman" w:cs="Times New Roman"/>
          <w:sz w:val="24"/>
          <w:szCs w:val="24"/>
        </w:rPr>
        <w:t>në shërbimet me produktivitet të lartë.</w:t>
      </w:r>
    </w:p>
    <w:p w14:paraId="2E4F57CB" w14:textId="3B279C3C" w:rsidR="00E3413B" w:rsidRPr="00554FAF" w:rsidRDefault="00E3413B" w:rsidP="000702CB">
      <w:pPr>
        <w:spacing w:after="60" w:line="240" w:lineRule="auto"/>
        <w:jc w:val="both"/>
        <w:rPr>
          <w:rFonts w:ascii="Times New Roman" w:hAnsi="Times New Roman" w:cs="Times New Roman"/>
          <w:b/>
          <w:sz w:val="24"/>
          <w:szCs w:val="24"/>
        </w:rPr>
      </w:pPr>
      <w:r w:rsidRPr="00554FAF">
        <w:rPr>
          <w:rFonts w:ascii="Times New Roman" w:hAnsi="Times New Roman" w:cs="Times New Roman"/>
          <w:b/>
          <w:bCs/>
          <w:sz w:val="24"/>
          <w:szCs w:val="24"/>
        </w:rPr>
        <w:t xml:space="preserve">4. Vlerësimi i kostos së aktiviteteve dhe </w:t>
      </w:r>
      <w:r w:rsidRPr="00554FAF">
        <w:rPr>
          <w:rFonts w:ascii="Times New Roman" w:hAnsi="Times New Roman" w:cs="Times New Roman"/>
          <w:b/>
          <w:sz w:val="24"/>
          <w:szCs w:val="24"/>
        </w:rPr>
        <w:t xml:space="preserve">burimet e financimit: </w:t>
      </w:r>
      <w:r w:rsidRPr="00554FAF">
        <w:rPr>
          <w:rFonts w:ascii="Times New Roman" w:hAnsi="Times New Roman" w:cs="Times New Roman"/>
          <w:bCs/>
          <w:sz w:val="24"/>
          <w:szCs w:val="24"/>
        </w:rPr>
        <w:t>Shuma e përgjithshme e buxhetit t</w:t>
      </w:r>
      <w:r w:rsidR="002E410E" w:rsidRPr="00554FAF">
        <w:rPr>
          <w:rFonts w:ascii="Times New Roman" w:hAnsi="Times New Roman" w:cs="Times New Roman"/>
          <w:bCs/>
          <w:sz w:val="24"/>
          <w:szCs w:val="24"/>
        </w:rPr>
        <w:t>ë</w:t>
      </w:r>
      <w:r w:rsidRPr="00554FAF">
        <w:rPr>
          <w:rFonts w:ascii="Times New Roman" w:hAnsi="Times New Roman" w:cs="Times New Roman"/>
          <w:bCs/>
          <w:sz w:val="24"/>
          <w:szCs w:val="24"/>
        </w:rPr>
        <w:t xml:space="preserve"> planifikuar për këto aktivitete për tri vite është 85,000 euro. P</w:t>
      </w:r>
      <w:r w:rsidR="002E410E" w:rsidRPr="00554FAF">
        <w:rPr>
          <w:rFonts w:ascii="Times New Roman" w:hAnsi="Times New Roman" w:cs="Times New Roman"/>
          <w:bCs/>
          <w:sz w:val="24"/>
          <w:szCs w:val="24"/>
        </w:rPr>
        <w:t>ë</w:t>
      </w:r>
      <w:r w:rsidRPr="00554FAF">
        <w:rPr>
          <w:rFonts w:ascii="Times New Roman" w:hAnsi="Times New Roman" w:cs="Times New Roman"/>
          <w:bCs/>
          <w:sz w:val="24"/>
          <w:szCs w:val="24"/>
        </w:rPr>
        <w:t>r vitin 2020 kosto e masave  vlerësohet t</w:t>
      </w:r>
      <w:r w:rsidR="002E410E" w:rsidRPr="00554FAF">
        <w:rPr>
          <w:rFonts w:ascii="Times New Roman" w:hAnsi="Times New Roman" w:cs="Times New Roman"/>
          <w:bCs/>
          <w:sz w:val="24"/>
          <w:szCs w:val="24"/>
        </w:rPr>
        <w:t>ë</w:t>
      </w:r>
      <w:r w:rsidRPr="00554FAF">
        <w:rPr>
          <w:rFonts w:ascii="Times New Roman" w:hAnsi="Times New Roman" w:cs="Times New Roman"/>
          <w:bCs/>
          <w:sz w:val="24"/>
          <w:szCs w:val="24"/>
        </w:rPr>
        <w:t xml:space="preserve"> jet</w:t>
      </w:r>
      <w:r w:rsidR="002E410E" w:rsidRPr="00554FAF">
        <w:rPr>
          <w:rFonts w:ascii="Times New Roman" w:hAnsi="Times New Roman" w:cs="Times New Roman"/>
          <w:bCs/>
          <w:sz w:val="24"/>
          <w:szCs w:val="24"/>
        </w:rPr>
        <w:t>ë</w:t>
      </w:r>
      <w:r w:rsidRPr="00554FAF">
        <w:rPr>
          <w:rFonts w:ascii="Times New Roman" w:hAnsi="Times New Roman" w:cs="Times New Roman"/>
          <w:bCs/>
          <w:sz w:val="24"/>
          <w:szCs w:val="24"/>
        </w:rPr>
        <w:t>: 37,000 Euro nga t</w:t>
      </w:r>
      <w:r w:rsidR="002E410E" w:rsidRPr="00554FAF">
        <w:rPr>
          <w:rFonts w:ascii="Times New Roman" w:hAnsi="Times New Roman" w:cs="Times New Roman"/>
          <w:bCs/>
          <w:sz w:val="24"/>
          <w:szCs w:val="24"/>
        </w:rPr>
        <w:t>ë</w:t>
      </w:r>
      <w:r w:rsidRPr="00554FAF">
        <w:rPr>
          <w:rFonts w:ascii="Times New Roman" w:hAnsi="Times New Roman" w:cs="Times New Roman"/>
          <w:bCs/>
          <w:sz w:val="24"/>
          <w:szCs w:val="24"/>
        </w:rPr>
        <w:t xml:space="preserve"> cilat 17,000 </w:t>
      </w:r>
      <w:r w:rsidR="002E410E" w:rsidRPr="00554FAF">
        <w:rPr>
          <w:rFonts w:ascii="Times New Roman" w:hAnsi="Times New Roman" w:cs="Times New Roman"/>
          <w:bCs/>
          <w:sz w:val="24"/>
          <w:szCs w:val="24"/>
        </w:rPr>
        <w:t>e</w:t>
      </w:r>
      <w:r w:rsidRPr="00554FAF">
        <w:rPr>
          <w:rFonts w:ascii="Times New Roman" w:hAnsi="Times New Roman" w:cs="Times New Roman"/>
          <w:bCs/>
          <w:sz w:val="24"/>
          <w:szCs w:val="24"/>
        </w:rPr>
        <w:t>uro financohen nga Buxheti i Kosov</w:t>
      </w:r>
      <w:r w:rsidR="002E410E" w:rsidRPr="00554FAF">
        <w:rPr>
          <w:rFonts w:ascii="Times New Roman" w:hAnsi="Times New Roman" w:cs="Times New Roman"/>
          <w:bCs/>
          <w:sz w:val="24"/>
          <w:szCs w:val="24"/>
        </w:rPr>
        <w:t>ë</w:t>
      </w:r>
      <w:r w:rsidRPr="00554FAF">
        <w:rPr>
          <w:rFonts w:ascii="Times New Roman" w:hAnsi="Times New Roman" w:cs="Times New Roman"/>
          <w:bCs/>
          <w:sz w:val="24"/>
          <w:szCs w:val="24"/>
        </w:rPr>
        <w:t>s dhe pjesa tjet</w:t>
      </w:r>
      <w:r w:rsidR="002E410E" w:rsidRPr="00554FAF">
        <w:rPr>
          <w:rFonts w:ascii="Times New Roman" w:hAnsi="Times New Roman" w:cs="Times New Roman"/>
          <w:bCs/>
          <w:sz w:val="24"/>
          <w:szCs w:val="24"/>
        </w:rPr>
        <w:t>ë</w:t>
      </w:r>
      <w:r w:rsidRPr="00554FAF">
        <w:rPr>
          <w:rFonts w:ascii="Times New Roman" w:hAnsi="Times New Roman" w:cs="Times New Roman"/>
          <w:bCs/>
          <w:sz w:val="24"/>
          <w:szCs w:val="24"/>
        </w:rPr>
        <w:t>r nga Projekti i IPA-s</w:t>
      </w:r>
      <w:r w:rsidR="002E410E" w:rsidRPr="00554FAF">
        <w:rPr>
          <w:rFonts w:ascii="Times New Roman" w:hAnsi="Times New Roman" w:cs="Times New Roman"/>
          <w:bCs/>
          <w:sz w:val="24"/>
          <w:szCs w:val="24"/>
        </w:rPr>
        <w:t>ë</w:t>
      </w:r>
      <w:r w:rsidRPr="00554FAF">
        <w:rPr>
          <w:rFonts w:ascii="Times New Roman" w:hAnsi="Times New Roman" w:cs="Times New Roman"/>
          <w:bCs/>
          <w:sz w:val="24"/>
          <w:szCs w:val="24"/>
        </w:rPr>
        <w:t xml:space="preserve"> dhe Projekti i BE</w:t>
      </w:r>
      <w:r w:rsidR="002E410E" w:rsidRPr="00554FAF">
        <w:rPr>
          <w:rFonts w:ascii="Times New Roman" w:hAnsi="Times New Roman" w:cs="Times New Roman"/>
          <w:bCs/>
          <w:sz w:val="24"/>
          <w:szCs w:val="24"/>
        </w:rPr>
        <w:t>-së</w:t>
      </w:r>
      <w:r w:rsidRPr="00554FAF">
        <w:rPr>
          <w:rFonts w:ascii="Times New Roman" w:hAnsi="Times New Roman" w:cs="Times New Roman"/>
          <w:bCs/>
          <w:sz w:val="24"/>
          <w:szCs w:val="24"/>
        </w:rPr>
        <w:t>. P</w:t>
      </w:r>
      <w:r w:rsidR="002E410E" w:rsidRPr="00554FAF">
        <w:rPr>
          <w:rFonts w:ascii="Times New Roman" w:hAnsi="Times New Roman" w:cs="Times New Roman"/>
          <w:bCs/>
          <w:sz w:val="24"/>
          <w:szCs w:val="24"/>
        </w:rPr>
        <w:t>ë</w:t>
      </w:r>
      <w:r w:rsidRPr="00554FAF">
        <w:rPr>
          <w:rFonts w:ascii="Times New Roman" w:hAnsi="Times New Roman" w:cs="Times New Roman"/>
          <w:bCs/>
          <w:sz w:val="24"/>
          <w:szCs w:val="24"/>
        </w:rPr>
        <w:t>r vitin 2021 kostoja vler</w:t>
      </w:r>
      <w:r w:rsidR="002E410E" w:rsidRPr="00554FAF">
        <w:rPr>
          <w:rFonts w:ascii="Times New Roman" w:hAnsi="Times New Roman" w:cs="Times New Roman"/>
          <w:bCs/>
          <w:sz w:val="24"/>
          <w:szCs w:val="24"/>
        </w:rPr>
        <w:t>ë</w:t>
      </w:r>
      <w:r w:rsidRPr="00554FAF">
        <w:rPr>
          <w:rFonts w:ascii="Times New Roman" w:hAnsi="Times New Roman" w:cs="Times New Roman"/>
          <w:bCs/>
          <w:sz w:val="24"/>
          <w:szCs w:val="24"/>
        </w:rPr>
        <w:t>sohet t</w:t>
      </w:r>
      <w:r w:rsidR="002E410E" w:rsidRPr="00554FAF">
        <w:rPr>
          <w:rFonts w:ascii="Times New Roman" w:hAnsi="Times New Roman" w:cs="Times New Roman"/>
          <w:bCs/>
          <w:sz w:val="24"/>
          <w:szCs w:val="24"/>
        </w:rPr>
        <w:t>ë</w:t>
      </w:r>
      <w:r w:rsidRPr="00554FAF">
        <w:rPr>
          <w:rFonts w:ascii="Times New Roman" w:hAnsi="Times New Roman" w:cs="Times New Roman"/>
          <w:bCs/>
          <w:sz w:val="24"/>
          <w:szCs w:val="24"/>
        </w:rPr>
        <w:t xml:space="preserve"> jet</w:t>
      </w:r>
      <w:r w:rsidR="002E410E" w:rsidRPr="00554FAF">
        <w:rPr>
          <w:rFonts w:ascii="Times New Roman" w:hAnsi="Times New Roman" w:cs="Times New Roman"/>
          <w:bCs/>
          <w:sz w:val="24"/>
          <w:szCs w:val="24"/>
        </w:rPr>
        <w:t>ë</w:t>
      </w:r>
      <w:r w:rsidRPr="00554FAF">
        <w:rPr>
          <w:rFonts w:ascii="Times New Roman" w:hAnsi="Times New Roman" w:cs="Times New Roman"/>
          <w:bCs/>
          <w:sz w:val="24"/>
          <w:szCs w:val="24"/>
        </w:rPr>
        <w:t xml:space="preserve"> 14,000 </w:t>
      </w:r>
      <w:r w:rsidR="002E410E" w:rsidRPr="00554FAF">
        <w:rPr>
          <w:rFonts w:ascii="Times New Roman" w:hAnsi="Times New Roman" w:cs="Times New Roman"/>
          <w:bCs/>
          <w:sz w:val="24"/>
          <w:szCs w:val="24"/>
        </w:rPr>
        <w:t>e</w:t>
      </w:r>
      <w:r w:rsidRPr="00554FAF">
        <w:rPr>
          <w:rFonts w:ascii="Times New Roman" w:hAnsi="Times New Roman" w:cs="Times New Roman"/>
          <w:bCs/>
          <w:sz w:val="24"/>
          <w:szCs w:val="24"/>
        </w:rPr>
        <w:t>uro dhe 2022 kostoja e aktiviteteve vler</w:t>
      </w:r>
      <w:r w:rsidR="002E410E" w:rsidRPr="00554FAF">
        <w:rPr>
          <w:rFonts w:ascii="Times New Roman" w:hAnsi="Times New Roman" w:cs="Times New Roman"/>
          <w:bCs/>
          <w:sz w:val="24"/>
          <w:szCs w:val="24"/>
        </w:rPr>
        <w:t>ë</w:t>
      </w:r>
      <w:r w:rsidRPr="00554FAF">
        <w:rPr>
          <w:rFonts w:ascii="Times New Roman" w:hAnsi="Times New Roman" w:cs="Times New Roman"/>
          <w:bCs/>
          <w:sz w:val="24"/>
          <w:szCs w:val="24"/>
        </w:rPr>
        <w:t>sohet t</w:t>
      </w:r>
      <w:r w:rsidR="002E410E" w:rsidRPr="00554FAF">
        <w:rPr>
          <w:rFonts w:ascii="Times New Roman" w:hAnsi="Times New Roman" w:cs="Times New Roman"/>
          <w:bCs/>
          <w:sz w:val="24"/>
          <w:szCs w:val="24"/>
        </w:rPr>
        <w:t>ë</w:t>
      </w:r>
      <w:r w:rsidRPr="00554FAF">
        <w:rPr>
          <w:rFonts w:ascii="Times New Roman" w:hAnsi="Times New Roman" w:cs="Times New Roman"/>
          <w:bCs/>
          <w:sz w:val="24"/>
          <w:szCs w:val="24"/>
        </w:rPr>
        <w:t xml:space="preserve"> jet</w:t>
      </w:r>
      <w:r w:rsidR="002E410E" w:rsidRPr="00554FAF">
        <w:rPr>
          <w:rFonts w:ascii="Times New Roman" w:hAnsi="Times New Roman" w:cs="Times New Roman"/>
          <w:bCs/>
          <w:sz w:val="24"/>
          <w:szCs w:val="24"/>
        </w:rPr>
        <w:t>ë</w:t>
      </w:r>
      <w:r w:rsidRPr="00554FAF">
        <w:rPr>
          <w:rFonts w:ascii="Times New Roman" w:hAnsi="Times New Roman" w:cs="Times New Roman"/>
          <w:bCs/>
          <w:sz w:val="24"/>
          <w:szCs w:val="24"/>
        </w:rPr>
        <w:t xml:space="preserve"> 34,000 Euro.</w:t>
      </w:r>
    </w:p>
    <w:p w14:paraId="34E7CCF4" w14:textId="25CB0A14" w:rsidR="00E3413B" w:rsidRPr="00554FAF" w:rsidRDefault="00E3413B"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b/>
          <w:bCs/>
          <w:sz w:val="24"/>
          <w:szCs w:val="24"/>
        </w:rPr>
        <w:t xml:space="preserve">5. Ndikimet e pritshme mbi rezultatet sociale, të tilla si punësimi, reduktimi i varfërisë, barazia gjinore: </w:t>
      </w:r>
      <w:r w:rsidRPr="00554FAF">
        <w:rPr>
          <w:rFonts w:ascii="Times New Roman" w:hAnsi="Times New Roman" w:cs="Times New Roman"/>
          <w:sz w:val="24"/>
          <w:szCs w:val="24"/>
        </w:rPr>
        <w:t xml:space="preserve">Sektori i shërbimeve do të vazhdojë të jetë punëdhënësi kryesor në ekonominë e Kosovës. Shumë aktivitete të shërbimeve varen nga punësimi i grave, në fakt në disa sektorë si shëndetësia dhe edukimi, punësimi i grave është mbizotërues në Kosovë. Prandaj, zhvillimi i mëtutjeshëm i shërbimeve do të kontribuojë në rritjen e nivelit të pjesëmarrjes së fuqisë punëtore të grave, e cila është një nga më të ulëtat jo vetëm në rajon, por në të gjithë botën. Sektorët kryesorë eksportues gjatë vitit 2018 ishin shërbimet e udhëtimit me 1081.4 milionë euro, shërbime të tjera të biznesit me 122.5 milionë euro, shërbimet e </w:t>
      </w:r>
      <w:r w:rsidR="002E410E" w:rsidRPr="00554FAF">
        <w:rPr>
          <w:rFonts w:ascii="Times New Roman" w:hAnsi="Times New Roman" w:cs="Times New Roman"/>
          <w:sz w:val="24"/>
          <w:szCs w:val="24"/>
        </w:rPr>
        <w:t>i</w:t>
      </w:r>
      <w:r w:rsidRPr="00554FAF">
        <w:rPr>
          <w:rFonts w:ascii="Times New Roman" w:hAnsi="Times New Roman" w:cs="Times New Roman"/>
          <w:sz w:val="24"/>
          <w:szCs w:val="24"/>
        </w:rPr>
        <w:t xml:space="preserve">nformacionit dhe </w:t>
      </w:r>
      <w:r w:rsidR="002E410E" w:rsidRPr="00554FAF">
        <w:rPr>
          <w:rFonts w:ascii="Times New Roman" w:hAnsi="Times New Roman" w:cs="Times New Roman"/>
          <w:sz w:val="24"/>
          <w:szCs w:val="24"/>
        </w:rPr>
        <w:t>t</w:t>
      </w:r>
      <w:r w:rsidRPr="00554FAF">
        <w:rPr>
          <w:rFonts w:ascii="Times New Roman" w:hAnsi="Times New Roman" w:cs="Times New Roman"/>
          <w:sz w:val="24"/>
          <w:szCs w:val="24"/>
        </w:rPr>
        <w:t xml:space="preserve">elekomunikacionit me 55.8 milionë euro, shërbimet e </w:t>
      </w:r>
      <w:r w:rsidR="002E410E" w:rsidRPr="00554FAF">
        <w:rPr>
          <w:rFonts w:ascii="Times New Roman" w:hAnsi="Times New Roman" w:cs="Times New Roman"/>
          <w:sz w:val="24"/>
          <w:szCs w:val="24"/>
        </w:rPr>
        <w:t>t</w:t>
      </w:r>
      <w:r w:rsidRPr="00554FAF">
        <w:rPr>
          <w:rFonts w:ascii="Times New Roman" w:hAnsi="Times New Roman" w:cs="Times New Roman"/>
          <w:sz w:val="24"/>
          <w:szCs w:val="24"/>
        </w:rPr>
        <w:t xml:space="preserve">ransportit me 41.8 milionë euro dhe shërbimet e </w:t>
      </w:r>
      <w:r w:rsidR="00482270" w:rsidRPr="00554FAF">
        <w:rPr>
          <w:rFonts w:ascii="Times New Roman" w:hAnsi="Times New Roman" w:cs="Times New Roman"/>
          <w:sz w:val="24"/>
          <w:szCs w:val="24"/>
        </w:rPr>
        <w:t>n</w:t>
      </w:r>
      <w:r w:rsidRPr="00554FAF">
        <w:rPr>
          <w:rFonts w:ascii="Times New Roman" w:hAnsi="Times New Roman" w:cs="Times New Roman"/>
          <w:sz w:val="24"/>
          <w:szCs w:val="24"/>
        </w:rPr>
        <w:t>dërtimit me 23.1 milionë euro. Në vitin 2018, 85.3% e të punësuarve në Kosovë ishin të punësuar në sektorin e shërbimeve. Kjo tregon një rritje prej 4 % në krahasim me vitin 2017, ku shërbimet punësonin 81.3% të fuqisë punëtore (burimi: Përmbledhje mbi Tregtinë në Shërbime 2018). Ky trend i rritjes pritet të ndodhë edhe gjatë periudhës 2020-2022.</w:t>
      </w:r>
    </w:p>
    <w:p w14:paraId="328C414B" w14:textId="08225D66" w:rsidR="00E3413B" w:rsidRPr="00BA1A1D" w:rsidRDefault="00E3413B" w:rsidP="00BA1A1D">
      <w:pPr>
        <w:pStyle w:val="BodyText"/>
        <w:spacing w:after="60"/>
        <w:ind w:left="0"/>
        <w:rPr>
          <w:b/>
          <w:bCs/>
          <w:color w:val="000000"/>
          <w:sz w:val="24"/>
          <w:szCs w:val="24"/>
        </w:rPr>
      </w:pPr>
      <w:r w:rsidRPr="00554FAF">
        <w:rPr>
          <w:b/>
          <w:bCs/>
          <w:color w:val="000000"/>
          <w:sz w:val="24"/>
          <w:szCs w:val="24"/>
        </w:rPr>
        <w:t xml:space="preserve">6. Ndikimi i pritshëm në mjedis: </w:t>
      </w:r>
      <w:r w:rsidRPr="00554FAF">
        <w:rPr>
          <w:sz w:val="24"/>
          <w:szCs w:val="24"/>
        </w:rPr>
        <w:t>Kjo masë nuk pritet të ketë ndikim në mjedis.</w:t>
      </w:r>
    </w:p>
    <w:p w14:paraId="49B1B968" w14:textId="77777777" w:rsidR="00E3413B" w:rsidRPr="00554FAF" w:rsidRDefault="00E3413B" w:rsidP="000702CB">
      <w:pPr>
        <w:spacing w:after="60" w:line="240" w:lineRule="auto"/>
        <w:jc w:val="both"/>
        <w:rPr>
          <w:rFonts w:ascii="Times New Roman" w:hAnsi="Times New Roman" w:cs="Times New Roman"/>
          <w:b/>
          <w:sz w:val="24"/>
          <w:szCs w:val="24"/>
        </w:rPr>
      </w:pPr>
      <w:r w:rsidRPr="00554FAF">
        <w:rPr>
          <w:rFonts w:ascii="Times New Roman" w:hAnsi="Times New Roman" w:cs="Times New Roman"/>
          <w:b/>
          <w:sz w:val="24"/>
          <w:szCs w:val="24"/>
        </w:rPr>
        <w:t>7. Rreziqet potenciale:</w:t>
      </w:r>
    </w:p>
    <w:tbl>
      <w:tblPr>
        <w:tblpPr w:leftFromText="180" w:rightFromText="180" w:vertAnchor="text" w:horzAnchor="margin" w:tblpY="5"/>
        <w:tblOverlap w:val="neve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5"/>
        <w:gridCol w:w="1620"/>
        <w:gridCol w:w="4590"/>
      </w:tblGrid>
      <w:tr w:rsidR="00E3413B" w:rsidRPr="00554FAF" w14:paraId="287063E1" w14:textId="77777777" w:rsidTr="004A424A">
        <w:trPr>
          <w:trHeight w:val="618"/>
        </w:trPr>
        <w:tc>
          <w:tcPr>
            <w:tcW w:w="3415" w:type="dxa"/>
            <w:shd w:val="clear" w:color="auto" w:fill="auto"/>
          </w:tcPr>
          <w:p w14:paraId="4222987B" w14:textId="77777777" w:rsidR="00E3413B" w:rsidRPr="00554FAF" w:rsidRDefault="00E3413B" w:rsidP="000702CB">
            <w:pPr>
              <w:pStyle w:val="Default"/>
              <w:spacing w:after="60"/>
              <w:jc w:val="both"/>
              <w:rPr>
                <w:lang w:val="sq-AL"/>
              </w:rPr>
            </w:pPr>
            <w:r w:rsidRPr="00554FAF">
              <w:rPr>
                <w:b/>
                <w:bCs/>
                <w:lang w:val="sq-AL"/>
              </w:rPr>
              <w:t xml:space="preserve">Rreziku </w:t>
            </w:r>
          </w:p>
          <w:p w14:paraId="44408E62" w14:textId="77777777" w:rsidR="00E3413B" w:rsidRPr="00554FAF" w:rsidRDefault="00E3413B" w:rsidP="000702CB">
            <w:pPr>
              <w:pStyle w:val="Default"/>
              <w:spacing w:after="60"/>
              <w:jc w:val="both"/>
              <w:rPr>
                <w:lang w:val="sq-AL"/>
              </w:rPr>
            </w:pPr>
          </w:p>
        </w:tc>
        <w:tc>
          <w:tcPr>
            <w:tcW w:w="1620" w:type="dxa"/>
            <w:shd w:val="clear" w:color="auto" w:fill="auto"/>
          </w:tcPr>
          <w:p w14:paraId="7BA32E6C" w14:textId="77777777" w:rsidR="00E3413B" w:rsidRPr="00554FAF" w:rsidRDefault="00E3413B" w:rsidP="000702CB">
            <w:pPr>
              <w:pStyle w:val="Default"/>
              <w:spacing w:after="60"/>
              <w:ind w:right="-122"/>
              <w:rPr>
                <w:lang w:val="sq-AL"/>
              </w:rPr>
            </w:pPr>
            <w:r w:rsidRPr="00554FAF">
              <w:rPr>
                <w:b/>
                <w:bCs/>
                <w:lang w:val="sq-AL"/>
              </w:rPr>
              <w:t xml:space="preserve">Probabiliteti (i ulët ose i lartë) </w:t>
            </w:r>
          </w:p>
        </w:tc>
        <w:tc>
          <w:tcPr>
            <w:tcW w:w="4590" w:type="dxa"/>
            <w:shd w:val="clear" w:color="auto" w:fill="auto"/>
          </w:tcPr>
          <w:p w14:paraId="3E38E9DC" w14:textId="77777777" w:rsidR="00E3413B" w:rsidRPr="00554FAF" w:rsidRDefault="00E3413B" w:rsidP="000702CB">
            <w:pPr>
              <w:pStyle w:val="Default"/>
              <w:spacing w:after="60"/>
              <w:rPr>
                <w:lang w:val="sq-AL"/>
              </w:rPr>
            </w:pPr>
            <w:r w:rsidRPr="00554FAF">
              <w:rPr>
                <w:b/>
                <w:bCs/>
                <w:lang w:val="sq-AL"/>
              </w:rPr>
              <w:t xml:space="preserve">Veprimi lehtësues i planifikuar </w:t>
            </w:r>
          </w:p>
        </w:tc>
      </w:tr>
      <w:tr w:rsidR="00E3413B" w:rsidRPr="00554FAF" w14:paraId="5F7C97DB" w14:textId="77777777" w:rsidTr="004A424A">
        <w:trPr>
          <w:trHeight w:val="606"/>
        </w:trPr>
        <w:tc>
          <w:tcPr>
            <w:tcW w:w="3415" w:type="dxa"/>
            <w:shd w:val="clear" w:color="auto" w:fill="auto"/>
          </w:tcPr>
          <w:p w14:paraId="7AB48919" w14:textId="77777777" w:rsidR="00E3413B" w:rsidRPr="00554FAF" w:rsidRDefault="00E3413B" w:rsidP="000702CB">
            <w:pPr>
              <w:pStyle w:val="BodyText"/>
              <w:spacing w:after="60"/>
              <w:ind w:left="0"/>
              <w:rPr>
                <w:sz w:val="24"/>
                <w:szCs w:val="24"/>
              </w:rPr>
            </w:pPr>
            <w:r w:rsidRPr="00554FAF">
              <w:rPr>
                <w:sz w:val="24"/>
                <w:szCs w:val="24"/>
              </w:rPr>
              <w:t>1. Koordinimi i institucioneve  publike  qendrore dhe lokale në ndërhyrjen për rregullimin e shërbimeve</w:t>
            </w:r>
          </w:p>
        </w:tc>
        <w:tc>
          <w:tcPr>
            <w:tcW w:w="1620" w:type="dxa"/>
            <w:shd w:val="clear" w:color="auto" w:fill="auto"/>
          </w:tcPr>
          <w:p w14:paraId="7AFC8687" w14:textId="77777777" w:rsidR="00E3413B" w:rsidRPr="00554FAF" w:rsidRDefault="00E3413B" w:rsidP="000702CB">
            <w:pPr>
              <w:pStyle w:val="Default"/>
              <w:spacing w:after="60"/>
              <w:rPr>
                <w:lang w:val="sq-AL"/>
              </w:rPr>
            </w:pPr>
            <w:r w:rsidRPr="00554FAF">
              <w:rPr>
                <w:lang w:val="sq-AL"/>
              </w:rPr>
              <w:t>I mesëm</w:t>
            </w:r>
          </w:p>
        </w:tc>
        <w:tc>
          <w:tcPr>
            <w:tcW w:w="4590" w:type="dxa"/>
            <w:shd w:val="clear" w:color="auto" w:fill="auto"/>
          </w:tcPr>
          <w:p w14:paraId="44C1F263" w14:textId="77777777" w:rsidR="00E3413B" w:rsidRPr="00554FAF" w:rsidRDefault="00E3413B" w:rsidP="000702CB">
            <w:pPr>
              <w:pStyle w:val="Default"/>
              <w:spacing w:after="60"/>
              <w:rPr>
                <w:lang w:val="sq-AL"/>
              </w:rPr>
            </w:pPr>
            <w:r w:rsidRPr="00554FAF">
              <w:rPr>
                <w:lang w:val="sq-AL"/>
              </w:rPr>
              <w:t>Krijimi i Komitetit Nacional për Tregtinë në Shërbime</w:t>
            </w:r>
          </w:p>
        </w:tc>
      </w:tr>
      <w:tr w:rsidR="00E3413B" w:rsidRPr="00554FAF" w14:paraId="7B59E248" w14:textId="77777777" w:rsidTr="004A424A">
        <w:trPr>
          <w:trHeight w:val="503"/>
        </w:trPr>
        <w:tc>
          <w:tcPr>
            <w:tcW w:w="3415" w:type="dxa"/>
            <w:shd w:val="clear" w:color="auto" w:fill="auto"/>
          </w:tcPr>
          <w:p w14:paraId="49DA88DF" w14:textId="77777777" w:rsidR="00E3413B" w:rsidRPr="00554FAF" w:rsidRDefault="00E3413B" w:rsidP="000702CB">
            <w:pPr>
              <w:pStyle w:val="Default"/>
              <w:spacing w:after="60"/>
              <w:rPr>
                <w:lang w:val="sq-AL"/>
              </w:rPr>
            </w:pPr>
            <w:r w:rsidRPr="00554FAF">
              <w:rPr>
                <w:lang w:val="sq-AL"/>
              </w:rPr>
              <w:t>2. Vonesat në miratimin e legjislacionit</w:t>
            </w:r>
          </w:p>
        </w:tc>
        <w:tc>
          <w:tcPr>
            <w:tcW w:w="1620" w:type="dxa"/>
            <w:shd w:val="clear" w:color="auto" w:fill="auto"/>
          </w:tcPr>
          <w:p w14:paraId="5FC1A475" w14:textId="77777777" w:rsidR="00E3413B" w:rsidRPr="00554FAF" w:rsidRDefault="00E3413B" w:rsidP="000702CB">
            <w:pPr>
              <w:pStyle w:val="Default"/>
              <w:spacing w:after="60"/>
              <w:rPr>
                <w:lang w:val="sq-AL"/>
              </w:rPr>
            </w:pPr>
            <w:r w:rsidRPr="00554FAF">
              <w:rPr>
                <w:lang w:val="sq-AL"/>
              </w:rPr>
              <w:t>I lartë</w:t>
            </w:r>
          </w:p>
        </w:tc>
        <w:tc>
          <w:tcPr>
            <w:tcW w:w="4590" w:type="dxa"/>
            <w:shd w:val="clear" w:color="auto" w:fill="auto"/>
          </w:tcPr>
          <w:p w14:paraId="22CF075B" w14:textId="77777777" w:rsidR="00E3413B" w:rsidRPr="00554FAF" w:rsidRDefault="00E3413B" w:rsidP="000702CB">
            <w:pPr>
              <w:pStyle w:val="Default"/>
              <w:spacing w:after="60"/>
              <w:rPr>
                <w:lang w:val="sq-AL"/>
              </w:rPr>
            </w:pPr>
            <w:r w:rsidRPr="00554FAF">
              <w:rPr>
                <w:lang w:val="sq-AL"/>
              </w:rPr>
              <w:t>Rritja e bashkëpunimit koordinues me trupat relevant duke respektuar hierarkinë.</w:t>
            </w:r>
          </w:p>
        </w:tc>
      </w:tr>
      <w:tr w:rsidR="00E3413B" w:rsidRPr="00554FAF" w14:paraId="0E5BF83D" w14:textId="77777777" w:rsidTr="004A424A">
        <w:trPr>
          <w:trHeight w:val="606"/>
        </w:trPr>
        <w:tc>
          <w:tcPr>
            <w:tcW w:w="3415" w:type="dxa"/>
            <w:shd w:val="clear" w:color="auto" w:fill="auto"/>
          </w:tcPr>
          <w:p w14:paraId="424AD526" w14:textId="77777777" w:rsidR="00E3413B" w:rsidRPr="00554FAF" w:rsidRDefault="00E3413B" w:rsidP="000702CB">
            <w:pPr>
              <w:pStyle w:val="Default"/>
              <w:spacing w:after="60"/>
              <w:rPr>
                <w:lang w:val="sq-AL"/>
              </w:rPr>
            </w:pPr>
            <w:r w:rsidRPr="00554FAF">
              <w:rPr>
                <w:lang w:val="sq-AL"/>
              </w:rPr>
              <w:t>3. Pengesat politike në lidhje me anëtarësimin në organizata ndërkombëtare</w:t>
            </w:r>
          </w:p>
        </w:tc>
        <w:tc>
          <w:tcPr>
            <w:tcW w:w="1620" w:type="dxa"/>
            <w:shd w:val="clear" w:color="auto" w:fill="auto"/>
          </w:tcPr>
          <w:p w14:paraId="4BDFE959" w14:textId="77777777" w:rsidR="00E3413B" w:rsidRPr="00554FAF" w:rsidRDefault="00E3413B" w:rsidP="000702CB">
            <w:pPr>
              <w:pStyle w:val="Default"/>
              <w:spacing w:after="60"/>
              <w:rPr>
                <w:lang w:val="sq-AL"/>
              </w:rPr>
            </w:pPr>
            <w:r w:rsidRPr="00554FAF">
              <w:rPr>
                <w:lang w:val="sq-AL"/>
              </w:rPr>
              <w:t>I lartë</w:t>
            </w:r>
          </w:p>
        </w:tc>
        <w:tc>
          <w:tcPr>
            <w:tcW w:w="4590" w:type="dxa"/>
            <w:shd w:val="clear" w:color="auto" w:fill="auto"/>
          </w:tcPr>
          <w:p w14:paraId="6807CD4D" w14:textId="77777777" w:rsidR="00E3413B" w:rsidRPr="00554FAF" w:rsidRDefault="00E3413B" w:rsidP="000702CB">
            <w:pPr>
              <w:pStyle w:val="Default"/>
              <w:spacing w:after="60"/>
              <w:rPr>
                <w:lang w:val="sq-AL"/>
              </w:rPr>
            </w:pPr>
            <w:r w:rsidRPr="00554FAF">
              <w:rPr>
                <w:lang w:val="sq-AL"/>
              </w:rPr>
              <w:t xml:space="preserve">Ndërtimi i platformave lobuese për anëtarësim në mekanizmat ndërkombëtar dhe adresimi i pengesave te akterët relevant vendor dhe ndërkombëtar. </w:t>
            </w:r>
          </w:p>
        </w:tc>
      </w:tr>
    </w:tbl>
    <w:p w14:paraId="794EF9E6" w14:textId="77777777" w:rsidR="00E3413B" w:rsidRPr="00554FAF" w:rsidRDefault="00E3413B" w:rsidP="000702CB">
      <w:pPr>
        <w:spacing w:after="60" w:line="240" w:lineRule="auto"/>
        <w:jc w:val="both"/>
        <w:rPr>
          <w:rFonts w:ascii="Times New Roman" w:hAnsi="Times New Roman" w:cs="Times New Roman"/>
          <w:bCs/>
          <w:sz w:val="24"/>
          <w:szCs w:val="24"/>
        </w:rPr>
      </w:pPr>
    </w:p>
    <w:p w14:paraId="49A6DE47" w14:textId="160C5983" w:rsidR="006114F2" w:rsidRPr="00554FAF" w:rsidRDefault="00085F16" w:rsidP="00085F16">
      <w:pPr>
        <w:pStyle w:val="ERPL3"/>
      </w:pPr>
      <w:bookmarkStart w:id="196" w:name="_Toc25533244"/>
      <w:bookmarkStart w:id="197" w:name="_Toc25873750"/>
      <w:r>
        <w:t xml:space="preserve">4.3.3 </w:t>
      </w:r>
      <w:r w:rsidR="006114F2" w:rsidRPr="00554FAF">
        <w:t>Mjedisi i biznesit dhe reduktimi i ekonomisë informale</w:t>
      </w:r>
      <w:bookmarkEnd w:id="195"/>
      <w:bookmarkEnd w:id="196"/>
      <w:bookmarkEnd w:id="197"/>
    </w:p>
    <w:p w14:paraId="7F0623B6" w14:textId="29ABECC6" w:rsidR="00921F17" w:rsidRPr="00554FAF" w:rsidRDefault="00921F17" w:rsidP="00802FB3">
      <w:pPr>
        <w:pStyle w:val="ListParagraph"/>
        <w:numPr>
          <w:ilvl w:val="0"/>
          <w:numId w:val="47"/>
        </w:numPr>
        <w:ind w:left="270" w:hanging="270"/>
        <w:rPr>
          <w:rFonts w:ascii="Times New Roman" w:hAnsi="Times New Roman" w:cs="Times New Roman"/>
          <w:b/>
        </w:rPr>
      </w:pPr>
      <w:r w:rsidRPr="00554FAF">
        <w:rPr>
          <w:rFonts w:ascii="Times New Roman" w:hAnsi="Times New Roman" w:cs="Times New Roman"/>
          <w:b/>
          <w:sz w:val="24"/>
          <w:szCs w:val="24"/>
        </w:rPr>
        <w:t>Analiza e pengesave strukturore</w:t>
      </w:r>
    </w:p>
    <w:p w14:paraId="3B957F13" w14:textId="22677F91" w:rsidR="00BC2BEE" w:rsidRPr="00554FAF" w:rsidRDefault="00BC2BEE" w:rsidP="000702CB">
      <w:pPr>
        <w:spacing w:after="60" w:line="240" w:lineRule="auto"/>
        <w:jc w:val="both"/>
        <w:rPr>
          <w:rFonts w:ascii="Times New Roman" w:eastAsia="Times New Roman" w:hAnsi="Times New Roman" w:cs="Times New Roman"/>
          <w:sz w:val="24"/>
          <w:szCs w:val="24"/>
        </w:rPr>
      </w:pPr>
      <w:bookmarkStart w:id="198" w:name="_bookmark26"/>
      <w:bookmarkStart w:id="199" w:name="_Toc13127895"/>
      <w:bookmarkEnd w:id="198"/>
      <w:r w:rsidRPr="00554FAF">
        <w:rPr>
          <w:rFonts w:ascii="Times New Roman" w:hAnsi="Times New Roman" w:cs="Times New Roman"/>
          <w:b/>
          <w:sz w:val="24"/>
          <w:szCs w:val="24"/>
        </w:rPr>
        <w:t>Gjendja aktuale:</w:t>
      </w:r>
      <w:r w:rsidRPr="00554FAF">
        <w:rPr>
          <w:rFonts w:ascii="Times New Roman" w:hAnsi="Times New Roman" w:cs="Times New Roman"/>
          <w:sz w:val="24"/>
          <w:szCs w:val="24"/>
        </w:rPr>
        <w:t xml:space="preserve"> Pengesat kryesore në këtë fushë ndërlidhen me operimin e biznesit në një ambient të pafavorshëm si rezultat i prezencës së nivelit të lartë të ekonomisë joformale e cila e dëmton konkurrenc</w:t>
      </w:r>
      <w:r w:rsidR="004E1C31" w:rsidRPr="00554FAF">
        <w:rPr>
          <w:rFonts w:ascii="Times New Roman" w:hAnsi="Times New Roman" w:cs="Times New Roman"/>
          <w:sz w:val="24"/>
          <w:szCs w:val="24"/>
        </w:rPr>
        <w:t>ë</w:t>
      </w:r>
      <w:r w:rsidRPr="00554FAF">
        <w:rPr>
          <w:rFonts w:ascii="Times New Roman" w:hAnsi="Times New Roman" w:cs="Times New Roman"/>
          <w:sz w:val="24"/>
          <w:szCs w:val="24"/>
        </w:rPr>
        <w:t>n në treg dhe ka ndikim të pafavorshëm në buxhetin e shtetin. Përkundër progresit të bërë dhe reformave të vazhdueshme në uljen e b</w:t>
      </w:r>
      <w:r w:rsidR="004E1C31" w:rsidRPr="00554FAF">
        <w:rPr>
          <w:rFonts w:ascii="Times New Roman" w:hAnsi="Times New Roman" w:cs="Times New Roman"/>
          <w:sz w:val="24"/>
          <w:szCs w:val="24"/>
        </w:rPr>
        <w:t>arrës</w:t>
      </w:r>
      <w:r w:rsidRPr="00554FAF">
        <w:rPr>
          <w:rFonts w:ascii="Times New Roman" w:hAnsi="Times New Roman" w:cs="Times New Roman"/>
          <w:sz w:val="24"/>
          <w:szCs w:val="24"/>
        </w:rPr>
        <w:t xml:space="preserve"> administrative dhe përmirësimin e kornizës ligjore, ulja e kostos </w:t>
      </w:r>
      <w:r w:rsidR="004E1C31" w:rsidRPr="00554FAF">
        <w:rPr>
          <w:rFonts w:ascii="Times New Roman" w:hAnsi="Times New Roman" w:cs="Times New Roman"/>
          <w:sz w:val="24"/>
          <w:szCs w:val="24"/>
        </w:rPr>
        <w:t>së detyrueshme</w:t>
      </w:r>
      <w:r w:rsidRPr="00554FAF">
        <w:rPr>
          <w:rFonts w:ascii="Times New Roman" w:hAnsi="Times New Roman" w:cs="Times New Roman"/>
          <w:sz w:val="24"/>
          <w:szCs w:val="24"/>
        </w:rPr>
        <w:t xml:space="preserve"> për biznes</w:t>
      </w:r>
      <w:r w:rsidR="004E1C31" w:rsidRPr="00554FAF">
        <w:rPr>
          <w:rFonts w:ascii="Times New Roman" w:hAnsi="Times New Roman" w:cs="Times New Roman"/>
          <w:sz w:val="24"/>
          <w:szCs w:val="24"/>
        </w:rPr>
        <w:t>et</w:t>
      </w:r>
      <w:r w:rsidRPr="00554FAF">
        <w:rPr>
          <w:rFonts w:ascii="Times New Roman" w:hAnsi="Times New Roman" w:cs="Times New Roman"/>
          <w:sz w:val="24"/>
          <w:szCs w:val="24"/>
        </w:rPr>
        <w:t xml:space="preserve">, heqja e kërkesave të panevojshme procedurale, përshpejtimi i zgjedhjes së kontesteve gjyqësore ekonomike dhe njohja e të drejtave juridike mbi pronën, janë thelbësore për të mundësuar investime afatgjata dhe përmirësim të </w:t>
      </w:r>
      <w:r w:rsidR="005370F7" w:rsidRPr="00554FAF">
        <w:rPr>
          <w:rFonts w:ascii="Times New Roman" w:hAnsi="Times New Roman" w:cs="Times New Roman"/>
          <w:sz w:val="24"/>
          <w:szCs w:val="24"/>
        </w:rPr>
        <w:t>mjedisit t</w:t>
      </w:r>
      <w:r w:rsidR="004A2969" w:rsidRPr="00554FAF">
        <w:rPr>
          <w:rFonts w:ascii="Times New Roman" w:hAnsi="Times New Roman" w:cs="Times New Roman"/>
          <w:sz w:val="24"/>
          <w:szCs w:val="24"/>
        </w:rPr>
        <w:t>ë</w:t>
      </w:r>
      <w:r w:rsidR="005370F7" w:rsidRPr="00554FAF">
        <w:rPr>
          <w:rFonts w:ascii="Times New Roman" w:hAnsi="Times New Roman" w:cs="Times New Roman"/>
          <w:sz w:val="24"/>
          <w:szCs w:val="24"/>
        </w:rPr>
        <w:t xml:space="preserve">  </w:t>
      </w:r>
      <w:r w:rsidRPr="00554FAF">
        <w:rPr>
          <w:rFonts w:ascii="Times New Roman" w:hAnsi="Times New Roman" w:cs="Times New Roman"/>
          <w:sz w:val="24"/>
          <w:szCs w:val="24"/>
        </w:rPr>
        <w:t>të</w:t>
      </w:r>
      <w:r w:rsidR="005370F7" w:rsidRPr="00554FAF">
        <w:rPr>
          <w:rFonts w:ascii="Times New Roman" w:hAnsi="Times New Roman" w:cs="Times New Roman"/>
          <w:sz w:val="24"/>
          <w:szCs w:val="24"/>
        </w:rPr>
        <w:t xml:space="preserve"> b</w:t>
      </w:r>
      <w:r w:rsidR="004A2969" w:rsidRPr="00554FAF">
        <w:rPr>
          <w:rFonts w:ascii="Times New Roman" w:hAnsi="Times New Roman" w:cs="Times New Roman"/>
          <w:sz w:val="24"/>
          <w:szCs w:val="24"/>
        </w:rPr>
        <w:t>ë</w:t>
      </w:r>
      <w:r w:rsidR="005370F7" w:rsidRPr="00554FAF">
        <w:rPr>
          <w:rFonts w:ascii="Times New Roman" w:hAnsi="Times New Roman" w:cs="Times New Roman"/>
          <w:sz w:val="24"/>
          <w:szCs w:val="24"/>
        </w:rPr>
        <w:t>rit</w:t>
      </w:r>
      <w:r w:rsidRPr="00554FAF">
        <w:rPr>
          <w:rFonts w:ascii="Times New Roman" w:hAnsi="Times New Roman" w:cs="Times New Roman"/>
          <w:sz w:val="24"/>
          <w:szCs w:val="24"/>
        </w:rPr>
        <w:t xml:space="preserve"> biznes.</w:t>
      </w:r>
    </w:p>
    <w:p w14:paraId="7138D9C9" w14:textId="57828769" w:rsidR="00BC2BEE" w:rsidRPr="00554FAF" w:rsidRDefault="00BC2BEE" w:rsidP="000702CB">
      <w:pPr>
        <w:pStyle w:val="Default"/>
        <w:spacing w:after="60"/>
        <w:jc w:val="both"/>
        <w:rPr>
          <w:bCs/>
          <w:lang w:val="sq-AL"/>
        </w:rPr>
      </w:pPr>
      <w:r w:rsidRPr="00554FAF">
        <w:rPr>
          <w:lang w:val="sq-AL"/>
        </w:rPr>
        <w:t>Një ndër sfidat kryesore vazhdon të mbetet niveli i lartë i ekonomisë joformale i cili</w:t>
      </w:r>
      <w:r w:rsidR="006151D1" w:rsidRPr="00554FAF">
        <w:rPr>
          <w:lang w:val="sq-AL"/>
        </w:rPr>
        <w:t>,</w:t>
      </w:r>
      <w:r w:rsidRPr="00554FAF">
        <w:rPr>
          <w:lang w:val="sq-AL"/>
        </w:rPr>
        <w:t xml:space="preserve"> në mes tjerash</w:t>
      </w:r>
      <w:r w:rsidR="006151D1" w:rsidRPr="00554FAF">
        <w:rPr>
          <w:lang w:val="sq-AL"/>
        </w:rPr>
        <w:t>,</w:t>
      </w:r>
      <w:r w:rsidRPr="00554FAF">
        <w:rPr>
          <w:lang w:val="sq-AL"/>
        </w:rPr>
        <w:t xml:space="preserve"> manifestohet me efekt negativ në të hyrat  për buxhetin e Kosovës, konkurrencën jolojale dhe në nivel të lartë të punësimit të padeklaruar. Disa studime dhe vlerësime në fushën e ekonomisë </w:t>
      </w:r>
      <w:r w:rsidR="006151D1" w:rsidRPr="00554FAF">
        <w:rPr>
          <w:lang w:val="sq-AL"/>
        </w:rPr>
        <w:t xml:space="preserve">joformale </w:t>
      </w:r>
      <w:r w:rsidRPr="00554FAF">
        <w:rPr>
          <w:lang w:val="sq-AL"/>
        </w:rPr>
        <w:t xml:space="preserve">dhe boshllëqet tatimore kanë treguar se shtrirja e ekonomisë </w:t>
      </w:r>
      <w:r w:rsidR="006151D1" w:rsidRPr="00554FAF">
        <w:rPr>
          <w:lang w:val="sq-AL"/>
        </w:rPr>
        <w:t xml:space="preserve">joformale </w:t>
      </w:r>
      <w:r w:rsidRPr="00554FAF">
        <w:rPr>
          <w:lang w:val="sq-AL"/>
        </w:rPr>
        <w:t xml:space="preserve">në Kosovë është mbi 30% e BPV-së me humbje të konsiderueshme për tatimet kryesore direkte dhe indirekte. Në këtë drejtim, bazuar në analizat e rrezikut të hartuara nga ATK, sektorët më problematik me praninë e ekonomisë </w:t>
      </w:r>
      <w:r w:rsidR="006151D1" w:rsidRPr="00554FAF">
        <w:rPr>
          <w:lang w:val="sq-AL"/>
        </w:rPr>
        <w:t>joformale</w:t>
      </w:r>
      <w:r w:rsidRPr="00554FAF">
        <w:rPr>
          <w:lang w:val="sq-AL"/>
        </w:rPr>
        <w:t xml:space="preserve"> janë sektori i ndërtimit, sektori i shërbimeve, veçanërisht në hotele, restorante, tregti dhe transport. Vlen të përmendet se mundësia e pastrimit të parave nga aktivitete të paligjshme mbetet e lartë në sektorin e ndërtimeve si rezultat i ndërtimeve pa leje masive (350,000 identifikuar dhe raportuar). Vlera e evazionit fiskal ka shkaktuar dëme në buxhetin e Kosovës i cili vlerësohet të jetë jo më pak se 8 milion EUR në sektorin e ndërtimtarisë dhe rreth 11 milion EUR në sektorin e tregtisë</w:t>
      </w:r>
      <w:r w:rsidR="006151D1" w:rsidRPr="00554FAF">
        <w:rPr>
          <w:lang w:val="sq-AL"/>
        </w:rPr>
        <w:t>.</w:t>
      </w:r>
      <w:r w:rsidRPr="00554FAF">
        <w:rPr>
          <w:rStyle w:val="FootnoteReference"/>
          <w:lang w:val="sq-AL"/>
        </w:rPr>
        <w:footnoteReference w:id="32"/>
      </w:r>
      <w:r w:rsidRPr="00554FAF">
        <w:rPr>
          <w:b/>
          <w:bCs/>
          <w:lang w:val="sq-AL"/>
        </w:rPr>
        <w:t xml:space="preserve"> </w:t>
      </w:r>
      <w:r w:rsidR="00482270" w:rsidRPr="00554FAF">
        <w:rPr>
          <w:bCs/>
          <w:lang w:val="sq-AL"/>
        </w:rPr>
        <w:t>Sipas Agjencisë s</w:t>
      </w:r>
      <w:r w:rsidRPr="00554FAF">
        <w:rPr>
          <w:bCs/>
          <w:lang w:val="sq-AL"/>
        </w:rPr>
        <w:t xml:space="preserve">ë Statistikave të Kosovës, në vitin 2016, 16% të të </w:t>
      </w:r>
      <w:r w:rsidR="00482270" w:rsidRPr="00554FAF">
        <w:rPr>
          <w:bCs/>
          <w:lang w:val="sq-AL"/>
        </w:rPr>
        <w:t>punësuarve</w:t>
      </w:r>
      <w:r w:rsidRPr="00554FAF">
        <w:rPr>
          <w:bCs/>
          <w:lang w:val="sq-AL"/>
        </w:rPr>
        <w:t xml:space="preserve"> nuk kishin kontratë pune, me përmirësim të ndjeshëm nga viti në vit. Përkundër përpjekjeve për të luftuar punësimin joformal, adresimi i këtij problemi kronik është si pasojë e sfidave në vijim: mungesa e informimit të publikut për efektet negative në afat të shkurtër dhe të gjatë</w:t>
      </w:r>
      <w:r w:rsidR="006151D1" w:rsidRPr="00554FAF">
        <w:rPr>
          <w:bCs/>
          <w:lang w:val="sq-AL"/>
        </w:rPr>
        <w:t>,</w:t>
      </w:r>
      <w:r w:rsidRPr="00554FAF">
        <w:rPr>
          <w:bCs/>
          <w:lang w:val="sq-AL"/>
        </w:rPr>
        <w:t xml:space="preserve"> perceptimi nga punëdhënësit për rrezik të ulët të identifikimit dhe lidhur me pasojat nga punësimi joformal</w:t>
      </w:r>
      <w:r w:rsidR="006151D1" w:rsidRPr="00554FAF">
        <w:rPr>
          <w:bCs/>
          <w:lang w:val="sq-AL"/>
        </w:rPr>
        <w:t>,</w:t>
      </w:r>
      <w:r w:rsidRPr="00554FAF">
        <w:rPr>
          <w:bCs/>
          <w:lang w:val="sq-AL"/>
        </w:rPr>
        <w:t xml:space="preserve"> efektiviteti i kufizuar i Inspektoratit të Punës si pasojë e numrit të kufizuar të inspektor</w:t>
      </w:r>
      <w:r w:rsidR="006151D1" w:rsidRPr="00554FAF">
        <w:rPr>
          <w:bCs/>
          <w:lang w:val="sq-AL"/>
        </w:rPr>
        <w:t>e</w:t>
      </w:r>
      <w:r w:rsidRPr="00554FAF">
        <w:rPr>
          <w:bCs/>
          <w:lang w:val="sq-AL"/>
        </w:rPr>
        <w:t>ve dhe kushteve jo të mira të punës</w:t>
      </w:r>
      <w:r w:rsidR="006151D1" w:rsidRPr="00554FAF">
        <w:rPr>
          <w:bCs/>
          <w:lang w:val="sq-AL"/>
        </w:rPr>
        <w:t xml:space="preserve"> </w:t>
      </w:r>
      <w:r w:rsidRPr="00554FAF">
        <w:rPr>
          <w:bCs/>
          <w:lang w:val="sq-AL"/>
        </w:rPr>
        <w:t>dhe bashkëpunimit të kufizuar ndër-institucional për parandalim dhe zvogëlim të punësimit joformal.</w:t>
      </w:r>
    </w:p>
    <w:p w14:paraId="2D07E4B7" w14:textId="63BA85AE" w:rsidR="00BC2BEE" w:rsidRPr="00554FAF" w:rsidRDefault="00BC2BEE"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sz w:val="24"/>
          <w:szCs w:val="24"/>
        </w:rPr>
        <w:t>Mekanizmat joefektivë për zgjidhjen e kontesteve tregtare inkurajojnë bizneset të operojnë në një mjedis jashtëligjor. Komunitetit të biznesit të Kosovës dhe investitorëve të huaj u mungon një adresë e vetme për zgjidhjen e kontesteve gjyqësore. Mandatet e paqarta dhe juridiksioni i Departamentit të Ekonomik dhe Departamentit Administrativ të Gjykatës Themelore të Prishtinës detyrojnë shumë biznese të fragmentojnë çështjet e tyre duke diskutuar çështje të ndryshme të të njëjtit rast në departamente të ndryshme. Ky organizim vonon në mënyrë të konsiderueshme zgjidhjen e kontesteve dhe pengon cilësinë dhe konsistencën e vendimeve të marra nga të dy departamentet. Si rezultat, bizneseve u duhet rreth 3 vjet për të zgjidhur një kontest gjyqësor.  Krijimi i një gjykate të pavarur komerciale, që përfshin</w:t>
      </w:r>
      <w:r w:rsidR="006151D1" w:rsidRPr="00554FAF">
        <w:rPr>
          <w:rFonts w:ascii="Times New Roman" w:hAnsi="Times New Roman" w:cs="Times New Roman"/>
          <w:sz w:val="24"/>
          <w:szCs w:val="24"/>
        </w:rPr>
        <w:t>ë</w:t>
      </w:r>
      <w:r w:rsidRPr="00554FAF">
        <w:rPr>
          <w:rFonts w:ascii="Times New Roman" w:hAnsi="Times New Roman" w:cs="Times New Roman"/>
          <w:sz w:val="24"/>
          <w:szCs w:val="24"/>
        </w:rPr>
        <w:t xml:space="preserve"> të gjitha kompetencat në Departamentin e Ekonomisë dhe çështjet tregtare nën Departamentin Administrativ, do të kontribuonte në një efektivitet më </w:t>
      </w:r>
      <w:r w:rsidR="006151D1" w:rsidRPr="00554FAF">
        <w:rPr>
          <w:rFonts w:ascii="Times New Roman" w:hAnsi="Times New Roman" w:cs="Times New Roman"/>
          <w:sz w:val="24"/>
          <w:szCs w:val="24"/>
        </w:rPr>
        <w:t>t</w:t>
      </w:r>
      <w:r w:rsidRPr="00554FAF">
        <w:rPr>
          <w:rFonts w:ascii="Times New Roman" w:hAnsi="Times New Roman" w:cs="Times New Roman"/>
          <w:sz w:val="24"/>
          <w:szCs w:val="24"/>
        </w:rPr>
        <w:t>ë madh në zgjidhjen e kontesteve dhe zbatimin</w:t>
      </w:r>
      <w:r w:rsidR="006151D1" w:rsidRPr="00554FAF">
        <w:rPr>
          <w:rFonts w:ascii="Times New Roman" w:hAnsi="Times New Roman" w:cs="Times New Roman"/>
          <w:sz w:val="24"/>
          <w:szCs w:val="24"/>
        </w:rPr>
        <w:t xml:space="preserve"> </w:t>
      </w:r>
      <w:r w:rsidRPr="00554FAF">
        <w:rPr>
          <w:rFonts w:ascii="Times New Roman" w:hAnsi="Times New Roman" w:cs="Times New Roman"/>
          <w:sz w:val="24"/>
          <w:szCs w:val="24"/>
        </w:rPr>
        <w:t>e zgjidhjeve.</w:t>
      </w:r>
    </w:p>
    <w:p w14:paraId="22DDFB27" w14:textId="76044C29" w:rsidR="00BC2BEE" w:rsidRPr="00554FAF" w:rsidRDefault="006151D1"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sz w:val="24"/>
          <w:szCs w:val="24"/>
        </w:rPr>
        <w:t xml:space="preserve">Ekonomia joformale </w:t>
      </w:r>
      <w:r w:rsidR="00BC2BEE" w:rsidRPr="00554FAF">
        <w:rPr>
          <w:rFonts w:ascii="Times New Roman" w:hAnsi="Times New Roman" w:cs="Times New Roman"/>
          <w:sz w:val="24"/>
          <w:szCs w:val="24"/>
        </w:rPr>
        <w:t>në shkallë të gjerë në sektorin e tokës, i përkeqësuar nga transaksionet joformale të pasurive, gjithashtu pengon rritjen ekonomike. Të drejtat joformale që nuk mund të regjistrohen në kadastrën e Kosovës nuk mund të tregtohen zyrtarisht në tregun e tokës së Kosovës, si rezultat prona nuk mund të përdoret si hipotekë nga mbajtësi i të drejtave për të siguruar kredi</w:t>
      </w:r>
      <w:r w:rsidRPr="00554FAF">
        <w:rPr>
          <w:rFonts w:ascii="Times New Roman" w:hAnsi="Times New Roman" w:cs="Times New Roman"/>
          <w:sz w:val="24"/>
          <w:szCs w:val="24"/>
        </w:rPr>
        <w:t xml:space="preserve"> </w:t>
      </w:r>
      <w:r w:rsidR="00BC2BEE" w:rsidRPr="00554FAF">
        <w:rPr>
          <w:rFonts w:ascii="Times New Roman" w:hAnsi="Times New Roman" w:cs="Times New Roman"/>
          <w:sz w:val="24"/>
          <w:szCs w:val="24"/>
        </w:rPr>
        <w:t>dhe as nuk mund të tatohen në mënyrë efektive nga komunat për të gjeneruar të ardhura të kërkuara për infrastrukturë dhe zhvillim. Për të adresuar informalitetin në shkallë të gjerë në sektorin e tokës, Programi i Reformës Ekonomike propozon përdorimin e procedurave ekzistuese efikase dhe me kosto të ulët administrative për t'u siguruar qytetarëve mundësinë për të marrë njohje juridike të të drejtave informale në mënyrë që ata të regjistrohen në kadastër</w:t>
      </w:r>
      <w:r w:rsidRPr="00554FAF">
        <w:rPr>
          <w:rFonts w:ascii="Times New Roman" w:hAnsi="Times New Roman" w:cs="Times New Roman"/>
          <w:sz w:val="24"/>
          <w:szCs w:val="24"/>
        </w:rPr>
        <w:t>.</w:t>
      </w:r>
    </w:p>
    <w:p w14:paraId="3F3D644C" w14:textId="08487D1E" w:rsidR="00921F17" w:rsidRPr="00554FAF" w:rsidRDefault="00BC2BEE" w:rsidP="000702CB">
      <w:pPr>
        <w:pStyle w:val="NormalWeb"/>
        <w:shd w:val="clear" w:color="auto" w:fill="FFFFFF"/>
        <w:spacing w:before="0" w:beforeAutospacing="0" w:after="60" w:afterAutospacing="0"/>
        <w:jc w:val="both"/>
        <w:textAlignment w:val="baseline"/>
        <w:rPr>
          <w:lang w:val="sq-AL"/>
        </w:rPr>
      </w:pPr>
      <w:r w:rsidRPr="00554FAF">
        <w:rPr>
          <w:b/>
          <w:lang w:val="sq-AL"/>
        </w:rPr>
        <w:t>Pengesat strukturore:</w:t>
      </w:r>
      <w:r w:rsidRPr="00554FAF">
        <w:rPr>
          <w:lang w:val="sq-AL"/>
        </w:rPr>
        <w:t xml:space="preserve"> Mjedisi biznesor është përmirësuar por pengesa dhe sfida të rëndësishme mbesin akoma: konkurrenca jolojale nga sektori jo-formal</w:t>
      </w:r>
      <w:r w:rsidR="006151D1" w:rsidRPr="00554FAF">
        <w:rPr>
          <w:lang w:val="sq-AL"/>
        </w:rPr>
        <w:t>,</w:t>
      </w:r>
      <w:r w:rsidRPr="00554FAF">
        <w:rPr>
          <w:lang w:val="sq-AL"/>
        </w:rPr>
        <w:t xml:space="preserve"> zbatimi i ngadaltë dhe jo konsistent i ligjit tek kontekstet ekonomike</w:t>
      </w:r>
      <w:r w:rsidR="006151D1" w:rsidRPr="00554FAF">
        <w:rPr>
          <w:lang w:val="sq-AL"/>
        </w:rPr>
        <w:t>,</w:t>
      </w:r>
      <w:r w:rsidRPr="00554FAF">
        <w:rPr>
          <w:lang w:val="sq-AL"/>
        </w:rPr>
        <w:t xml:space="preserve"> inspektime të shpeshta, të pakoordinuara dhe të kushtueshme</w:t>
      </w:r>
      <w:r w:rsidR="006151D1" w:rsidRPr="00554FAF">
        <w:rPr>
          <w:lang w:val="sq-AL"/>
        </w:rPr>
        <w:t>,</w:t>
      </w:r>
      <w:r w:rsidRPr="00554FAF">
        <w:rPr>
          <w:lang w:val="sq-AL"/>
        </w:rPr>
        <w:t xml:space="preserve"> koordinimi i dobët në mes të institucioneve publike dhe atyre private, veçanërisht institucioneve financiare, në mbledhjen dhe ndarjen e informatave financiare të ndërmarrjeve</w:t>
      </w:r>
      <w:r w:rsidR="006151D1" w:rsidRPr="00554FAF">
        <w:rPr>
          <w:lang w:val="sq-AL"/>
        </w:rPr>
        <w:t>,</w:t>
      </w:r>
      <w:r w:rsidRPr="00554FAF">
        <w:rPr>
          <w:lang w:val="sq-AL"/>
        </w:rPr>
        <w:t xml:space="preserve"> pamundësia e realizimit të vlerës së kolateralit për shkak të mangësive në sistemin e të drejtave pronësor</w:t>
      </w:r>
      <w:r w:rsidR="00145993" w:rsidRPr="00554FAF">
        <w:rPr>
          <w:lang w:val="sq-AL"/>
        </w:rPr>
        <w:t>e</w:t>
      </w:r>
      <w:r w:rsidRPr="00554FAF">
        <w:rPr>
          <w:lang w:val="sq-AL"/>
        </w:rPr>
        <w:t xml:space="preserve"> informaliteti në shkallë të gjerë në sektorin e pronës së paluajtshme përkthehet në një mospërputhje midis shënimeve zyrtare kadastrale dhe posedimit de facto, duke kontribuar kështu në pasigurinë në pronësi dhe tregun e dobët të tokës</w:t>
      </w:r>
      <w:r w:rsidR="006151D1" w:rsidRPr="00554FAF">
        <w:rPr>
          <w:lang w:val="sq-AL"/>
        </w:rPr>
        <w:t>,</w:t>
      </w:r>
      <w:r w:rsidRPr="00554FAF">
        <w:rPr>
          <w:lang w:val="sq-AL"/>
        </w:rPr>
        <w:t xml:space="preserve"> zbatimi i legjislacionit të pronës së të drejtës intelektuale. Këto pengesa e ulin konkurrueshmërinë e ndërmarrjeve </w:t>
      </w:r>
      <w:r w:rsidR="006151D1" w:rsidRPr="00554FAF">
        <w:rPr>
          <w:lang w:val="sq-AL"/>
        </w:rPr>
        <w:t>k</w:t>
      </w:r>
      <w:r w:rsidRPr="00554FAF">
        <w:rPr>
          <w:lang w:val="sq-AL"/>
        </w:rPr>
        <w:t>osovare dhe mundësive të tyre për investime, rritje dhe krijim të vendeve të punës. Zbatimi i dobët i të drejtave pronësore dhe raportimi financiar ndikojnë negativisht në mundësitë dhe kapacitetet e NVM-ve për të siguruar financim si dhe investimet e jashtme dhe partneritetet biznesore. Konkurrenca e padrejtë nga ekonomia joformale redukton mundësitë për punësim formal me siguri më të lartë të punës dhe krijimin dhe zgjerimin e kompanive të vogla, dhe bizneseve individuale.</w:t>
      </w:r>
    </w:p>
    <w:p w14:paraId="3A67AEBE" w14:textId="0C9C269D" w:rsidR="00BC2BEE" w:rsidRPr="00554FAF" w:rsidRDefault="00921F17" w:rsidP="00802FB3">
      <w:pPr>
        <w:pStyle w:val="NormalWeb"/>
        <w:numPr>
          <w:ilvl w:val="0"/>
          <w:numId w:val="47"/>
        </w:numPr>
        <w:shd w:val="clear" w:color="auto" w:fill="FFFFFF"/>
        <w:spacing w:before="0" w:beforeAutospacing="0" w:after="60" w:afterAutospacing="0"/>
        <w:jc w:val="both"/>
        <w:textAlignment w:val="baseline"/>
        <w:rPr>
          <w:b/>
          <w:lang w:val="sq-AL"/>
        </w:rPr>
      </w:pPr>
      <w:r w:rsidRPr="00554FAF">
        <w:rPr>
          <w:b/>
          <w:lang w:val="sq-AL"/>
        </w:rPr>
        <w:t>P</w:t>
      </w:r>
      <w:r w:rsidR="008C7AAB" w:rsidRPr="00554FAF">
        <w:rPr>
          <w:b/>
          <w:lang w:val="sq-AL"/>
        </w:rPr>
        <w:t>rioritetet</w:t>
      </w:r>
      <w:r w:rsidRPr="00554FAF">
        <w:rPr>
          <w:b/>
          <w:lang w:val="sq-AL"/>
        </w:rPr>
        <w:t xml:space="preserve"> e reformave strukturore</w:t>
      </w:r>
    </w:p>
    <w:tbl>
      <w:tblPr>
        <w:tblStyle w:val="TableGrid"/>
        <w:tblW w:w="0" w:type="auto"/>
        <w:tblLook w:val="04A0" w:firstRow="1" w:lastRow="0" w:firstColumn="1" w:lastColumn="0" w:noHBand="0" w:noVBand="1"/>
      </w:tblPr>
      <w:tblGrid>
        <w:gridCol w:w="9350"/>
      </w:tblGrid>
      <w:tr w:rsidR="00921F17" w:rsidRPr="00554FAF" w14:paraId="6760FAF6" w14:textId="77777777" w:rsidTr="00FD626A">
        <w:tc>
          <w:tcPr>
            <w:tcW w:w="9350" w:type="dxa"/>
            <w:shd w:val="clear" w:color="auto" w:fill="5B9BD5" w:themeFill="accent1"/>
          </w:tcPr>
          <w:p w14:paraId="579E1A3A" w14:textId="4C569500" w:rsidR="00921F17" w:rsidRPr="00554FAF" w:rsidRDefault="00921F17" w:rsidP="00FD626A">
            <w:pPr>
              <w:spacing w:after="60"/>
              <w:jc w:val="both"/>
              <w:rPr>
                <w:rFonts w:ascii="Times New Roman" w:hAnsi="Times New Roman" w:cs="Times New Roman"/>
                <w:b/>
                <w:sz w:val="24"/>
                <w:szCs w:val="24"/>
              </w:rPr>
            </w:pPr>
            <w:r w:rsidRPr="00554FAF">
              <w:rPr>
                <w:rFonts w:ascii="Times New Roman" w:hAnsi="Times New Roman" w:cs="Times New Roman"/>
                <w:b/>
                <w:sz w:val="24"/>
                <w:szCs w:val="24"/>
              </w:rPr>
              <w:t>Masa e reformës #7: Miratimi i politikave të bazuara në të dhëna dhe zvogëlimi i barrës administrative</w:t>
            </w:r>
          </w:p>
        </w:tc>
      </w:tr>
    </w:tbl>
    <w:p w14:paraId="5F39122A" w14:textId="2965D39E" w:rsidR="00BC2BEE" w:rsidRPr="00BA1A1D" w:rsidRDefault="00145993" w:rsidP="00BA1A1D">
      <w:pPr>
        <w:spacing w:after="60" w:line="240" w:lineRule="auto"/>
        <w:jc w:val="both"/>
      </w:pPr>
      <w:r w:rsidRPr="00554FAF">
        <w:rPr>
          <w:rFonts w:ascii="Times New Roman" w:hAnsi="Times New Roman" w:cs="Times New Roman"/>
          <w:b/>
          <w:sz w:val="24"/>
          <w:szCs w:val="24"/>
        </w:rPr>
        <w:t xml:space="preserve">1. </w:t>
      </w:r>
      <w:r w:rsidR="00BC2BEE" w:rsidRPr="00554FAF">
        <w:rPr>
          <w:rFonts w:ascii="Times New Roman" w:hAnsi="Times New Roman" w:cs="Times New Roman"/>
          <w:b/>
          <w:bCs/>
          <w:sz w:val="24"/>
          <w:szCs w:val="24"/>
        </w:rPr>
        <w:t xml:space="preserve">Përshkrimi i masës: </w:t>
      </w:r>
      <w:r w:rsidR="00BC2BEE" w:rsidRPr="00554FAF">
        <w:rPr>
          <w:rFonts w:ascii="Times New Roman" w:eastAsia="Times New Roman" w:hAnsi="Times New Roman" w:cs="Times New Roman"/>
          <w:sz w:val="24"/>
          <w:szCs w:val="24"/>
        </w:rPr>
        <w:t>Si vazhdimësi e reformave thelbësore për thjeshtimin e legjislacionit, uljen e barrës administrative përmes reformimit të sistemit të lejeve dhe licencave dhe vendosjen e sistemit të vlerësimit të ndikimit rregullativ, kjo masë ka për qëllim përmirësimin e zhvillimit të politikave dhe legjislacionit të ri të bazuar në të dhëna</w:t>
      </w:r>
      <w:r w:rsidR="00921F17" w:rsidRPr="00554FAF">
        <w:rPr>
          <w:rFonts w:ascii="Times New Roman" w:eastAsia="Times New Roman" w:hAnsi="Times New Roman" w:cs="Times New Roman"/>
          <w:sz w:val="24"/>
          <w:szCs w:val="24"/>
        </w:rPr>
        <w:t xml:space="preserve"> </w:t>
      </w:r>
      <w:r w:rsidR="00BC2BEE" w:rsidRPr="00554FAF">
        <w:rPr>
          <w:rFonts w:ascii="Times New Roman" w:eastAsia="Times New Roman" w:hAnsi="Times New Roman" w:cs="Times New Roman"/>
          <w:sz w:val="24"/>
          <w:szCs w:val="24"/>
        </w:rPr>
        <w:t xml:space="preserve">dhe thjeshtimin dhe </w:t>
      </w:r>
      <w:r w:rsidR="00BC2BEE" w:rsidRPr="00554FAF">
        <w:rPr>
          <w:rFonts w:ascii="Times New Roman" w:hAnsi="Times New Roman" w:cs="Times New Roman"/>
          <w:bCs/>
          <w:sz w:val="24"/>
          <w:szCs w:val="24"/>
        </w:rPr>
        <w:t>harmonizimin e legjislacionit që ka të bëjë me lejet dhe licencat, me standardet e përcaktuara me Ligjin Nr. 04/L-202 për Sistemin e Lejeve dhe Licencave.</w:t>
      </w:r>
      <w:r w:rsidR="00BC2BEE" w:rsidRPr="00554FAF">
        <w:rPr>
          <w:rFonts w:ascii="Times New Roman" w:eastAsia="Times New Roman" w:hAnsi="Times New Roman" w:cs="Times New Roman"/>
          <w:sz w:val="24"/>
          <w:szCs w:val="24"/>
        </w:rPr>
        <w:t xml:space="preserve"> Për këtë do të fuqizohet sistemi aktual i hartimit të koncept dokumenteve dhe legjislacionit për përgatitjen e propozimeve të politikave, respektivisht akteve ligjore të reja. Kjo masë është vazhdimësi </w:t>
      </w:r>
      <w:r w:rsidR="00921F17" w:rsidRPr="00554FAF">
        <w:rPr>
          <w:rFonts w:ascii="Times New Roman" w:eastAsia="Times New Roman" w:hAnsi="Times New Roman" w:cs="Times New Roman"/>
          <w:sz w:val="24"/>
          <w:szCs w:val="24"/>
        </w:rPr>
        <w:t xml:space="preserve">nga </w:t>
      </w:r>
      <w:r w:rsidR="00BC2BEE" w:rsidRPr="00554FAF">
        <w:rPr>
          <w:rFonts w:ascii="Times New Roman" w:eastAsia="Times New Roman" w:hAnsi="Times New Roman" w:cs="Times New Roman"/>
          <w:sz w:val="24"/>
          <w:szCs w:val="24"/>
        </w:rPr>
        <w:t xml:space="preserve">PRE 2019-2021 dhe është </w:t>
      </w:r>
      <w:r w:rsidR="00BC2BEE" w:rsidRPr="00554FAF">
        <w:rPr>
          <w:rFonts w:ascii="Times New Roman" w:hAnsi="Times New Roman" w:cs="Times New Roman"/>
          <w:bCs/>
          <w:sz w:val="24"/>
          <w:szCs w:val="24"/>
        </w:rPr>
        <w:t>në përputhshmëri me SKZH dhe Strategjinë e ndryshuar për Rregullim të Mirë 2.0.</w:t>
      </w:r>
      <w:r w:rsidR="00BC2BEE" w:rsidRPr="00554FAF">
        <w:rPr>
          <w:bCs/>
        </w:rPr>
        <w:t xml:space="preserve"> </w:t>
      </w:r>
    </w:p>
    <w:p w14:paraId="2B7AB205" w14:textId="77777777" w:rsidR="00BC2BEE" w:rsidRPr="00554FAF" w:rsidRDefault="00BC2BEE" w:rsidP="00802FB3">
      <w:pPr>
        <w:pStyle w:val="Default"/>
        <w:numPr>
          <w:ilvl w:val="0"/>
          <w:numId w:val="40"/>
        </w:numPr>
        <w:spacing w:after="60"/>
        <w:jc w:val="both"/>
        <w:rPr>
          <w:b/>
          <w:bCs/>
          <w:i/>
          <w:lang w:val="sq-AL"/>
        </w:rPr>
      </w:pPr>
      <w:r w:rsidRPr="00554FAF">
        <w:rPr>
          <w:b/>
          <w:bCs/>
          <w:i/>
          <w:lang w:val="sq-AL"/>
        </w:rPr>
        <w:t xml:space="preserve">Aktivitetet e planifikuara për 2020: </w:t>
      </w:r>
    </w:p>
    <w:p w14:paraId="79CE9E3C" w14:textId="18ECD49A" w:rsidR="00BC2BEE" w:rsidRPr="00BA1A1D" w:rsidRDefault="00BC2BEE" w:rsidP="00802FB3">
      <w:pPr>
        <w:pStyle w:val="ListParagraph"/>
        <w:numPr>
          <w:ilvl w:val="0"/>
          <w:numId w:val="57"/>
        </w:numPr>
        <w:spacing w:after="60" w:line="240" w:lineRule="auto"/>
        <w:jc w:val="both"/>
        <w:rPr>
          <w:rFonts w:ascii="Times New Roman" w:hAnsi="Times New Roman" w:cs="Times New Roman"/>
          <w:bCs/>
          <w:sz w:val="24"/>
          <w:szCs w:val="24"/>
          <w:lang w:eastAsia="sq-AL"/>
        </w:rPr>
      </w:pPr>
      <w:r w:rsidRPr="00BA1A1D">
        <w:rPr>
          <w:rFonts w:ascii="Times New Roman" w:hAnsi="Times New Roman" w:cs="Times New Roman"/>
          <w:bCs/>
          <w:sz w:val="24"/>
          <w:szCs w:val="24"/>
          <w:lang w:eastAsia="sq-AL"/>
        </w:rPr>
        <w:t>Miratimi i Koncept dokumentit për ngarkesat administrative i cili do të përfshijë edhe përcaktimin e caqeve përkatëse; (</w:t>
      </w:r>
      <w:r w:rsidR="00252FC2" w:rsidRPr="00BA1A1D">
        <w:rPr>
          <w:rFonts w:ascii="Times New Roman" w:hAnsi="Times New Roman" w:cs="Times New Roman"/>
          <w:bCs/>
          <w:sz w:val="24"/>
          <w:szCs w:val="24"/>
          <w:lang w:eastAsia="sq-AL"/>
        </w:rPr>
        <w:t>ZLM</w:t>
      </w:r>
      <w:r w:rsidRPr="00BA1A1D">
        <w:rPr>
          <w:rFonts w:ascii="Times New Roman" w:hAnsi="Times New Roman" w:cs="Times New Roman"/>
          <w:bCs/>
          <w:sz w:val="24"/>
          <w:szCs w:val="24"/>
          <w:lang w:eastAsia="sq-AL"/>
        </w:rPr>
        <w:t>)</w:t>
      </w:r>
    </w:p>
    <w:p w14:paraId="06996700" w14:textId="5F3EE755" w:rsidR="00BC2BEE" w:rsidRPr="00BA1A1D" w:rsidRDefault="00BC2BEE" w:rsidP="00802FB3">
      <w:pPr>
        <w:pStyle w:val="ListParagraph"/>
        <w:numPr>
          <w:ilvl w:val="0"/>
          <w:numId w:val="57"/>
        </w:numPr>
        <w:spacing w:after="60" w:line="240" w:lineRule="auto"/>
        <w:ind w:right="466"/>
        <w:jc w:val="both"/>
        <w:rPr>
          <w:rFonts w:ascii="Times New Roman" w:hAnsi="Times New Roman" w:cs="Times New Roman"/>
          <w:bCs/>
          <w:sz w:val="24"/>
          <w:szCs w:val="24"/>
          <w:lang w:eastAsia="sq-AL"/>
        </w:rPr>
      </w:pPr>
      <w:r w:rsidRPr="00BA1A1D">
        <w:rPr>
          <w:rFonts w:ascii="Times New Roman" w:hAnsi="Times New Roman" w:cs="Times New Roman"/>
          <w:sz w:val="24"/>
          <w:szCs w:val="24"/>
        </w:rPr>
        <w:t>Hartimi i Ligjit për Zvogëlimin e Barrës Administrative</w:t>
      </w:r>
      <w:r w:rsidR="006151D1" w:rsidRPr="00BA1A1D">
        <w:rPr>
          <w:rFonts w:ascii="Times New Roman" w:hAnsi="Times New Roman" w:cs="Times New Roman"/>
          <w:sz w:val="24"/>
          <w:szCs w:val="24"/>
        </w:rPr>
        <w:t>;</w:t>
      </w:r>
      <w:r w:rsidRPr="00BA1A1D">
        <w:rPr>
          <w:rFonts w:ascii="Times New Roman" w:hAnsi="Times New Roman" w:cs="Times New Roman"/>
          <w:sz w:val="24"/>
          <w:szCs w:val="24"/>
        </w:rPr>
        <w:t xml:space="preserve"> (</w:t>
      </w:r>
      <w:r w:rsidR="00252FC2" w:rsidRPr="00BA1A1D">
        <w:rPr>
          <w:rFonts w:ascii="Times New Roman" w:hAnsi="Times New Roman" w:cs="Times New Roman"/>
          <w:sz w:val="24"/>
          <w:szCs w:val="24"/>
        </w:rPr>
        <w:t>ZKM</w:t>
      </w:r>
      <w:r w:rsidRPr="00BA1A1D">
        <w:rPr>
          <w:rFonts w:ascii="Times New Roman" w:hAnsi="Times New Roman" w:cs="Times New Roman"/>
          <w:sz w:val="24"/>
          <w:szCs w:val="24"/>
        </w:rPr>
        <w:t>)</w:t>
      </w:r>
    </w:p>
    <w:p w14:paraId="46112093" w14:textId="54F91B3C" w:rsidR="00BC2BEE" w:rsidRPr="00BA1A1D" w:rsidRDefault="00BC2BEE" w:rsidP="00802FB3">
      <w:pPr>
        <w:pStyle w:val="ListParagraph"/>
        <w:numPr>
          <w:ilvl w:val="0"/>
          <w:numId w:val="57"/>
        </w:numPr>
        <w:spacing w:after="60" w:line="240" w:lineRule="auto"/>
        <w:jc w:val="both"/>
        <w:rPr>
          <w:rFonts w:ascii="Times New Roman" w:eastAsia="Calibri" w:hAnsi="Times New Roman" w:cs="Times New Roman"/>
          <w:bCs/>
          <w:sz w:val="24"/>
          <w:szCs w:val="24"/>
        </w:rPr>
      </w:pPr>
      <w:r w:rsidRPr="00BA1A1D">
        <w:rPr>
          <w:rFonts w:ascii="Times New Roman" w:eastAsia="MS Mincho" w:hAnsi="Times New Roman" w:cs="Times New Roman"/>
          <w:bCs/>
          <w:kern w:val="24"/>
          <w:sz w:val="24"/>
          <w:szCs w:val="24"/>
        </w:rPr>
        <w:t>Zhvillimi i kapaciteteve për Modelin e Kostimit Standard  (MKS)</w:t>
      </w:r>
      <w:r w:rsidR="005D7287" w:rsidRPr="00BA1A1D">
        <w:rPr>
          <w:rFonts w:ascii="Times New Roman" w:hAnsi="Times New Roman" w:cs="Times New Roman"/>
          <w:sz w:val="24"/>
          <w:szCs w:val="24"/>
        </w:rPr>
        <w:t>, o</w:t>
      </w:r>
      <w:r w:rsidRPr="00BA1A1D">
        <w:rPr>
          <w:rFonts w:ascii="Times New Roman" w:hAnsi="Times New Roman" w:cs="Times New Roman"/>
          <w:sz w:val="24"/>
          <w:szCs w:val="24"/>
        </w:rPr>
        <w:t>frimi i trajnimeve për MKS (së paku 6 trajnime deri në fund të vitit 2020); (</w:t>
      </w:r>
      <w:r w:rsidR="00252FC2" w:rsidRPr="00BA1A1D">
        <w:rPr>
          <w:rFonts w:ascii="Times New Roman" w:hAnsi="Times New Roman" w:cs="Times New Roman"/>
          <w:sz w:val="24"/>
          <w:szCs w:val="24"/>
        </w:rPr>
        <w:t>ZKM</w:t>
      </w:r>
      <w:r w:rsidRPr="00BA1A1D">
        <w:rPr>
          <w:rFonts w:ascii="Times New Roman" w:hAnsi="Times New Roman" w:cs="Times New Roman"/>
          <w:sz w:val="24"/>
          <w:szCs w:val="24"/>
        </w:rPr>
        <w:t>)</w:t>
      </w:r>
    </w:p>
    <w:p w14:paraId="1A1B7C60" w14:textId="769D4036" w:rsidR="00BC2BEE" w:rsidRPr="00BA1A1D" w:rsidRDefault="00BC2BEE" w:rsidP="00802FB3">
      <w:pPr>
        <w:pStyle w:val="ListParagraph"/>
        <w:numPr>
          <w:ilvl w:val="0"/>
          <w:numId w:val="57"/>
        </w:numPr>
        <w:spacing w:after="60" w:line="240" w:lineRule="auto"/>
        <w:jc w:val="both"/>
        <w:rPr>
          <w:rFonts w:ascii="Times New Roman" w:eastAsia="Calibri" w:hAnsi="Times New Roman" w:cs="Times New Roman"/>
          <w:bCs/>
          <w:sz w:val="24"/>
          <w:szCs w:val="24"/>
        </w:rPr>
      </w:pPr>
      <w:r w:rsidRPr="00BA1A1D">
        <w:rPr>
          <w:rFonts w:ascii="Times New Roman" w:eastAsia="Calibri" w:hAnsi="Times New Roman" w:cs="Times New Roman"/>
          <w:bCs/>
          <w:sz w:val="24"/>
          <w:szCs w:val="24"/>
        </w:rPr>
        <w:t xml:space="preserve">Funksionalizimi i bazës së të dhënave për </w:t>
      </w:r>
      <w:r w:rsidR="005D7287" w:rsidRPr="00BA1A1D">
        <w:rPr>
          <w:rFonts w:ascii="Times New Roman" w:eastAsia="Calibri" w:hAnsi="Times New Roman" w:cs="Times New Roman"/>
          <w:bCs/>
          <w:sz w:val="24"/>
          <w:szCs w:val="24"/>
        </w:rPr>
        <w:t>v</w:t>
      </w:r>
      <w:r w:rsidRPr="00BA1A1D">
        <w:rPr>
          <w:rFonts w:ascii="Times New Roman" w:eastAsia="Calibri" w:hAnsi="Times New Roman" w:cs="Times New Roman"/>
          <w:bCs/>
          <w:sz w:val="24"/>
          <w:szCs w:val="24"/>
        </w:rPr>
        <w:t xml:space="preserve">lerësim të </w:t>
      </w:r>
      <w:r w:rsidR="005D7287" w:rsidRPr="00BA1A1D">
        <w:rPr>
          <w:rFonts w:ascii="Times New Roman" w:eastAsia="Calibri" w:hAnsi="Times New Roman" w:cs="Times New Roman"/>
          <w:bCs/>
          <w:sz w:val="24"/>
          <w:szCs w:val="24"/>
        </w:rPr>
        <w:t>n</w:t>
      </w:r>
      <w:r w:rsidRPr="00BA1A1D">
        <w:rPr>
          <w:rFonts w:ascii="Times New Roman" w:eastAsia="Calibri" w:hAnsi="Times New Roman" w:cs="Times New Roman"/>
          <w:bCs/>
          <w:sz w:val="24"/>
          <w:szCs w:val="24"/>
        </w:rPr>
        <w:t>dikimit; (</w:t>
      </w:r>
      <w:r w:rsidR="00252FC2" w:rsidRPr="00BA1A1D">
        <w:rPr>
          <w:rFonts w:ascii="Times New Roman" w:eastAsia="Calibri" w:hAnsi="Times New Roman" w:cs="Times New Roman"/>
          <w:bCs/>
          <w:sz w:val="24"/>
          <w:szCs w:val="24"/>
        </w:rPr>
        <w:t>ZKM</w:t>
      </w:r>
      <w:r w:rsidRPr="00BA1A1D">
        <w:rPr>
          <w:rFonts w:ascii="Times New Roman" w:eastAsia="Calibri" w:hAnsi="Times New Roman" w:cs="Times New Roman"/>
          <w:bCs/>
          <w:sz w:val="24"/>
          <w:szCs w:val="24"/>
        </w:rPr>
        <w:t>)</w:t>
      </w:r>
    </w:p>
    <w:p w14:paraId="2B7F219A" w14:textId="2C4E3A19" w:rsidR="00BC2BEE" w:rsidRPr="00BA1A1D" w:rsidRDefault="00BC2BEE" w:rsidP="00802FB3">
      <w:pPr>
        <w:pStyle w:val="ListParagraph"/>
        <w:numPr>
          <w:ilvl w:val="0"/>
          <w:numId w:val="57"/>
        </w:numPr>
        <w:spacing w:after="60" w:line="240" w:lineRule="auto"/>
        <w:jc w:val="both"/>
        <w:rPr>
          <w:rFonts w:ascii="Times New Roman" w:eastAsia="Calibri" w:hAnsi="Times New Roman" w:cs="Times New Roman"/>
          <w:bCs/>
          <w:sz w:val="24"/>
          <w:szCs w:val="24"/>
        </w:rPr>
      </w:pPr>
      <w:r w:rsidRPr="00BA1A1D">
        <w:rPr>
          <w:rFonts w:ascii="Times New Roman" w:eastAsia="Calibri" w:hAnsi="Times New Roman" w:cs="Times New Roman"/>
          <w:bCs/>
          <w:sz w:val="24"/>
          <w:szCs w:val="24"/>
        </w:rPr>
        <w:t xml:space="preserve">Ndryshimi dhe plotësimi i </w:t>
      </w:r>
      <w:r w:rsidRPr="00BA1A1D">
        <w:rPr>
          <w:rFonts w:ascii="Times New Roman" w:hAnsi="Times New Roman" w:cs="Times New Roman"/>
          <w:sz w:val="24"/>
          <w:szCs w:val="24"/>
        </w:rPr>
        <w:t xml:space="preserve">Rregullores së Punës së Qeverisë Nr. 09/2011, me qëllim të përfshirjes së </w:t>
      </w:r>
      <w:r w:rsidR="00482270" w:rsidRPr="00BA1A1D">
        <w:rPr>
          <w:rFonts w:ascii="Times New Roman" w:hAnsi="Times New Roman" w:cs="Times New Roman"/>
          <w:sz w:val="24"/>
          <w:szCs w:val="24"/>
        </w:rPr>
        <w:t>metodologjisë</w:t>
      </w:r>
      <w:r w:rsidRPr="00BA1A1D">
        <w:rPr>
          <w:rFonts w:ascii="Times New Roman" w:hAnsi="Times New Roman" w:cs="Times New Roman"/>
          <w:sz w:val="24"/>
          <w:szCs w:val="24"/>
        </w:rPr>
        <w:t xml:space="preserve"> që e shqyrton reduktimin e barrës administrative gjatë hartimit të politikave dhe legjislacionit të ri, dhe përfshirjen e Vlerësimit të Ndikimit Rregullativ; (</w:t>
      </w:r>
      <w:r w:rsidR="00252FC2" w:rsidRPr="00BA1A1D">
        <w:rPr>
          <w:rFonts w:ascii="Times New Roman" w:hAnsi="Times New Roman" w:cs="Times New Roman"/>
          <w:sz w:val="24"/>
          <w:szCs w:val="24"/>
        </w:rPr>
        <w:t>ZKM</w:t>
      </w:r>
      <w:r w:rsidRPr="00BA1A1D">
        <w:rPr>
          <w:rFonts w:ascii="Times New Roman" w:hAnsi="Times New Roman" w:cs="Times New Roman"/>
          <w:sz w:val="24"/>
          <w:szCs w:val="24"/>
        </w:rPr>
        <w:t>)</w:t>
      </w:r>
    </w:p>
    <w:p w14:paraId="4738E9A9" w14:textId="501796EA" w:rsidR="00BC2BEE" w:rsidRPr="00554FAF" w:rsidRDefault="00BC2BEE" w:rsidP="00802FB3">
      <w:pPr>
        <w:pStyle w:val="Default"/>
        <w:numPr>
          <w:ilvl w:val="0"/>
          <w:numId w:val="57"/>
        </w:numPr>
        <w:spacing w:after="60"/>
        <w:jc w:val="both"/>
        <w:rPr>
          <w:bCs/>
          <w:color w:val="auto"/>
          <w:lang w:val="sq-AL"/>
        </w:rPr>
      </w:pPr>
      <w:r w:rsidRPr="00554FAF">
        <w:rPr>
          <w:bCs/>
          <w:color w:val="auto"/>
          <w:lang w:val="sq-AL"/>
        </w:rPr>
        <w:t>Përditësimi</w:t>
      </w:r>
      <w:r w:rsidR="00145993" w:rsidRPr="00554FAF">
        <w:rPr>
          <w:bCs/>
          <w:color w:val="auto"/>
          <w:lang w:val="sq-AL"/>
        </w:rPr>
        <w:t xml:space="preserve"> </w:t>
      </w:r>
      <w:r w:rsidRPr="00554FAF">
        <w:rPr>
          <w:bCs/>
          <w:color w:val="auto"/>
          <w:lang w:val="sq-AL"/>
        </w:rPr>
        <w:t>i Regjistrit qendror të lejeve dhe licencave në mënyrë që sistemi të jetë i përdorshëm për zyrtarët që kanë qasje në të dhëna dhe trajnimi i 52 zyrtarëve nga ZL dhe institucioneve që lëshojnë leje dhe licenca mbi përdorimin e sistemit të përditësuar; (</w:t>
      </w:r>
      <w:r w:rsidR="00252FC2">
        <w:rPr>
          <w:bCs/>
          <w:color w:val="auto"/>
          <w:lang w:val="sq-AL"/>
        </w:rPr>
        <w:t>ZKM</w:t>
      </w:r>
      <w:r w:rsidRPr="00554FAF">
        <w:rPr>
          <w:bCs/>
          <w:color w:val="auto"/>
          <w:lang w:val="sq-AL"/>
        </w:rPr>
        <w:t>)</w:t>
      </w:r>
    </w:p>
    <w:p w14:paraId="6D68D4A1" w14:textId="503D8B5D" w:rsidR="00BC2BEE" w:rsidRPr="00554FAF" w:rsidRDefault="00BC2BEE" w:rsidP="00802FB3">
      <w:pPr>
        <w:pStyle w:val="Default"/>
        <w:numPr>
          <w:ilvl w:val="0"/>
          <w:numId w:val="57"/>
        </w:numPr>
        <w:spacing w:after="60"/>
        <w:jc w:val="both"/>
        <w:rPr>
          <w:rFonts w:eastAsia="Calibri"/>
          <w:bCs/>
          <w:color w:val="auto"/>
          <w:lang w:val="sq-AL"/>
        </w:rPr>
      </w:pPr>
      <w:r w:rsidRPr="00554FAF">
        <w:rPr>
          <w:rFonts w:eastAsia="Calibri"/>
          <w:bCs/>
          <w:color w:val="auto"/>
          <w:lang w:val="sq-AL"/>
        </w:rPr>
        <w:t>Ndryshimi dhe plotësimi i akteve ligjore dhe nënligjore për qëllim të thjeshtëzimit, bashkimit dhe zvogëlimit të lejeve dhe licencave; (</w:t>
      </w:r>
      <w:r w:rsidR="00252FC2">
        <w:rPr>
          <w:rFonts w:eastAsia="Calibri"/>
          <w:bCs/>
          <w:color w:val="auto"/>
          <w:lang w:val="sq-AL"/>
        </w:rPr>
        <w:t>ZKM</w:t>
      </w:r>
      <w:r w:rsidRPr="00554FAF">
        <w:rPr>
          <w:rFonts w:eastAsia="Calibri"/>
          <w:bCs/>
          <w:color w:val="auto"/>
          <w:lang w:val="sq-AL"/>
        </w:rPr>
        <w:t>)</w:t>
      </w:r>
    </w:p>
    <w:p w14:paraId="6FE926A2" w14:textId="072EB207" w:rsidR="00BC2BEE" w:rsidRPr="00BA1A1D" w:rsidRDefault="00BC2BEE" w:rsidP="00802FB3">
      <w:pPr>
        <w:pStyle w:val="Default"/>
        <w:numPr>
          <w:ilvl w:val="0"/>
          <w:numId w:val="57"/>
        </w:numPr>
        <w:spacing w:after="60"/>
        <w:jc w:val="both"/>
        <w:rPr>
          <w:rFonts w:eastAsia="Calibri"/>
          <w:bCs/>
          <w:color w:val="auto"/>
          <w:lang w:val="sq-AL"/>
        </w:rPr>
      </w:pPr>
      <w:r w:rsidRPr="00554FAF">
        <w:rPr>
          <w:rFonts w:eastAsia="Calibri"/>
          <w:bCs/>
          <w:color w:val="auto"/>
          <w:lang w:val="sq-AL"/>
        </w:rPr>
        <w:t xml:space="preserve">Rishikimi i Planit të Veprimit të </w:t>
      </w:r>
      <w:r w:rsidRPr="00554FAF">
        <w:rPr>
          <w:lang w:val="sq-AL"/>
        </w:rPr>
        <w:t>Strategjisë për Rregullim më të Mirë 2.0 për Kosovën 2017-2021; (</w:t>
      </w:r>
      <w:r w:rsidR="00252FC2">
        <w:rPr>
          <w:lang w:val="sq-AL"/>
        </w:rPr>
        <w:t>ZKM</w:t>
      </w:r>
      <w:r w:rsidRPr="00554FAF">
        <w:rPr>
          <w:lang w:val="sq-AL"/>
        </w:rPr>
        <w:t>)</w:t>
      </w:r>
    </w:p>
    <w:p w14:paraId="5E7BFD00" w14:textId="77777777" w:rsidR="00BC2BEE" w:rsidRPr="00554FAF" w:rsidRDefault="00BC2BEE" w:rsidP="00802FB3">
      <w:pPr>
        <w:pStyle w:val="Default"/>
        <w:numPr>
          <w:ilvl w:val="0"/>
          <w:numId w:val="40"/>
        </w:numPr>
        <w:spacing w:after="60"/>
        <w:jc w:val="both"/>
        <w:rPr>
          <w:b/>
          <w:i/>
          <w:lang w:val="sq-AL"/>
        </w:rPr>
      </w:pPr>
      <w:r w:rsidRPr="00554FAF">
        <w:rPr>
          <w:b/>
          <w:bCs/>
          <w:i/>
          <w:lang w:val="sq-AL"/>
        </w:rPr>
        <w:t>Aktivitetet e planifikuara për 2021:</w:t>
      </w:r>
    </w:p>
    <w:p w14:paraId="55F963B4" w14:textId="36FA100E" w:rsidR="00BC2BEE" w:rsidRPr="00BA1A1D" w:rsidRDefault="00BC2BEE" w:rsidP="00802FB3">
      <w:pPr>
        <w:pStyle w:val="ListParagraph"/>
        <w:numPr>
          <w:ilvl w:val="0"/>
          <w:numId w:val="58"/>
        </w:numPr>
        <w:spacing w:after="60" w:line="240" w:lineRule="auto"/>
        <w:ind w:right="466"/>
        <w:jc w:val="both"/>
        <w:rPr>
          <w:rFonts w:ascii="Times New Roman" w:hAnsi="Times New Roman" w:cs="Times New Roman"/>
          <w:sz w:val="24"/>
          <w:szCs w:val="24"/>
        </w:rPr>
      </w:pPr>
      <w:r w:rsidRPr="00BA1A1D">
        <w:rPr>
          <w:rFonts w:ascii="Times New Roman" w:hAnsi="Times New Roman" w:cs="Times New Roman"/>
          <w:sz w:val="24"/>
          <w:szCs w:val="24"/>
        </w:rPr>
        <w:t xml:space="preserve">Ofrimi i trajnimeve për MKS nga trajnuesit e </w:t>
      </w:r>
      <w:r w:rsidR="00482270" w:rsidRPr="00BA1A1D">
        <w:rPr>
          <w:rFonts w:ascii="Times New Roman" w:hAnsi="Times New Roman" w:cs="Times New Roman"/>
          <w:sz w:val="24"/>
          <w:szCs w:val="24"/>
        </w:rPr>
        <w:t>certifikuar</w:t>
      </w:r>
      <w:r w:rsidRPr="00BA1A1D">
        <w:rPr>
          <w:rFonts w:ascii="Times New Roman" w:hAnsi="Times New Roman" w:cs="Times New Roman"/>
          <w:sz w:val="24"/>
          <w:szCs w:val="24"/>
        </w:rPr>
        <w:t xml:space="preserve"> (së paku 6  trajnime deri në fund të 2021-ës; (</w:t>
      </w:r>
      <w:r w:rsidR="00252FC2" w:rsidRPr="00BA1A1D">
        <w:rPr>
          <w:rFonts w:ascii="Times New Roman" w:hAnsi="Times New Roman" w:cs="Times New Roman"/>
          <w:sz w:val="24"/>
          <w:szCs w:val="24"/>
        </w:rPr>
        <w:t>ZKM</w:t>
      </w:r>
      <w:r w:rsidRPr="00BA1A1D">
        <w:rPr>
          <w:rFonts w:ascii="Times New Roman" w:hAnsi="Times New Roman" w:cs="Times New Roman"/>
          <w:sz w:val="24"/>
          <w:szCs w:val="24"/>
        </w:rPr>
        <w:t>)</w:t>
      </w:r>
    </w:p>
    <w:p w14:paraId="5B72D791" w14:textId="32440E7C" w:rsidR="00BC2BEE" w:rsidRPr="00BA1A1D" w:rsidRDefault="00BC2BEE" w:rsidP="00802FB3">
      <w:pPr>
        <w:pStyle w:val="ListParagraph"/>
        <w:numPr>
          <w:ilvl w:val="0"/>
          <w:numId w:val="58"/>
        </w:numPr>
        <w:spacing w:after="60" w:line="240" w:lineRule="auto"/>
        <w:ind w:right="466"/>
        <w:jc w:val="both"/>
        <w:rPr>
          <w:rFonts w:ascii="Times New Roman" w:hAnsi="Times New Roman" w:cs="Times New Roman"/>
          <w:sz w:val="24"/>
          <w:szCs w:val="24"/>
        </w:rPr>
      </w:pPr>
      <w:r w:rsidRPr="00BA1A1D">
        <w:rPr>
          <w:rFonts w:ascii="Times New Roman" w:hAnsi="Times New Roman" w:cs="Times New Roman"/>
          <w:sz w:val="24"/>
          <w:szCs w:val="24"/>
        </w:rPr>
        <w:t>Miratimi i Ligjit për Zvogëlimin e Barrës Administrative dhe akteve nën ligjore përkatëse; (</w:t>
      </w:r>
      <w:r w:rsidR="00252FC2" w:rsidRPr="00BA1A1D">
        <w:rPr>
          <w:rFonts w:ascii="Times New Roman" w:hAnsi="Times New Roman" w:cs="Times New Roman"/>
          <w:sz w:val="24"/>
          <w:szCs w:val="24"/>
        </w:rPr>
        <w:t>ZKM</w:t>
      </w:r>
      <w:r w:rsidRPr="00BA1A1D">
        <w:rPr>
          <w:rFonts w:ascii="Times New Roman" w:hAnsi="Times New Roman" w:cs="Times New Roman"/>
          <w:sz w:val="24"/>
          <w:szCs w:val="24"/>
        </w:rPr>
        <w:t>)</w:t>
      </w:r>
    </w:p>
    <w:p w14:paraId="5FC4B415" w14:textId="487C0115" w:rsidR="00BC2BEE" w:rsidRPr="00BA1A1D" w:rsidRDefault="00BC2BEE" w:rsidP="00802FB3">
      <w:pPr>
        <w:pStyle w:val="ListParagraph"/>
        <w:numPr>
          <w:ilvl w:val="0"/>
          <w:numId w:val="58"/>
        </w:numPr>
        <w:spacing w:after="60" w:line="240" w:lineRule="auto"/>
        <w:ind w:right="466"/>
        <w:jc w:val="both"/>
        <w:rPr>
          <w:rFonts w:ascii="Times New Roman" w:hAnsi="Times New Roman" w:cs="Times New Roman"/>
          <w:sz w:val="24"/>
          <w:szCs w:val="24"/>
        </w:rPr>
      </w:pPr>
      <w:r w:rsidRPr="00BA1A1D">
        <w:rPr>
          <w:rFonts w:ascii="Times New Roman" w:hAnsi="Times New Roman" w:cs="Times New Roman"/>
          <w:sz w:val="24"/>
          <w:szCs w:val="24"/>
        </w:rPr>
        <w:t>Përditësimi i Strategjisë për Rregullim më të Mirë 2.0 për Kosovën 2017-2021 (duke përfshirë zgjatjen e periudhës së vlefshmërisë në përputhje me kohëzgjatjen e programit të zvogëlimit të barrës administrative dhe të gjitha aktivitetet e ndërlidhura); (</w:t>
      </w:r>
      <w:r w:rsidR="00252FC2" w:rsidRPr="00BA1A1D">
        <w:rPr>
          <w:rFonts w:ascii="Times New Roman" w:hAnsi="Times New Roman" w:cs="Times New Roman"/>
          <w:sz w:val="24"/>
          <w:szCs w:val="24"/>
        </w:rPr>
        <w:t>ZKM</w:t>
      </w:r>
      <w:r w:rsidRPr="00BA1A1D">
        <w:rPr>
          <w:rFonts w:ascii="Times New Roman" w:hAnsi="Times New Roman" w:cs="Times New Roman"/>
          <w:sz w:val="24"/>
          <w:szCs w:val="24"/>
        </w:rPr>
        <w:t>)</w:t>
      </w:r>
    </w:p>
    <w:p w14:paraId="0B1A0AD9" w14:textId="77777777" w:rsidR="00BC2BEE" w:rsidRPr="00554FAF" w:rsidRDefault="00BC2BEE" w:rsidP="00802FB3">
      <w:pPr>
        <w:pStyle w:val="Default"/>
        <w:numPr>
          <w:ilvl w:val="0"/>
          <w:numId w:val="40"/>
        </w:numPr>
        <w:spacing w:after="60"/>
        <w:jc w:val="both"/>
        <w:rPr>
          <w:b/>
          <w:i/>
          <w:lang w:val="sq-AL"/>
        </w:rPr>
      </w:pPr>
      <w:r w:rsidRPr="00554FAF">
        <w:rPr>
          <w:b/>
          <w:bCs/>
          <w:i/>
          <w:lang w:val="sq-AL"/>
        </w:rPr>
        <w:t>Aktivitetet e planifikuara për 2022:</w:t>
      </w:r>
    </w:p>
    <w:p w14:paraId="195906FA" w14:textId="77777777" w:rsidR="00BC2BEE" w:rsidRPr="00554FAF" w:rsidRDefault="00BC2BEE" w:rsidP="000702CB">
      <w:pPr>
        <w:pStyle w:val="Default"/>
        <w:spacing w:after="60"/>
        <w:jc w:val="both"/>
        <w:rPr>
          <w:lang w:val="sq-AL"/>
        </w:rPr>
      </w:pPr>
      <w:r w:rsidRPr="00554FAF">
        <w:rPr>
          <w:lang w:val="sq-AL"/>
        </w:rPr>
        <w:t xml:space="preserve">            Nuk ka.</w:t>
      </w:r>
    </w:p>
    <w:p w14:paraId="076D5381" w14:textId="77777777" w:rsidR="00BC2BEE" w:rsidRPr="00554FAF" w:rsidRDefault="00BC2BEE" w:rsidP="000702CB">
      <w:pPr>
        <w:spacing w:after="60" w:line="240" w:lineRule="auto"/>
        <w:rPr>
          <w:rFonts w:ascii="Times New Roman" w:hAnsi="Times New Roman" w:cs="Times New Roman"/>
          <w:b/>
          <w:sz w:val="24"/>
          <w:szCs w:val="24"/>
        </w:rPr>
      </w:pPr>
    </w:p>
    <w:p w14:paraId="08294110" w14:textId="032C3E3B" w:rsidR="00BC2BEE" w:rsidRPr="00554FAF" w:rsidRDefault="00145993" w:rsidP="00FD626A">
      <w:pPr>
        <w:tabs>
          <w:tab w:val="left" w:pos="360"/>
        </w:tabs>
        <w:spacing w:after="60" w:line="240" w:lineRule="auto"/>
        <w:rPr>
          <w:rFonts w:ascii="Times New Roman" w:hAnsi="Times New Roman" w:cs="Times New Roman"/>
          <w:b/>
          <w:sz w:val="24"/>
          <w:szCs w:val="24"/>
        </w:rPr>
      </w:pPr>
      <w:r w:rsidRPr="00554FAF">
        <w:rPr>
          <w:rFonts w:ascii="Times New Roman" w:hAnsi="Times New Roman" w:cs="Times New Roman"/>
          <w:b/>
          <w:sz w:val="24"/>
          <w:szCs w:val="24"/>
        </w:rPr>
        <w:t xml:space="preserve">2. </w:t>
      </w:r>
      <w:r w:rsidR="00BC2BEE" w:rsidRPr="00554FAF">
        <w:rPr>
          <w:rFonts w:ascii="Times New Roman" w:hAnsi="Times New Roman" w:cs="Times New Roman"/>
          <w:b/>
          <w:sz w:val="24"/>
          <w:szCs w:val="24"/>
        </w:rPr>
        <w:t>Treguesit e rezultateve</w:t>
      </w:r>
    </w:p>
    <w:tbl>
      <w:tblPr>
        <w:tblStyle w:val="TableGrid"/>
        <w:tblpPr w:leftFromText="180" w:rightFromText="180" w:vertAnchor="text" w:horzAnchor="margin" w:tblpY="175"/>
        <w:tblW w:w="9355" w:type="dxa"/>
        <w:tblLayout w:type="fixed"/>
        <w:tblLook w:val="04A0" w:firstRow="1" w:lastRow="0" w:firstColumn="1" w:lastColumn="0" w:noHBand="0" w:noVBand="1"/>
      </w:tblPr>
      <w:tblGrid>
        <w:gridCol w:w="2875"/>
        <w:gridCol w:w="2407"/>
        <w:gridCol w:w="2183"/>
        <w:gridCol w:w="1890"/>
      </w:tblGrid>
      <w:tr w:rsidR="00BC2BEE" w:rsidRPr="00554FAF" w14:paraId="2987A8B2" w14:textId="77777777" w:rsidTr="00BA1A1D">
        <w:tc>
          <w:tcPr>
            <w:tcW w:w="2875" w:type="dxa"/>
          </w:tcPr>
          <w:p w14:paraId="31B1BFB1" w14:textId="77777777" w:rsidR="00BC2BEE" w:rsidRPr="00554FAF" w:rsidRDefault="00BC2BEE" w:rsidP="000702CB">
            <w:pPr>
              <w:pStyle w:val="Default"/>
              <w:spacing w:after="60"/>
              <w:jc w:val="both"/>
              <w:rPr>
                <w:b/>
                <w:lang w:val="sq-AL"/>
              </w:rPr>
            </w:pPr>
            <w:r w:rsidRPr="00554FAF">
              <w:rPr>
                <w:b/>
                <w:lang w:val="sq-AL"/>
              </w:rPr>
              <w:t xml:space="preserve">Treguesi </w:t>
            </w:r>
          </w:p>
          <w:p w14:paraId="0B13C654" w14:textId="77777777" w:rsidR="00BC2BEE" w:rsidRPr="00554FAF" w:rsidRDefault="00BC2BEE" w:rsidP="000702CB">
            <w:pPr>
              <w:pStyle w:val="Default"/>
              <w:spacing w:after="60"/>
              <w:jc w:val="both"/>
              <w:rPr>
                <w:b/>
                <w:i/>
                <w:iCs/>
                <w:lang w:val="sq-AL"/>
              </w:rPr>
            </w:pPr>
          </w:p>
        </w:tc>
        <w:tc>
          <w:tcPr>
            <w:tcW w:w="2407" w:type="dxa"/>
          </w:tcPr>
          <w:p w14:paraId="10AC3842" w14:textId="77777777" w:rsidR="00BC2BEE" w:rsidRPr="00554FAF" w:rsidRDefault="00BC2BEE" w:rsidP="000702CB">
            <w:pPr>
              <w:pStyle w:val="Default"/>
              <w:spacing w:after="60"/>
              <w:jc w:val="both"/>
              <w:rPr>
                <w:b/>
                <w:lang w:val="sq-AL"/>
              </w:rPr>
            </w:pPr>
            <w:r w:rsidRPr="00554FAF">
              <w:rPr>
                <w:b/>
                <w:lang w:val="sq-AL"/>
              </w:rPr>
              <w:t>Viti bazë  2019</w:t>
            </w:r>
          </w:p>
          <w:p w14:paraId="39F6EC7E" w14:textId="77777777" w:rsidR="00BC2BEE" w:rsidRPr="00554FAF" w:rsidRDefault="00BC2BEE" w:rsidP="000702CB">
            <w:pPr>
              <w:pStyle w:val="Default"/>
              <w:spacing w:after="60"/>
              <w:jc w:val="both"/>
              <w:rPr>
                <w:b/>
                <w:lang w:val="sq-AL"/>
              </w:rPr>
            </w:pPr>
          </w:p>
        </w:tc>
        <w:tc>
          <w:tcPr>
            <w:tcW w:w="2183" w:type="dxa"/>
          </w:tcPr>
          <w:p w14:paraId="0F2DDC50" w14:textId="3EE00DA0" w:rsidR="00BC2BEE" w:rsidRPr="00554FAF" w:rsidRDefault="00BC2BEE" w:rsidP="000702CB">
            <w:pPr>
              <w:pStyle w:val="Default"/>
              <w:spacing w:after="60"/>
              <w:jc w:val="both"/>
              <w:rPr>
                <w:b/>
                <w:lang w:val="sq-AL"/>
              </w:rPr>
            </w:pPr>
            <w:r w:rsidRPr="00554FAF">
              <w:rPr>
                <w:b/>
                <w:lang w:val="sq-AL"/>
              </w:rPr>
              <w:t xml:space="preserve">Synimi i ndërmjetëm 2020 </w:t>
            </w:r>
          </w:p>
        </w:tc>
        <w:tc>
          <w:tcPr>
            <w:tcW w:w="1890" w:type="dxa"/>
          </w:tcPr>
          <w:p w14:paraId="6D6998CA" w14:textId="77777777" w:rsidR="00BC2BEE" w:rsidRPr="00554FAF" w:rsidRDefault="00BC2BEE" w:rsidP="000702CB">
            <w:pPr>
              <w:pStyle w:val="Default"/>
              <w:spacing w:after="60"/>
              <w:jc w:val="both"/>
              <w:rPr>
                <w:b/>
                <w:lang w:val="sq-AL"/>
              </w:rPr>
            </w:pPr>
            <w:r w:rsidRPr="00554FAF">
              <w:rPr>
                <w:b/>
                <w:lang w:val="sq-AL"/>
              </w:rPr>
              <w:t>Synimi 2021</w:t>
            </w:r>
          </w:p>
          <w:p w14:paraId="07177246" w14:textId="77777777" w:rsidR="00BC2BEE" w:rsidRPr="00554FAF" w:rsidRDefault="00BC2BEE" w:rsidP="000702CB">
            <w:pPr>
              <w:pStyle w:val="Default"/>
              <w:spacing w:after="60"/>
              <w:jc w:val="both"/>
              <w:rPr>
                <w:b/>
                <w:i/>
                <w:iCs/>
                <w:lang w:val="sq-AL"/>
              </w:rPr>
            </w:pPr>
          </w:p>
        </w:tc>
      </w:tr>
      <w:tr w:rsidR="00BC2BEE" w:rsidRPr="00554FAF" w14:paraId="20D8D493" w14:textId="77777777" w:rsidTr="00BA1A1D">
        <w:tc>
          <w:tcPr>
            <w:tcW w:w="2875" w:type="dxa"/>
          </w:tcPr>
          <w:p w14:paraId="545F7028" w14:textId="77777777" w:rsidR="00BC2BEE" w:rsidRPr="00554FAF" w:rsidRDefault="00BC2BEE" w:rsidP="000702CB">
            <w:pPr>
              <w:pStyle w:val="Default"/>
              <w:spacing w:after="60"/>
              <w:rPr>
                <w:lang w:val="sq-AL"/>
              </w:rPr>
            </w:pPr>
            <w:r w:rsidRPr="00554FAF">
              <w:rPr>
                <w:lang w:val="sq-AL"/>
              </w:rPr>
              <w:t>Ngritja e kapaciteteve të zyrtarëve përgjegjës të ministrive relevante mbi MKS</w:t>
            </w:r>
          </w:p>
        </w:tc>
        <w:tc>
          <w:tcPr>
            <w:tcW w:w="2407" w:type="dxa"/>
          </w:tcPr>
          <w:p w14:paraId="6C5E90E9" w14:textId="77777777" w:rsidR="00BC2BEE" w:rsidRPr="00554FAF" w:rsidRDefault="00BC2BEE" w:rsidP="000702CB">
            <w:pPr>
              <w:pStyle w:val="Default"/>
              <w:spacing w:after="60"/>
              <w:rPr>
                <w:lang w:val="sq-AL"/>
              </w:rPr>
            </w:pPr>
            <w:r w:rsidRPr="00554FAF">
              <w:rPr>
                <w:lang w:val="sq-AL"/>
              </w:rPr>
              <w:t>0 të trajnuar</w:t>
            </w:r>
          </w:p>
        </w:tc>
        <w:tc>
          <w:tcPr>
            <w:tcW w:w="2183" w:type="dxa"/>
          </w:tcPr>
          <w:p w14:paraId="02EA2772" w14:textId="77777777" w:rsidR="00BC2BEE" w:rsidRPr="00554FAF" w:rsidRDefault="00BC2BEE" w:rsidP="000702CB">
            <w:pPr>
              <w:pStyle w:val="Default"/>
              <w:spacing w:after="60"/>
              <w:rPr>
                <w:lang w:val="sq-AL"/>
              </w:rPr>
            </w:pPr>
            <w:r w:rsidRPr="00554FAF">
              <w:rPr>
                <w:lang w:val="sq-AL"/>
              </w:rPr>
              <w:t>0 të trajnuar</w:t>
            </w:r>
          </w:p>
        </w:tc>
        <w:tc>
          <w:tcPr>
            <w:tcW w:w="1890" w:type="dxa"/>
          </w:tcPr>
          <w:p w14:paraId="6BF7E9FF" w14:textId="77777777" w:rsidR="00BC2BEE" w:rsidRPr="00554FAF" w:rsidRDefault="00BC2BEE" w:rsidP="000702CB">
            <w:pPr>
              <w:pStyle w:val="Default"/>
              <w:spacing w:after="60"/>
              <w:jc w:val="both"/>
              <w:rPr>
                <w:lang w:val="sq-AL"/>
              </w:rPr>
            </w:pPr>
            <w:r w:rsidRPr="00554FAF">
              <w:rPr>
                <w:lang w:val="sq-AL"/>
              </w:rPr>
              <w:t>120 zyrtarë përgjegjës të ministrive të trajnuar mbi MKS</w:t>
            </w:r>
          </w:p>
        </w:tc>
      </w:tr>
      <w:tr w:rsidR="00BC2BEE" w:rsidRPr="00554FAF" w14:paraId="157722C7" w14:textId="77777777" w:rsidTr="00BA1A1D">
        <w:tc>
          <w:tcPr>
            <w:tcW w:w="2875" w:type="dxa"/>
          </w:tcPr>
          <w:p w14:paraId="395FDC67" w14:textId="77777777" w:rsidR="00BC2BEE" w:rsidRPr="00554FAF" w:rsidRDefault="00BC2BEE" w:rsidP="000702CB">
            <w:pPr>
              <w:spacing w:after="60"/>
              <w:ind w:right="466"/>
              <w:rPr>
                <w:rFonts w:ascii="Times New Roman" w:eastAsia="MS Mincho" w:hAnsi="Times New Roman" w:cs="Times New Roman"/>
                <w:bCs/>
                <w:kern w:val="24"/>
                <w:sz w:val="24"/>
                <w:szCs w:val="24"/>
                <w:highlight w:val="yellow"/>
              </w:rPr>
            </w:pPr>
            <w:r w:rsidRPr="00554FAF">
              <w:rPr>
                <w:rFonts w:ascii="Times New Roman" w:hAnsi="Times New Roman" w:cs="Times New Roman"/>
                <w:iCs/>
                <w:sz w:val="24"/>
                <w:szCs w:val="24"/>
              </w:rPr>
              <w:t>Zvogëlimi i lejeve dhe licencave</w:t>
            </w:r>
          </w:p>
        </w:tc>
        <w:tc>
          <w:tcPr>
            <w:tcW w:w="2407" w:type="dxa"/>
          </w:tcPr>
          <w:p w14:paraId="2D971C75" w14:textId="77777777" w:rsidR="00BC2BEE" w:rsidRPr="00554FAF" w:rsidRDefault="00BC2BEE" w:rsidP="000702CB">
            <w:pPr>
              <w:spacing w:after="60"/>
              <w:ind w:right="466"/>
              <w:rPr>
                <w:rFonts w:ascii="Times New Roman" w:eastAsia="MS Mincho" w:hAnsi="Times New Roman" w:cs="Times New Roman"/>
                <w:bCs/>
                <w:kern w:val="24"/>
                <w:sz w:val="24"/>
                <w:szCs w:val="24"/>
                <w:highlight w:val="yellow"/>
              </w:rPr>
            </w:pPr>
            <w:r w:rsidRPr="00554FAF">
              <w:rPr>
                <w:rFonts w:ascii="Times New Roman" w:hAnsi="Times New Roman" w:cs="Times New Roman"/>
                <w:iCs/>
                <w:sz w:val="24"/>
                <w:szCs w:val="24"/>
              </w:rPr>
              <w:t>480 leje dhe licencave  (viti bazë 2014)</w:t>
            </w:r>
          </w:p>
        </w:tc>
        <w:tc>
          <w:tcPr>
            <w:tcW w:w="2183" w:type="dxa"/>
          </w:tcPr>
          <w:p w14:paraId="192B8175" w14:textId="77777777" w:rsidR="00BC2BEE" w:rsidRPr="00554FAF" w:rsidRDefault="00BC2BEE" w:rsidP="000702CB">
            <w:pPr>
              <w:spacing w:after="60"/>
              <w:rPr>
                <w:rFonts w:ascii="Times New Roman" w:hAnsi="Times New Roman" w:cs="Times New Roman"/>
                <w:sz w:val="24"/>
                <w:szCs w:val="24"/>
                <w:highlight w:val="yellow"/>
              </w:rPr>
            </w:pPr>
            <w:r w:rsidRPr="00554FAF">
              <w:rPr>
                <w:rFonts w:ascii="Times New Roman" w:hAnsi="Times New Roman" w:cs="Times New Roman"/>
                <w:sz w:val="24"/>
                <w:szCs w:val="24"/>
              </w:rPr>
              <w:t>432 leje dhe licenca ose 10% më pak se në vitin 2014</w:t>
            </w:r>
          </w:p>
        </w:tc>
        <w:tc>
          <w:tcPr>
            <w:tcW w:w="1890" w:type="dxa"/>
          </w:tcPr>
          <w:p w14:paraId="35122DE3" w14:textId="77777777" w:rsidR="00BC2BEE" w:rsidRPr="00554FAF" w:rsidRDefault="00BC2BEE" w:rsidP="000702CB">
            <w:pPr>
              <w:pStyle w:val="Default"/>
              <w:spacing w:after="60"/>
              <w:jc w:val="both"/>
              <w:rPr>
                <w:highlight w:val="yellow"/>
                <w:lang w:val="sq-AL"/>
              </w:rPr>
            </w:pPr>
          </w:p>
        </w:tc>
      </w:tr>
    </w:tbl>
    <w:p w14:paraId="4A426B29" w14:textId="77777777" w:rsidR="00145993" w:rsidRPr="00554FAF" w:rsidRDefault="00145993" w:rsidP="000702CB">
      <w:pPr>
        <w:spacing w:after="60" w:line="240" w:lineRule="auto"/>
        <w:rPr>
          <w:rFonts w:ascii="Times New Roman" w:hAnsi="Times New Roman" w:cs="Times New Roman"/>
          <w:sz w:val="24"/>
          <w:szCs w:val="24"/>
        </w:rPr>
      </w:pPr>
    </w:p>
    <w:p w14:paraId="1A526891" w14:textId="6B8B6E69" w:rsidR="00BC2BEE" w:rsidRPr="00554FAF" w:rsidRDefault="00145993" w:rsidP="00FD626A">
      <w:pPr>
        <w:tabs>
          <w:tab w:val="left" w:pos="360"/>
        </w:tabs>
        <w:spacing w:after="60" w:line="240" w:lineRule="auto"/>
        <w:jc w:val="both"/>
        <w:rPr>
          <w:rFonts w:ascii="Times New Roman" w:hAnsi="Times New Roman" w:cs="Times New Roman"/>
          <w:b/>
          <w:sz w:val="24"/>
          <w:szCs w:val="24"/>
        </w:rPr>
      </w:pPr>
      <w:r w:rsidRPr="00554FAF">
        <w:rPr>
          <w:rFonts w:ascii="Times New Roman" w:hAnsi="Times New Roman" w:cs="Times New Roman"/>
          <w:sz w:val="24"/>
          <w:szCs w:val="24"/>
        </w:rPr>
        <w:t xml:space="preserve">3. </w:t>
      </w:r>
      <w:r w:rsidR="00BC2BEE" w:rsidRPr="00554FAF">
        <w:rPr>
          <w:rFonts w:ascii="Times New Roman" w:hAnsi="Times New Roman" w:cs="Times New Roman"/>
          <w:b/>
          <w:sz w:val="24"/>
          <w:szCs w:val="24"/>
        </w:rPr>
        <w:t xml:space="preserve">Ndikimi i pritshëm në konkurrueshmëri: </w:t>
      </w:r>
      <w:r w:rsidR="00BC2BEE" w:rsidRPr="00554FAF">
        <w:rPr>
          <w:rFonts w:ascii="Times New Roman" w:hAnsi="Times New Roman" w:cs="Times New Roman"/>
          <w:sz w:val="24"/>
          <w:szCs w:val="24"/>
        </w:rPr>
        <w:t>Cilësia e politikave dhe legjislacionit do të përmirësohet dhe do të largohen pengesat e panevojshme, duke përfshirë thjeshtimin, bashkimin dhe eliminimin e lejeve dhe licencave. Vendosja e modelit të kostimit standard do të nxisë të kuptuarit e ndikimeve të legjislacionit dhe politikave të reja tek bizneset dhe qytetarët. Testi i NVM-ve do të sensibilizoj politikë</w:t>
      </w:r>
      <w:r w:rsidR="00482270" w:rsidRPr="00554FAF">
        <w:rPr>
          <w:rFonts w:ascii="Times New Roman" w:hAnsi="Times New Roman" w:cs="Times New Roman"/>
          <w:sz w:val="24"/>
          <w:szCs w:val="24"/>
        </w:rPr>
        <w:t>-</w:t>
      </w:r>
      <w:r w:rsidR="00BC2BEE" w:rsidRPr="00554FAF">
        <w:rPr>
          <w:rFonts w:ascii="Times New Roman" w:hAnsi="Times New Roman" w:cs="Times New Roman"/>
          <w:sz w:val="24"/>
          <w:szCs w:val="24"/>
        </w:rPr>
        <w:t>bërësit dhe vendimmarrësit për nevojat e veçanta të bizneseve</w:t>
      </w:r>
      <w:r w:rsidR="005D7287" w:rsidRPr="00554FAF">
        <w:rPr>
          <w:rFonts w:ascii="Times New Roman" w:hAnsi="Times New Roman" w:cs="Times New Roman"/>
          <w:sz w:val="24"/>
          <w:szCs w:val="24"/>
        </w:rPr>
        <w:t xml:space="preserve"> </w:t>
      </w:r>
      <w:r w:rsidR="00BC2BEE" w:rsidRPr="00554FAF">
        <w:rPr>
          <w:rFonts w:ascii="Times New Roman" w:hAnsi="Times New Roman" w:cs="Times New Roman"/>
          <w:sz w:val="24"/>
          <w:szCs w:val="24"/>
        </w:rPr>
        <w:t>dhe në kuadër të kësaj posaçërisht mikro</w:t>
      </w:r>
      <w:r w:rsidR="00482270" w:rsidRPr="00554FAF">
        <w:rPr>
          <w:rFonts w:ascii="Times New Roman" w:hAnsi="Times New Roman" w:cs="Times New Roman"/>
          <w:sz w:val="24"/>
          <w:szCs w:val="24"/>
        </w:rPr>
        <w:t>-</w:t>
      </w:r>
      <w:r w:rsidR="00BC2BEE" w:rsidRPr="00554FAF">
        <w:rPr>
          <w:rFonts w:ascii="Times New Roman" w:hAnsi="Times New Roman" w:cs="Times New Roman"/>
          <w:sz w:val="24"/>
          <w:szCs w:val="24"/>
        </w:rPr>
        <w:t>ndërmarrjet, që janë dominante në strukturën ekonomike të Kosovës. Testi i konkurrueshmërisë rregullative do të kontribuojë në një mjedis biznesor më konkurrues dhe profil të përmirësuar të biznesit dhe rregullativës në Kosovë krahasuar me vendet tjera në rajon.</w:t>
      </w:r>
    </w:p>
    <w:p w14:paraId="6682546C" w14:textId="2B24B1E0" w:rsidR="00BC2BEE" w:rsidRPr="00554FAF" w:rsidRDefault="00145993" w:rsidP="00FD626A">
      <w:pPr>
        <w:spacing w:after="60" w:line="240" w:lineRule="auto"/>
        <w:jc w:val="both"/>
        <w:rPr>
          <w:rFonts w:ascii="Times New Roman" w:hAnsi="Times New Roman" w:cs="Times New Roman"/>
          <w:b/>
          <w:sz w:val="24"/>
          <w:szCs w:val="24"/>
        </w:rPr>
      </w:pPr>
      <w:r w:rsidRPr="00554FAF">
        <w:rPr>
          <w:rFonts w:ascii="Times New Roman" w:hAnsi="Times New Roman" w:cs="Times New Roman"/>
          <w:b/>
          <w:sz w:val="24"/>
          <w:szCs w:val="24"/>
        </w:rPr>
        <w:t xml:space="preserve">4. </w:t>
      </w:r>
      <w:r w:rsidR="00BC2BEE" w:rsidRPr="00554FAF">
        <w:rPr>
          <w:rFonts w:ascii="Times New Roman" w:hAnsi="Times New Roman" w:cs="Times New Roman"/>
          <w:b/>
          <w:sz w:val="24"/>
          <w:szCs w:val="24"/>
        </w:rPr>
        <w:t xml:space="preserve">Vlerësimi i kostos së aktiviteteve dhe burimet e financimit: </w:t>
      </w:r>
      <w:r w:rsidR="00BC2BEE" w:rsidRPr="00554FAF">
        <w:rPr>
          <w:rFonts w:ascii="Times New Roman" w:hAnsi="Times New Roman" w:cs="Times New Roman"/>
          <w:sz w:val="24"/>
          <w:szCs w:val="24"/>
        </w:rPr>
        <w:t xml:space="preserve">Kostoja për zbatimin e aktiviteteve mbulohet nga buxheti i Zyrës së Kryeministrit në formë të mbështetjes buxhetore nga partnerët zhvillimor. Kostoja për zbatimin e aktiviteteve për arritjen e caqeve të përcaktuara pritet të ketë ndikim buxhetor në shumën prej 520,000 euro për dy vitet e ardhshme (2020-2021).  20.000 euro janë planifikuar nga bugjeti i Zyrës së Kryeministrit për vitin 2020 për përditësimin e sistemit elektronik të Regjistrit Qendror të Lejeve dhe Licencave. Kostoja e zbatimit të aktiviteteve do të mbulohet nga Zyra e Kryeministrit në formën e granteve të ofruar si ndihmë nga partnerët zhvillimor dhe poashtu me anë të ekspertëve në shumën prej 500,000 euro për </w:t>
      </w:r>
      <w:r w:rsidR="00482270" w:rsidRPr="00554FAF">
        <w:rPr>
          <w:rFonts w:ascii="Times New Roman" w:hAnsi="Times New Roman" w:cs="Times New Roman"/>
          <w:sz w:val="24"/>
          <w:szCs w:val="24"/>
        </w:rPr>
        <w:t>periudhën</w:t>
      </w:r>
      <w:r w:rsidR="00BC2BEE" w:rsidRPr="00554FAF">
        <w:rPr>
          <w:rFonts w:ascii="Times New Roman" w:hAnsi="Times New Roman" w:cs="Times New Roman"/>
          <w:sz w:val="24"/>
          <w:szCs w:val="24"/>
        </w:rPr>
        <w:t xml:space="preserve"> 2020-2021.</w:t>
      </w:r>
    </w:p>
    <w:p w14:paraId="30ED9398" w14:textId="4B4355E8" w:rsidR="00BC2BEE" w:rsidRPr="00554FAF" w:rsidRDefault="00145993" w:rsidP="00FD626A">
      <w:pPr>
        <w:spacing w:after="60" w:line="240" w:lineRule="auto"/>
        <w:jc w:val="both"/>
        <w:rPr>
          <w:rFonts w:ascii="Times New Roman" w:hAnsi="Times New Roman" w:cs="Times New Roman"/>
          <w:b/>
          <w:sz w:val="24"/>
          <w:szCs w:val="24"/>
        </w:rPr>
      </w:pPr>
      <w:r w:rsidRPr="00554FAF">
        <w:rPr>
          <w:rFonts w:ascii="Times New Roman" w:hAnsi="Times New Roman" w:cs="Times New Roman"/>
          <w:b/>
          <w:sz w:val="24"/>
          <w:szCs w:val="24"/>
        </w:rPr>
        <w:t xml:space="preserve">5. </w:t>
      </w:r>
      <w:r w:rsidR="00BC2BEE" w:rsidRPr="00554FAF">
        <w:rPr>
          <w:rFonts w:ascii="Times New Roman" w:hAnsi="Times New Roman" w:cs="Times New Roman"/>
          <w:b/>
          <w:sz w:val="24"/>
          <w:szCs w:val="24"/>
        </w:rPr>
        <w:t xml:space="preserve">Ndikimet e pritshme mbi rezultatet sociale, të tilla si punësimi, reduktimi i varfërisë, barazia gjinore: </w:t>
      </w:r>
      <w:r w:rsidR="00BC2BEE" w:rsidRPr="00554FAF">
        <w:rPr>
          <w:rFonts w:ascii="Times New Roman" w:hAnsi="Times New Roman" w:cs="Times New Roman"/>
          <w:sz w:val="24"/>
          <w:szCs w:val="24"/>
        </w:rPr>
        <w:t>Përmirësimi i mjedisit biznesor do të kontribuoj në rritje ekonomike duke inkurajuar bizneset fillestare dhe formalizmin e aktiviteteve biznesore joformale. Gjithashtu, futja e mjeteve shtesë për analizimin e politikave të fokusuara në rritjen e konkurrueshmërisë, shoqërohet me integrimin e vlerësimit të ndikimit gjinor në procesin e zhvillimit të politikave. Kjo do të kontribuojë në një kornizë të politikave dhe legjislacionit që është e orientuar në politika të barazisë gjinore dhe në pajtueshmëri me agjendën e Kosovës për barazi gjinore.</w:t>
      </w:r>
    </w:p>
    <w:p w14:paraId="2543F853" w14:textId="24936A9E" w:rsidR="00BC2BEE" w:rsidRPr="00554FAF" w:rsidRDefault="00145993" w:rsidP="00FD626A">
      <w:pPr>
        <w:spacing w:after="60" w:line="240" w:lineRule="auto"/>
        <w:rPr>
          <w:rFonts w:ascii="Times New Roman" w:hAnsi="Times New Roman" w:cs="Times New Roman"/>
          <w:b/>
          <w:sz w:val="24"/>
          <w:szCs w:val="24"/>
        </w:rPr>
      </w:pPr>
      <w:r w:rsidRPr="00554FAF">
        <w:rPr>
          <w:rFonts w:ascii="Times New Roman" w:hAnsi="Times New Roman" w:cs="Times New Roman"/>
          <w:b/>
          <w:sz w:val="24"/>
          <w:szCs w:val="24"/>
        </w:rPr>
        <w:t xml:space="preserve">6. </w:t>
      </w:r>
      <w:r w:rsidR="00BC2BEE" w:rsidRPr="00554FAF">
        <w:rPr>
          <w:rFonts w:ascii="Times New Roman" w:hAnsi="Times New Roman" w:cs="Times New Roman"/>
          <w:b/>
          <w:sz w:val="24"/>
          <w:szCs w:val="24"/>
        </w:rPr>
        <w:t xml:space="preserve">Ndikimi i pritshëm në mjedis: </w:t>
      </w:r>
    </w:p>
    <w:p w14:paraId="3B9A5448" w14:textId="77777777" w:rsidR="00BC2BEE" w:rsidRPr="00554FAF" w:rsidRDefault="00BC2BEE" w:rsidP="000702CB">
      <w:pPr>
        <w:spacing w:after="60" w:line="240" w:lineRule="auto"/>
        <w:rPr>
          <w:rFonts w:ascii="Times New Roman" w:hAnsi="Times New Roman" w:cs="Times New Roman"/>
          <w:sz w:val="24"/>
          <w:szCs w:val="24"/>
        </w:rPr>
      </w:pPr>
      <w:r w:rsidRPr="00554FAF">
        <w:rPr>
          <w:rFonts w:ascii="Times New Roman" w:hAnsi="Times New Roman" w:cs="Times New Roman"/>
          <w:sz w:val="24"/>
          <w:szCs w:val="24"/>
        </w:rPr>
        <w:t>Nuk ka.</w:t>
      </w:r>
    </w:p>
    <w:p w14:paraId="2AA0169D" w14:textId="0085E841" w:rsidR="00BC2BEE" w:rsidRPr="00554FAF" w:rsidRDefault="00145993" w:rsidP="00FD626A">
      <w:pPr>
        <w:spacing w:after="60" w:line="240" w:lineRule="auto"/>
        <w:rPr>
          <w:rFonts w:ascii="Times New Roman" w:hAnsi="Times New Roman" w:cs="Times New Roman"/>
          <w:b/>
          <w:sz w:val="24"/>
          <w:szCs w:val="24"/>
        </w:rPr>
      </w:pPr>
      <w:r w:rsidRPr="00554FAF">
        <w:rPr>
          <w:rFonts w:ascii="Times New Roman" w:hAnsi="Times New Roman" w:cs="Times New Roman"/>
          <w:b/>
          <w:sz w:val="24"/>
          <w:szCs w:val="24"/>
        </w:rPr>
        <w:t xml:space="preserve">7. </w:t>
      </w:r>
      <w:r w:rsidR="00BC2BEE" w:rsidRPr="00554FAF">
        <w:rPr>
          <w:rFonts w:ascii="Times New Roman" w:hAnsi="Times New Roman" w:cs="Times New Roman"/>
          <w:b/>
          <w:sz w:val="24"/>
          <w:szCs w:val="24"/>
        </w:rPr>
        <w:t xml:space="preserve">Rreziqet potenciale </w:t>
      </w:r>
    </w:p>
    <w:tbl>
      <w:tblPr>
        <w:tblStyle w:val="TableGrid"/>
        <w:tblW w:w="9355" w:type="dxa"/>
        <w:tblLayout w:type="fixed"/>
        <w:tblLook w:val="04A0" w:firstRow="1" w:lastRow="0" w:firstColumn="1" w:lastColumn="0" w:noHBand="0" w:noVBand="1"/>
      </w:tblPr>
      <w:tblGrid>
        <w:gridCol w:w="3235"/>
        <w:gridCol w:w="2970"/>
        <w:gridCol w:w="3150"/>
      </w:tblGrid>
      <w:tr w:rsidR="00BC2BEE" w:rsidRPr="00554FAF" w14:paraId="66A2FC50" w14:textId="77777777" w:rsidTr="00145993">
        <w:tc>
          <w:tcPr>
            <w:tcW w:w="3235" w:type="dxa"/>
          </w:tcPr>
          <w:p w14:paraId="5A905150" w14:textId="77777777" w:rsidR="00BC2BEE" w:rsidRPr="00554FAF" w:rsidRDefault="00BC2BEE" w:rsidP="000702CB">
            <w:pPr>
              <w:pStyle w:val="Default"/>
              <w:spacing w:after="60"/>
              <w:jc w:val="both"/>
              <w:rPr>
                <w:lang w:val="sq-AL"/>
              </w:rPr>
            </w:pPr>
            <w:r w:rsidRPr="00554FAF">
              <w:rPr>
                <w:b/>
                <w:bCs/>
                <w:lang w:val="sq-AL"/>
              </w:rPr>
              <w:t xml:space="preserve">Rreziku </w:t>
            </w:r>
          </w:p>
          <w:p w14:paraId="6D8C4074" w14:textId="77777777" w:rsidR="00BC2BEE" w:rsidRPr="00554FAF" w:rsidRDefault="00BC2BEE" w:rsidP="000702CB">
            <w:pPr>
              <w:pStyle w:val="Default"/>
              <w:spacing w:after="60"/>
              <w:jc w:val="both"/>
              <w:rPr>
                <w:lang w:val="sq-AL"/>
              </w:rPr>
            </w:pPr>
          </w:p>
        </w:tc>
        <w:tc>
          <w:tcPr>
            <w:tcW w:w="2970" w:type="dxa"/>
          </w:tcPr>
          <w:p w14:paraId="38918C8A" w14:textId="77777777" w:rsidR="00BC2BEE" w:rsidRPr="00554FAF" w:rsidRDefault="00BC2BEE" w:rsidP="000702CB">
            <w:pPr>
              <w:pStyle w:val="Default"/>
              <w:spacing w:after="60"/>
              <w:ind w:right="-122"/>
              <w:rPr>
                <w:lang w:val="sq-AL"/>
              </w:rPr>
            </w:pPr>
            <w:r w:rsidRPr="00554FAF">
              <w:rPr>
                <w:b/>
                <w:bCs/>
                <w:lang w:val="sq-AL"/>
              </w:rPr>
              <w:t xml:space="preserve">Probabiliteti (i ulët ose i lartë) </w:t>
            </w:r>
          </w:p>
          <w:p w14:paraId="42C96146" w14:textId="77777777" w:rsidR="00BC2BEE" w:rsidRPr="00554FAF" w:rsidRDefault="00BC2BEE" w:rsidP="000702CB">
            <w:pPr>
              <w:pStyle w:val="Default"/>
              <w:spacing w:after="60"/>
              <w:jc w:val="both"/>
              <w:rPr>
                <w:lang w:val="sq-AL"/>
              </w:rPr>
            </w:pPr>
          </w:p>
        </w:tc>
        <w:tc>
          <w:tcPr>
            <w:tcW w:w="3150" w:type="dxa"/>
          </w:tcPr>
          <w:p w14:paraId="42A59DC9" w14:textId="77777777" w:rsidR="00BC2BEE" w:rsidRPr="00554FAF" w:rsidRDefault="00BC2BEE" w:rsidP="000702CB">
            <w:pPr>
              <w:pStyle w:val="Default"/>
              <w:spacing w:after="60"/>
              <w:rPr>
                <w:lang w:val="sq-AL"/>
              </w:rPr>
            </w:pPr>
            <w:r w:rsidRPr="00554FAF">
              <w:rPr>
                <w:b/>
                <w:bCs/>
                <w:lang w:val="sq-AL"/>
              </w:rPr>
              <w:t xml:space="preserve">Veprimi lehtësues i planifikuar </w:t>
            </w:r>
          </w:p>
        </w:tc>
      </w:tr>
      <w:tr w:rsidR="00BC2BEE" w:rsidRPr="00554FAF" w14:paraId="3A0B279E" w14:textId="77777777" w:rsidTr="00252FC2">
        <w:trPr>
          <w:trHeight w:val="1160"/>
        </w:trPr>
        <w:tc>
          <w:tcPr>
            <w:tcW w:w="3235" w:type="dxa"/>
          </w:tcPr>
          <w:p w14:paraId="12F9D2B4" w14:textId="21AF8FBB" w:rsidR="00BC2BEE" w:rsidRPr="00554FAF" w:rsidRDefault="00BC2BEE" w:rsidP="000702CB">
            <w:pPr>
              <w:pStyle w:val="Default"/>
              <w:spacing w:after="60"/>
              <w:rPr>
                <w:lang w:val="sq-AL"/>
              </w:rPr>
            </w:pPr>
            <w:r w:rsidRPr="00554FAF">
              <w:rPr>
                <w:lang w:val="sq-AL"/>
              </w:rPr>
              <w:t xml:space="preserve">1. Mungesa e kapaciteteve profesionale për zbatimin programit për </w:t>
            </w:r>
            <w:r w:rsidR="00482270" w:rsidRPr="00554FAF">
              <w:rPr>
                <w:lang w:val="sq-AL"/>
              </w:rPr>
              <w:t>zvogëlimin</w:t>
            </w:r>
            <w:r w:rsidRPr="00554FAF">
              <w:rPr>
                <w:lang w:val="sq-AL"/>
              </w:rPr>
              <w:t xml:space="preserve"> e barrës administrative</w:t>
            </w:r>
          </w:p>
        </w:tc>
        <w:tc>
          <w:tcPr>
            <w:tcW w:w="2970" w:type="dxa"/>
          </w:tcPr>
          <w:p w14:paraId="0A5A3C26" w14:textId="2AB7A4B6" w:rsidR="00BC2BEE" w:rsidRPr="00554FAF" w:rsidRDefault="00BC2BEE" w:rsidP="000702CB">
            <w:pPr>
              <w:pStyle w:val="Default"/>
              <w:spacing w:after="60"/>
              <w:rPr>
                <w:lang w:val="sq-AL"/>
              </w:rPr>
            </w:pPr>
            <w:r w:rsidRPr="00554FAF">
              <w:rPr>
                <w:lang w:val="sq-AL"/>
              </w:rPr>
              <w:t>I ulët</w:t>
            </w:r>
          </w:p>
        </w:tc>
        <w:tc>
          <w:tcPr>
            <w:tcW w:w="3150" w:type="dxa"/>
          </w:tcPr>
          <w:p w14:paraId="2CBBC1EB" w14:textId="77777777" w:rsidR="00BC2BEE" w:rsidRPr="00554FAF" w:rsidRDefault="00BC2BEE" w:rsidP="000702CB">
            <w:pPr>
              <w:pStyle w:val="Default"/>
              <w:spacing w:after="60"/>
              <w:rPr>
                <w:lang w:val="sq-AL"/>
              </w:rPr>
            </w:pPr>
            <w:r w:rsidRPr="00554FAF">
              <w:rPr>
                <w:lang w:val="sq-AL"/>
              </w:rPr>
              <w:t>Organizimi i trajnimeve për ngritjen e kapaciteteve profesionale përmes asistencës teknike</w:t>
            </w:r>
          </w:p>
        </w:tc>
      </w:tr>
      <w:tr w:rsidR="00BC2BEE" w:rsidRPr="00554FAF" w14:paraId="27625DEE" w14:textId="77777777" w:rsidTr="00252FC2">
        <w:trPr>
          <w:trHeight w:val="980"/>
        </w:trPr>
        <w:tc>
          <w:tcPr>
            <w:tcW w:w="3235" w:type="dxa"/>
          </w:tcPr>
          <w:p w14:paraId="58FBAAAB" w14:textId="77777777" w:rsidR="00BC2BEE" w:rsidRPr="00554FAF" w:rsidRDefault="00BC2BEE" w:rsidP="000702CB">
            <w:pPr>
              <w:pStyle w:val="Default"/>
              <w:spacing w:after="60"/>
              <w:rPr>
                <w:lang w:val="sq-AL"/>
              </w:rPr>
            </w:pPr>
            <w:r w:rsidRPr="00554FAF">
              <w:rPr>
                <w:lang w:val="sq-AL"/>
              </w:rPr>
              <w:t>2. Vonesat në miratimin e legjislacionit</w:t>
            </w:r>
          </w:p>
          <w:p w14:paraId="30C5C0D0" w14:textId="77777777" w:rsidR="00BC2BEE" w:rsidRPr="00554FAF" w:rsidRDefault="00BC2BEE" w:rsidP="000702CB">
            <w:pPr>
              <w:pStyle w:val="Default"/>
              <w:spacing w:after="60"/>
              <w:rPr>
                <w:lang w:val="sq-AL"/>
              </w:rPr>
            </w:pPr>
          </w:p>
        </w:tc>
        <w:tc>
          <w:tcPr>
            <w:tcW w:w="2970" w:type="dxa"/>
          </w:tcPr>
          <w:p w14:paraId="2D82BA50" w14:textId="77777777" w:rsidR="00BC2BEE" w:rsidRPr="00554FAF" w:rsidRDefault="00BC2BEE" w:rsidP="000702CB">
            <w:pPr>
              <w:pStyle w:val="Default"/>
              <w:spacing w:after="60"/>
              <w:rPr>
                <w:lang w:val="sq-AL"/>
              </w:rPr>
            </w:pPr>
            <w:r w:rsidRPr="00554FAF">
              <w:rPr>
                <w:lang w:val="sq-AL"/>
              </w:rPr>
              <w:t>I mesëm</w:t>
            </w:r>
          </w:p>
        </w:tc>
        <w:tc>
          <w:tcPr>
            <w:tcW w:w="3150" w:type="dxa"/>
          </w:tcPr>
          <w:p w14:paraId="0B32653C" w14:textId="77777777" w:rsidR="00BC2BEE" w:rsidRPr="00554FAF" w:rsidRDefault="00BC2BEE" w:rsidP="000702CB">
            <w:pPr>
              <w:pStyle w:val="Default"/>
              <w:spacing w:after="60"/>
              <w:rPr>
                <w:lang w:val="sq-AL"/>
              </w:rPr>
            </w:pPr>
            <w:r w:rsidRPr="00554FAF">
              <w:rPr>
                <w:lang w:val="sq-AL"/>
              </w:rPr>
              <w:t xml:space="preserve">Koordinimi i grupeve punuese ndër institucionale të themeluara për hartimin e legjislacionit </w:t>
            </w:r>
          </w:p>
        </w:tc>
      </w:tr>
    </w:tbl>
    <w:p w14:paraId="03BA309B" w14:textId="77777777" w:rsidR="00BC2BEE" w:rsidRPr="00554FAF" w:rsidRDefault="00BC2BEE" w:rsidP="000702CB">
      <w:pPr>
        <w:spacing w:after="60" w:line="240" w:lineRule="auto"/>
        <w:rPr>
          <w:rFonts w:ascii="Times New Roman" w:hAnsi="Times New Roman" w:cs="Times New Roman"/>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BC2BEE" w:rsidRPr="00554FAF" w14:paraId="6E8C82FE" w14:textId="77777777" w:rsidTr="00252FC2">
        <w:tc>
          <w:tcPr>
            <w:tcW w:w="9350" w:type="dxa"/>
            <w:shd w:val="clear" w:color="auto" w:fill="5B9BD5"/>
          </w:tcPr>
          <w:p w14:paraId="266E3FA6" w14:textId="77777777" w:rsidR="00BC2BEE" w:rsidRPr="00554FAF" w:rsidRDefault="00BC2BEE" w:rsidP="000702CB">
            <w:pPr>
              <w:spacing w:after="60" w:line="240" w:lineRule="auto"/>
              <w:rPr>
                <w:rFonts w:ascii="Times New Roman" w:hAnsi="Times New Roman" w:cs="Times New Roman"/>
                <w:b/>
                <w:bCs/>
                <w:sz w:val="24"/>
                <w:szCs w:val="24"/>
              </w:rPr>
            </w:pPr>
            <w:r w:rsidRPr="00554FAF">
              <w:rPr>
                <w:rFonts w:ascii="Times New Roman" w:hAnsi="Times New Roman" w:cs="Times New Roman"/>
                <w:b/>
                <w:bCs/>
                <w:sz w:val="24"/>
                <w:szCs w:val="24"/>
              </w:rPr>
              <w:t>Masa e reformës 8: Reforma e përgjithshme e inspektimeve</w:t>
            </w:r>
          </w:p>
        </w:tc>
      </w:tr>
    </w:tbl>
    <w:p w14:paraId="13DCE429" w14:textId="0E416CAE" w:rsidR="00BC2BEE" w:rsidRPr="00554FAF" w:rsidRDefault="00FD626A" w:rsidP="000702CB">
      <w:pPr>
        <w:pStyle w:val="Default"/>
        <w:spacing w:after="60"/>
        <w:jc w:val="both"/>
        <w:rPr>
          <w:rFonts w:eastAsia="Times New Roman"/>
          <w:lang w:val="sq-AL"/>
        </w:rPr>
      </w:pPr>
      <w:r w:rsidRPr="00554FAF">
        <w:rPr>
          <w:b/>
          <w:bCs/>
          <w:lang w:val="sq-AL"/>
        </w:rPr>
        <w:t xml:space="preserve">1. </w:t>
      </w:r>
      <w:r w:rsidR="00BC2BEE" w:rsidRPr="00554FAF">
        <w:rPr>
          <w:b/>
          <w:bCs/>
          <w:lang w:val="sq-AL"/>
        </w:rPr>
        <w:t>Përshkrimi i masës:</w:t>
      </w:r>
      <w:r w:rsidR="00BC2BEE" w:rsidRPr="00554FAF">
        <w:rPr>
          <w:bCs/>
          <w:lang w:val="sq-AL"/>
        </w:rPr>
        <w:t xml:space="preserve"> </w:t>
      </w:r>
      <w:r w:rsidR="00BC2BEE" w:rsidRPr="00554FAF">
        <w:rPr>
          <w:rFonts w:eastAsia="Times New Roman"/>
          <w:lang w:val="sq-AL"/>
        </w:rPr>
        <w:t xml:space="preserve">Masa synon reformën e inspektimeve me qëllim realizimin e dy objektivave: përmirësimin e koordinimit ndërinstitucional sa i përket inspektimeve të aktiviteteve të bizneseve dhe digjitalizimin e procesit të inspektimeve. Masa “Reforma e përgjithshme e inspektimeve” është e paraparë edhe në Strategjinë Kombëtare për Zhvillim 2016-2022, konkretisht masa 10 e kësaj strategjie parasheh përmirësimin e efikasitetit të inspektimeve. Është viti i tretë (nga PRE 2018-2020), prej kur kjo masë ekziston në PRE. Gjatë këtij viti është hartuar “Ligji mbi Inspektimet”, si bazë për fillimin e reformës në këtë fushë. Në shtator të vitit 2019, Ligji mbi Inspektimet ka përfunduar të gjitha fazat e konsultimit publik dhe si i tillë është i gatshëm të dërgohet për miratim në Qeveri. Në mungesë të Qeverisë efektive, ligji pritet të dërgohet për aprovim në vitin 2020.  </w:t>
      </w:r>
      <w:r w:rsidRPr="00F3381D">
        <w:rPr>
          <w:rFonts w:eastAsia="Times New Roman"/>
          <w:lang w:val="sq-AL"/>
        </w:rPr>
        <w:t xml:space="preserve">Ligji </w:t>
      </w:r>
      <w:r w:rsidRPr="00F3381D">
        <w:rPr>
          <w:rFonts w:eastAsia="Times New Roman"/>
          <w:bCs/>
          <w:lang w:val="sq-AL" w:eastAsia="sq-AL"/>
        </w:rPr>
        <w:t>ka për qëllim krijimin e kuadrit të nevojshëm ligjor për zbatimin e reformës së inspektimeve në Republikën e Kosovës përmes racionalizimit të numrit të organeve inspektuese në administratën shtetërore, sqarimin e kompetencave të tyre përkatëse, përmirësimin e koordinimit dhe unifikimin e procedurave si dhe kërkesave për zhvillimin e inspektimeve nga organet inspektuese në administratën shtetërore dhe nivelin komunal</w:t>
      </w:r>
      <w:r w:rsidR="00F3381D">
        <w:rPr>
          <w:rFonts w:eastAsia="Times New Roman"/>
          <w:bCs/>
          <w:lang w:val="sq-AL" w:eastAsia="sq-AL"/>
        </w:rPr>
        <w:t>.</w:t>
      </w:r>
    </w:p>
    <w:p w14:paraId="087B4B05" w14:textId="77777777" w:rsidR="00BC2BEE" w:rsidRPr="00554FAF" w:rsidRDefault="00BC2BEE" w:rsidP="00802FB3">
      <w:pPr>
        <w:pStyle w:val="ListParagraph"/>
        <w:numPr>
          <w:ilvl w:val="0"/>
          <w:numId w:val="41"/>
        </w:numPr>
        <w:spacing w:after="60" w:line="240" w:lineRule="auto"/>
        <w:contextualSpacing w:val="0"/>
        <w:jc w:val="both"/>
        <w:rPr>
          <w:rFonts w:ascii="Times New Roman" w:hAnsi="Times New Roman" w:cs="Times New Roman"/>
          <w:b/>
          <w:bCs/>
          <w:sz w:val="24"/>
          <w:szCs w:val="24"/>
        </w:rPr>
      </w:pPr>
      <w:r w:rsidRPr="00554FAF">
        <w:rPr>
          <w:rFonts w:ascii="Times New Roman" w:hAnsi="Times New Roman" w:cs="Times New Roman"/>
          <w:b/>
          <w:bCs/>
          <w:sz w:val="24"/>
          <w:szCs w:val="24"/>
        </w:rPr>
        <w:t>Aktivitetet e planifikuara për 2020:</w:t>
      </w:r>
    </w:p>
    <w:p w14:paraId="7CF9B61C" w14:textId="3B19A43B" w:rsidR="00BC2BEE" w:rsidRPr="00554FAF" w:rsidRDefault="00BC2BEE" w:rsidP="00802FB3">
      <w:pPr>
        <w:pStyle w:val="Default"/>
        <w:numPr>
          <w:ilvl w:val="0"/>
          <w:numId w:val="59"/>
        </w:numPr>
        <w:spacing w:after="60"/>
        <w:jc w:val="both"/>
        <w:rPr>
          <w:rFonts w:eastAsia="Times New Roman"/>
          <w:bCs/>
          <w:lang w:val="sq-AL" w:eastAsia="sq-AL"/>
        </w:rPr>
      </w:pPr>
      <w:r w:rsidRPr="00554FAF">
        <w:rPr>
          <w:rFonts w:eastAsia="Times New Roman"/>
          <w:bCs/>
          <w:lang w:val="sq-AL" w:eastAsia="sq-AL"/>
        </w:rPr>
        <w:t>Miratimi i ligjit për inspektimet; (MTI)</w:t>
      </w:r>
    </w:p>
    <w:p w14:paraId="12CC5253" w14:textId="0073E6FD" w:rsidR="00BC2BEE" w:rsidRPr="00554FAF" w:rsidRDefault="00BC2BEE" w:rsidP="00802FB3">
      <w:pPr>
        <w:pStyle w:val="Default"/>
        <w:numPr>
          <w:ilvl w:val="0"/>
          <w:numId w:val="59"/>
        </w:numPr>
        <w:spacing w:after="60"/>
        <w:jc w:val="both"/>
        <w:rPr>
          <w:rFonts w:eastAsia="Times New Roman"/>
          <w:bCs/>
          <w:lang w:val="sq-AL" w:eastAsia="sq-AL"/>
        </w:rPr>
      </w:pPr>
      <w:r w:rsidRPr="00554FAF">
        <w:rPr>
          <w:rFonts w:eastAsia="Times New Roman"/>
          <w:bCs/>
          <w:lang w:val="sq-AL" w:eastAsia="sq-AL"/>
        </w:rPr>
        <w:t>Fillimi i procesit të racionalizimit të trupave inspektuese</w:t>
      </w:r>
      <w:r w:rsidR="005D7287" w:rsidRPr="00554FAF">
        <w:rPr>
          <w:rFonts w:eastAsia="Times New Roman"/>
          <w:bCs/>
          <w:lang w:val="sq-AL" w:eastAsia="sq-AL"/>
        </w:rPr>
        <w:t>;</w:t>
      </w:r>
      <w:r w:rsidRPr="00554FAF">
        <w:rPr>
          <w:rFonts w:eastAsia="Times New Roman"/>
          <w:bCs/>
          <w:lang w:val="sq-AL" w:eastAsia="sq-AL"/>
        </w:rPr>
        <w:t xml:space="preserve"> </w:t>
      </w:r>
    </w:p>
    <w:p w14:paraId="437F0142" w14:textId="2C7CF843" w:rsidR="00BC2BEE" w:rsidRPr="00554FAF" w:rsidRDefault="00BC2BEE" w:rsidP="00802FB3">
      <w:pPr>
        <w:pStyle w:val="Default"/>
        <w:numPr>
          <w:ilvl w:val="0"/>
          <w:numId w:val="59"/>
        </w:numPr>
        <w:spacing w:after="60"/>
        <w:jc w:val="both"/>
        <w:rPr>
          <w:rFonts w:eastAsia="Times New Roman"/>
          <w:bCs/>
          <w:lang w:val="sq-AL" w:eastAsia="sq-AL"/>
        </w:rPr>
      </w:pPr>
      <w:r w:rsidRPr="00554FAF">
        <w:rPr>
          <w:rFonts w:eastAsia="Times New Roman"/>
          <w:bCs/>
          <w:lang w:val="sq-AL" w:eastAsia="sq-AL"/>
        </w:rPr>
        <w:t>Ndryshimi ose plotësimi i legjislacionit sektorial për të zbatuar reformën e inspektimeve</w:t>
      </w:r>
      <w:r w:rsidR="005D7287" w:rsidRPr="00554FAF">
        <w:rPr>
          <w:rFonts w:eastAsia="Times New Roman"/>
          <w:bCs/>
          <w:lang w:val="sq-AL" w:eastAsia="sq-AL"/>
        </w:rPr>
        <w:t>;</w:t>
      </w:r>
      <w:r w:rsidRPr="00554FAF">
        <w:rPr>
          <w:rFonts w:eastAsia="Times New Roman"/>
          <w:bCs/>
          <w:lang w:val="sq-AL" w:eastAsia="sq-AL"/>
        </w:rPr>
        <w:t xml:space="preserve"> (MTI, ZKM)</w:t>
      </w:r>
    </w:p>
    <w:p w14:paraId="7A602946" w14:textId="514CE5A0" w:rsidR="00BC2BEE" w:rsidRPr="00554FAF" w:rsidRDefault="00BC2BEE" w:rsidP="00802FB3">
      <w:pPr>
        <w:pStyle w:val="Default"/>
        <w:numPr>
          <w:ilvl w:val="0"/>
          <w:numId w:val="59"/>
        </w:numPr>
        <w:spacing w:after="60"/>
        <w:jc w:val="both"/>
        <w:rPr>
          <w:lang w:val="sq-AL"/>
        </w:rPr>
      </w:pPr>
      <w:r w:rsidRPr="00554FAF">
        <w:rPr>
          <w:rFonts w:eastAsia="Times New Roman"/>
          <w:bCs/>
          <w:lang w:val="sq-AL" w:eastAsia="sq-AL"/>
        </w:rPr>
        <w:t>Themelimi i zyrës qendrore të inspektimeve që koordinon inspektimet dhe përshtatja e strukturës relevante organizative</w:t>
      </w:r>
      <w:r w:rsidR="005D7287" w:rsidRPr="00554FAF">
        <w:rPr>
          <w:rFonts w:eastAsia="Times New Roman"/>
          <w:bCs/>
          <w:lang w:val="sq-AL" w:eastAsia="sq-AL"/>
        </w:rPr>
        <w:t>;</w:t>
      </w:r>
      <w:r w:rsidRPr="00554FAF">
        <w:rPr>
          <w:rFonts w:eastAsia="Times New Roman"/>
          <w:bCs/>
          <w:lang w:val="sq-AL" w:eastAsia="sq-AL"/>
        </w:rPr>
        <w:t xml:space="preserve"> (ZKM)</w:t>
      </w:r>
    </w:p>
    <w:p w14:paraId="191ABCF2" w14:textId="77777777" w:rsidR="00BC2BEE" w:rsidRPr="00554FAF" w:rsidRDefault="00BC2BEE" w:rsidP="00802FB3">
      <w:pPr>
        <w:pStyle w:val="ListParagraph"/>
        <w:numPr>
          <w:ilvl w:val="0"/>
          <w:numId w:val="41"/>
        </w:numPr>
        <w:spacing w:after="60" w:line="240" w:lineRule="auto"/>
        <w:contextualSpacing w:val="0"/>
        <w:rPr>
          <w:rFonts w:ascii="Times New Roman" w:hAnsi="Times New Roman" w:cs="Times New Roman"/>
          <w:b/>
          <w:bCs/>
          <w:sz w:val="24"/>
          <w:szCs w:val="24"/>
        </w:rPr>
      </w:pPr>
      <w:r w:rsidRPr="00554FAF">
        <w:rPr>
          <w:rFonts w:ascii="Times New Roman" w:hAnsi="Times New Roman" w:cs="Times New Roman"/>
          <w:b/>
          <w:bCs/>
          <w:sz w:val="24"/>
          <w:szCs w:val="24"/>
        </w:rPr>
        <w:t>Aktivitetet e planifikuara për 2021:</w:t>
      </w:r>
    </w:p>
    <w:p w14:paraId="31CF60B0" w14:textId="77777777" w:rsidR="00BC2BEE" w:rsidRPr="00554FAF" w:rsidRDefault="00BC2BEE" w:rsidP="00802FB3">
      <w:pPr>
        <w:pStyle w:val="Default"/>
        <w:numPr>
          <w:ilvl w:val="0"/>
          <w:numId w:val="60"/>
        </w:numPr>
        <w:spacing w:after="60"/>
        <w:jc w:val="both"/>
        <w:rPr>
          <w:rFonts w:eastAsia="Times New Roman"/>
          <w:bCs/>
          <w:lang w:val="sq-AL" w:eastAsia="sq-AL"/>
        </w:rPr>
      </w:pPr>
      <w:r w:rsidRPr="00554FAF">
        <w:rPr>
          <w:rFonts w:eastAsia="Times New Roman"/>
          <w:bCs/>
          <w:lang w:val="sq-AL" w:eastAsia="sq-AL"/>
        </w:rPr>
        <w:t xml:space="preserve">Ndryshimi ose plotësimi i legjislacionit sektorial për të zbatuar reformën e inspektimeve (ZKM); </w:t>
      </w:r>
    </w:p>
    <w:p w14:paraId="7BBD126E" w14:textId="21E3E557" w:rsidR="00BC2BEE" w:rsidRPr="00554FAF" w:rsidRDefault="00BC2BEE" w:rsidP="00802FB3">
      <w:pPr>
        <w:pStyle w:val="Default"/>
        <w:numPr>
          <w:ilvl w:val="0"/>
          <w:numId w:val="60"/>
        </w:numPr>
        <w:spacing w:after="60"/>
        <w:jc w:val="both"/>
        <w:rPr>
          <w:rFonts w:eastAsia="Times New Roman"/>
          <w:lang w:val="sq-AL" w:eastAsia="sq-AL"/>
        </w:rPr>
      </w:pPr>
      <w:r w:rsidRPr="00554FAF">
        <w:rPr>
          <w:rFonts w:eastAsia="Times New Roman"/>
          <w:lang w:val="sq-AL" w:eastAsia="sq-AL"/>
        </w:rPr>
        <w:t>Ngritja e kapaciteteve njerëzore, që nënkupton trajnimin e inspektorëve dhe zyrtarëve tjerë relevant duke i përgatitë për zbatimin e plot</w:t>
      </w:r>
      <w:r w:rsidR="005D7287" w:rsidRPr="00554FAF">
        <w:rPr>
          <w:rFonts w:eastAsia="Times New Roman"/>
          <w:lang w:val="sq-AL" w:eastAsia="sq-AL"/>
        </w:rPr>
        <w:t>ë</w:t>
      </w:r>
      <w:r w:rsidRPr="00554FAF">
        <w:rPr>
          <w:rFonts w:eastAsia="Times New Roman"/>
          <w:lang w:val="sq-AL" w:eastAsia="sq-AL"/>
        </w:rPr>
        <w:t xml:space="preserve"> të konceptit të ri të inspektimeve (Zyra Qendrore e Inspektimeve);</w:t>
      </w:r>
    </w:p>
    <w:p w14:paraId="1F7905A4" w14:textId="455D8317" w:rsidR="00BC2BEE" w:rsidRPr="00554FAF" w:rsidRDefault="00BC2BEE" w:rsidP="00802FB3">
      <w:pPr>
        <w:pStyle w:val="Default"/>
        <w:numPr>
          <w:ilvl w:val="0"/>
          <w:numId w:val="60"/>
        </w:numPr>
        <w:spacing w:after="60"/>
        <w:jc w:val="both"/>
        <w:rPr>
          <w:rFonts w:eastAsia="Times New Roman"/>
          <w:lang w:val="sq-AL" w:eastAsia="sq-AL"/>
        </w:rPr>
      </w:pPr>
      <w:r w:rsidRPr="00554FAF">
        <w:rPr>
          <w:rFonts w:eastAsia="Times New Roman"/>
          <w:lang w:val="sq-AL" w:eastAsia="sq-AL"/>
        </w:rPr>
        <w:t xml:space="preserve">Vazhdimi i racionalizimit të </w:t>
      </w:r>
      <w:r w:rsidR="00482270" w:rsidRPr="00554FAF">
        <w:rPr>
          <w:rFonts w:eastAsia="Times New Roman"/>
          <w:lang w:val="sq-AL" w:eastAsia="sq-AL"/>
        </w:rPr>
        <w:t>trupave</w:t>
      </w:r>
      <w:r w:rsidRPr="00554FAF">
        <w:rPr>
          <w:rFonts w:eastAsia="Times New Roman"/>
          <w:lang w:val="sq-AL" w:eastAsia="sq-AL"/>
        </w:rPr>
        <w:t xml:space="preserve"> inspektuese</w:t>
      </w:r>
      <w:r w:rsidR="005D7287" w:rsidRPr="00554FAF">
        <w:rPr>
          <w:rFonts w:eastAsia="Times New Roman"/>
          <w:lang w:val="sq-AL" w:eastAsia="sq-AL"/>
        </w:rPr>
        <w:t>;</w:t>
      </w:r>
    </w:p>
    <w:p w14:paraId="00DA2BD7" w14:textId="0E120950" w:rsidR="00BC2BEE" w:rsidRPr="00554FAF" w:rsidRDefault="00BC2BEE" w:rsidP="00802FB3">
      <w:pPr>
        <w:pStyle w:val="Default"/>
        <w:numPr>
          <w:ilvl w:val="0"/>
          <w:numId w:val="60"/>
        </w:numPr>
        <w:spacing w:after="60"/>
        <w:jc w:val="both"/>
        <w:rPr>
          <w:lang w:val="sq-AL"/>
        </w:rPr>
      </w:pPr>
      <w:r w:rsidRPr="00554FAF">
        <w:rPr>
          <w:rFonts w:eastAsia="Times New Roman"/>
          <w:lang w:val="sq-AL" w:eastAsia="sq-AL"/>
        </w:rPr>
        <w:t>Zhvillimi dhe implementimi i platformës elektronike ‘E-Inspektori’ dhe pajisja e inspektorëve të organeve inspektuese me pajisje të specializuara elektronike që mundëson ndërlidhjen e inspektorëve dhe shkëmbimin e informatave/raporteve në kohë reale. Zhvillimi i platformës mbështetet nga projekti i bankës botërore dhe mbikëqyret nga Zyra Qendrore e Inspektimeve dhe Ministria e Tregtisë dhe Industrisë (Zyra Qendrore e Inspektimeve)</w:t>
      </w:r>
      <w:r w:rsidR="005D7287" w:rsidRPr="00554FAF">
        <w:rPr>
          <w:rFonts w:eastAsia="Times New Roman"/>
          <w:lang w:val="sq-AL" w:eastAsia="sq-AL"/>
        </w:rPr>
        <w:t>.</w:t>
      </w:r>
    </w:p>
    <w:p w14:paraId="75E2F900" w14:textId="77777777" w:rsidR="00BC2BEE" w:rsidRPr="00554FAF" w:rsidRDefault="00BC2BEE" w:rsidP="00802FB3">
      <w:pPr>
        <w:pStyle w:val="ListParagraph"/>
        <w:numPr>
          <w:ilvl w:val="0"/>
          <w:numId w:val="41"/>
        </w:numPr>
        <w:spacing w:after="60" w:line="240" w:lineRule="auto"/>
        <w:contextualSpacing w:val="0"/>
        <w:rPr>
          <w:rFonts w:ascii="Times New Roman" w:hAnsi="Times New Roman" w:cs="Times New Roman"/>
          <w:b/>
          <w:bCs/>
          <w:sz w:val="24"/>
          <w:szCs w:val="24"/>
        </w:rPr>
      </w:pPr>
      <w:r w:rsidRPr="00554FAF">
        <w:rPr>
          <w:rFonts w:ascii="Times New Roman" w:hAnsi="Times New Roman" w:cs="Times New Roman"/>
          <w:b/>
          <w:bCs/>
          <w:sz w:val="24"/>
          <w:szCs w:val="24"/>
        </w:rPr>
        <w:t>Aktivitetet e planifikuara për 2022:</w:t>
      </w:r>
    </w:p>
    <w:p w14:paraId="426579D5" w14:textId="77F8E6C0" w:rsidR="00BC2BEE" w:rsidRPr="00554FAF" w:rsidRDefault="00BC2BEE" w:rsidP="00802FB3">
      <w:pPr>
        <w:pStyle w:val="BodyText"/>
        <w:numPr>
          <w:ilvl w:val="0"/>
          <w:numId w:val="61"/>
        </w:numPr>
        <w:spacing w:after="60"/>
        <w:jc w:val="both"/>
        <w:rPr>
          <w:color w:val="000000"/>
          <w:sz w:val="24"/>
          <w:szCs w:val="24"/>
        </w:rPr>
      </w:pPr>
      <w:r w:rsidRPr="00554FAF">
        <w:rPr>
          <w:color w:val="000000"/>
          <w:sz w:val="24"/>
          <w:szCs w:val="24"/>
        </w:rPr>
        <w:t>Ngritje e kapaciteteve njerëzore, që nënkupton trajnimin e inspektorëve dhe zyrtarëve tjerë relevant duke i përgatitë për zbatimin e plot të konceptit të ri të inspektimeve</w:t>
      </w:r>
      <w:r w:rsidR="005D7287" w:rsidRPr="00554FAF">
        <w:rPr>
          <w:color w:val="000000"/>
          <w:sz w:val="24"/>
          <w:szCs w:val="24"/>
        </w:rPr>
        <w:t>;</w:t>
      </w:r>
      <w:r w:rsidRPr="00554FAF">
        <w:rPr>
          <w:color w:val="000000"/>
          <w:sz w:val="24"/>
          <w:szCs w:val="24"/>
        </w:rPr>
        <w:t xml:space="preserve"> (</w:t>
      </w:r>
      <w:r w:rsidR="005D7287" w:rsidRPr="00554FAF">
        <w:rPr>
          <w:color w:val="000000"/>
          <w:sz w:val="24"/>
          <w:szCs w:val="24"/>
        </w:rPr>
        <w:t>ZQI</w:t>
      </w:r>
      <w:r w:rsidRPr="00554FAF">
        <w:rPr>
          <w:color w:val="000000"/>
          <w:sz w:val="24"/>
          <w:szCs w:val="24"/>
        </w:rPr>
        <w:t>)</w:t>
      </w:r>
    </w:p>
    <w:p w14:paraId="49FFAA68" w14:textId="5DBFB3F1" w:rsidR="00BC2BEE" w:rsidRPr="00554FAF" w:rsidRDefault="00BC2BEE" w:rsidP="00802FB3">
      <w:pPr>
        <w:pStyle w:val="BodyText"/>
        <w:numPr>
          <w:ilvl w:val="0"/>
          <w:numId w:val="61"/>
        </w:numPr>
        <w:spacing w:after="60"/>
        <w:rPr>
          <w:color w:val="000000"/>
          <w:sz w:val="24"/>
          <w:szCs w:val="24"/>
        </w:rPr>
      </w:pPr>
      <w:r w:rsidRPr="00554FAF">
        <w:rPr>
          <w:color w:val="000000"/>
          <w:sz w:val="24"/>
          <w:szCs w:val="24"/>
        </w:rPr>
        <w:t>Vazhdimi i racionalizimit të trupave inspektuese</w:t>
      </w:r>
      <w:r w:rsidR="005D7287" w:rsidRPr="00554FAF">
        <w:rPr>
          <w:color w:val="000000"/>
          <w:sz w:val="24"/>
          <w:szCs w:val="24"/>
        </w:rPr>
        <w:t>;</w:t>
      </w:r>
    </w:p>
    <w:p w14:paraId="7039434D" w14:textId="22B95946" w:rsidR="00BC2BEE" w:rsidRDefault="00BC2BEE" w:rsidP="00802FB3">
      <w:pPr>
        <w:pStyle w:val="BodyText"/>
        <w:numPr>
          <w:ilvl w:val="0"/>
          <w:numId w:val="61"/>
        </w:numPr>
        <w:spacing w:after="60"/>
        <w:jc w:val="both"/>
        <w:rPr>
          <w:color w:val="000000"/>
          <w:sz w:val="24"/>
          <w:szCs w:val="24"/>
        </w:rPr>
      </w:pPr>
      <w:r w:rsidRPr="00554FAF">
        <w:rPr>
          <w:color w:val="000000"/>
          <w:sz w:val="24"/>
          <w:szCs w:val="24"/>
        </w:rPr>
        <w:t>Zhvillimi dhe implementimi i platformës elektronike ‘E-Inspektori’ dhe pajisja e   inspektorëve të organeve inspektuese me pajisje të specializuara elektronike që mundëson ndërlidhjen e inspektorëve dhe shkëmbimin e informatave/raporteve në kohë reale</w:t>
      </w:r>
      <w:r w:rsidR="005D7287" w:rsidRPr="00554FAF">
        <w:rPr>
          <w:color w:val="000000"/>
          <w:sz w:val="24"/>
          <w:szCs w:val="24"/>
        </w:rPr>
        <w:t>;</w:t>
      </w:r>
      <w:r w:rsidRPr="00554FAF">
        <w:rPr>
          <w:color w:val="000000"/>
          <w:sz w:val="24"/>
          <w:szCs w:val="24"/>
        </w:rPr>
        <w:t xml:space="preserve"> (</w:t>
      </w:r>
      <w:r w:rsidR="005D7287" w:rsidRPr="00554FAF">
        <w:rPr>
          <w:color w:val="000000"/>
          <w:sz w:val="24"/>
          <w:szCs w:val="24"/>
        </w:rPr>
        <w:t>ZQI</w:t>
      </w:r>
      <w:r w:rsidRPr="00554FAF">
        <w:rPr>
          <w:color w:val="000000"/>
          <w:sz w:val="24"/>
          <w:szCs w:val="24"/>
        </w:rPr>
        <w:t xml:space="preserve">).  </w:t>
      </w:r>
    </w:p>
    <w:p w14:paraId="75E9840F" w14:textId="77777777" w:rsidR="00BC2BEE" w:rsidRPr="00554FAF" w:rsidRDefault="00BC2BEE" w:rsidP="000702CB">
      <w:pPr>
        <w:spacing w:after="60" w:line="240" w:lineRule="auto"/>
        <w:rPr>
          <w:rFonts w:ascii="Times New Roman" w:hAnsi="Times New Roman" w:cs="Times New Roman"/>
          <w:b/>
          <w:bCs/>
          <w:sz w:val="24"/>
          <w:szCs w:val="24"/>
        </w:rPr>
      </w:pPr>
      <w:r w:rsidRPr="00554FAF">
        <w:rPr>
          <w:rFonts w:ascii="Times New Roman" w:hAnsi="Times New Roman" w:cs="Times New Roman"/>
          <w:b/>
          <w:sz w:val="24"/>
          <w:szCs w:val="24"/>
        </w:rPr>
        <w:t>2. Treguesit e rezultateve</w:t>
      </w:r>
      <w:r w:rsidRPr="00554FAF">
        <w:rPr>
          <w:rFonts w:ascii="Times New Roman" w:hAnsi="Times New Roman" w:cs="Times New Roman"/>
          <w:b/>
          <w:bCs/>
          <w:sz w:val="24"/>
          <w:szCs w:val="24"/>
        </w:rPr>
        <w:t xml:space="preserve">: </w:t>
      </w:r>
    </w:p>
    <w:tbl>
      <w:tblPr>
        <w:tblpPr w:leftFromText="180" w:rightFromText="180" w:vertAnchor="text" w:horzAnchor="margin" w:tblpY="168"/>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1507"/>
        <w:gridCol w:w="1980"/>
        <w:gridCol w:w="1350"/>
      </w:tblGrid>
      <w:tr w:rsidR="00BC2BEE" w:rsidRPr="00554FAF" w14:paraId="6523572B" w14:textId="77777777" w:rsidTr="004A424A">
        <w:trPr>
          <w:trHeight w:val="528"/>
        </w:trPr>
        <w:tc>
          <w:tcPr>
            <w:tcW w:w="4248" w:type="dxa"/>
            <w:shd w:val="clear" w:color="auto" w:fill="auto"/>
          </w:tcPr>
          <w:p w14:paraId="1A7C1B4D" w14:textId="77777777" w:rsidR="00BC2BEE" w:rsidRPr="00554FAF" w:rsidRDefault="00BC2BEE" w:rsidP="00C91BB6">
            <w:pPr>
              <w:pStyle w:val="Default"/>
              <w:jc w:val="center"/>
              <w:rPr>
                <w:color w:val="auto"/>
                <w:lang w:val="sq-AL"/>
              </w:rPr>
            </w:pPr>
            <w:r w:rsidRPr="00554FAF">
              <w:rPr>
                <w:color w:val="auto"/>
                <w:lang w:val="sq-AL"/>
              </w:rPr>
              <w:t>Treguesi</w:t>
            </w:r>
          </w:p>
        </w:tc>
        <w:tc>
          <w:tcPr>
            <w:tcW w:w="1507" w:type="dxa"/>
            <w:shd w:val="clear" w:color="auto" w:fill="auto"/>
          </w:tcPr>
          <w:p w14:paraId="26302986" w14:textId="77777777" w:rsidR="00BC2BEE" w:rsidRPr="00554FAF" w:rsidRDefault="00BC2BEE" w:rsidP="00C91BB6">
            <w:pPr>
              <w:pStyle w:val="Default"/>
              <w:jc w:val="center"/>
              <w:rPr>
                <w:color w:val="auto"/>
                <w:lang w:val="sq-AL"/>
              </w:rPr>
            </w:pPr>
            <w:r w:rsidRPr="00554FAF">
              <w:rPr>
                <w:color w:val="auto"/>
                <w:lang w:val="sq-AL"/>
              </w:rPr>
              <w:t>Baza 2018</w:t>
            </w:r>
          </w:p>
          <w:p w14:paraId="20B5B746" w14:textId="77777777" w:rsidR="00BC2BEE" w:rsidRPr="00554FAF" w:rsidRDefault="00BC2BEE" w:rsidP="00C91BB6">
            <w:pPr>
              <w:pStyle w:val="Default"/>
              <w:jc w:val="center"/>
              <w:rPr>
                <w:color w:val="auto"/>
                <w:lang w:val="sq-AL"/>
              </w:rPr>
            </w:pPr>
          </w:p>
        </w:tc>
        <w:tc>
          <w:tcPr>
            <w:tcW w:w="1980" w:type="dxa"/>
            <w:shd w:val="clear" w:color="auto" w:fill="auto"/>
          </w:tcPr>
          <w:p w14:paraId="7644B7BE" w14:textId="3BA2A048" w:rsidR="00BC2BEE" w:rsidRPr="00554FAF" w:rsidRDefault="005D7287" w:rsidP="00C91BB6">
            <w:pPr>
              <w:pStyle w:val="Default"/>
              <w:jc w:val="center"/>
              <w:rPr>
                <w:color w:val="auto"/>
                <w:lang w:val="sq-AL"/>
              </w:rPr>
            </w:pPr>
            <w:r w:rsidRPr="00554FAF">
              <w:rPr>
                <w:color w:val="auto"/>
                <w:lang w:val="sq-AL"/>
              </w:rPr>
              <w:t xml:space="preserve">Synimi </w:t>
            </w:r>
            <w:r w:rsidR="00BC2BEE" w:rsidRPr="00554FAF">
              <w:rPr>
                <w:color w:val="auto"/>
                <w:lang w:val="sq-AL"/>
              </w:rPr>
              <w:t>i ndërmjetëm   2021</w:t>
            </w:r>
          </w:p>
        </w:tc>
        <w:tc>
          <w:tcPr>
            <w:tcW w:w="1350" w:type="dxa"/>
            <w:shd w:val="clear" w:color="auto" w:fill="auto"/>
          </w:tcPr>
          <w:p w14:paraId="4549E085" w14:textId="77777777" w:rsidR="00BC2BEE" w:rsidRPr="00554FAF" w:rsidRDefault="00BC2BEE" w:rsidP="00C91BB6">
            <w:pPr>
              <w:pStyle w:val="Default"/>
              <w:jc w:val="center"/>
              <w:rPr>
                <w:color w:val="auto"/>
                <w:lang w:val="sq-AL"/>
              </w:rPr>
            </w:pPr>
            <w:r w:rsidRPr="00554FAF">
              <w:rPr>
                <w:color w:val="auto"/>
                <w:lang w:val="sq-AL"/>
              </w:rPr>
              <w:t>Synimi 2022</w:t>
            </w:r>
          </w:p>
          <w:p w14:paraId="3E3728C1" w14:textId="77777777" w:rsidR="00BC2BEE" w:rsidRPr="00554FAF" w:rsidRDefault="00BC2BEE" w:rsidP="00C91BB6">
            <w:pPr>
              <w:pStyle w:val="Default"/>
              <w:jc w:val="center"/>
              <w:rPr>
                <w:color w:val="auto"/>
                <w:lang w:val="sq-AL"/>
              </w:rPr>
            </w:pPr>
          </w:p>
        </w:tc>
      </w:tr>
      <w:tr w:rsidR="00BC2BEE" w:rsidRPr="00554FAF" w14:paraId="25447564" w14:textId="77777777" w:rsidTr="00F3381D">
        <w:trPr>
          <w:trHeight w:val="319"/>
        </w:trPr>
        <w:tc>
          <w:tcPr>
            <w:tcW w:w="4248" w:type="dxa"/>
          </w:tcPr>
          <w:p w14:paraId="17D3EB68" w14:textId="77777777" w:rsidR="00BC2BEE" w:rsidRPr="00554FAF" w:rsidRDefault="00BC2BEE" w:rsidP="00730ACA">
            <w:pPr>
              <w:pStyle w:val="Default"/>
              <w:numPr>
                <w:ilvl w:val="0"/>
                <w:numId w:val="7"/>
              </w:numPr>
              <w:ind w:left="360"/>
              <w:jc w:val="both"/>
              <w:rPr>
                <w:iCs/>
                <w:lang w:val="sq-AL"/>
              </w:rPr>
            </w:pPr>
            <w:r w:rsidRPr="00554FAF">
              <w:rPr>
                <w:iCs/>
                <w:lang w:val="sq-AL"/>
              </w:rPr>
              <w:t>Numri i trupave inspektuese</w:t>
            </w:r>
          </w:p>
        </w:tc>
        <w:tc>
          <w:tcPr>
            <w:tcW w:w="1507" w:type="dxa"/>
          </w:tcPr>
          <w:p w14:paraId="37FAC601" w14:textId="77777777" w:rsidR="00BC2BEE" w:rsidRPr="00554FAF" w:rsidRDefault="00BC2BEE" w:rsidP="00C91BB6">
            <w:pPr>
              <w:pStyle w:val="Default"/>
              <w:jc w:val="center"/>
              <w:rPr>
                <w:iCs/>
                <w:lang w:val="sq-AL"/>
              </w:rPr>
            </w:pPr>
            <w:r w:rsidRPr="00554FAF">
              <w:rPr>
                <w:iCs/>
                <w:lang w:val="sq-AL"/>
              </w:rPr>
              <w:t>36</w:t>
            </w:r>
          </w:p>
        </w:tc>
        <w:tc>
          <w:tcPr>
            <w:tcW w:w="1980" w:type="dxa"/>
          </w:tcPr>
          <w:p w14:paraId="2A8AEA4F" w14:textId="77777777" w:rsidR="00BC2BEE" w:rsidRPr="00554FAF" w:rsidRDefault="00BC2BEE" w:rsidP="00C91BB6">
            <w:pPr>
              <w:pStyle w:val="Default"/>
              <w:jc w:val="center"/>
              <w:rPr>
                <w:iCs/>
                <w:lang w:val="sq-AL"/>
              </w:rPr>
            </w:pPr>
            <w:r w:rsidRPr="00554FAF">
              <w:rPr>
                <w:iCs/>
                <w:lang w:val="sq-AL"/>
              </w:rPr>
              <w:t>16</w:t>
            </w:r>
          </w:p>
        </w:tc>
        <w:tc>
          <w:tcPr>
            <w:tcW w:w="1350" w:type="dxa"/>
          </w:tcPr>
          <w:p w14:paraId="2E4B994A" w14:textId="77777777" w:rsidR="00BC2BEE" w:rsidRPr="00554FAF" w:rsidRDefault="00BC2BEE" w:rsidP="00C91BB6">
            <w:pPr>
              <w:pStyle w:val="Default"/>
              <w:jc w:val="center"/>
              <w:rPr>
                <w:iCs/>
                <w:lang w:val="sq-AL"/>
              </w:rPr>
            </w:pPr>
            <w:r w:rsidRPr="00554FAF">
              <w:rPr>
                <w:iCs/>
                <w:lang w:val="sq-AL"/>
              </w:rPr>
              <w:t>n/a</w:t>
            </w:r>
          </w:p>
        </w:tc>
      </w:tr>
      <w:tr w:rsidR="00BC2BEE" w:rsidRPr="00554FAF" w14:paraId="65A8A3AB" w14:textId="77777777" w:rsidTr="00F3381D">
        <w:trPr>
          <w:trHeight w:val="256"/>
        </w:trPr>
        <w:tc>
          <w:tcPr>
            <w:tcW w:w="4248" w:type="dxa"/>
          </w:tcPr>
          <w:p w14:paraId="4E583812" w14:textId="656206E1" w:rsidR="00BC2BEE" w:rsidRPr="00554FAF" w:rsidRDefault="00BC2BEE" w:rsidP="00730ACA">
            <w:pPr>
              <w:pStyle w:val="Default"/>
              <w:numPr>
                <w:ilvl w:val="0"/>
                <w:numId w:val="7"/>
              </w:numPr>
              <w:ind w:left="360"/>
              <w:jc w:val="both"/>
              <w:rPr>
                <w:iCs/>
                <w:lang w:val="sq-AL"/>
              </w:rPr>
            </w:pPr>
            <w:r w:rsidRPr="00554FAF">
              <w:rPr>
                <w:iCs/>
                <w:lang w:val="sq-AL"/>
              </w:rPr>
              <w:t>Numri mesatar i vizitave n</w:t>
            </w:r>
            <w:r w:rsidR="005D7287" w:rsidRPr="00554FAF">
              <w:rPr>
                <w:iCs/>
                <w:lang w:val="sq-AL"/>
              </w:rPr>
              <w:t>ë</w:t>
            </w:r>
            <w:r w:rsidRPr="00554FAF">
              <w:rPr>
                <w:iCs/>
                <w:lang w:val="sq-AL"/>
              </w:rPr>
              <w:t xml:space="preserve"> biznese</w:t>
            </w:r>
          </w:p>
        </w:tc>
        <w:tc>
          <w:tcPr>
            <w:tcW w:w="1507" w:type="dxa"/>
          </w:tcPr>
          <w:p w14:paraId="296BF3F7" w14:textId="77777777" w:rsidR="00BC2BEE" w:rsidRPr="00554FAF" w:rsidRDefault="00BC2BEE" w:rsidP="00C91BB6">
            <w:pPr>
              <w:pStyle w:val="Default"/>
              <w:jc w:val="center"/>
              <w:rPr>
                <w:iCs/>
                <w:lang w:val="sq-AL"/>
              </w:rPr>
            </w:pPr>
          </w:p>
        </w:tc>
        <w:tc>
          <w:tcPr>
            <w:tcW w:w="1980" w:type="dxa"/>
          </w:tcPr>
          <w:p w14:paraId="2D7B1403" w14:textId="77777777" w:rsidR="00BC2BEE" w:rsidRPr="00554FAF" w:rsidRDefault="00BC2BEE" w:rsidP="00C91BB6">
            <w:pPr>
              <w:pStyle w:val="Default"/>
              <w:jc w:val="center"/>
              <w:rPr>
                <w:iCs/>
                <w:lang w:val="sq-AL"/>
              </w:rPr>
            </w:pPr>
          </w:p>
        </w:tc>
        <w:tc>
          <w:tcPr>
            <w:tcW w:w="1350" w:type="dxa"/>
          </w:tcPr>
          <w:p w14:paraId="65BB834A" w14:textId="77777777" w:rsidR="00BC2BEE" w:rsidRPr="00554FAF" w:rsidRDefault="00BC2BEE" w:rsidP="00C91BB6">
            <w:pPr>
              <w:pStyle w:val="Default"/>
              <w:jc w:val="center"/>
              <w:rPr>
                <w:iCs/>
                <w:lang w:val="sq-AL"/>
              </w:rPr>
            </w:pPr>
          </w:p>
        </w:tc>
      </w:tr>
    </w:tbl>
    <w:p w14:paraId="1FF9FB59" w14:textId="5C3FCE24" w:rsidR="00BC2BEE" w:rsidRPr="00554FAF" w:rsidRDefault="00FD626A" w:rsidP="00C91BB6">
      <w:pPr>
        <w:pStyle w:val="Default"/>
        <w:spacing w:after="60"/>
        <w:jc w:val="both"/>
        <w:rPr>
          <w:b/>
          <w:bCs/>
          <w:lang w:val="sq-AL"/>
        </w:rPr>
      </w:pPr>
      <w:r w:rsidRPr="00554FAF">
        <w:rPr>
          <w:b/>
          <w:bCs/>
          <w:lang w:val="sq-AL"/>
        </w:rPr>
        <w:t xml:space="preserve">3. </w:t>
      </w:r>
      <w:r w:rsidR="00BC2BEE" w:rsidRPr="00554FAF">
        <w:rPr>
          <w:b/>
          <w:bCs/>
          <w:lang w:val="sq-AL"/>
        </w:rPr>
        <w:t xml:space="preserve">Ndikimi i pritur në konkurrueshmëri: </w:t>
      </w:r>
      <w:r w:rsidR="00BC2BEE" w:rsidRPr="00554FAF">
        <w:rPr>
          <w:lang w:val="sq-AL"/>
        </w:rPr>
        <w:t>Kjo mase pritet t</w:t>
      </w:r>
      <w:r w:rsidR="00152E72" w:rsidRPr="00554FAF">
        <w:rPr>
          <w:lang w:val="sq-AL"/>
        </w:rPr>
        <w:t>a</w:t>
      </w:r>
      <w:r w:rsidR="00BC2BEE" w:rsidRPr="00554FAF">
        <w:rPr>
          <w:lang w:val="sq-AL"/>
        </w:rPr>
        <w:t xml:space="preserve"> përmirësoj konkurrueshmërinë duke</w:t>
      </w:r>
      <w:r w:rsidR="00152E72" w:rsidRPr="00554FAF">
        <w:rPr>
          <w:lang w:val="sq-AL"/>
        </w:rPr>
        <w:t xml:space="preserve"> e</w:t>
      </w:r>
      <w:r w:rsidR="00BC2BEE" w:rsidRPr="00554FAF">
        <w:rPr>
          <w:lang w:val="sq-AL"/>
        </w:rPr>
        <w:t xml:space="preserve"> lehtësuar ambientin e të bërit biznes, përmes zvogëlimit të barrës mbikëqyrëse për bizneset, një kontroll më efektive po</w:t>
      </w:r>
      <w:r w:rsidR="00152E72" w:rsidRPr="00554FAF">
        <w:rPr>
          <w:lang w:val="sq-AL"/>
        </w:rPr>
        <w:t xml:space="preserve"> </w:t>
      </w:r>
      <w:r w:rsidR="00BC2BEE" w:rsidRPr="00554FAF">
        <w:rPr>
          <w:lang w:val="sq-AL"/>
        </w:rPr>
        <w:t xml:space="preserve">ashtu zvogëlon </w:t>
      </w:r>
      <w:r w:rsidR="00152E72" w:rsidRPr="00554FAF">
        <w:rPr>
          <w:lang w:val="sq-AL"/>
        </w:rPr>
        <w:t>ekonominë joformale</w:t>
      </w:r>
      <w:r w:rsidR="00BC2BEE" w:rsidRPr="00554FAF">
        <w:rPr>
          <w:lang w:val="sq-AL"/>
        </w:rPr>
        <w:t xml:space="preserve"> duke e favorizuar biznesin dhe prodhimin cilësor dhe të rregulluar. </w:t>
      </w:r>
    </w:p>
    <w:p w14:paraId="73CAF360" w14:textId="1F2BA118" w:rsidR="00BC2BEE" w:rsidRPr="00554FAF" w:rsidRDefault="00FD626A" w:rsidP="00482270">
      <w:pPr>
        <w:jc w:val="both"/>
        <w:rPr>
          <w:rFonts w:ascii="Times New Roman" w:hAnsi="Times New Roman" w:cs="Times New Roman"/>
          <w:b/>
          <w:sz w:val="24"/>
          <w:szCs w:val="24"/>
        </w:rPr>
      </w:pPr>
      <w:r w:rsidRPr="00554FAF">
        <w:rPr>
          <w:bCs/>
        </w:rPr>
        <w:t xml:space="preserve">4. </w:t>
      </w:r>
      <w:r w:rsidR="00BC2BEE" w:rsidRPr="00554FAF">
        <w:rPr>
          <w:rFonts w:ascii="Times New Roman" w:hAnsi="Times New Roman" w:cs="Times New Roman"/>
          <w:b/>
          <w:sz w:val="24"/>
          <w:szCs w:val="24"/>
        </w:rPr>
        <w:t xml:space="preserve">Vlerësimi i kostos së aktiviteteve dhe burimet e financimit:  </w:t>
      </w:r>
      <w:r w:rsidR="00BC2BEE" w:rsidRPr="00554FAF">
        <w:rPr>
          <w:rFonts w:ascii="Times New Roman" w:hAnsi="Times New Roman" w:cs="Times New Roman"/>
          <w:color w:val="000000"/>
          <w:sz w:val="24"/>
          <w:szCs w:val="24"/>
        </w:rPr>
        <w:t xml:space="preserve">Sa i përket kostove në vitin 2020 parashihet themelimi i </w:t>
      </w:r>
      <w:r w:rsidR="00BC2BEE" w:rsidRPr="00554FAF">
        <w:rPr>
          <w:rFonts w:ascii="Times New Roman" w:hAnsi="Times New Roman" w:cs="Times New Roman"/>
          <w:b/>
          <w:color w:val="000000"/>
          <w:sz w:val="24"/>
          <w:szCs w:val="24"/>
        </w:rPr>
        <w:t xml:space="preserve">zyrës qendrore të inspektimeve </w:t>
      </w:r>
      <w:r w:rsidR="00BC2BEE" w:rsidRPr="00554FAF">
        <w:rPr>
          <w:rFonts w:ascii="Times New Roman" w:hAnsi="Times New Roman" w:cs="Times New Roman"/>
          <w:color w:val="000000"/>
          <w:sz w:val="24"/>
          <w:szCs w:val="24"/>
        </w:rPr>
        <w:t>në të cilën zyrë i parashohim</w:t>
      </w:r>
      <w:r w:rsidR="00BC2BEE" w:rsidRPr="00554FAF">
        <w:rPr>
          <w:rFonts w:ascii="Times New Roman" w:hAnsi="Times New Roman" w:cs="Times New Roman"/>
          <w:b/>
          <w:color w:val="000000"/>
          <w:sz w:val="24"/>
          <w:szCs w:val="24"/>
        </w:rPr>
        <w:t xml:space="preserve"> 10 </w:t>
      </w:r>
      <w:r w:rsidR="00BC2BEE" w:rsidRPr="00554FAF">
        <w:rPr>
          <w:rFonts w:ascii="Times New Roman" w:hAnsi="Times New Roman" w:cs="Times New Roman"/>
          <w:color w:val="000000"/>
          <w:sz w:val="24"/>
          <w:szCs w:val="24"/>
        </w:rPr>
        <w:t>punonjës që kap shumën prej 209,334 eurove</w:t>
      </w:r>
      <w:r w:rsidR="00BC2BEE" w:rsidRPr="00554FAF">
        <w:rPr>
          <w:rFonts w:ascii="Times New Roman" w:hAnsi="Times New Roman" w:cs="Times New Roman"/>
          <w:sz w:val="24"/>
          <w:szCs w:val="24"/>
        </w:rPr>
        <w:t>. Gjatë viteve 2021 dhe 2022 parashihet zhvillimi dhe zbatimi i kornizës elektronike “E-</w:t>
      </w:r>
      <w:r w:rsidR="00482270" w:rsidRPr="00554FAF">
        <w:rPr>
          <w:rFonts w:ascii="Times New Roman" w:hAnsi="Times New Roman" w:cs="Times New Roman"/>
          <w:sz w:val="24"/>
          <w:szCs w:val="24"/>
        </w:rPr>
        <w:t>inspektorati</w:t>
      </w:r>
      <w:r w:rsidR="00BC2BEE" w:rsidRPr="00554FAF">
        <w:rPr>
          <w:rFonts w:ascii="Times New Roman" w:hAnsi="Times New Roman" w:cs="Times New Roman"/>
          <w:sz w:val="24"/>
          <w:szCs w:val="24"/>
        </w:rPr>
        <w:t>”</w:t>
      </w:r>
      <w:r w:rsidR="00152E72" w:rsidRPr="00554FAF">
        <w:rPr>
          <w:rFonts w:ascii="Times New Roman" w:hAnsi="Times New Roman" w:cs="Times New Roman"/>
          <w:sz w:val="24"/>
          <w:szCs w:val="24"/>
        </w:rPr>
        <w:t>.</w:t>
      </w:r>
      <w:r w:rsidR="00BC2BEE" w:rsidRPr="00554FAF">
        <w:rPr>
          <w:rFonts w:ascii="Times New Roman" w:hAnsi="Times New Roman" w:cs="Times New Roman"/>
          <w:sz w:val="24"/>
          <w:szCs w:val="24"/>
        </w:rPr>
        <w:t xml:space="preserve"> Kostoja për </w:t>
      </w:r>
      <w:r w:rsidR="00482270" w:rsidRPr="00554FAF">
        <w:rPr>
          <w:rFonts w:ascii="Times New Roman" w:hAnsi="Times New Roman" w:cs="Times New Roman"/>
          <w:sz w:val="24"/>
          <w:szCs w:val="24"/>
        </w:rPr>
        <w:t>këtë</w:t>
      </w:r>
      <w:r w:rsidR="00BC2BEE" w:rsidRPr="00554FAF">
        <w:rPr>
          <w:rFonts w:ascii="Times New Roman" w:hAnsi="Times New Roman" w:cs="Times New Roman"/>
          <w:sz w:val="24"/>
          <w:szCs w:val="24"/>
        </w:rPr>
        <w:t xml:space="preserve"> aktivitet është paraparë të jetë 2,677,746 euro për vitin 2021 dhe 971,576 euro për vitin 2022. Aktiviteti financohet nga </w:t>
      </w:r>
      <w:r w:rsidR="00482270" w:rsidRPr="00554FAF">
        <w:rPr>
          <w:rFonts w:ascii="Times New Roman" w:hAnsi="Times New Roman" w:cs="Times New Roman"/>
          <w:sz w:val="24"/>
          <w:szCs w:val="24"/>
        </w:rPr>
        <w:t>kredia</w:t>
      </w:r>
      <w:r w:rsidR="00BC2BEE" w:rsidRPr="00554FAF">
        <w:rPr>
          <w:rFonts w:ascii="Times New Roman" w:hAnsi="Times New Roman" w:cs="Times New Roman"/>
          <w:sz w:val="24"/>
          <w:szCs w:val="24"/>
        </w:rPr>
        <w:t xml:space="preserve"> e Bankës Botërore nën shpenzimet kapitale. Afër 230,000 euro janë planifikuar në mallra dhe shërbime për vitin 2021 dhe 2022, të dedikuara kryesisht për trajnimet e inspektorëve.</w:t>
      </w:r>
    </w:p>
    <w:p w14:paraId="4BE792ED" w14:textId="21F17E91" w:rsidR="00BC2BEE" w:rsidRPr="00554FAF" w:rsidRDefault="00FD626A" w:rsidP="00C91BB6">
      <w:pPr>
        <w:pStyle w:val="Default"/>
        <w:spacing w:after="60"/>
        <w:jc w:val="both"/>
        <w:rPr>
          <w:lang w:val="sq-AL"/>
        </w:rPr>
      </w:pPr>
      <w:r w:rsidRPr="00554FAF">
        <w:rPr>
          <w:b/>
          <w:bCs/>
          <w:lang w:val="sq-AL"/>
        </w:rPr>
        <w:t xml:space="preserve">5. </w:t>
      </w:r>
      <w:r w:rsidR="00BC2BEE" w:rsidRPr="00554FAF">
        <w:rPr>
          <w:b/>
          <w:bCs/>
          <w:lang w:val="sq-AL"/>
        </w:rPr>
        <w:t xml:space="preserve">Ndikimet e pritshme mbi rezultatet sociale, të tilla si punësimi, reduktimi i varfërisë, barazia gjinore: </w:t>
      </w:r>
      <w:r w:rsidR="00BC2BEE" w:rsidRPr="00554FAF">
        <w:rPr>
          <w:lang w:val="sq-AL"/>
        </w:rPr>
        <w:t>Masa e propozuar pritet te ketë  ndikim në rritje e  punësim formal, mirëpo e përmirëson efektivitetin administrativ sa i përket inspektimeve dhe zvogëlon barrierën e kontrollit që ushtrohet ndaj bizneseve.</w:t>
      </w:r>
    </w:p>
    <w:p w14:paraId="253DCA1B" w14:textId="50B68759" w:rsidR="00BC2BEE" w:rsidRDefault="00FD626A" w:rsidP="00C91BB6">
      <w:pPr>
        <w:pStyle w:val="Default"/>
        <w:spacing w:after="60"/>
        <w:jc w:val="both"/>
        <w:rPr>
          <w:bCs/>
          <w:iCs/>
          <w:lang w:val="sq-AL"/>
        </w:rPr>
      </w:pPr>
      <w:r w:rsidRPr="00554FAF">
        <w:rPr>
          <w:b/>
          <w:bCs/>
          <w:lang w:val="sq-AL"/>
        </w:rPr>
        <w:t xml:space="preserve">6. </w:t>
      </w:r>
      <w:r w:rsidR="00BC2BEE" w:rsidRPr="00554FAF">
        <w:rPr>
          <w:b/>
          <w:bCs/>
          <w:lang w:val="sq-AL"/>
        </w:rPr>
        <w:t xml:space="preserve">Ndikimi i pritshëm në mjedis: </w:t>
      </w:r>
      <w:r w:rsidR="00BC2BEE" w:rsidRPr="00554FAF">
        <w:rPr>
          <w:bCs/>
          <w:iCs/>
          <w:lang w:val="sq-AL"/>
        </w:rPr>
        <w:t xml:space="preserve"> Nuk ka ndikim relevant n</w:t>
      </w:r>
      <w:r w:rsidR="00152E72" w:rsidRPr="00554FAF">
        <w:rPr>
          <w:bCs/>
          <w:iCs/>
          <w:lang w:val="sq-AL"/>
        </w:rPr>
        <w:t>ë</w:t>
      </w:r>
      <w:r w:rsidR="00BC2BEE" w:rsidRPr="00554FAF">
        <w:rPr>
          <w:bCs/>
          <w:iCs/>
          <w:lang w:val="sq-AL"/>
        </w:rPr>
        <w:t xml:space="preserve"> mjedis. </w:t>
      </w:r>
    </w:p>
    <w:p w14:paraId="2CADF02A" w14:textId="5333E092" w:rsidR="00F3381D" w:rsidRPr="00F3381D" w:rsidRDefault="00F3381D" w:rsidP="00F3381D">
      <w:pPr>
        <w:spacing w:after="60" w:line="240" w:lineRule="auto"/>
        <w:rPr>
          <w:rFonts w:ascii="Times New Roman" w:hAnsi="Times New Roman" w:cs="Times New Roman"/>
          <w:b/>
          <w:sz w:val="24"/>
          <w:szCs w:val="24"/>
        </w:rPr>
      </w:pPr>
      <w:r w:rsidRPr="00554FAF">
        <w:rPr>
          <w:rFonts w:ascii="Times New Roman" w:hAnsi="Times New Roman" w:cs="Times New Roman"/>
          <w:sz w:val="24"/>
          <w:szCs w:val="24"/>
        </w:rPr>
        <w:t xml:space="preserve">7. </w:t>
      </w:r>
      <w:r w:rsidRPr="00554FAF">
        <w:rPr>
          <w:rFonts w:ascii="Times New Roman" w:hAnsi="Times New Roman" w:cs="Times New Roman"/>
          <w:b/>
          <w:sz w:val="24"/>
          <w:szCs w:val="24"/>
        </w:rPr>
        <w:t>Rreziqet potenciale</w:t>
      </w:r>
    </w:p>
    <w:tbl>
      <w:tblPr>
        <w:tblpPr w:leftFromText="180" w:rightFromText="180" w:vertAnchor="text" w:horzAnchor="margin" w:tblpY="184"/>
        <w:tblOverlap w:val="neve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1517"/>
        <w:gridCol w:w="5130"/>
      </w:tblGrid>
      <w:tr w:rsidR="00F3381D" w:rsidRPr="00554FAF" w14:paraId="285785A0" w14:textId="77777777" w:rsidTr="00F3381D">
        <w:trPr>
          <w:trHeight w:val="618"/>
        </w:trPr>
        <w:tc>
          <w:tcPr>
            <w:tcW w:w="2978" w:type="dxa"/>
            <w:shd w:val="clear" w:color="auto" w:fill="auto"/>
          </w:tcPr>
          <w:p w14:paraId="315C4B00" w14:textId="77777777" w:rsidR="00F3381D" w:rsidRPr="00554FAF" w:rsidRDefault="00F3381D" w:rsidP="00F3381D">
            <w:pPr>
              <w:pStyle w:val="Default"/>
              <w:spacing w:after="60"/>
              <w:jc w:val="both"/>
              <w:rPr>
                <w:lang w:val="sq-AL"/>
              </w:rPr>
            </w:pPr>
            <w:r w:rsidRPr="00554FAF">
              <w:rPr>
                <w:b/>
                <w:bCs/>
                <w:lang w:val="sq-AL"/>
              </w:rPr>
              <w:t xml:space="preserve">Rreziku </w:t>
            </w:r>
          </w:p>
          <w:p w14:paraId="3CB60941" w14:textId="77777777" w:rsidR="00F3381D" w:rsidRPr="00554FAF" w:rsidRDefault="00F3381D" w:rsidP="00F3381D">
            <w:pPr>
              <w:pStyle w:val="Default"/>
              <w:spacing w:after="60"/>
              <w:jc w:val="both"/>
              <w:rPr>
                <w:lang w:val="sq-AL"/>
              </w:rPr>
            </w:pPr>
          </w:p>
        </w:tc>
        <w:tc>
          <w:tcPr>
            <w:tcW w:w="1517" w:type="dxa"/>
            <w:shd w:val="clear" w:color="auto" w:fill="auto"/>
          </w:tcPr>
          <w:p w14:paraId="2E8DDCAE" w14:textId="77777777" w:rsidR="00F3381D" w:rsidRPr="00554FAF" w:rsidRDefault="00F3381D" w:rsidP="00F3381D">
            <w:pPr>
              <w:pStyle w:val="Default"/>
              <w:spacing w:after="60"/>
              <w:ind w:right="-122"/>
              <w:rPr>
                <w:lang w:val="sq-AL"/>
              </w:rPr>
            </w:pPr>
            <w:r w:rsidRPr="00554FAF">
              <w:rPr>
                <w:b/>
                <w:bCs/>
                <w:lang w:val="sq-AL"/>
              </w:rPr>
              <w:t xml:space="preserve">Probabiliteti (i ulët ose i lartë) </w:t>
            </w:r>
          </w:p>
        </w:tc>
        <w:tc>
          <w:tcPr>
            <w:tcW w:w="5130" w:type="dxa"/>
            <w:shd w:val="clear" w:color="auto" w:fill="auto"/>
          </w:tcPr>
          <w:p w14:paraId="1357BF6D" w14:textId="77777777" w:rsidR="00F3381D" w:rsidRPr="00554FAF" w:rsidRDefault="00F3381D" w:rsidP="00F3381D">
            <w:pPr>
              <w:pStyle w:val="Default"/>
              <w:spacing w:after="60"/>
              <w:rPr>
                <w:lang w:val="sq-AL"/>
              </w:rPr>
            </w:pPr>
            <w:r w:rsidRPr="00554FAF">
              <w:rPr>
                <w:b/>
                <w:bCs/>
                <w:lang w:val="sq-AL"/>
              </w:rPr>
              <w:t xml:space="preserve">Veprimi lehtësues i planifikuar </w:t>
            </w:r>
          </w:p>
        </w:tc>
      </w:tr>
      <w:tr w:rsidR="00F3381D" w:rsidRPr="00554FAF" w14:paraId="644E101C" w14:textId="77777777" w:rsidTr="00F3381D">
        <w:trPr>
          <w:trHeight w:val="800"/>
        </w:trPr>
        <w:tc>
          <w:tcPr>
            <w:tcW w:w="2978" w:type="dxa"/>
          </w:tcPr>
          <w:p w14:paraId="40AE1A79" w14:textId="77777777" w:rsidR="00F3381D" w:rsidRPr="00554FAF" w:rsidRDefault="00F3381D" w:rsidP="00F3381D">
            <w:pPr>
              <w:pStyle w:val="Default"/>
              <w:spacing w:after="60"/>
              <w:jc w:val="both"/>
              <w:rPr>
                <w:lang w:val="sq-AL"/>
              </w:rPr>
            </w:pPr>
            <w:r w:rsidRPr="00554FAF">
              <w:rPr>
                <w:lang w:val="sq-AL"/>
              </w:rPr>
              <w:t>1. Mungesa e kapaciteteve për  zbatim të koncepteve të reja</w:t>
            </w:r>
          </w:p>
        </w:tc>
        <w:tc>
          <w:tcPr>
            <w:tcW w:w="1517" w:type="dxa"/>
            <w:shd w:val="clear" w:color="auto" w:fill="auto"/>
          </w:tcPr>
          <w:p w14:paraId="723A7B81" w14:textId="77777777" w:rsidR="00F3381D" w:rsidRPr="00554FAF" w:rsidRDefault="00F3381D" w:rsidP="00F3381D">
            <w:pPr>
              <w:pStyle w:val="Default"/>
              <w:spacing w:after="60"/>
              <w:jc w:val="center"/>
              <w:rPr>
                <w:lang w:val="sq-AL"/>
              </w:rPr>
            </w:pPr>
            <w:r w:rsidRPr="00554FAF">
              <w:rPr>
                <w:lang w:val="sq-AL"/>
              </w:rPr>
              <w:t xml:space="preserve">I mesëm </w:t>
            </w:r>
          </w:p>
        </w:tc>
        <w:tc>
          <w:tcPr>
            <w:tcW w:w="5130" w:type="dxa"/>
          </w:tcPr>
          <w:p w14:paraId="48A1051D" w14:textId="77777777" w:rsidR="00F3381D" w:rsidRPr="00554FAF" w:rsidRDefault="00F3381D" w:rsidP="00F3381D">
            <w:pPr>
              <w:pStyle w:val="Default"/>
              <w:spacing w:after="60"/>
              <w:jc w:val="both"/>
              <w:rPr>
                <w:lang w:val="sq-AL"/>
              </w:rPr>
            </w:pPr>
            <w:r w:rsidRPr="00554FAF">
              <w:rPr>
                <w:lang w:val="sq-AL"/>
              </w:rPr>
              <w:t xml:space="preserve">Trajnimet e duhura për ngritje të kapaciteteve </w:t>
            </w:r>
          </w:p>
        </w:tc>
      </w:tr>
    </w:tbl>
    <w:p w14:paraId="1878C639" w14:textId="77777777" w:rsidR="00E3413B" w:rsidRPr="00554FAF" w:rsidRDefault="00E3413B" w:rsidP="000702CB">
      <w:pPr>
        <w:spacing w:after="60" w:line="240" w:lineRule="auto"/>
        <w:rPr>
          <w:rFonts w:ascii="Times New Roman" w:hAnsi="Times New Roman" w:cs="Times New Roman"/>
          <w:b/>
          <w:bCs/>
          <w:color w:val="000000"/>
          <w:sz w:val="24"/>
          <w:szCs w:val="24"/>
        </w:rPr>
      </w:pPr>
    </w:p>
    <w:tbl>
      <w:tblPr>
        <w:tblStyle w:val="TableGrid"/>
        <w:tblW w:w="0" w:type="auto"/>
        <w:tblLook w:val="04A0" w:firstRow="1" w:lastRow="0" w:firstColumn="1" w:lastColumn="0" w:noHBand="0" w:noVBand="1"/>
      </w:tblPr>
      <w:tblGrid>
        <w:gridCol w:w="9350"/>
      </w:tblGrid>
      <w:tr w:rsidR="00BC2BEE" w:rsidRPr="00554FAF" w14:paraId="195C9965" w14:textId="77777777" w:rsidTr="004A424A">
        <w:tc>
          <w:tcPr>
            <w:tcW w:w="9350" w:type="dxa"/>
            <w:shd w:val="clear" w:color="auto" w:fill="5B9BD5" w:themeFill="accent1"/>
          </w:tcPr>
          <w:p w14:paraId="6F688FAC" w14:textId="77777777" w:rsidR="00BC2BEE" w:rsidRPr="00554FAF" w:rsidRDefault="00BC2BEE" w:rsidP="000702CB">
            <w:pPr>
              <w:spacing w:after="60"/>
              <w:rPr>
                <w:rFonts w:ascii="Times New Roman" w:hAnsi="Times New Roman" w:cs="Times New Roman"/>
                <w:b/>
                <w:bCs/>
                <w:sz w:val="24"/>
                <w:szCs w:val="24"/>
              </w:rPr>
            </w:pPr>
            <w:r w:rsidRPr="00554FAF">
              <w:rPr>
                <w:rFonts w:ascii="Times New Roman" w:hAnsi="Times New Roman" w:cs="Times New Roman"/>
                <w:b/>
                <w:bCs/>
                <w:sz w:val="24"/>
                <w:szCs w:val="24"/>
              </w:rPr>
              <w:t xml:space="preserve">Masa e reformës 9: </w:t>
            </w:r>
            <w:r w:rsidRPr="00554FAF">
              <w:rPr>
                <w:rFonts w:ascii="Times New Roman" w:eastAsia="Times New Roman" w:hAnsi="Times New Roman" w:cs="Times New Roman"/>
                <w:b/>
                <w:bCs/>
                <w:spacing w:val="-1"/>
                <w:sz w:val="24"/>
                <w:szCs w:val="24"/>
              </w:rPr>
              <w:t>Themelimi dhe funksionalizimi i Gjykatës Komerciale</w:t>
            </w:r>
          </w:p>
        </w:tc>
      </w:tr>
    </w:tbl>
    <w:p w14:paraId="10757E5A" w14:textId="24223F08" w:rsidR="00BC2BEE" w:rsidRPr="00554FAF" w:rsidRDefault="00A41A27"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b/>
          <w:bCs/>
          <w:sz w:val="24"/>
          <w:szCs w:val="24"/>
        </w:rPr>
        <w:t xml:space="preserve">1. </w:t>
      </w:r>
      <w:r w:rsidR="00BC2BEE" w:rsidRPr="00554FAF">
        <w:rPr>
          <w:rFonts w:ascii="Times New Roman" w:hAnsi="Times New Roman" w:cs="Times New Roman"/>
          <w:b/>
          <w:bCs/>
          <w:sz w:val="24"/>
          <w:szCs w:val="24"/>
        </w:rPr>
        <w:t>Përshkrimi i masës:</w:t>
      </w:r>
      <w:r w:rsidR="00BC2BEE" w:rsidRPr="00554FAF">
        <w:rPr>
          <w:rFonts w:ascii="Times New Roman" w:hAnsi="Times New Roman" w:cs="Times New Roman"/>
          <w:bCs/>
          <w:sz w:val="24"/>
          <w:szCs w:val="24"/>
        </w:rPr>
        <w:t xml:space="preserve"> </w:t>
      </w:r>
      <w:r w:rsidR="00BC2BEE" w:rsidRPr="00554FAF">
        <w:rPr>
          <w:rFonts w:ascii="Times New Roman" w:hAnsi="Times New Roman" w:cs="Times New Roman"/>
          <w:sz w:val="24"/>
          <w:szCs w:val="24"/>
        </w:rPr>
        <w:t>Komuniteti i bizneseve të Kosovës dhe investitorët e huaj nuk kanë një adresë të vetme për zgjidhjen e kontesteve gjyqësore. Mandatet e paqarta dhe juridiksioni i Departamentit Ekonomik dhe Departamentit Administrativ të Gjykatës Themelore të Prishtinës i detyrojnë shumë biznese të ndajnë (fragmentojnë) rastin e tyre në departamente të ndryshme që të trajtojnë çështje të ndryshme të të njëjtit rast. Ky sistem ngadalëson ndjeshëm zgjidhjen e mosmarrëveshjeve dhe pengon cilësinë dhe konsistencën e vendimeve të marra nga të dy departamentet. Një zgjidhje e ngritjes së efikasitetit dhe fuqizimit të sigurisë juridike në funksion të përmirësimit të mjedisit biznesor është themelimi i një gjykate komerciale me dy-shkallshmëri,  që përfshinë të gjitha kompetencat e Departamentit Ekonomik si dhe çështjet tregtare nën Departamentin Administrativ. Kjo reformë është një masë e re, që pason  Masën 10 nga  PRE 2019-2021 (Rritja e Efikasitetit në Gjyqësor). Fokusi i kësaj masë është rritja e efikasitetit në  zgjedhjen e kontesteve komerciale përmes themelimit të Gjykatës Komerciale, si  adresë e vetme për zgjidhjen e të gjitha kontesteve komerciale të bizneseve dhe investitorëve të huaj.</w:t>
      </w:r>
    </w:p>
    <w:p w14:paraId="067D0130" w14:textId="77777777" w:rsidR="00BC2BEE" w:rsidRPr="00554FAF" w:rsidRDefault="00BC2BEE" w:rsidP="00802FB3">
      <w:pPr>
        <w:pStyle w:val="ListParagraph"/>
        <w:numPr>
          <w:ilvl w:val="0"/>
          <w:numId w:val="42"/>
        </w:numPr>
        <w:spacing w:after="60" w:line="240" w:lineRule="auto"/>
        <w:contextualSpacing w:val="0"/>
        <w:jc w:val="both"/>
        <w:rPr>
          <w:rFonts w:ascii="Times New Roman" w:hAnsi="Times New Roman" w:cs="Times New Roman"/>
          <w:b/>
          <w:bCs/>
          <w:sz w:val="24"/>
          <w:szCs w:val="24"/>
        </w:rPr>
      </w:pPr>
      <w:r w:rsidRPr="00554FAF">
        <w:rPr>
          <w:rFonts w:ascii="Times New Roman" w:hAnsi="Times New Roman" w:cs="Times New Roman"/>
          <w:b/>
          <w:bCs/>
          <w:sz w:val="24"/>
          <w:szCs w:val="24"/>
        </w:rPr>
        <w:t>Aktivitetet e planifikuara për 2020:</w:t>
      </w:r>
    </w:p>
    <w:p w14:paraId="04A354A6" w14:textId="690DAAB9" w:rsidR="00BC2BEE" w:rsidRPr="00554FAF" w:rsidRDefault="00BC2BEE" w:rsidP="00730ACA">
      <w:pPr>
        <w:pStyle w:val="Default"/>
        <w:numPr>
          <w:ilvl w:val="0"/>
          <w:numId w:val="4"/>
        </w:numPr>
        <w:spacing w:after="60"/>
        <w:ind w:left="360"/>
        <w:jc w:val="both"/>
        <w:rPr>
          <w:bCs/>
          <w:lang w:val="sq-AL"/>
        </w:rPr>
      </w:pPr>
      <w:r w:rsidRPr="00554FAF">
        <w:rPr>
          <w:bCs/>
          <w:lang w:val="sq-AL"/>
        </w:rPr>
        <w:t>Hartimi dhe miratimi i Projektligjit për Gjykatën Komerciale</w:t>
      </w:r>
      <w:r w:rsidR="00152E72" w:rsidRPr="00554FAF">
        <w:rPr>
          <w:bCs/>
          <w:lang w:val="sq-AL"/>
        </w:rPr>
        <w:t>;</w:t>
      </w:r>
      <w:r w:rsidRPr="00554FAF">
        <w:rPr>
          <w:bCs/>
          <w:lang w:val="sq-AL"/>
        </w:rPr>
        <w:t xml:space="preserve"> (MD)</w:t>
      </w:r>
    </w:p>
    <w:p w14:paraId="08F31F5A" w14:textId="275C7DB5" w:rsidR="00BC2BEE" w:rsidRPr="00554FAF" w:rsidRDefault="00BC2BEE" w:rsidP="00730ACA">
      <w:pPr>
        <w:pStyle w:val="Default"/>
        <w:numPr>
          <w:ilvl w:val="0"/>
          <w:numId w:val="4"/>
        </w:numPr>
        <w:spacing w:after="60"/>
        <w:ind w:left="360"/>
        <w:jc w:val="both"/>
        <w:rPr>
          <w:bCs/>
          <w:lang w:val="sq-AL"/>
        </w:rPr>
      </w:pPr>
      <w:r w:rsidRPr="00554FAF">
        <w:rPr>
          <w:bCs/>
          <w:lang w:val="sq-AL"/>
        </w:rPr>
        <w:t>Vl</w:t>
      </w:r>
      <w:r w:rsidR="00152E72" w:rsidRPr="00554FAF">
        <w:rPr>
          <w:bCs/>
          <w:lang w:val="sq-AL"/>
        </w:rPr>
        <w:t>e</w:t>
      </w:r>
      <w:r w:rsidRPr="00554FAF">
        <w:rPr>
          <w:bCs/>
          <w:lang w:val="sq-AL"/>
        </w:rPr>
        <w:t>rësimi i ndikimit që do të ketë themelimi i Gjykatës Komerciale në legjislacionin dytësor të KGjK-së dhe identifikimi i rregulloreve që kërkojnë ndryshime;</w:t>
      </w:r>
    </w:p>
    <w:p w14:paraId="72067843" w14:textId="04FDECB3" w:rsidR="00BC2BEE" w:rsidRPr="00554FAF" w:rsidRDefault="00BC2BEE" w:rsidP="00730ACA">
      <w:pPr>
        <w:pStyle w:val="Default"/>
        <w:numPr>
          <w:ilvl w:val="0"/>
          <w:numId w:val="4"/>
        </w:numPr>
        <w:spacing w:after="60"/>
        <w:ind w:left="360"/>
        <w:jc w:val="both"/>
        <w:rPr>
          <w:bCs/>
          <w:lang w:val="sq-AL"/>
        </w:rPr>
      </w:pPr>
      <w:r w:rsidRPr="00554FAF">
        <w:rPr>
          <w:bCs/>
          <w:lang w:val="sq-AL"/>
        </w:rPr>
        <w:t>Plotësi</w:t>
      </w:r>
      <w:r w:rsidR="00152E72" w:rsidRPr="00554FAF">
        <w:rPr>
          <w:bCs/>
          <w:lang w:val="sq-AL"/>
        </w:rPr>
        <w:t xml:space="preserve">mi dhe </w:t>
      </w:r>
      <w:r w:rsidRPr="00554FAF">
        <w:rPr>
          <w:bCs/>
          <w:lang w:val="sq-AL"/>
        </w:rPr>
        <w:t>ndryshimi i Rregullores për organizimin dhe funksionimin e asamblesë së kryetarëve të gjykatave dhe gjyqtarëve mbikëqyrës;  (KGjK)</w:t>
      </w:r>
    </w:p>
    <w:p w14:paraId="7D40A7DC" w14:textId="4A67DE27" w:rsidR="00BC2BEE" w:rsidRPr="00554FAF" w:rsidRDefault="00BC2BEE" w:rsidP="00730ACA">
      <w:pPr>
        <w:pStyle w:val="Default"/>
        <w:numPr>
          <w:ilvl w:val="0"/>
          <w:numId w:val="4"/>
        </w:numPr>
        <w:spacing w:after="60"/>
        <w:ind w:left="360"/>
        <w:jc w:val="both"/>
        <w:rPr>
          <w:bCs/>
          <w:lang w:val="sq-AL"/>
        </w:rPr>
      </w:pPr>
      <w:r w:rsidRPr="00554FAF">
        <w:rPr>
          <w:bCs/>
          <w:lang w:val="sq-AL"/>
        </w:rPr>
        <w:t>Plotësim</w:t>
      </w:r>
      <w:r w:rsidR="00152E72" w:rsidRPr="00554FAF">
        <w:rPr>
          <w:bCs/>
          <w:lang w:val="sq-AL"/>
        </w:rPr>
        <w:t xml:space="preserve">i dhe </w:t>
      </w:r>
      <w:r w:rsidRPr="00554FAF">
        <w:rPr>
          <w:bCs/>
          <w:lang w:val="sq-AL"/>
        </w:rPr>
        <w:t>ndryshimi i Rregullores për organizimin e brendshëm të gjykatave</w:t>
      </w:r>
      <w:r w:rsidR="00152E72" w:rsidRPr="00554FAF">
        <w:rPr>
          <w:bCs/>
          <w:lang w:val="sq-AL"/>
        </w:rPr>
        <w:t>;</w:t>
      </w:r>
      <w:r w:rsidRPr="00554FAF">
        <w:rPr>
          <w:bCs/>
          <w:lang w:val="sq-AL"/>
        </w:rPr>
        <w:t xml:space="preserve"> (KGjK) </w:t>
      </w:r>
    </w:p>
    <w:p w14:paraId="34749723" w14:textId="3F1DEA26" w:rsidR="00BC2BEE" w:rsidRPr="00554FAF" w:rsidRDefault="00BC2BEE" w:rsidP="00730ACA">
      <w:pPr>
        <w:pStyle w:val="Default"/>
        <w:numPr>
          <w:ilvl w:val="0"/>
          <w:numId w:val="4"/>
        </w:numPr>
        <w:spacing w:after="60"/>
        <w:ind w:left="360"/>
        <w:jc w:val="both"/>
        <w:rPr>
          <w:bCs/>
          <w:lang w:val="sq-AL"/>
        </w:rPr>
      </w:pPr>
      <w:r w:rsidRPr="00554FAF">
        <w:rPr>
          <w:bCs/>
          <w:lang w:val="sq-AL"/>
        </w:rPr>
        <w:t>Plotësim</w:t>
      </w:r>
      <w:r w:rsidR="00152E72" w:rsidRPr="00554FAF">
        <w:rPr>
          <w:bCs/>
          <w:lang w:val="sq-AL"/>
        </w:rPr>
        <w:t xml:space="preserve">i dhe </w:t>
      </w:r>
      <w:r w:rsidRPr="00554FAF">
        <w:rPr>
          <w:bCs/>
          <w:lang w:val="sq-AL"/>
        </w:rPr>
        <w:t>ndryshimi i Rregullores për Zyrtarët për informim publik në gjykata</w:t>
      </w:r>
      <w:r w:rsidR="00152E72" w:rsidRPr="00554FAF">
        <w:rPr>
          <w:bCs/>
          <w:lang w:val="sq-AL"/>
        </w:rPr>
        <w:t>;</w:t>
      </w:r>
      <w:r w:rsidRPr="00554FAF">
        <w:rPr>
          <w:bCs/>
          <w:lang w:val="sq-AL"/>
        </w:rPr>
        <w:t xml:space="preserve"> (KGjK)</w:t>
      </w:r>
      <w:r w:rsidR="00152E72" w:rsidRPr="00554FAF">
        <w:rPr>
          <w:bCs/>
          <w:lang w:val="sq-AL"/>
        </w:rPr>
        <w:t>.</w:t>
      </w:r>
      <w:r w:rsidRPr="00554FAF">
        <w:rPr>
          <w:bCs/>
          <w:lang w:val="sq-AL"/>
        </w:rPr>
        <w:t xml:space="preserve"> </w:t>
      </w:r>
    </w:p>
    <w:p w14:paraId="0AB7F25E" w14:textId="77777777" w:rsidR="00BC2BEE" w:rsidRPr="00554FAF" w:rsidRDefault="00BC2BEE" w:rsidP="00802FB3">
      <w:pPr>
        <w:pStyle w:val="ListParagraph"/>
        <w:numPr>
          <w:ilvl w:val="0"/>
          <w:numId w:val="42"/>
        </w:numPr>
        <w:spacing w:after="60" w:line="240" w:lineRule="auto"/>
        <w:contextualSpacing w:val="0"/>
        <w:rPr>
          <w:rFonts w:ascii="Times New Roman" w:hAnsi="Times New Roman" w:cs="Times New Roman"/>
          <w:b/>
          <w:bCs/>
          <w:sz w:val="24"/>
          <w:szCs w:val="24"/>
        </w:rPr>
      </w:pPr>
      <w:r w:rsidRPr="00554FAF">
        <w:rPr>
          <w:rFonts w:ascii="Times New Roman" w:hAnsi="Times New Roman" w:cs="Times New Roman"/>
          <w:b/>
          <w:bCs/>
          <w:sz w:val="24"/>
          <w:szCs w:val="24"/>
        </w:rPr>
        <w:t>Aktivitetet e planifikuara për 2021:</w:t>
      </w:r>
    </w:p>
    <w:p w14:paraId="4DD9B4D3" w14:textId="77777777" w:rsidR="00BC2BEE" w:rsidRPr="00554FAF" w:rsidRDefault="00BC2BEE" w:rsidP="00730ACA">
      <w:pPr>
        <w:pStyle w:val="ListParagraph"/>
        <w:numPr>
          <w:ilvl w:val="0"/>
          <w:numId w:val="5"/>
        </w:numPr>
        <w:spacing w:after="60" w:line="240" w:lineRule="auto"/>
        <w:ind w:left="360" w:right="466"/>
        <w:contextualSpacing w:val="0"/>
        <w:jc w:val="both"/>
        <w:rPr>
          <w:rFonts w:ascii="Times New Roman" w:hAnsi="Times New Roman" w:cs="Times New Roman"/>
          <w:sz w:val="24"/>
          <w:szCs w:val="24"/>
        </w:rPr>
      </w:pPr>
      <w:r w:rsidRPr="00554FAF">
        <w:rPr>
          <w:rFonts w:ascii="Times New Roman" w:hAnsi="Times New Roman" w:cs="Times New Roman"/>
          <w:sz w:val="24"/>
          <w:szCs w:val="24"/>
        </w:rPr>
        <w:t>Funksionalizimi i Gjykatës Komerciale dhe shuarja e Departamentit Ekonomik dhe Divizionit Fiskal në Departamentin Administrativ në Gjykatën Themelore të Prishtinës; (KGJK)</w:t>
      </w:r>
    </w:p>
    <w:p w14:paraId="33FAD0BB" w14:textId="79AC7BBC" w:rsidR="00BC2BEE" w:rsidRPr="00554FAF" w:rsidRDefault="00BC2BEE" w:rsidP="00730ACA">
      <w:pPr>
        <w:pStyle w:val="ListParagraph"/>
        <w:numPr>
          <w:ilvl w:val="0"/>
          <w:numId w:val="5"/>
        </w:numPr>
        <w:spacing w:after="60" w:line="240" w:lineRule="auto"/>
        <w:ind w:left="360" w:right="466"/>
        <w:contextualSpacing w:val="0"/>
        <w:jc w:val="both"/>
        <w:rPr>
          <w:rFonts w:ascii="Times New Roman" w:hAnsi="Times New Roman" w:cs="Times New Roman"/>
          <w:sz w:val="24"/>
          <w:szCs w:val="24"/>
        </w:rPr>
      </w:pPr>
      <w:r w:rsidRPr="00554FAF">
        <w:rPr>
          <w:rFonts w:ascii="Times New Roman" w:hAnsi="Times New Roman" w:cs="Times New Roman"/>
          <w:sz w:val="24"/>
          <w:szCs w:val="24"/>
        </w:rPr>
        <w:t>Rritja e numrit t</w:t>
      </w:r>
      <w:r w:rsidR="00152E72" w:rsidRPr="00554FAF">
        <w:rPr>
          <w:rFonts w:ascii="Times New Roman" w:hAnsi="Times New Roman" w:cs="Times New Roman"/>
          <w:sz w:val="24"/>
          <w:szCs w:val="24"/>
        </w:rPr>
        <w:t>ë</w:t>
      </w:r>
      <w:r w:rsidRPr="00554FAF">
        <w:rPr>
          <w:rFonts w:ascii="Times New Roman" w:hAnsi="Times New Roman" w:cs="Times New Roman"/>
          <w:sz w:val="24"/>
          <w:szCs w:val="24"/>
        </w:rPr>
        <w:t xml:space="preserve"> gjyqtarëve për  9  gjyqtarëve shtesë  dhe sigurimi i  20  bashkëpun</w:t>
      </w:r>
      <w:r w:rsidR="00152E72" w:rsidRPr="00554FAF">
        <w:rPr>
          <w:rFonts w:ascii="Times New Roman" w:hAnsi="Times New Roman" w:cs="Times New Roman"/>
          <w:sz w:val="24"/>
          <w:szCs w:val="24"/>
        </w:rPr>
        <w:t>ë</w:t>
      </w:r>
      <w:r w:rsidRPr="00554FAF">
        <w:rPr>
          <w:rFonts w:ascii="Times New Roman" w:hAnsi="Times New Roman" w:cs="Times New Roman"/>
          <w:sz w:val="24"/>
          <w:szCs w:val="24"/>
        </w:rPr>
        <w:t>torëve profesional në Gjykatën Komerciale</w:t>
      </w:r>
      <w:r w:rsidR="00152E72" w:rsidRPr="00554FAF">
        <w:rPr>
          <w:rFonts w:ascii="Times New Roman" w:hAnsi="Times New Roman" w:cs="Times New Roman"/>
          <w:sz w:val="24"/>
          <w:szCs w:val="24"/>
        </w:rPr>
        <w:t>;</w:t>
      </w:r>
      <w:r w:rsidRPr="00554FAF">
        <w:rPr>
          <w:rFonts w:ascii="Times New Roman" w:hAnsi="Times New Roman" w:cs="Times New Roman"/>
          <w:sz w:val="24"/>
          <w:szCs w:val="24"/>
        </w:rPr>
        <w:t xml:space="preserve"> (KGjK)</w:t>
      </w:r>
    </w:p>
    <w:p w14:paraId="382653C0" w14:textId="77777777" w:rsidR="00BC2BEE" w:rsidRPr="00554FAF" w:rsidRDefault="00BC2BEE" w:rsidP="00730ACA">
      <w:pPr>
        <w:pStyle w:val="ListParagraph"/>
        <w:numPr>
          <w:ilvl w:val="0"/>
          <w:numId w:val="5"/>
        </w:numPr>
        <w:spacing w:after="60" w:line="240" w:lineRule="auto"/>
        <w:ind w:left="360" w:right="466"/>
        <w:contextualSpacing w:val="0"/>
        <w:jc w:val="both"/>
        <w:rPr>
          <w:rFonts w:ascii="Times New Roman" w:hAnsi="Times New Roman" w:cs="Times New Roman"/>
          <w:sz w:val="24"/>
          <w:szCs w:val="24"/>
        </w:rPr>
      </w:pPr>
      <w:r w:rsidRPr="00554FAF">
        <w:rPr>
          <w:rFonts w:ascii="Times New Roman" w:hAnsi="Times New Roman" w:cs="Times New Roman"/>
          <w:sz w:val="24"/>
          <w:szCs w:val="24"/>
        </w:rPr>
        <w:t>Trajnimi i gjyqtarëve, bashkëpunëtorëve profesional dhe stafit mbështetës të Gjykatës Komerciale në fushat specifike komerciale që do t’i trajtojë kjo gjykatë; (KGjK, AGjK)</w:t>
      </w:r>
    </w:p>
    <w:p w14:paraId="3167C0F8" w14:textId="77777777" w:rsidR="00BC2BEE" w:rsidRPr="00554FAF" w:rsidRDefault="00BC2BEE" w:rsidP="00730ACA">
      <w:pPr>
        <w:pStyle w:val="ListParagraph"/>
        <w:numPr>
          <w:ilvl w:val="0"/>
          <w:numId w:val="5"/>
        </w:numPr>
        <w:spacing w:after="60" w:line="240" w:lineRule="auto"/>
        <w:ind w:left="360" w:right="466"/>
        <w:contextualSpacing w:val="0"/>
        <w:jc w:val="both"/>
        <w:rPr>
          <w:rFonts w:ascii="Times New Roman" w:hAnsi="Times New Roman" w:cs="Times New Roman"/>
          <w:sz w:val="24"/>
          <w:szCs w:val="24"/>
        </w:rPr>
      </w:pPr>
      <w:r w:rsidRPr="00554FAF">
        <w:rPr>
          <w:rFonts w:ascii="Times New Roman" w:hAnsi="Times New Roman" w:cs="Times New Roman"/>
          <w:sz w:val="24"/>
          <w:szCs w:val="24"/>
        </w:rPr>
        <w:t>Zhvillimi i sistemit të brendshëm të gjykatës komerciale për menaxhimin e rrjedhës së lëndëve;</w:t>
      </w:r>
    </w:p>
    <w:p w14:paraId="7462CA39" w14:textId="77777777" w:rsidR="00BC2BEE" w:rsidRPr="00554FAF" w:rsidRDefault="00BC2BEE" w:rsidP="00730ACA">
      <w:pPr>
        <w:pStyle w:val="ListParagraph"/>
        <w:numPr>
          <w:ilvl w:val="0"/>
          <w:numId w:val="5"/>
        </w:numPr>
        <w:spacing w:after="60" w:line="240" w:lineRule="auto"/>
        <w:ind w:left="360" w:right="466"/>
        <w:contextualSpacing w:val="0"/>
        <w:jc w:val="both"/>
        <w:rPr>
          <w:rFonts w:ascii="Times New Roman" w:hAnsi="Times New Roman" w:cs="Times New Roman"/>
          <w:sz w:val="24"/>
          <w:szCs w:val="24"/>
        </w:rPr>
      </w:pPr>
      <w:r w:rsidRPr="00554FAF">
        <w:rPr>
          <w:rFonts w:ascii="Times New Roman" w:hAnsi="Times New Roman" w:cs="Times New Roman"/>
          <w:sz w:val="24"/>
          <w:szCs w:val="24"/>
        </w:rPr>
        <w:t>Trajnimi i stafit administrativ në menaxhimin e rrjedhës së lëndëve; (KGjK)</w:t>
      </w:r>
    </w:p>
    <w:p w14:paraId="0CF4EEA3" w14:textId="0254B862" w:rsidR="00BC2BEE" w:rsidRPr="00554FAF" w:rsidRDefault="00BC2BEE" w:rsidP="00730ACA">
      <w:pPr>
        <w:pStyle w:val="ListParagraph"/>
        <w:numPr>
          <w:ilvl w:val="0"/>
          <w:numId w:val="5"/>
        </w:numPr>
        <w:spacing w:after="60" w:line="240" w:lineRule="auto"/>
        <w:ind w:left="360" w:right="466"/>
        <w:contextualSpacing w:val="0"/>
        <w:jc w:val="both"/>
        <w:rPr>
          <w:rFonts w:ascii="Times New Roman" w:hAnsi="Times New Roman" w:cs="Times New Roman"/>
          <w:sz w:val="24"/>
          <w:szCs w:val="24"/>
        </w:rPr>
      </w:pPr>
      <w:r w:rsidRPr="00554FAF">
        <w:rPr>
          <w:rFonts w:ascii="Times New Roman" w:hAnsi="Times New Roman" w:cs="Times New Roman"/>
          <w:sz w:val="24"/>
          <w:szCs w:val="24"/>
        </w:rPr>
        <w:t>Trajnimi i stafit mbështetës në mbledhjen dhe analizimin e të dhënave të Gjykatës lidhur me zgjidhjen e lëndëve të grumbulluara, kohëzgjatjen e procedurave gjyqësore</w:t>
      </w:r>
      <w:r w:rsidR="00152E72" w:rsidRPr="00554FAF">
        <w:rPr>
          <w:rFonts w:ascii="Times New Roman" w:hAnsi="Times New Roman" w:cs="Times New Roman"/>
          <w:sz w:val="24"/>
          <w:szCs w:val="24"/>
        </w:rPr>
        <w:t xml:space="preserve"> </w:t>
      </w:r>
      <w:r w:rsidRPr="00554FAF">
        <w:rPr>
          <w:rFonts w:ascii="Times New Roman" w:hAnsi="Times New Roman" w:cs="Times New Roman"/>
          <w:sz w:val="24"/>
          <w:szCs w:val="24"/>
        </w:rPr>
        <w:t>dhe shkallën e kthimit apo ndryshimit të vendimeve të shkallës së parë nga shkalla e dytë; (KGjK)</w:t>
      </w:r>
      <w:r w:rsidR="00152E72" w:rsidRPr="00554FAF">
        <w:rPr>
          <w:rFonts w:ascii="Times New Roman" w:hAnsi="Times New Roman" w:cs="Times New Roman"/>
          <w:sz w:val="24"/>
          <w:szCs w:val="24"/>
        </w:rPr>
        <w:t>.</w:t>
      </w:r>
    </w:p>
    <w:p w14:paraId="0C3AD80C" w14:textId="77777777" w:rsidR="00BC2BEE" w:rsidRPr="00554FAF" w:rsidRDefault="00BC2BEE" w:rsidP="00802FB3">
      <w:pPr>
        <w:pStyle w:val="ListParagraph"/>
        <w:numPr>
          <w:ilvl w:val="0"/>
          <w:numId w:val="42"/>
        </w:numPr>
        <w:spacing w:after="60" w:line="240" w:lineRule="auto"/>
        <w:contextualSpacing w:val="0"/>
        <w:rPr>
          <w:rFonts w:ascii="Times New Roman" w:hAnsi="Times New Roman" w:cs="Times New Roman"/>
          <w:b/>
          <w:bCs/>
          <w:sz w:val="24"/>
          <w:szCs w:val="24"/>
        </w:rPr>
      </w:pPr>
      <w:r w:rsidRPr="00554FAF">
        <w:rPr>
          <w:rFonts w:ascii="Times New Roman" w:hAnsi="Times New Roman" w:cs="Times New Roman"/>
          <w:b/>
          <w:bCs/>
          <w:sz w:val="24"/>
          <w:szCs w:val="24"/>
        </w:rPr>
        <w:t>Aktivitetet e planifikuara për 2022:</w:t>
      </w:r>
    </w:p>
    <w:p w14:paraId="487EEC98" w14:textId="77777777" w:rsidR="00BC2BEE" w:rsidRPr="00554FAF" w:rsidRDefault="00BC2BEE" w:rsidP="00730ACA">
      <w:pPr>
        <w:pStyle w:val="ListParagraph"/>
        <w:numPr>
          <w:ilvl w:val="0"/>
          <w:numId w:val="6"/>
        </w:numPr>
        <w:spacing w:after="60" w:line="240" w:lineRule="auto"/>
        <w:ind w:left="360" w:right="466"/>
        <w:contextualSpacing w:val="0"/>
        <w:jc w:val="both"/>
        <w:rPr>
          <w:rFonts w:ascii="Times New Roman" w:hAnsi="Times New Roman" w:cs="Times New Roman"/>
          <w:bCs/>
          <w:sz w:val="24"/>
          <w:szCs w:val="24"/>
        </w:rPr>
      </w:pPr>
      <w:r w:rsidRPr="00554FAF">
        <w:rPr>
          <w:rFonts w:ascii="Times New Roman" w:hAnsi="Times New Roman" w:cs="Times New Roman"/>
          <w:bCs/>
          <w:sz w:val="24"/>
          <w:szCs w:val="24"/>
        </w:rPr>
        <w:t>Trajnimi i gjyqtarëve, bashkëpunëtorëve profesional dhe stafit mbështetës të Gjykatës Komerciale në fushat specifike komerciale që do t’i trajtojë kjo gjykatë; (KGJK)</w:t>
      </w:r>
    </w:p>
    <w:p w14:paraId="484771D0" w14:textId="26D9ACB6" w:rsidR="00BC2BEE" w:rsidRPr="00554FAF" w:rsidRDefault="00482270" w:rsidP="00730ACA">
      <w:pPr>
        <w:pStyle w:val="ListParagraph"/>
        <w:numPr>
          <w:ilvl w:val="0"/>
          <w:numId w:val="6"/>
        </w:numPr>
        <w:spacing w:after="60" w:line="240" w:lineRule="auto"/>
        <w:ind w:left="360" w:right="466"/>
        <w:contextualSpacing w:val="0"/>
        <w:jc w:val="both"/>
        <w:rPr>
          <w:rFonts w:ascii="Times New Roman" w:hAnsi="Times New Roman" w:cs="Times New Roman"/>
          <w:bCs/>
          <w:sz w:val="24"/>
          <w:szCs w:val="24"/>
        </w:rPr>
      </w:pPr>
      <w:r w:rsidRPr="00554FAF">
        <w:rPr>
          <w:rFonts w:ascii="Times New Roman" w:hAnsi="Times New Roman" w:cs="Times New Roman"/>
          <w:bCs/>
          <w:sz w:val="24"/>
          <w:szCs w:val="24"/>
        </w:rPr>
        <w:t>Lans</w:t>
      </w:r>
      <w:r w:rsidR="00BC2BEE" w:rsidRPr="00554FAF">
        <w:rPr>
          <w:rFonts w:ascii="Times New Roman" w:hAnsi="Times New Roman" w:cs="Times New Roman"/>
          <w:bCs/>
          <w:sz w:val="24"/>
          <w:szCs w:val="24"/>
        </w:rPr>
        <w:t>imi i fushatave të ndërgjegjësimit me biznese për ngritjen e besimit për strukturën e reformuar gjyqësore; (MD/KGjK)</w:t>
      </w:r>
      <w:r w:rsidR="00152E72" w:rsidRPr="00554FAF">
        <w:rPr>
          <w:rFonts w:ascii="Times New Roman" w:hAnsi="Times New Roman" w:cs="Times New Roman"/>
          <w:bCs/>
          <w:sz w:val="24"/>
          <w:szCs w:val="24"/>
        </w:rPr>
        <w:t>.</w:t>
      </w:r>
    </w:p>
    <w:p w14:paraId="77E6164B" w14:textId="77777777" w:rsidR="00BC2BEE" w:rsidRPr="00554FAF" w:rsidRDefault="00BC2BEE" w:rsidP="000702CB">
      <w:pPr>
        <w:spacing w:after="60" w:line="240" w:lineRule="auto"/>
        <w:rPr>
          <w:rFonts w:ascii="Times New Roman" w:hAnsi="Times New Roman" w:cs="Times New Roman"/>
          <w:b/>
          <w:bCs/>
          <w:sz w:val="24"/>
          <w:szCs w:val="24"/>
        </w:rPr>
      </w:pPr>
    </w:p>
    <w:p w14:paraId="50F2445D" w14:textId="77777777" w:rsidR="00BC2BEE" w:rsidRPr="00554FAF" w:rsidRDefault="00BC2BEE" w:rsidP="00802FB3">
      <w:pPr>
        <w:pStyle w:val="ListParagraph"/>
        <w:numPr>
          <w:ilvl w:val="0"/>
          <w:numId w:val="43"/>
        </w:numPr>
        <w:spacing w:after="60" w:line="240" w:lineRule="auto"/>
        <w:ind w:left="360"/>
        <w:contextualSpacing w:val="0"/>
        <w:rPr>
          <w:rFonts w:ascii="Times New Roman" w:hAnsi="Times New Roman" w:cs="Times New Roman"/>
          <w:b/>
          <w:bCs/>
          <w:sz w:val="24"/>
          <w:szCs w:val="24"/>
        </w:rPr>
      </w:pPr>
      <w:r w:rsidRPr="00554FAF">
        <w:rPr>
          <w:rFonts w:ascii="Times New Roman" w:hAnsi="Times New Roman" w:cs="Times New Roman"/>
          <w:b/>
          <w:sz w:val="24"/>
          <w:szCs w:val="24"/>
        </w:rPr>
        <w:t>Treguesit e rezultateve</w:t>
      </w:r>
      <w:r w:rsidRPr="00554FAF">
        <w:rPr>
          <w:rFonts w:ascii="Times New Roman" w:hAnsi="Times New Roman" w:cs="Times New Roman"/>
          <w:b/>
          <w:bCs/>
          <w:sz w:val="24"/>
          <w:szCs w:val="24"/>
        </w:rPr>
        <w:t xml:space="preserve">: </w:t>
      </w:r>
    </w:p>
    <w:tbl>
      <w:tblPr>
        <w:tblpPr w:leftFromText="180" w:rightFromText="180" w:vertAnchor="text" w:horzAnchor="margin" w:tblpY="168"/>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5"/>
        <w:gridCol w:w="1800"/>
        <w:gridCol w:w="2250"/>
        <w:gridCol w:w="2160"/>
      </w:tblGrid>
      <w:tr w:rsidR="00BC2BEE" w:rsidRPr="00554FAF" w14:paraId="26E8EF85" w14:textId="77777777" w:rsidTr="00482270">
        <w:trPr>
          <w:trHeight w:val="528"/>
        </w:trPr>
        <w:tc>
          <w:tcPr>
            <w:tcW w:w="3145" w:type="dxa"/>
            <w:shd w:val="clear" w:color="auto" w:fill="auto"/>
          </w:tcPr>
          <w:p w14:paraId="79358D35" w14:textId="77777777" w:rsidR="00BC2BEE" w:rsidRPr="00554FAF" w:rsidRDefault="00BC2BEE" w:rsidP="00BA1A1D">
            <w:pPr>
              <w:pStyle w:val="Default"/>
              <w:jc w:val="center"/>
              <w:rPr>
                <w:b/>
                <w:color w:val="auto"/>
                <w:lang w:val="sq-AL"/>
              </w:rPr>
            </w:pPr>
            <w:r w:rsidRPr="00554FAF">
              <w:rPr>
                <w:b/>
                <w:color w:val="auto"/>
                <w:lang w:val="sq-AL"/>
              </w:rPr>
              <w:t>Treguesi</w:t>
            </w:r>
          </w:p>
        </w:tc>
        <w:tc>
          <w:tcPr>
            <w:tcW w:w="1800" w:type="dxa"/>
            <w:shd w:val="clear" w:color="auto" w:fill="auto"/>
          </w:tcPr>
          <w:p w14:paraId="167719E6" w14:textId="77777777" w:rsidR="00BC2BEE" w:rsidRPr="00554FAF" w:rsidRDefault="00BC2BEE" w:rsidP="00BA1A1D">
            <w:pPr>
              <w:pStyle w:val="Default"/>
              <w:jc w:val="center"/>
              <w:rPr>
                <w:b/>
                <w:color w:val="auto"/>
                <w:lang w:val="sq-AL"/>
              </w:rPr>
            </w:pPr>
            <w:r w:rsidRPr="00554FAF">
              <w:rPr>
                <w:b/>
                <w:color w:val="auto"/>
                <w:lang w:val="sq-AL"/>
              </w:rPr>
              <w:t>Baza 2018</w:t>
            </w:r>
          </w:p>
          <w:p w14:paraId="722958E7" w14:textId="77777777" w:rsidR="00BC2BEE" w:rsidRPr="00554FAF" w:rsidRDefault="00BC2BEE" w:rsidP="00BA1A1D">
            <w:pPr>
              <w:pStyle w:val="Default"/>
              <w:jc w:val="center"/>
              <w:rPr>
                <w:b/>
                <w:color w:val="auto"/>
                <w:lang w:val="sq-AL"/>
              </w:rPr>
            </w:pPr>
          </w:p>
        </w:tc>
        <w:tc>
          <w:tcPr>
            <w:tcW w:w="2250" w:type="dxa"/>
            <w:shd w:val="clear" w:color="auto" w:fill="auto"/>
          </w:tcPr>
          <w:p w14:paraId="374499A5" w14:textId="77777777" w:rsidR="00BC2BEE" w:rsidRPr="00554FAF" w:rsidRDefault="00BC2BEE" w:rsidP="00BA1A1D">
            <w:pPr>
              <w:pStyle w:val="Default"/>
              <w:jc w:val="center"/>
              <w:rPr>
                <w:b/>
                <w:color w:val="auto"/>
                <w:lang w:val="sq-AL"/>
              </w:rPr>
            </w:pPr>
            <w:r w:rsidRPr="00554FAF">
              <w:rPr>
                <w:b/>
                <w:color w:val="auto"/>
                <w:lang w:val="sq-AL"/>
              </w:rPr>
              <w:t>Treguesi i ndërmjetëm   2020</w:t>
            </w:r>
          </w:p>
        </w:tc>
        <w:tc>
          <w:tcPr>
            <w:tcW w:w="2160" w:type="dxa"/>
            <w:shd w:val="clear" w:color="auto" w:fill="auto"/>
          </w:tcPr>
          <w:p w14:paraId="5DC70F01" w14:textId="77777777" w:rsidR="00BC2BEE" w:rsidRPr="00554FAF" w:rsidRDefault="00BC2BEE" w:rsidP="00BA1A1D">
            <w:pPr>
              <w:pStyle w:val="Default"/>
              <w:jc w:val="center"/>
              <w:rPr>
                <w:b/>
                <w:color w:val="auto"/>
                <w:lang w:val="sq-AL"/>
              </w:rPr>
            </w:pPr>
            <w:r w:rsidRPr="00554FAF">
              <w:rPr>
                <w:b/>
                <w:color w:val="auto"/>
                <w:lang w:val="sq-AL"/>
              </w:rPr>
              <w:t>Synimi 2022</w:t>
            </w:r>
          </w:p>
          <w:p w14:paraId="38977ED1" w14:textId="77777777" w:rsidR="00BC2BEE" w:rsidRPr="00554FAF" w:rsidRDefault="00BC2BEE" w:rsidP="00BA1A1D">
            <w:pPr>
              <w:pStyle w:val="Default"/>
              <w:jc w:val="center"/>
              <w:rPr>
                <w:b/>
                <w:color w:val="auto"/>
                <w:lang w:val="sq-AL"/>
              </w:rPr>
            </w:pPr>
          </w:p>
        </w:tc>
      </w:tr>
      <w:tr w:rsidR="00BC2BEE" w:rsidRPr="00554FAF" w14:paraId="0FCBE045" w14:textId="77777777" w:rsidTr="00482270">
        <w:trPr>
          <w:trHeight w:val="712"/>
        </w:trPr>
        <w:tc>
          <w:tcPr>
            <w:tcW w:w="3145" w:type="dxa"/>
          </w:tcPr>
          <w:p w14:paraId="513981C1" w14:textId="77777777" w:rsidR="00BC2BEE" w:rsidRPr="00554FAF" w:rsidRDefault="00BC2BEE" w:rsidP="00BA1A1D">
            <w:pPr>
              <w:pStyle w:val="Default"/>
              <w:jc w:val="both"/>
              <w:rPr>
                <w:iCs/>
                <w:color w:val="auto"/>
                <w:lang w:val="sq-AL"/>
              </w:rPr>
            </w:pPr>
            <w:r w:rsidRPr="00554FAF">
              <w:rPr>
                <w:iCs/>
                <w:color w:val="auto"/>
                <w:lang w:val="sq-AL"/>
              </w:rPr>
              <w:t>1. Zgjidhja e lëndëve të grumbulluara</w:t>
            </w:r>
          </w:p>
        </w:tc>
        <w:tc>
          <w:tcPr>
            <w:tcW w:w="1800" w:type="dxa"/>
          </w:tcPr>
          <w:p w14:paraId="2633AB0C" w14:textId="2D48D14C" w:rsidR="00BC2BEE" w:rsidRPr="00554FAF" w:rsidRDefault="00BC2BEE" w:rsidP="00BA1A1D">
            <w:pPr>
              <w:pStyle w:val="Default"/>
              <w:jc w:val="both"/>
              <w:rPr>
                <w:iCs/>
                <w:lang w:val="sq-AL"/>
              </w:rPr>
            </w:pPr>
            <w:r w:rsidRPr="00554FAF">
              <w:rPr>
                <w:iCs/>
                <w:lang w:val="sq-AL"/>
              </w:rPr>
              <w:t xml:space="preserve">10% zvogëlim i </w:t>
            </w:r>
            <w:r w:rsidR="00152E72" w:rsidRPr="00554FAF">
              <w:rPr>
                <w:iCs/>
                <w:lang w:val="sq-AL"/>
              </w:rPr>
              <w:t xml:space="preserve">ngarkesës </w:t>
            </w:r>
            <w:r w:rsidRPr="00554FAF">
              <w:rPr>
                <w:iCs/>
                <w:lang w:val="sq-AL"/>
              </w:rPr>
              <w:t xml:space="preserve">dhe  100% zgjidhje e lëndëve të reja/110% efikasitet  </w:t>
            </w:r>
          </w:p>
        </w:tc>
        <w:tc>
          <w:tcPr>
            <w:tcW w:w="2250" w:type="dxa"/>
          </w:tcPr>
          <w:p w14:paraId="2735AE59" w14:textId="57C3C229" w:rsidR="00BC2BEE" w:rsidRPr="00554FAF" w:rsidRDefault="00BC2BEE" w:rsidP="00BA1A1D">
            <w:pPr>
              <w:pStyle w:val="Default"/>
              <w:jc w:val="both"/>
              <w:rPr>
                <w:iCs/>
                <w:lang w:val="sq-AL"/>
              </w:rPr>
            </w:pPr>
            <w:r w:rsidRPr="00554FAF">
              <w:rPr>
                <w:iCs/>
                <w:lang w:val="sq-AL"/>
              </w:rPr>
              <w:t xml:space="preserve">35% zvogëlim i </w:t>
            </w:r>
            <w:r w:rsidR="00152E72" w:rsidRPr="00554FAF">
              <w:rPr>
                <w:iCs/>
                <w:lang w:val="sq-AL"/>
              </w:rPr>
              <w:t>ngarkesës</w:t>
            </w:r>
            <w:r w:rsidRPr="00554FAF">
              <w:rPr>
                <w:iCs/>
                <w:lang w:val="sq-AL"/>
              </w:rPr>
              <w:t xml:space="preserve"> (kumulativ) dhe 100% zgjidhje e lëndëve të reja/125% efikasitet</w:t>
            </w:r>
          </w:p>
        </w:tc>
        <w:tc>
          <w:tcPr>
            <w:tcW w:w="2160" w:type="dxa"/>
          </w:tcPr>
          <w:p w14:paraId="516E4EA5" w14:textId="70F2877B" w:rsidR="00BC2BEE" w:rsidRPr="00554FAF" w:rsidRDefault="00BC2BEE" w:rsidP="00BA1A1D">
            <w:pPr>
              <w:pStyle w:val="Default"/>
              <w:jc w:val="both"/>
              <w:rPr>
                <w:i/>
                <w:iCs/>
                <w:lang w:val="sq-AL"/>
              </w:rPr>
            </w:pPr>
            <w:r w:rsidRPr="00554FAF">
              <w:rPr>
                <w:iCs/>
                <w:lang w:val="sq-AL"/>
              </w:rPr>
              <w:t xml:space="preserve">60% zvogëlim i </w:t>
            </w:r>
            <w:r w:rsidR="00152E72" w:rsidRPr="00554FAF">
              <w:rPr>
                <w:iCs/>
                <w:lang w:val="sq-AL"/>
              </w:rPr>
              <w:t>ngarkesës</w:t>
            </w:r>
            <w:r w:rsidRPr="00554FAF">
              <w:rPr>
                <w:iCs/>
                <w:lang w:val="sq-AL"/>
              </w:rPr>
              <w:t xml:space="preserve"> (kumulativ)  dhe 100% zgjidhje e lëndëve të reja/125% efikasitet</w:t>
            </w:r>
          </w:p>
        </w:tc>
      </w:tr>
      <w:tr w:rsidR="00BC2BEE" w:rsidRPr="00554FAF" w14:paraId="0007120C" w14:textId="77777777" w:rsidTr="00482270">
        <w:trPr>
          <w:trHeight w:val="503"/>
        </w:trPr>
        <w:tc>
          <w:tcPr>
            <w:tcW w:w="3145" w:type="dxa"/>
          </w:tcPr>
          <w:p w14:paraId="1B675FC1" w14:textId="77777777" w:rsidR="00BC2BEE" w:rsidRPr="00554FAF" w:rsidRDefault="00BC2BEE" w:rsidP="00BA1A1D">
            <w:pPr>
              <w:pStyle w:val="Default"/>
              <w:jc w:val="both"/>
              <w:rPr>
                <w:iCs/>
                <w:color w:val="auto"/>
                <w:lang w:val="sq-AL"/>
              </w:rPr>
            </w:pPr>
            <w:r w:rsidRPr="00554FAF">
              <w:rPr>
                <w:iCs/>
                <w:color w:val="auto"/>
                <w:lang w:val="sq-AL"/>
              </w:rPr>
              <w:t>2. Kohëzgjatja e zgjidhjes së kontestit</w:t>
            </w:r>
          </w:p>
        </w:tc>
        <w:tc>
          <w:tcPr>
            <w:tcW w:w="1800" w:type="dxa"/>
          </w:tcPr>
          <w:p w14:paraId="67D13ACA" w14:textId="77777777" w:rsidR="00BC2BEE" w:rsidRPr="00554FAF" w:rsidRDefault="00BC2BEE" w:rsidP="00BA1A1D">
            <w:pPr>
              <w:pStyle w:val="Default"/>
              <w:rPr>
                <w:iCs/>
                <w:lang w:val="sq-AL"/>
              </w:rPr>
            </w:pPr>
            <w:r w:rsidRPr="00554FAF">
              <w:rPr>
                <w:iCs/>
                <w:lang w:val="sq-AL"/>
              </w:rPr>
              <w:t>2 vite</w:t>
            </w:r>
          </w:p>
        </w:tc>
        <w:tc>
          <w:tcPr>
            <w:tcW w:w="2250" w:type="dxa"/>
          </w:tcPr>
          <w:p w14:paraId="60C942C1" w14:textId="77777777" w:rsidR="00BC2BEE" w:rsidRPr="00554FAF" w:rsidRDefault="00BC2BEE" w:rsidP="00BA1A1D">
            <w:pPr>
              <w:pStyle w:val="Default"/>
              <w:rPr>
                <w:iCs/>
                <w:lang w:val="sq-AL"/>
              </w:rPr>
            </w:pPr>
            <w:r w:rsidRPr="00554FAF">
              <w:rPr>
                <w:iCs/>
                <w:lang w:val="sq-AL"/>
              </w:rPr>
              <w:t>1.5 vite</w:t>
            </w:r>
          </w:p>
        </w:tc>
        <w:tc>
          <w:tcPr>
            <w:tcW w:w="2160" w:type="dxa"/>
          </w:tcPr>
          <w:p w14:paraId="2412CB1E" w14:textId="77777777" w:rsidR="00BC2BEE" w:rsidRPr="00554FAF" w:rsidRDefault="00BC2BEE" w:rsidP="00BA1A1D">
            <w:pPr>
              <w:pStyle w:val="Default"/>
              <w:rPr>
                <w:iCs/>
                <w:lang w:val="sq-AL"/>
              </w:rPr>
            </w:pPr>
            <w:r w:rsidRPr="00554FAF">
              <w:rPr>
                <w:iCs/>
                <w:lang w:val="sq-AL"/>
              </w:rPr>
              <w:t>1 vit</w:t>
            </w:r>
          </w:p>
        </w:tc>
      </w:tr>
      <w:tr w:rsidR="00BC2BEE" w:rsidRPr="00554FAF" w14:paraId="20852631" w14:textId="77777777" w:rsidTr="00482270">
        <w:trPr>
          <w:trHeight w:val="737"/>
        </w:trPr>
        <w:tc>
          <w:tcPr>
            <w:tcW w:w="3145" w:type="dxa"/>
          </w:tcPr>
          <w:p w14:paraId="2A4C092A" w14:textId="77777777" w:rsidR="00BC2BEE" w:rsidRPr="00554FAF" w:rsidRDefault="00BC2BEE" w:rsidP="00BA1A1D">
            <w:pPr>
              <w:pStyle w:val="Default"/>
              <w:rPr>
                <w:iCs/>
                <w:color w:val="auto"/>
                <w:lang w:val="sq-AL"/>
              </w:rPr>
            </w:pPr>
            <w:r w:rsidRPr="00554FAF">
              <w:rPr>
                <w:iCs/>
                <w:color w:val="auto"/>
                <w:lang w:val="sq-AL"/>
              </w:rPr>
              <w:t xml:space="preserve">3.Shkalla e kthimit/ndryshimit të vendimeve të shkallës së parë nga shkalla të dytë </w:t>
            </w:r>
          </w:p>
        </w:tc>
        <w:tc>
          <w:tcPr>
            <w:tcW w:w="1800" w:type="dxa"/>
          </w:tcPr>
          <w:p w14:paraId="42084994" w14:textId="77777777" w:rsidR="00BC2BEE" w:rsidRPr="00554FAF" w:rsidRDefault="00BC2BEE" w:rsidP="00BA1A1D">
            <w:pPr>
              <w:pStyle w:val="Default"/>
              <w:jc w:val="both"/>
              <w:rPr>
                <w:iCs/>
                <w:lang w:val="sq-AL"/>
              </w:rPr>
            </w:pPr>
            <w:r w:rsidRPr="00554FAF">
              <w:rPr>
                <w:iCs/>
                <w:lang w:val="sq-AL"/>
              </w:rPr>
              <w:t>20%</w:t>
            </w:r>
          </w:p>
        </w:tc>
        <w:tc>
          <w:tcPr>
            <w:tcW w:w="2250" w:type="dxa"/>
          </w:tcPr>
          <w:p w14:paraId="52FB9884" w14:textId="77777777" w:rsidR="00BC2BEE" w:rsidRPr="00554FAF" w:rsidRDefault="00BC2BEE" w:rsidP="00BA1A1D">
            <w:pPr>
              <w:pStyle w:val="Default"/>
              <w:jc w:val="both"/>
              <w:rPr>
                <w:iCs/>
                <w:lang w:val="sq-AL"/>
              </w:rPr>
            </w:pPr>
            <w:r w:rsidRPr="00554FAF">
              <w:rPr>
                <w:iCs/>
                <w:lang w:val="sq-AL"/>
              </w:rPr>
              <w:t>10%</w:t>
            </w:r>
          </w:p>
        </w:tc>
        <w:tc>
          <w:tcPr>
            <w:tcW w:w="2160" w:type="dxa"/>
          </w:tcPr>
          <w:p w14:paraId="1916F36C" w14:textId="77777777" w:rsidR="00BC2BEE" w:rsidRPr="00554FAF" w:rsidRDefault="00BC2BEE" w:rsidP="00BA1A1D">
            <w:pPr>
              <w:pStyle w:val="Default"/>
              <w:jc w:val="both"/>
              <w:rPr>
                <w:iCs/>
                <w:lang w:val="sq-AL"/>
              </w:rPr>
            </w:pPr>
            <w:r w:rsidRPr="00554FAF">
              <w:rPr>
                <w:iCs/>
                <w:lang w:val="sq-AL"/>
              </w:rPr>
              <w:t>10%</w:t>
            </w:r>
          </w:p>
        </w:tc>
      </w:tr>
    </w:tbl>
    <w:p w14:paraId="1C0A39EA" w14:textId="72B7FF26" w:rsidR="00BC2BEE" w:rsidRPr="00554FAF" w:rsidRDefault="00A41A27" w:rsidP="00C91BB6">
      <w:pPr>
        <w:pStyle w:val="Default"/>
        <w:spacing w:after="60"/>
        <w:jc w:val="both"/>
        <w:rPr>
          <w:bCs/>
          <w:lang w:val="sq-AL"/>
        </w:rPr>
      </w:pPr>
      <w:r w:rsidRPr="00554FAF">
        <w:rPr>
          <w:b/>
          <w:bCs/>
          <w:lang w:val="sq-AL"/>
        </w:rPr>
        <w:t xml:space="preserve">3. </w:t>
      </w:r>
      <w:r w:rsidR="00BC2BEE" w:rsidRPr="00554FAF">
        <w:rPr>
          <w:b/>
          <w:bCs/>
          <w:lang w:val="sq-AL"/>
        </w:rPr>
        <w:t xml:space="preserve">Ndikimi i pritur në konkurrueshmëri: </w:t>
      </w:r>
      <w:r w:rsidR="00BC2BEE" w:rsidRPr="00554FAF">
        <w:rPr>
          <w:bCs/>
          <w:lang w:val="sq-AL"/>
        </w:rPr>
        <w:t xml:space="preserve">Krijimi i një adrese të vetme, efektive dhe të specializuar në zgjidhjen e kontesteve afariste kontribuon në ngritjen e sigurisë juridike për dinamizim të veprimtarisë biznesore dhe si rezultat, edhe në rritjen ekonomike të vendit. Ngritja e sigurisë juridike përmes zgjidhjes efikase të kontesteve komerciale nga kjo Gjykatë shërben si stimulim dhe ulje e riskut për zgjerim të bizneseve ekzistuese dhe ndikon në rritjen e investimeve direkte nga kompanitë e huaja dhe diaspora. Rritja e akterëve në treg, duke përfshirë investitorë të huaj që ofrojnë mallra apo shërbime kualitative, ndikon në rritjen e konkurrueshmërisë. </w:t>
      </w:r>
    </w:p>
    <w:p w14:paraId="2B0C0BF1" w14:textId="027362EF" w:rsidR="00BC2BEE" w:rsidRPr="00554FAF" w:rsidRDefault="00A41A27" w:rsidP="00C91BB6">
      <w:pPr>
        <w:jc w:val="both"/>
        <w:rPr>
          <w:rFonts w:ascii="Times New Roman" w:hAnsi="Times New Roman" w:cs="Times New Roman"/>
          <w:b/>
          <w:sz w:val="24"/>
          <w:szCs w:val="24"/>
        </w:rPr>
      </w:pPr>
      <w:r w:rsidRPr="00554FAF">
        <w:rPr>
          <w:rFonts w:ascii="Times New Roman" w:hAnsi="Times New Roman" w:cs="Times New Roman"/>
          <w:bCs/>
          <w:sz w:val="24"/>
          <w:szCs w:val="24"/>
        </w:rPr>
        <w:t xml:space="preserve">4. </w:t>
      </w:r>
      <w:r w:rsidR="00BC2BEE" w:rsidRPr="00554FAF">
        <w:rPr>
          <w:rFonts w:ascii="Times New Roman" w:hAnsi="Times New Roman" w:cs="Times New Roman"/>
          <w:b/>
          <w:sz w:val="24"/>
          <w:szCs w:val="24"/>
        </w:rPr>
        <w:t>Vlerësimi i kostos së aktiviteteve dhe burimet e financimit:</w:t>
      </w:r>
      <w:r w:rsidR="00482270" w:rsidRPr="00554FAF">
        <w:rPr>
          <w:rFonts w:ascii="Times New Roman" w:hAnsi="Times New Roman" w:cs="Times New Roman"/>
          <w:b/>
          <w:sz w:val="24"/>
          <w:szCs w:val="24"/>
        </w:rPr>
        <w:t xml:space="preserve"> </w:t>
      </w:r>
      <w:r w:rsidR="00BC2BEE" w:rsidRPr="00554FAF">
        <w:rPr>
          <w:rFonts w:ascii="Times New Roman" w:hAnsi="Times New Roman" w:cs="Times New Roman"/>
          <w:sz w:val="24"/>
          <w:szCs w:val="24"/>
        </w:rPr>
        <w:t>Kosto e përgjithshme për zbatim të kësaj mase gjatë viteve 2020-2022 vlerësohet të jetë 1,704,270 EUR. Nga kjo vlerë, 25,440 EUR vlerësohet kostoja për vitin 2020, e cila pritet të financohet nga grantet tjera (Projekti i USAID). Për vitin 2021, kostoja vlerësohet të jetë rreth 900,000 EUR, nga të cilat 758,000 pritet të financohen nga Buxheti i Kosovës</w:t>
      </w:r>
      <w:r w:rsidR="00192973" w:rsidRPr="00554FAF">
        <w:rPr>
          <w:rFonts w:ascii="Times New Roman" w:hAnsi="Times New Roman" w:cs="Times New Roman"/>
          <w:sz w:val="24"/>
          <w:szCs w:val="24"/>
        </w:rPr>
        <w:t xml:space="preserve">. Fondet nga buxheti i Kosovës dedikohen për paga dhe furnizime të tjera për zyre sipas punësimit të gjykatësve dhe punonjësve të rinj siç është paraparë me Ligjin për Gjykatën Komerciale. </w:t>
      </w:r>
      <w:r w:rsidR="00BC2BEE" w:rsidRPr="00554FAF">
        <w:rPr>
          <w:rFonts w:ascii="Times New Roman" w:hAnsi="Times New Roman" w:cs="Times New Roman"/>
          <w:sz w:val="24"/>
          <w:szCs w:val="24"/>
        </w:rPr>
        <w:t>141, 025 EUR</w:t>
      </w:r>
      <w:r w:rsidR="00192973" w:rsidRPr="00554FAF">
        <w:rPr>
          <w:rFonts w:ascii="Times New Roman" w:hAnsi="Times New Roman" w:cs="Times New Roman"/>
          <w:sz w:val="24"/>
          <w:szCs w:val="24"/>
        </w:rPr>
        <w:t xml:space="preserve"> tjera shtesë planifikohen të merren</w:t>
      </w:r>
      <w:r w:rsidR="00BC2BEE" w:rsidRPr="00554FAF">
        <w:rPr>
          <w:rFonts w:ascii="Times New Roman" w:hAnsi="Times New Roman" w:cs="Times New Roman"/>
          <w:sz w:val="24"/>
          <w:szCs w:val="24"/>
        </w:rPr>
        <w:t xml:space="preserve"> nga grantet tjera</w:t>
      </w:r>
      <w:r w:rsidR="00192973" w:rsidRPr="00554FAF">
        <w:rPr>
          <w:rFonts w:ascii="Times New Roman" w:hAnsi="Times New Roman" w:cs="Times New Roman"/>
          <w:sz w:val="24"/>
          <w:szCs w:val="24"/>
        </w:rPr>
        <w:t xml:space="preserve"> të dedikuara për programe trajnuese për gjykatës, bashkëpunëtorë profesional dhe stafin mbështetës. </w:t>
      </w:r>
      <w:r w:rsidR="00BC2BEE" w:rsidRPr="00554FAF">
        <w:rPr>
          <w:rFonts w:ascii="Times New Roman" w:hAnsi="Times New Roman" w:cs="Times New Roman"/>
          <w:sz w:val="24"/>
          <w:szCs w:val="24"/>
        </w:rPr>
        <w:t>Kostoja e vlerësuar p</w:t>
      </w:r>
      <w:r w:rsidR="00152E72" w:rsidRPr="00554FAF">
        <w:rPr>
          <w:rFonts w:ascii="Times New Roman" w:hAnsi="Times New Roman" w:cs="Times New Roman"/>
          <w:sz w:val="24"/>
          <w:szCs w:val="24"/>
        </w:rPr>
        <w:t>ë</w:t>
      </w:r>
      <w:r w:rsidR="00BC2BEE" w:rsidRPr="00554FAF">
        <w:rPr>
          <w:rFonts w:ascii="Times New Roman" w:hAnsi="Times New Roman" w:cs="Times New Roman"/>
          <w:sz w:val="24"/>
          <w:szCs w:val="24"/>
        </w:rPr>
        <w:t>r vitin 2022 është 779,805 nga të cilat 701,600 pritet të financohen nga Buxheti i Kosovës dhe 78,205 nga grantet tjera.</w:t>
      </w:r>
    </w:p>
    <w:p w14:paraId="2576B3C3" w14:textId="22B9704D" w:rsidR="00BC2BEE" w:rsidRPr="00554FAF" w:rsidRDefault="00A41A27" w:rsidP="00C91BB6">
      <w:pPr>
        <w:jc w:val="both"/>
        <w:rPr>
          <w:rFonts w:ascii="Times New Roman" w:hAnsi="Times New Roman" w:cs="Times New Roman"/>
          <w:bCs/>
          <w:sz w:val="24"/>
          <w:szCs w:val="24"/>
        </w:rPr>
      </w:pPr>
      <w:r w:rsidRPr="00554FAF">
        <w:rPr>
          <w:rFonts w:ascii="Times New Roman" w:hAnsi="Times New Roman" w:cs="Times New Roman"/>
          <w:b/>
          <w:sz w:val="24"/>
          <w:szCs w:val="24"/>
        </w:rPr>
        <w:t xml:space="preserve">5. </w:t>
      </w:r>
      <w:r w:rsidR="00BC2BEE" w:rsidRPr="00554FAF">
        <w:rPr>
          <w:rFonts w:ascii="Times New Roman" w:hAnsi="Times New Roman" w:cs="Times New Roman"/>
          <w:bCs/>
          <w:sz w:val="24"/>
          <w:szCs w:val="24"/>
        </w:rPr>
        <w:t xml:space="preserve">Ndikimet e pritshme mbi rezultatet sociale, të tilla si punësimi, reduktimi i varfërisë, barazia gjinore: Ndërmarrjet e vogla dhe të mesme (NVM) përbëjnë 99% të ndërmarrjeve në Kosovë. Në rast të një mosmarrëveshje, proceset e ngadalta gjyqësore mund të vënë në rrezik vendet e punës dhe bizneset familjare. Procedurat e parashikueshme dhe efektive të vendosjes dhe zbatimit të kontratave përcaktojnë nëse një NVM mund të mbijetojë dhe të rritet. Me rritjen e sigurisë juridike, rritet edhe interesimi për investime nga jashtë. Investimet e reja dinamizojnë tregun e punës dhe stimulojnë ngritjen e shkallës së pjesëmarrjes së grave në tregun e punës. </w:t>
      </w:r>
      <w:r w:rsidR="00152E72" w:rsidRPr="00554FAF">
        <w:rPr>
          <w:rFonts w:ascii="Times New Roman" w:hAnsi="Times New Roman" w:cs="Times New Roman"/>
          <w:bCs/>
          <w:sz w:val="24"/>
          <w:szCs w:val="24"/>
        </w:rPr>
        <w:t>Gjithashtu, s</w:t>
      </w:r>
      <w:r w:rsidR="00BC2BEE" w:rsidRPr="00554FAF">
        <w:rPr>
          <w:rFonts w:ascii="Times New Roman" w:hAnsi="Times New Roman" w:cs="Times New Roman"/>
          <w:bCs/>
          <w:sz w:val="24"/>
          <w:szCs w:val="24"/>
        </w:rPr>
        <w:t>iguria juridike siguron kosto operative më të parashikueshme dhe më të përballueshme për bizneset</w:t>
      </w:r>
      <w:r w:rsidR="00152E72" w:rsidRPr="00554FAF">
        <w:rPr>
          <w:rFonts w:ascii="Times New Roman" w:hAnsi="Times New Roman" w:cs="Times New Roman"/>
          <w:bCs/>
          <w:sz w:val="24"/>
          <w:szCs w:val="24"/>
        </w:rPr>
        <w:t>.</w:t>
      </w:r>
    </w:p>
    <w:p w14:paraId="55DB03F3" w14:textId="7FDC282B" w:rsidR="00BC2BEE" w:rsidRPr="00554FAF" w:rsidRDefault="00A41A27" w:rsidP="00C91BB6">
      <w:pPr>
        <w:spacing w:after="60" w:line="240" w:lineRule="auto"/>
        <w:jc w:val="both"/>
        <w:rPr>
          <w:rFonts w:ascii="Times New Roman" w:hAnsi="Times New Roman" w:cs="Times New Roman"/>
          <w:bCs/>
          <w:iCs/>
          <w:sz w:val="24"/>
          <w:szCs w:val="24"/>
        </w:rPr>
      </w:pPr>
      <w:r w:rsidRPr="00554FAF">
        <w:rPr>
          <w:rFonts w:ascii="Times New Roman" w:hAnsi="Times New Roman" w:cs="Times New Roman"/>
          <w:b/>
          <w:bCs/>
          <w:sz w:val="24"/>
          <w:szCs w:val="24"/>
        </w:rPr>
        <w:t xml:space="preserve">6. </w:t>
      </w:r>
      <w:r w:rsidR="00BC2BEE" w:rsidRPr="00554FAF">
        <w:rPr>
          <w:rFonts w:ascii="Times New Roman" w:hAnsi="Times New Roman" w:cs="Times New Roman"/>
          <w:b/>
          <w:bCs/>
          <w:sz w:val="24"/>
          <w:szCs w:val="24"/>
        </w:rPr>
        <w:t xml:space="preserve">Ndikimi i pritshëm në mjedis: </w:t>
      </w:r>
      <w:r w:rsidR="00BC2BEE" w:rsidRPr="00554FAF">
        <w:rPr>
          <w:rFonts w:ascii="Times New Roman" w:hAnsi="Times New Roman" w:cs="Times New Roman"/>
          <w:bCs/>
          <w:iCs/>
          <w:sz w:val="24"/>
          <w:szCs w:val="24"/>
        </w:rPr>
        <w:t xml:space="preserve"> Nuk ka ndikim relevant ne mjedis. </w:t>
      </w:r>
    </w:p>
    <w:p w14:paraId="4E335F63" w14:textId="77777777" w:rsidR="00BC2BEE" w:rsidRPr="00554FAF" w:rsidRDefault="00BC2BEE" w:rsidP="000702CB">
      <w:pPr>
        <w:spacing w:after="60" w:line="240" w:lineRule="auto"/>
        <w:jc w:val="both"/>
        <w:rPr>
          <w:rFonts w:ascii="Times New Roman" w:hAnsi="Times New Roman" w:cs="Times New Roman"/>
          <w:b/>
          <w:bCs/>
          <w:sz w:val="24"/>
          <w:szCs w:val="24"/>
        </w:rPr>
      </w:pPr>
    </w:p>
    <w:tbl>
      <w:tblPr>
        <w:tblpPr w:leftFromText="180" w:rightFromText="180" w:vertAnchor="text" w:horzAnchor="margin" w:tblpY="584"/>
        <w:tblOverlap w:val="neve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1517"/>
        <w:gridCol w:w="5130"/>
      </w:tblGrid>
      <w:tr w:rsidR="00BC2BEE" w:rsidRPr="00554FAF" w14:paraId="24FA3D72" w14:textId="77777777" w:rsidTr="004A424A">
        <w:trPr>
          <w:trHeight w:val="618"/>
        </w:trPr>
        <w:tc>
          <w:tcPr>
            <w:tcW w:w="2978" w:type="dxa"/>
            <w:shd w:val="clear" w:color="auto" w:fill="auto"/>
          </w:tcPr>
          <w:p w14:paraId="23DF3833" w14:textId="77777777" w:rsidR="00BC2BEE" w:rsidRPr="00554FAF" w:rsidRDefault="00BC2BEE" w:rsidP="000702CB">
            <w:pPr>
              <w:pStyle w:val="Default"/>
              <w:spacing w:after="60"/>
              <w:jc w:val="both"/>
              <w:rPr>
                <w:lang w:val="sq-AL"/>
              </w:rPr>
            </w:pPr>
            <w:r w:rsidRPr="00554FAF">
              <w:rPr>
                <w:b/>
                <w:bCs/>
                <w:lang w:val="sq-AL"/>
              </w:rPr>
              <w:t xml:space="preserve">Rreziku </w:t>
            </w:r>
          </w:p>
          <w:p w14:paraId="457BD132" w14:textId="77777777" w:rsidR="00BC2BEE" w:rsidRPr="00554FAF" w:rsidRDefault="00BC2BEE" w:rsidP="000702CB">
            <w:pPr>
              <w:pStyle w:val="Default"/>
              <w:spacing w:after="60"/>
              <w:jc w:val="both"/>
              <w:rPr>
                <w:lang w:val="sq-AL"/>
              </w:rPr>
            </w:pPr>
          </w:p>
        </w:tc>
        <w:tc>
          <w:tcPr>
            <w:tcW w:w="1517" w:type="dxa"/>
            <w:shd w:val="clear" w:color="auto" w:fill="auto"/>
          </w:tcPr>
          <w:p w14:paraId="3A154EBF" w14:textId="77777777" w:rsidR="00BC2BEE" w:rsidRPr="00554FAF" w:rsidRDefault="00BC2BEE" w:rsidP="000702CB">
            <w:pPr>
              <w:pStyle w:val="Default"/>
              <w:spacing w:after="60"/>
              <w:ind w:right="-122"/>
              <w:rPr>
                <w:lang w:val="sq-AL"/>
              </w:rPr>
            </w:pPr>
            <w:r w:rsidRPr="00554FAF">
              <w:rPr>
                <w:b/>
                <w:bCs/>
                <w:lang w:val="sq-AL"/>
              </w:rPr>
              <w:t xml:space="preserve">Probabiliteti (i ulët ose i lartë) </w:t>
            </w:r>
          </w:p>
        </w:tc>
        <w:tc>
          <w:tcPr>
            <w:tcW w:w="5130" w:type="dxa"/>
            <w:shd w:val="clear" w:color="auto" w:fill="auto"/>
          </w:tcPr>
          <w:p w14:paraId="5E7AB839" w14:textId="77777777" w:rsidR="00BC2BEE" w:rsidRPr="00554FAF" w:rsidRDefault="00BC2BEE" w:rsidP="000702CB">
            <w:pPr>
              <w:pStyle w:val="Default"/>
              <w:spacing w:after="60"/>
              <w:rPr>
                <w:lang w:val="sq-AL"/>
              </w:rPr>
            </w:pPr>
            <w:r w:rsidRPr="00554FAF">
              <w:rPr>
                <w:b/>
                <w:bCs/>
                <w:lang w:val="sq-AL"/>
              </w:rPr>
              <w:t xml:space="preserve">Veprimi lehtësues i planifikuar </w:t>
            </w:r>
          </w:p>
        </w:tc>
      </w:tr>
      <w:tr w:rsidR="00BC2BEE" w:rsidRPr="00554FAF" w14:paraId="51E2740B" w14:textId="77777777" w:rsidTr="004A424A">
        <w:trPr>
          <w:trHeight w:val="606"/>
        </w:trPr>
        <w:tc>
          <w:tcPr>
            <w:tcW w:w="2978" w:type="dxa"/>
            <w:shd w:val="clear" w:color="auto" w:fill="auto"/>
          </w:tcPr>
          <w:p w14:paraId="2F1416FB" w14:textId="77777777" w:rsidR="00BC2BEE" w:rsidRPr="00554FAF" w:rsidRDefault="00BC2BEE" w:rsidP="000702CB">
            <w:pPr>
              <w:pStyle w:val="Default"/>
              <w:spacing w:after="60"/>
              <w:jc w:val="both"/>
              <w:rPr>
                <w:lang w:val="sq-AL"/>
              </w:rPr>
            </w:pPr>
            <w:r w:rsidRPr="00554FAF">
              <w:rPr>
                <w:lang w:val="sq-AL"/>
              </w:rPr>
              <w:t xml:space="preserve">Vonesat në miratim të projektligjeve </w:t>
            </w:r>
          </w:p>
          <w:p w14:paraId="30C2697C" w14:textId="77777777" w:rsidR="00BC2BEE" w:rsidRPr="00554FAF" w:rsidRDefault="00BC2BEE" w:rsidP="000702CB">
            <w:pPr>
              <w:pStyle w:val="Default"/>
              <w:spacing w:after="60"/>
              <w:jc w:val="both"/>
              <w:rPr>
                <w:lang w:val="sq-AL"/>
              </w:rPr>
            </w:pPr>
          </w:p>
        </w:tc>
        <w:tc>
          <w:tcPr>
            <w:tcW w:w="1517" w:type="dxa"/>
            <w:shd w:val="clear" w:color="auto" w:fill="auto"/>
          </w:tcPr>
          <w:p w14:paraId="2D558CC5" w14:textId="77777777" w:rsidR="00BC2BEE" w:rsidRPr="00554FAF" w:rsidRDefault="00BC2BEE" w:rsidP="000702CB">
            <w:pPr>
              <w:pStyle w:val="Default"/>
              <w:spacing w:after="60"/>
              <w:jc w:val="both"/>
              <w:rPr>
                <w:lang w:val="sq-AL"/>
              </w:rPr>
            </w:pPr>
            <w:r w:rsidRPr="00554FAF">
              <w:rPr>
                <w:lang w:val="sq-AL"/>
              </w:rPr>
              <w:t>Mesëm</w:t>
            </w:r>
          </w:p>
        </w:tc>
        <w:tc>
          <w:tcPr>
            <w:tcW w:w="5130" w:type="dxa"/>
            <w:shd w:val="clear" w:color="auto" w:fill="auto"/>
          </w:tcPr>
          <w:p w14:paraId="6329B3C5" w14:textId="5DCB03AF" w:rsidR="00BC2BEE" w:rsidRPr="00554FAF" w:rsidRDefault="00BC2BEE" w:rsidP="00F3381D">
            <w:pPr>
              <w:pStyle w:val="Default"/>
              <w:spacing w:after="60"/>
              <w:jc w:val="both"/>
              <w:rPr>
                <w:lang w:val="sq-AL"/>
              </w:rPr>
            </w:pPr>
            <w:r w:rsidRPr="00554FAF">
              <w:rPr>
                <w:lang w:val="sq-AL"/>
              </w:rPr>
              <w:t xml:space="preserve">Vonesat në miratimin e ligjeve nga Kuvendi mund të ndikojë afatet e aktiviteteve përcjellëse për themelimin e Gjykatës Komerciale. Ciklet zgjedhore mund te jenë të paparashikueshme, gjë që mund t’i ndikojë afatet kohore të miratimit dhe zbatimit të projektligjit për </w:t>
            </w:r>
            <w:r w:rsidR="00152E72" w:rsidRPr="00554FAF">
              <w:rPr>
                <w:lang w:val="sq-AL"/>
              </w:rPr>
              <w:t>G</w:t>
            </w:r>
            <w:r w:rsidRPr="00554FAF">
              <w:rPr>
                <w:lang w:val="sq-AL"/>
              </w:rPr>
              <w:t xml:space="preserve">jykatën </w:t>
            </w:r>
            <w:r w:rsidR="00152E72" w:rsidRPr="00554FAF">
              <w:rPr>
                <w:lang w:val="sq-AL"/>
              </w:rPr>
              <w:t>K</w:t>
            </w:r>
            <w:r w:rsidRPr="00554FAF">
              <w:rPr>
                <w:lang w:val="sq-AL"/>
              </w:rPr>
              <w:t xml:space="preserve">omerciale. </w:t>
            </w:r>
          </w:p>
        </w:tc>
      </w:tr>
    </w:tbl>
    <w:p w14:paraId="778A9DEA" w14:textId="22892EF4" w:rsidR="00BC2BEE" w:rsidRPr="00554FAF" w:rsidRDefault="00A41A27" w:rsidP="00C91BB6">
      <w:pPr>
        <w:spacing w:after="60" w:line="240" w:lineRule="auto"/>
        <w:rPr>
          <w:rFonts w:ascii="Times New Roman" w:hAnsi="Times New Roman" w:cs="Times New Roman"/>
          <w:sz w:val="24"/>
          <w:szCs w:val="24"/>
        </w:rPr>
      </w:pPr>
      <w:r w:rsidRPr="00554FAF">
        <w:rPr>
          <w:rFonts w:ascii="Times New Roman" w:hAnsi="Times New Roman" w:cs="Times New Roman"/>
          <w:b/>
          <w:bCs/>
          <w:color w:val="000000"/>
          <w:sz w:val="24"/>
          <w:szCs w:val="24"/>
        </w:rPr>
        <w:t xml:space="preserve">7. </w:t>
      </w:r>
      <w:r w:rsidR="00BC2BEE" w:rsidRPr="00554FAF">
        <w:rPr>
          <w:rFonts w:ascii="Times New Roman" w:hAnsi="Times New Roman" w:cs="Times New Roman"/>
          <w:b/>
          <w:bCs/>
          <w:color w:val="000000"/>
          <w:sz w:val="24"/>
          <w:szCs w:val="24"/>
        </w:rPr>
        <w:t>Rreziqet potenciale:</w:t>
      </w:r>
    </w:p>
    <w:p w14:paraId="1BD904A2" w14:textId="77777777" w:rsidR="00BC2BEE" w:rsidRPr="00554FAF" w:rsidRDefault="00BC2BEE" w:rsidP="000702CB">
      <w:pPr>
        <w:spacing w:after="6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BC2BEE" w:rsidRPr="00554FAF" w14:paraId="16699F81" w14:textId="77777777" w:rsidTr="004A424A">
        <w:tc>
          <w:tcPr>
            <w:tcW w:w="9350" w:type="dxa"/>
            <w:shd w:val="clear" w:color="auto" w:fill="5B9BD5"/>
          </w:tcPr>
          <w:p w14:paraId="72A3F136" w14:textId="064FD7C7" w:rsidR="00BC2BEE" w:rsidRPr="00554FAF" w:rsidRDefault="00BC2BEE" w:rsidP="005A5112">
            <w:pPr>
              <w:spacing w:after="60" w:line="240" w:lineRule="auto"/>
              <w:rPr>
                <w:rFonts w:ascii="Times New Roman" w:hAnsi="Times New Roman" w:cs="Times New Roman"/>
                <w:b/>
                <w:bCs/>
                <w:sz w:val="24"/>
                <w:szCs w:val="24"/>
              </w:rPr>
            </w:pPr>
            <w:r w:rsidRPr="00554FAF">
              <w:rPr>
                <w:rFonts w:ascii="Times New Roman" w:hAnsi="Times New Roman" w:cs="Times New Roman"/>
                <w:b/>
                <w:bCs/>
                <w:sz w:val="24"/>
                <w:szCs w:val="24"/>
              </w:rPr>
              <w:t xml:space="preserve">Masa e reformës 10: </w:t>
            </w:r>
            <w:r w:rsidRPr="00554FAF">
              <w:rPr>
                <w:rFonts w:ascii="Times New Roman" w:hAnsi="Times New Roman" w:cs="Times New Roman"/>
                <w:b/>
                <w:bCs/>
                <w:iCs/>
                <w:sz w:val="24"/>
                <w:szCs w:val="24"/>
              </w:rPr>
              <w:t xml:space="preserve">Ulja e </w:t>
            </w:r>
            <w:r w:rsidR="00193C88" w:rsidRPr="00554FAF">
              <w:rPr>
                <w:rFonts w:ascii="Times New Roman" w:hAnsi="Times New Roman" w:cs="Times New Roman"/>
                <w:b/>
                <w:bCs/>
                <w:iCs/>
                <w:sz w:val="24"/>
                <w:szCs w:val="24"/>
              </w:rPr>
              <w:t xml:space="preserve">ekonomisë joformale </w:t>
            </w:r>
            <w:r w:rsidRPr="00554FAF">
              <w:rPr>
                <w:rFonts w:ascii="Times New Roman" w:hAnsi="Times New Roman" w:cs="Times New Roman"/>
                <w:b/>
                <w:bCs/>
                <w:iCs/>
                <w:sz w:val="24"/>
                <w:szCs w:val="24"/>
              </w:rPr>
              <w:t>në sektorin e pronave të paluajtshme</w:t>
            </w:r>
          </w:p>
        </w:tc>
      </w:tr>
    </w:tbl>
    <w:p w14:paraId="6D18C724" w14:textId="1FA71B4E" w:rsidR="00BC2BEE" w:rsidRPr="00554FAF" w:rsidRDefault="00BC2BEE" w:rsidP="000702CB">
      <w:pPr>
        <w:pStyle w:val="Default"/>
        <w:spacing w:after="60"/>
        <w:jc w:val="both"/>
        <w:rPr>
          <w:lang w:val="sq-AL"/>
        </w:rPr>
      </w:pPr>
      <w:r w:rsidRPr="00554FAF">
        <w:rPr>
          <w:b/>
          <w:bCs/>
          <w:lang w:val="sq-AL"/>
        </w:rPr>
        <w:t>1. Përshkrimi i masës:</w:t>
      </w:r>
      <w:r w:rsidRPr="00554FAF">
        <w:rPr>
          <w:bCs/>
          <w:lang w:val="sq-AL"/>
        </w:rPr>
        <w:t xml:space="preserve"> </w:t>
      </w:r>
      <w:r w:rsidRPr="00554FAF">
        <w:rPr>
          <w:lang w:val="sq-AL"/>
        </w:rPr>
        <w:t>Kjo masë propozon shfrytëzimin e procedurave efikase administrative të Agjencisë Kosovare për Krahasim dhe Verifikim të Pronës (AKKVP), si trup kuazi</w:t>
      </w:r>
      <w:r w:rsidR="00482270" w:rsidRPr="00554FAF">
        <w:rPr>
          <w:lang w:val="sq-AL"/>
        </w:rPr>
        <w:t xml:space="preserve"> </w:t>
      </w:r>
      <w:r w:rsidRPr="00554FAF">
        <w:rPr>
          <w:lang w:val="sq-AL"/>
        </w:rPr>
        <w:t>gjyqësor, për t’i ofruar njohje formale dhe ligjore bartësve faktik të të drejtave joformale pronësore, kështu që ato të mund të regjistrohen në kadastër. Reforma parasheh mveshjen e AKKVP-së me mandat për të shërbyer si organ shqyrtues për të vendosur dhe ofruar njohje juridike të të drejtave joformale të pakontestueshme. Kjo reformë kontribuon në shkarkimin e gjykatave nga kërkesat për formalizim</w:t>
      </w:r>
      <w:r w:rsidR="00193C88" w:rsidRPr="00554FAF">
        <w:rPr>
          <w:lang w:val="sq-AL"/>
        </w:rPr>
        <w:t xml:space="preserve"> </w:t>
      </w:r>
      <w:r w:rsidRPr="00554FAF">
        <w:rPr>
          <w:lang w:val="sq-AL"/>
        </w:rPr>
        <w:t>dhe i ofron qytetarëve një zgjidhje të shpejtë të kërkesave të tyre për formalizmin e të drejtave pronësore. Kadastri është legjitim atëherë kur të dhënat kadastrale përputhen me gjendjen faktike dhe i shërben dinamikave të ekonomisë së tregut. Objektiv i përgjithshëm i kësaj mase është transformimi i kadastrit në një platformë të besueshme të të dhënave mbi pronat dhe bartësit e të drejtave pronësore në Kosovë. Kjo masë është rrjedhoje e reformave të filluara në PRE 2016 -2018 dhe bazohet  në  Strategjinë Kombëtare për të Drejtat Pronësore, e sponsorizuar nga Ministria e Drejtësisë.</w:t>
      </w:r>
    </w:p>
    <w:p w14:paraId="15ED4575" w14:textId="77777777" w:rsidR="00BC2BEE" w:rsidRPr="00554FAF" w:rsidRDefault="00BC2BEE" w:rsidP="00BA1A1D">
      <w:pPr>
        <w:pStyle w:val="NoSpacing"/>
        <w:spacing w:after="60"/>
        <w:rPr>
          <w:rFonts w:ascii="Times New Roman" w:hAnsi="Times New Roman"/>
          <w:b/>
          <w:sz w:val="24"/>
          <w:szCs w:val="24"/>
          <w:lang w:val="sq-AL"/>
        </w:rPr>
      </w:pPr>
      <w:r w:rsidRPr="00554FAF">
        <w:rPr>
          <w:rFonts w:ascii="Times New Roman" w:hAnsi="Times New Roman"/>
          <w:b/>
          <w:sz w:val="24"/>
          <w:szCs w:val="24"/>
          <w:lang w:val="sq-AL"/>
        </w:rPr>
        <w:t>a.  Aktivitetet e planifikuara për 2020:</w:t>
      </w:r>
    </w:p>
    <w:p w14:paraId="4A8E60AF" w14:textId="31203E2D" w:rsidR="00BC2BEE" w:rsidRPr="00F3381D" w:rsidRDefault="00BC2BEE" w:rsidP="00802FB3">
      <w:pPr>
        <w:pStyle w:val="NoSpacing"/>
        <w:numPr>
          <w:ilvl w:val="0"/>
          <w:numId w:val="63"/>
        </w:numPr>
        <w:spacing w:after="60"/>
        <w:jc w:val="both"/>
        <w:rPr>
          <w:rFonts w:ascii="Times New Roman" w:hAnsi="Times New Roman"/>
          <w:sz w:val="24"/>
          <w:szCs w:val="24"/>
          <w:lang w:val="sq-AL"/>
        </w:rPr>
      </w:pPr>
      <w:r w:rsidRPr="00F3381D">
        <w:rPr>
          <w:rFonts w:ascii="Times New Roman" w:hAnsi="Times New Roman"/>
          <w:sz w:val="24"/>
          <w:szCs w:val="24"/>
          <w:lang w:val="sq-AL"/>
        </w:rPr>
        <w:t xml:space="preserve">Miratimi i </w:t>
      </w:r>
      <w:r w:rsidR="00193C88" w:rsidRPr="00F3381D">
        <w:rPr>
          <w:rFonts w:ascii="Times New Roman" w:hAnsi="Times New Roman"/>
          <w:sz w:val="24"/>
          <w:szCs w:val="24"/>
          <w:lang w:val="sq-AL"/>
        </w:rPr>
        <w:t>p</w:t>
      </w:r>
      <w:r w:rsidRPr="00F3381D">
        <w:rPr>
          <w:rFonts w:ascii="Times New Roman" w:hAnsi="Times New Roman"/>
          <w:sz w:val="24"/>
          <w:szCs w:val="24"/>
          <w:lang w:val="sq-AL"/>
        </w:rPr>
        <w:t xml:space="preserve">rojektligjit për </w:t>
      </w:r>
      <w:r w:rsidR="00193C88" w:rsidRPr="00F3381D">
        <w:rPr>
          <w:rFonts w:ascii="Times New Roman" w:hAnsi="Times New Roman"/>
          <w:sz w:val="24"/>
          <w:szCs w:val="24"/>
          <w:lang w:val="sq-AL"/>
        </w:rPr>
        <w:t>pl</w:t>
      </w:r>
      <w:r w:rsidRPr="00F3381D">
        <w:rPr>
          <w:rFonts w:ascii="Times New Roman" w:hAnsi="Times New Roman"/>
          <w:sz w:val="24"/>
          <w:szCs w:val="24"/>
          <w:lang w:val="sq-AL"/>
        </w:rPr>
        <w:t>otësim</w:t>
      </w:r>
      <w:r w:rsidR="00193C88" w:rsidRPr="00F3381D">
        <w:rPr>
          <w:rFonts w:ascii="Times New Roman" w:hAnsi="Times New Roman"/>
          <w:sz w:val="24"/>
          <w:szCs w:val="24"/>
          <w:lang w:val="sq-AL"/>
        </w:rPr>
        <w:t>in dhe n</w:t>
      </w:r>
      <w:r w:rsidRPr="00F3381D">
        <w:rPr>
          <w:rFonts w:ascii="Times New Roman" w:hAnsi="Times New Roman"/>
          <w:sz w:val="24"/>
          <w:szCs w:val="24"/>
          <w:lang w:val="sq-AL"/>
        </w:rPr>
        <w:t>dryshimin e Ligjit për Agjencinë Kosovare për Krahasim dhe Verifikim të Pronës</w:t>
      </w:r>
      <w:r w:rsidR="00193C88" w:rsidRPr="00F3381D">
        <w:rPr>
          <w:rFonts w:ascii="Times New Roman" w:hAnsi="Times New Roman"/>
          <w:sz w:val="24"/>
          <w:szCs w:val="24"/>
          <w:lang w:val="sq-AL"/>
        </w:rPr>
        <w:t>;</w:t>
      </w:r>
      <w:r w:rsidRPr="00F3381D">
        <w:rPr>
          <w:rFonts w:ascii="Times New Roman" w:hAnsi="Times New Roman"/>
          <w:sz w:val="24"/>
          <w:szCs w:val="24"/>
          <w:lang w:val="sq-AL"/>
        </w:rPr>
        <w:t xml:space="preserve"> (ZKM)</w:t>
      </w:r>
    </w:p>
    <w:p w14:paraId="532008D8" w14:textId="445FCCC9" w:rsidR="00BC2BEE" w:rsidRPr="00F3381D" w:rsidRDefault="00BC2BEE" w:rsidP="00802FB3">
      <w:pPr>
        <w:pStyle w:val="NoSpacing"/>
        <w:numPr>
          <w:ilvl w:val="0"/>
          <w:numId w:val="63"/>
        </w:numPr>
        <w:spacing w:after="60"/>
        <w:jc w:val="both"/>
        <w:rPr>
          <w:rFonts w:ascii="Times New Roman" w:hAnsi="Times New Roman"/>
          <w:sz w:val="24"/>
          <w:szCs w:val="24"/>
          <w:lang w:val="sq-AL"/>
        </w:rPr>
      </w:pPr>
      <w:r w:rsidRPr="00F3381D">
        <w:rPr>
          <w:rFonts w:ascii="Times New Roman" w:hAnsi="Times New Roman"/>
          <w:sz w:val="24"/>
          <w:szCs w:val="24"/>
          <w:lang w:val="sq-AL"/>
        </w:rPr>
        <w:t xml:space="preserve">Miratimi i </w:t>
      </w:r>
      <w:r w:rsidR="00193C88" w:rsidRPr="00F3381D">
        <w:rPr>
          <w:rFonts w:ascii="Times New Roman" w:hAnsi="Times New Roman"/>
          <w:sz w:val="24"/>
          <w:szCs w:val="24"/>
          <w:lang w:val="sq-AL"/>
        </w:rPr>
        <w:t xml:space="preserve">projektligjeve </w:t>
      </w:r>
      <w:r w:rsidRPr="00F3381D">
        <w:rPr>
          <w:rFonts w:ascii="Times New Roman" w:hAnsi="Times New Roman"/>
          <w:sz w:val="24"/>
          <w:szCs w:val="24"/>
          <w:lang w:val="sq-AL"/>
        </w:rPr>
        <w:t>për Kadastrën</w:t>
      </w:r>
      <w:r w:rsidR="00193C88" w:rsidRPr="00F3381D">
        <w:rPr>
          <w:rFonts w:ascii="Times New Roman" w:hAnsi="Times New Roman"/>
          <w:sz w:val="24"/>
          <w:szCs w:val="24"/>
          <w:lang w:val="sq-AL"/>
        </w:rPr>
        <w:t xml:space="preserve"> (MMPH)</w:t>
      </w:r>
      <w:r w:rsidRPr="00F3381D">
        <w:rPr>
          <w:rFonts w:ascii="Times New Roman" w:hAnsi="Times New Roman"/>
          <w:sz w:val="24"/>
          <w:szCs w:val="24"/>
          <w:lang w:val="sq-AL"/>
        </w:rPr>
        <w:t>, Tok</w:t>
      </w:r>
      <w:r w:rsidR="00193C88" w:rsidRPr="00F3381D">
        <w:rPr>
          <w:rFonts w:ascii="Times New Roman" w:hAnsi="Times New Roman"/>
          <w:sz w:val="24"/>
          <w:szCs w:val="24"/>
          <w:lang w:val="sq-AL"/>
        </w:rPr>
        <w:t>ë</w:t>
      </w:r>
      <w:r w:rsidRPr="00F3381D">
        <w:rPr>
          <w:rFonts w:ascii="Times New Roman" w:hAnsi="Times New Roman"/>
          <w:sz w:val="24"/>
          <w:szCs w:val="24"/>
          <w:lang w:val="sq-AL"/>
        </w:rPr>
        <w:t>n Ndërtimore</w:t>
      </w:r>
      <w:r w:rsidR="00193C88" w:rsidRPr="00F3381D">
        <w:rPr>
          <w:rFonts w:ascii="Times New Roman" w:hAnsi="Times New Roman"/>
          <w:sz w:val="24"/>
          <w:szCs w:val="24"/>
          <w:lang w:val="sq-AL"/>
        </w:rPr>
        <w:t xml:space="preserve"> (MD)</w:t>
      </w:r>
      <w:r w:rsidRPr="00F3381D">
        <w:rPr>
          <w:rFonts w:ascii="Times New Roman" w:hAnsi="Times New Roman"/>
          <w:sz w:val="24"/>
          <w:szCs w:val="24"/>
          <w:lang w:val="sq-AL"/>
        </w:rPr>
        <w:t xml:space="preserve"> dhe Pron</w:t>
      </w:r>
      <w:r w:rsidR="00193C88" w:rsidRPr="00F3381D">
        <w:rPr>
          <w:rFonts w:ascii="Times New Roman" w:hAnsi="Times New Roman"/>
          <w:sz w:val="24"/>
          <w:szCs w:val="24"/>
          <w:lang w:val="sq-AL"/>
        </w:rPr>
        <w:t>ë</w:t>
      </w:r>
      <w:r w:rsidRPr="00F3381D">
        <w:rPr>
          <w:rFonts w:ascii="Times New Roman" w:hAnsi="Times New Roman"/>
          <w:sz w:val="24"/>
          <w:szCs w:val="24"/>
          <w:lang w:val="sq-AL"/>
        </w:rPr>
        <w:t>n Publike</w:t>
      </w:r>
      <w:r w:rsidR="00193C88" w:rsidRPr="00F3381D">
        <w:rPr>
          <w:rFonts w:ascii="Times New Roman" w:hAnsi="Times New Roman"/>
          <w:sz w:val="24"/>
          <w:szCs w:val="24"/>
          <w:lang w:val="sq-AL"/>
        </w:rPr>
        <w:t xml:space="preserve"> (MD)</w:t>
      </w:r>
      <w:r w:rsidRPr="00F3381D">
        <w:rPr>
          <w:rFonts w:ascii="Times New Roman" w:hAnsi="Times New Roman"/>
          <w:sz w:val="24"/>
          <w:szCs w:val="24"/>
          <w:lang w:val="sq-AL"/>
        </w:rPr>
        <w:t>;</w:t>
      </w:r>
    </w:p>
    <w:p w14:paraId="0F001632" w14:textId="77777777" w:rsidR="00BC2BEE" w:rsidRPr="00F3381D" w:rsidRDefault="00BC2BEE" w:rsidP="00802FB3">
      <w:pPr>
        <w:pStyle w:val="NoSpacing"/>
        <w:numPr>
          <w:ilvl w:val="0"/>
          <w:numId w:val="63"/>
        </w:numPr>
        <w:spacing w:after="60"/>
        <w:jc w:val="both"/>
        <w:rPr>
          <w:rFonts w:ascii="Times New Roman" w:hAnsi="Times New Roman"/>
          <w:sz w:val="24"/>
          <w:szCs w:val="24"/>
          <w:lang w:val="sq-AL"/>
        </w:rPr>
      </w:pPr>
      <w:r w:rsidRPr="00F3381D">
        <w:rPr>
          <w:rFonts w:ascii="Times New Roman" w:hAnsi="Times New Roman"/>
          <w:sz w:val="24"/>
          <w:szCs w:val="24"/>
          <w:lang w:val="sq-AL"/>
        </w:rPr>
        <w:t>Hartimi i rregulloreve për detyrat dhe përgjegjësitë e Sekretariatit të AKKVP-së dhe Komisionit vendosës për adresimin e kërkesave për formalizim (AKKVP);</w:t>
      </w:r>
    </w:p>
    <w:p w14:paraId="116039D5" w14:textId="77777777" w:rsidR="00BC2BEE" w:rsidRPr="00F3381D" w:rsidRDefault="00BC2BEE" w:rsidP="00802FB3">
      <w:pPr>
        <w:pStyle w:val="NoSpacing"/>
        <w:numPr>
          <w:ilvl w:val="0"/>
          <w:numId w:val="63"/>
        </w:numPr>
        <w:spacing w:after="60"/>
        <w:jc w:val="both"/>
        <w:rPr>
          <w:rFonts w:ascii="Times New Roman" w:hAnsi="Times New Roman"/>
          <w:sz w:val="24"/>
          <w:szCs w:val="24"/>
          <w:lang w:val="sq-AL"/>
        </w:rPr>
      </w:pPr>
      <w:r w:rsidRPr="00F3381D">
        <w:rPr>
          <w:rFonts w:ascii="Times New Roman" w:hAnsi="Times New Roman"/>
          <w:sz w:val="24"/>
          <w:szCs w:val="24"/>
          <w:lang w:val="sq-AL"/>
        </w:rPr>
        <w:t>Funksionalizimi i mandatit të ri të AKKVP-së (ZKM, AKKVP);</w:t>
      </w:r>
    </w:p>
    <w:p w14:paraId="524A49C5" w14:textId="2A401529" w:rsidR="00BC2BEE" w:rsidRPr="00F3381D" w:rsidRDefault="00BC2BEE" w:rsidP="00802FB3">
      <w:pPr>
        <w:pStyle w:val="NoSpacing"/>
        <w:numPr>
          <w:ilvl w:val="0"/>
          <w:numId w:val="63"/>
        </w:numPr>
        <w:spacing w:after="60"/>
        <w:jc w:val="both"/>
        <w:rPr>
          <w:lang w:val="sq-AL"/>
        </w:rPr>
      </w:pPr>
      <w:r w:rsidRPr="00F3381D">
        <w:rPr>
          <w:rFonts w:ascii="Times New Roman" w:hAnsi="Times New Roman"/>
          <w:sz w:val="24"/>
          <w:szCs w:val="24"/>
          <w:lang w:val="sq-AL"/>
        </w:rPr>
        <w:t xml:space="preserve">Trajnimi i komisionerëve të AKKVP-së dhe stafit mbështetës të Sekretariatit të AKKVP-së (AKKVP); </w:t>
      </w:r>
    </w:p>
    <w:p w14:paraId="06FCE562" w14:textId="77777777" w:rsidR="00BC2BEE" w:rsidRPr="00554FAF" w:rsidRDefault="00BC2BEE" w:rsidP="00BA1A1D">
      <w:pPr>
        <w:pStyle w:val="NoSpacing"/>
        <w:spacing w:after="60"/>
        <w:rPr>
          <w:rFonts w:ascii="Times New Roman" w:hAnsi="Times New Roman"/>
          <w:b/>
          <w:sz w:val="24"/>
          <w:szCs w:val="24"/>
          <w:lang w:val="sq-AL"/>
        </w:rPr>
      </w:pPr>
      <w:r w:rsidRPr="00554FAF">
        <w:rPr>
          <w:rFonts w:ascii="Times New Roman" w:hAnsi="Times New Roman"/>
          <w:b/>
          <w:sz w:val="24"/>
          <w:szCs w:val="24"/>
          <w:lang w:val="sq-AL"/>
        </w:rPr>
        <w:t>b.  Aktivitetet e planifikuara për 2021:</w:t>
      </w:r>
    </w:p>
    <w:p w14:paraId="2EF899C6" w14:textId="77777777" w:rsidR="00BC2BEE" w:rsidRPr="00554FAF" w:rsidRDefault="00BC2BEE" w:rsidP="00802FB3">
      <w:pPr>
        <w:pStyle w:val="NoSpacing"/>
        <w:numPr>
          <w:ilvl w:val="0"/>
          <w:numId w:val="62"/>
        </w:numPr>
        <w:spacing w:after="60"/>
        <w:jc w:val="both"/>
        <w:rPr>
          <w:rFonts w:ascii="Times New Roman" w:hAnsi="Times New Roman"/>
          <w:sz w:val="24"/>
          <w:szCs w:val="24"/>
          <w:lang w:val="sq-AL"/>
        </w:rPr>
      </w:pPr>
      <w:r w:rsidRPr="00554FAF">
        <w:rPr>
          <w:rFonts w:ascii="Times New Roman" w:hAnsi="Times New Roman"/>
          <w:sz w:val="24"/>
          <w:szCs w:val="24"/>
          <w:lang w:val="sq-AL"/>
        </w:rPr>
        <w:t xml:space="preserve">Trajnimi i komisionerëve të AKKVP-së dhe stafit mbështetës të Sekretariatit të AKKVP-së (AKKVP); </w:t>
      </w:r>
    </w:p>
    <w:p w14:paraId="12300B1D" w14:textId="77777777" w:rsidR="00BC2BEE" w:rsidRPr="00554FAF" w:rsidRDefault="00BC2BEE" w:rsidP="00802FB3">
      <w:pPr>
        <w:pStyle w:val="NoSpacing"/>
        <w:numPr>
          <w:ilvl w:val="0"/>
          <w:numId w:val="62"/>
        </w:numPr>
        <w:spacing w:after="60"/>
        <w:jc w:val="both"/>
        <w:rPr>
          <w:rFonts w:ascii="Times New Roman" w:hAnsi="Times New Roman"/>
          <w:sz w:val="24"/>
          <w:szCs w:val="24"/>
          <w:lang w:val="sq-AL"/>
        </w:rPr>
      </w:pPr>
      <w:r w:rsidRPr="00554FAF">
        <w:rPr>
          <w:rFonts w:ascii="Times New Roman" w:hAnsi="Times New Roman"/>
          <w:sz w:val="24"/>
          <w:szCs w:val="24"/>
          <w:lang w:val="sq-AL"/>
        </w:rPr>
        <w:t>Miratimi i udhëzimit administrativ që e rregullon dhe lehtëson qasjen në të dhëna kadastrale për qytetarët e Kosovës (MMPH)</w:t>
      </w:r>
    </w:p>
    <w:p w14:paraId="58270444" w14:textId="77777777" w:rsidR="00BC2BEE" w:rsidRPr="00554FAF" w:rsidRDefault="00BC2BEE" w:rsidP="000702CB">
      <w:pPr>
        <w:spacing w:after="60" w:line="240" w:lineRule="auto"/>
        <w:rPr>
          <w:rFonts w:ascii="Times New Roman" w:hAnsi="Times New Roman" w:cs="Times New Roman"/>
          <w:b/>
          <w:bCs/>
          <w:sz w:val="24"/>
          <w:szCs w:val="24"/>
        </w:rPr>
      </w:pPr>
    </w:p>
    <w:p w14:paraId="6BDB8F66" w14:textId="77777777" w:rsidR="00BC2BEE" w:rsidRPr="00554FAF" w:rsidRDefault="00BC2BEE" w:rsidP="000702CB">
      <w:pPr>
        <w:spacing w:after="60" w:line="240" w:lineRule="auto"/>
        <w:rPr>
          <w:rFonts w:ascii="Times New Roman" w:hAnsi="Times New Roman" w:cs="Times New Roman"/>
          <w:b/>
          <w:bCs/>
          <w:sz w:val="24"/>
          <w:szCs w:val="24"/>
        </w:rPr>
      </w:pPr>
      <w:r w:rsidRPr="00554FAF">
        <w:rPr>
          <w:rFonts w:ascii="Times New Roman" w:hAnsi="Times New Roman" w:cs="Times New Roman"/>
          <w:b/>
          <w:sz w:val="24"/>
          <w:szCs w:val="24"/>
        </w:rPr>
        <w:t>2.  Treguesit e rezultateve</w:t>
      </w:r>
      <w:r w:rsidRPr="00554FAF">
        <w:rPr>
          <w:rFonts w:ascii="Times New Roman" w:hAnsi="Times New Roman" w:cs="Times New Roman"/>
          <w:b/>
          <w:bCs/>
          <w:sz w:val="24"/>
          <w:szCs w:val="24"/>
        </w:rPr>
        <w:t xml:space="preserve">: </w:t>
      </w:r>
    </w:p>
    <w:tbl>
      <w:tblPr>
        <w:tblpPr w:leftFromText="180" w:rightFromText="180" w:vertAnchor="text" w:horzAnchor="margin" w:tblpY="168"/>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5"/>
        <w:gridCol w:w="1170"/>
        <w:gridCol w:w="1980"/>
        <w:gridCol w:w="1350"/>
      </w:tblGrid>
      <w:tr w:rsidR="00BC2BEE" w:rsidRPr="00554FAF" w14:paraId="38ABB26A" w14:textId="77777777" w:rsidTr="00F3381D">
        <w:trPr>
          <w:trHeight w:val="708"/>
        </w:trPr>
        <w:tc>
          <w:tcPr>
            <w:tcW w:w="4585" w:type="dxa"/>
            <w:shd w:val="clear" w:color="auto" w:fill="auto"/>
          </w:tcPr>
          <w:p w14:paraId="61192F11" w14:textId="77777777" w:rsidR="00BC2BEE" w:rsidRPr="00554FAF" w:rsidRDefault="00BC2BEE" w:rsidP="000702CB">
            <w:pPr>
              <w:pStyle w:val="Default"/>
              <w:spacing w:after="60"/>
              <w:jc w:val="center"/>
              <w:rPr>
                <w:b/>
                <w:color w:val="auto"/>
                <w:lang w:val="sq-AL"/>
              </w:rPr>
            </w:pPr>
            <w:r w:rsidRPr="00554FAF">
              <w:rPr>
                <w:b/>
                <w:color w:val="auto"/>
                <w:lang w:val="sq-AL"/>
              </w:rPr>
              <w:t>Treguesi</w:t>
            </w:r>
          </w:p>
        </w:tc>
        <w:tc>
          <w:tcPr>
            <w:tcW w:w="1170" w:type="dxa"/>
            <w:shd w:val="clear" w:color="auto" w:fill="auto"/>
          </w:tcPr>
          <w:p w14:paraId="1E2F987D" w14:textId="77777777" w:rsidR="00BC2BEE" w:rsidRPr="00554FAF" w:rsidRDefault="00BC2BEE" w:rsidP="000702CB">
            <w:pPr>
              <w:pStyle w:val="Default"/>
              <w:spacing w:after="60"/>
              <w:jc w:val="center"/>
              <w:rPr>
                <w:b/>
                <w:color w:val="auto"/>
                <w:lang w:val="sq-AL"/>
              </w:rPr>
            </w:pPr>
            <w:r w:rsidRPr="00554FAF">
              <w:rPr>
                <w:b/>
                <w:color w:val="auto"/>
                <w:lang w:val="sq-AL"/>
              </w:rPr>
              <w:t>Baza 2018</w:t>
            </w:r>
          </w:p>
          <w:p w14:paraId="22F9A9CF" w14:textId="77777777" w:rsidR="00BC2BEE" w:rsidRPr="00554FAF" w:rsidRDefault="00BC2BEE" w:rsidP="000702CB">
            <w:pPr>
              <w:pStyle w:val="Default"/>
              <w:spacing w:after="60"/>
              <w:jc w:val="center"/>
              <w:rPr>
                <w:b/>
                <w:color w:val="auto"/>
                <w:lang w:val="sq-AL"/>
              </w:rPr>
            </w:pPr>
          </w:p>
        </w:tc>
        <w:tc>
          <w:tcPr>
            <w:tcW w:w="1980" w:type="dxa"/>
            <w:shd w:val="clear" w:color="auto" w:fill="auto"/>
          </w:tcPr>
          <w:p w14:paraId="5EF43F17" w14:textId="3DB74A11" w:rsidR="00BC2BEE" w:rsidRPr="00554FAF" w:rsidRDefault="00193C88" w:rsidP="000702CB">
            <w:pPr>
              <w:pStyle w:val="Default"/>
              <w:spacing w:after="60"/>
              <w:jc w:val="center"/>
              <w:rPr>
                <w:b/>
                <w:color w:val="auto"/>
                <w:lang w:val="sq-AL"/>
              </w:rPr>
            </w:pPr>
            <w:r w:rsidRPr="00554FAF">
              <w:rPr>
                <w:b/>
                <w:color w:val="auto"/>
                <w:lang w:val="sq-AL"/>
              </w:rPr>
              <w:t xml:space="preserve">Synimi </w:t>
            </w:r>
            <w:r w:rsidR="00BC2BEE" w:rsidRPr="00554FAF">
              <w:rPr>
                <w:b/>
                <w:color w:val="auto"/>
                <w:lang w:val="sq-AL"/>
              </w:rPr>
              <w:t>i ndërmjetëm   2020</w:t>
            </w:r>
          </w:p>
        </w:tc>
        <w:tc>
          <w:tcPr>
            <w:tcW w:w="1350" w:type="dxa"/>
            <w:shd w:val="clear" w:color="auto" w:fill="auto"/>
          </w:tcPr>
          <w:p w14:paraId="41280DF1" w14:textId="3D67EE30" w:rsidR="00BC2BEE" w:rsidRPr="00554FAF" w:rsidRDefault="00F3381D" w:rsidP="00F3381D">
            <w:pPr>
              <w:pStyle w:val="Default"/>
              <w:spacing w:after="60"/>
              <w:jc w:val="center"/>
              <w:rPr>
                <w:b/>
                <w:color w:val="auto"/>
                <w:lang w:val="sq-AL"/>
              </w:rPr>
            </w:pPr>
            <w:r>
              <w:rPr>
                <w:b/>
                <w:color w:val="auto"/>
                <w:lang w:val="sq-AL"/>
              </w:rPr>
              <w:t>Synimi 2022</w:t>
            </w:r>
          </w:p>
        </w:tc>
      </w:tr>
      <w:tr w:rsidR="00BC2BEE" w:rsidRPr="00554FAF" w14:paraId="031285ED" w14:textId="77777777" w:rsidTr="00F3381D">
        <w:trPr>
          <w:trHeight w:val="384"/>
        </w:trPr>
        <w:tc>
          <w:tcPr>
            <w:tcW w:w="4585" w:type="dxa"/>
          </w:tcPr>
          <w:p w14:paraId="2DE85A82" w14:textId="3956CCD8" w:rsidR="00BC2BEE" w:rsidRPr="00554FAF" w:rsidRDefault="00BC2BEE" w:rsidP="000702CB">
            <w:pPr>
              <w:pStyle w:val="Default"/>
              <w:spacing w:after="60"/>
              <w:jc w:val="both"/>
              <w:rPr>
                <w:iCs/>
                <w:color w:val="auto"/>
                <w:lang w:val="sq-AL"/>
              </w:rPr>
            </w:pPr>
            <w:r w:rsidRPr="00554FAF">
              <w:rPr>
                <w:iCs/>
                <w:color w:val="auto"/>
                <w:lang w:val="sq-AL"/>
              </w:rPr>
              <w:t xml:space="preserve">1. Kohëzgjatja e procesit për njohje të transaksioneve joformale pronësore </w:t>
            </w:r>
          </w:p>
        </w:tc>
        <w:tc>
          <w:tcPr>
            <w:tcW w:w="1170" w:type="dxa"/>
          </w:tcPr>
          <w:p w14:paraId="45E50A70" w14:textId="77777777" w:rsidR="00BC2BEE" w:rsidRPr="00554FAF" w:rsidRDefault="00BC2BEE" w:rsidP="000702CB">
            <w:pPr>
              <w:pStyle w:val="Default"/>
              <w:spacing w:after="60"/>
              <w:jc w:val="both"/>
              <w:rPr>
                <w:iCs/>
                <w:lang w:val="sq-AL"/>
              </w:rPr>
            </w:pPr>
            <w:r w:rsidRPr="00554FAF">
              <w:rPr>
                <w:iCs/>
                <w:lang w:val="sq-AL"/>
              </w:rPr>
              <w:t>n/a</w:t>
            </w:r>
          </w:p>
        </w:tc>
        <w:tc>
          <w:tcPr>
            <w:tcW w:w="1980" w:type="dxa"/>
          </w:tcPr>
          <w:p w14:paraId="7ECE4306" w14:textId="77777777" w:rsidR="00BC2BEE" w:rsidRPr="00554FAF" w:rsidRDefault="00BC2BEE" w:rsidP="000702CB">
            <w:pPr>
              <w:pStyle w:val="Default"/>
              <w:spacing w:after="60"/>
              <w:rPr>
                <w:iCs/>
                <w:lang w:val="sq-AL"/>
              </w:rPr>
            </w:pPr>
            <w:r w:rsidRPr="00554FAF">
              <w:rPr>
                <w:iCs/>
                <w:lang w:val="sq-AL"/>
              </w:rPr>
              <w:t>18 muaj</w:t>
            </w:r>
          </w:p>
          <w:p w14:paraId="49EE434D" w14:textId="77777777" w:rsidR="00BC2BEE" w:rsidRPr="00554FAF" w:rsidRDefault="00BC2BEE" w:rsidP="000702CB">
            <w:pPr>
              <w:pStyle w:val="Default"/>
              <w:spacing w:after="60"/>
              <w:jc w:val="both"/>
              <w:rPr>
                <w:iCs/>
                <w:lang w:val="sq-AL"/>
              </w:rPr>
            </w:pPr>
          </w:p>
        </w:tc>
        <w:tc>
          <w:tcPr>
            <w:tcW w:w="1350" w:type="dxa"/>
          </w:tcPr>
          <w:p w14:paraId="5498C035" w14:textId="77777777" w:rsidR="00BC2BEE" w:rsidRPr="00554FAF" w:rsidRDefault="00BC2BEE" w:rsidP="000702CB">
            <w:pPr>
              <w:pStyle w:val="Default"/>
              <w:spacing w:after="60"/>
              <w:jc w:val="both"/>
              <w:rPr>
                <w:i/>
                <w:iCs/>
                <w:lang w:val="sq-AL"/>
              </w:rPr>
            </w:pPr>
            <w:r w:rsidRPr="00554FAF">
              <w:rPr>
                <w:iCs/>
                <w:lang w:val="sq-AL"/>
              </w:rPr>
              <w:t>14 muaj</w:t>
            </w:r>
          </w:p>
        </w:tc>
      </w:tr>
      <w:tr w:rsidR="00BC2BEE" w:rsidRPr="00554FAF" w14:paraId="1F2697E0" w14:textId="77777777" w:rsidTr="004A424A">
        <w:trPr>
          <w:trHeight w:val="530"/>
        </w:trPr>
        <w:tc>
          <w:tcPr>
            <w:tcW w:w="4585" w:type="dxa"/>
          </w:tcPr>
          <w:p w14:paraId="78A89250" w14:textId="77777777" w:rsidR="00BC2BEE" w:rsidRPr="00554FAF" w:rsidRDefault="00BC2BEE" w:rsidP="000702CB">
            <w:pPr>
              <w:pStyle w:val="Default"/>
              <w:spacing w:after="60"/>
              <w:jc w:val="both"/>
              <w:rPr>
                <w:iCs/>
                <w:color w:val="auto"/>
                <w:lang w:val="sq-AL"/>
              </w:rPr>
            </w:pPr>
            <w:r w:rsidRPr="00554FAF">
              <w:rPr>
                <w:iCs/>
                <w:color w:val="auto"/>
                <w:lang w:val="sq-AL"/>
              </w:rPr>
              <w:t>2. Përditësimi i regjistrit kadastral me të dhëna të sakta të bartësve ligjor</w:t>
            </w:r>
          </w:p>
        </w:tc>
        <w:tc>
          <w:tcPr>
            <w:tcW w:w="1170" w:type="dxa"/>
          </w:tcPr>
          <w:p w14:paraId="7601F043" w14:textId="77777777" w:rsidR="00BC2BEE" w:rsidRPr="00554FAF" w:rsidRDefault="00BC2BEE" w:rsidP="000702CB">
            <w:pPr>
              <w:pStyle w:val="Default"/>
              <w:spacing w:after="60"/>
              <w:rPr>
                <w:iCs/>
                <w:lang w:val="sq-AL"/>
              </w:rPr>
            </w:pPr>
            <w:r w:rsidRPr="00554FAF">
              <w:rPr>
                <w:iCs/>
                <w:lang w:val="sq-AL"/>
              </w:rPr>
              <w:t>50%</w:t>
            </w:r>
          </w:p>
        </w:tc>
        <w:tc>
          <w:tcPr>
            <w:tcW w:w="1980" w:type="dxa"/>
          </w:tcPr>
          <w:p w14:paraId="436B2C28" w14:textId="77777777" w:rsidR="00BC2BEE" w:rsidRPr="00554FAF" w:rsidRDefault="00BC2BEE" w:rsidP="000702CB">
            <w:pPr>
              <w:pStyle w:val="Default"/>
              <w:spacing w:after="60"/>
              <w:rPr>
                <w:iCs/>
                <w:lang w:val="sq-AL"/>
              </w:rPr>
            </w:pPr>
            <w:r w:rsidRPr="00554FAF">
              <w:rPr>
                <w:iCs/>
                <w:lang w:val="sq-AL"/>
              </w:rPr>
              <w:t>60%</w:t>
            </w:r>
          </w:p>
        </w:tc>
        <w:tc>
          <w:tcPr>
            <w:tcW w:w="1350" w:type="dxa"/>
          </w:tcPr>
          <w:p w14:paraId="0189D114" w14:textId="77777777" w:rsidR="00BC2BEE" w:rsidRPr="00554FAF" w:rsidRDefault="00BC2BEE" w:rsidP="000702CB">
            <w:pPr>
              <w:pStyle w:val="Default"/>
              <w:spacing w:after="60"/>
              <w:rPr>
                <w:iCs/>
                <w:lang w:val="sq-AL"/>
              </w:rPr>
            </w:pPr>
            <w:r w:rsidRPr="00554FAF">
              <w:rPr>
                <w:iCs/>
                <w:lang w:val="sq-AL"/>
              </w:rPr>
              <w:t xml:space="preserve">70% </w:t>
            </w:r>
          </w:p>
        </w:tc>
      </w:tr>
    </w:tbl>
    <w:p w14:paraId="269D3B47" w14:textId="77777777" w:rsidR="00BC2BEE" w:rsidRPr="00554FAF" w:rsidRDefault="00BC2BEE" w:rsidP="000702CB">
      <w:pPr>
        <w:pStyle w:val="BodyText"/>
        <w:spacing w:after="60"/>
        <w:jc w:val="both"/>
        <w:rPr>
          <w:b/>
          <w:bCs/>
          <w:sz w:val="24"/>
          <w:szCs w:val="24"/>
        </w:rPr>
      </w:pPr>
    </w:p>
    <w:p w14:paraId="78F7DC08" w14:textId="352E9A43" w:rsidR="00BC2BEE" w:rsidRPr="00554FAF" w:rsidRDefault="00BC2BEE" w:rsidP="000702CB">
      <w:pPr>
        <w:pStyle w:val="BodyText"/>
        <w:spacing w:after="60"/>
        <w:ind w:left="0"/>
        <w:jc w:val="both"/>
        <w:rPr>
          <w:sz w:val="24"/>
          <w:szCs w:val="24"/>
        </w:rPr>
      </w:pPr>
      <w:r w:rsidRPr="00554FAF">
        <w:rPr>
          <w:b/>
          <w:bCs/>
          <w:sz w:val="24"/>
          <w:szCs w:val="24"/>
        </w:rPr>
        <w:t xml:space="preserve">3. Ndikimi i pritur në konkurrueshmëri: </w:t>
      </w:r>
      <w:r w:rsidRPr="00554FAF">
        <w:rPr>
          <w:sz w:val="24"/>
          <w:szCs w:val="24"/>
        </w:rPr>
        <w:t xml:space="preserve">Pronat që nuk mund të regjistrohen në kadastër janë “kapital i vdekur”. Aktualisht, vlerësohet se janë mbi 350,000 </w:t>
      </w:r>
      <w:r w:rsidR="00193C88" w:rsidRPr="00554FAF">
        <w:rPr>
          <w:sz w:val="24"/>
          <w:szCs w:val="24"/>
        </w:rPr>
        <w:t xml:space="preserve">prona </w:t>
      </w:r>
      <w:r w:rsidRPr="00554FAF">
        <w:rPr>
          <w:sz w:val="24"/>
          <w:szCs w:val="24"/>
        </w:rPr>
        <w:t xml:space="preserve">të paregjistruara ne Kosovë, në vlerë disa </w:t>
      </w:r>
      <w:r w:rsidR="00F202BD" w:rsidRPr="00554FAF">
        <w:rPr>
          <w:sz w:val="24"/>
          <w:szCs w:val="24"/>
        </w:rPr>
        <w:t>miliardësh</w:t>
      </w:r>
      <w:r w:rsidRPr="00554FAF">
        <w:rPr>
          <w:sz w:val="24"/>
          <w:szCs w:val="24"/>
        </w:rPr>
        <w:t>. Si të tilla këto prona, as nuk mund të tregtohen dhe as nuk mund të përdoren si kolateral për marrje të kredisë. Krijimi i një sistemi efektiv të të drejtave të pronësisë krijon siguri ligjore për investitorët dhe rrjedhimisht</w:t>
      </w:r>
      <w:r w:rsidR="00193C88" w:rsidRPr="00554FAF">
        <w:rPr>
          <w:sz w:val="24"/>
          <w:szCs w:val="24"/>
        </w:rPr>
        <w:t xml:space="preserve"> i</w:t>
      </w:r>
      <w:r w:rsidRPr="00554FAF">
        <w:rPr>
          <w:sz w:val="24"/>
          <w:szCs w:val="24"/>
        </w:rPr>
        <w:t xml:space="preserve"> rrit</w:t>
      </w:r>
      <w:r w:rsidR="00193C88" w:rsidRPr="00554FAF">
        <w:rPr>
          <w:sz w:val="24"/>
          <w:szCs w:val="24"/>
        </w:rPr>
        <w:t>ë</w:t>
      </w:r>
      <w:r w:rsidRPr="00554FAF">
        <w:rPr>
          <w:sz w:val="24"/>
          <w:szCs w:val="24"/>
        </w:rPr>
        <w:t xml:space="preserve"> mundësitë për investime, ndërsa kjo u krijon shtetasve më shumë mundësi për të përdorur pronën si kolateral dhe për këtë arsye përmirëson qasjen në financa. </w:t>
      </w:r>
      <w:r w:rsidR="00193C88" w:rsidRPr="00554FAF">
        <w:rPr>
          <w:sz w:val="24"/>
          <w:szCs w:val="24"/>
        </w:rPr>
        <w:t>Gjithashtu, f</w:t>
      </w:r>
      <w:r w:rsidRPr="00554FAF">
        <w:rPr>
          <w:sz w:val="24"/>
          <w:szCs w:val="24"/>
        </w:rPr>
        <w:t>uqizimi i të drejtave pronësore përmirëson indikatorët e Bankës Botërore për mjedisin e të bërit biznes, duke përfshirë regjistrimin dhe administrimin e pronës</w:t>
      </w:r>
      <w:r w:rsidR="00193C88" w:rsidRPr="00554FAF">
        <w:rPr>
          <w:sz w:val="24"/>
          <w:szCs w:val="24"/>
        </w:rPr>
        <w:t xml:space="preserve"> </w:t>
      </w:r>
      <w:r w:rsidRPr="00554FAF">
        <w:rPr>
          <w:sz w:val="24"/>
          <w:szCs w:val="24"/>
        </w:rPr>
        <w:t xml:space="preserve">dhe zgjidhjen e kontesteve pronësore. </w:t>
      </w:r>
    </w:p>
    <w:p w14:paraId="27225367" w14:textId="0B0B68CE" w:rsidR="00BC2BEE" w:rsidRPr="00554FAF" w:rsidRDefault="00BC2BEE"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b/>
          <w:bCs/>
          <w:sz w:val="24"/>
          <w:szCs w:val="24"/>
        </w:rPr>
        <w:t xml:space="preserve">4. Vlerësimi i kostos së aktiviteteve dhe </w:t>
      </w:r>
      <w:r w:rsidRPr="00554FAF">
        <w:rPr>
          <w:rFonts w:ascii="Times New Roman" w:hAnsi="Times New Roman" w:cs="Times New Roman"/>
          <w:b/>
          <w:sz w:val="24"/>
          <w:szCs w:val="24"/>
        </w:rPr>
        <w:t>burimet e financimit:</w:t>
      </w:r>
      <w:r w:rsidR="00193C88" w:rsidRPr="00554FAF">
        <w:rPr>
          <w:rFonts w:ascii="Times New Roman" w:hAnsi="Times New Roman" w:cs="Times New Roman"/>
          <w:b/>
          <w:sz w:val="24"/>
          <w:szCs w:val="24"/>
        </w:rPr>
        <w:t xml:space="preserve"> </w:t>
      </w:r>
      <w:r w:rsidRPr="00554FAF">
        <w:rPr>
          <w:rFonts w:ascii="Times New Roman" w:hAnsi="Times New Roman" w:cs="Times New Roman"/>
          <w:sz w:val="24"/>
          <w:szCs w:val="24"/>
        </w:rPr>
        <w:t>Kosto e përgjithshme për zbatim të kësaj mase gjatë viteve 2020-2022 vlerësohet të jetë 1,704,270 EUR. Nga kjo vler</w:t>
      </w:r>
      <w:r w:rsidR="00193C88" w:rsidRPr="00554FAF">
        <w:rPr>
          <w:rFonts w:ascii="Times New Roman" w:hAnsi="Times New Roman" w:cs="Times New Roman"/>
          <w:sz w:val="24"/>
          <w:szCs w:val="24"/>
        </w:rPr>
        <w:t>ë</w:t>
      </w:r>
      <w:r w:rsidRPr="00554FAF">
        <w:rPr>
          <w:rFonts w:ascii="Times New Roman" w:hAnsi="Times New Roman" w:cs="Times New Roman"/>
          <w:sz w:val="24"/>
          <w:szCs w:val="24"/>
        </w:rPr>
        <w:t xml:space="preserve"> 25,440 EUR vlerësohet kosto e p</w:t>
      </w:r>
      <w:r w:rsidR="00193C88" w:rsidRPr="00554FAF">
        <w:rPr>
          <w:rFonts w:ascii="Times New Roman" w:hAnsi="Times New Roman" w:cs="Times New Roman"/>
          <w:sz w:val="24"/>
          <w:szCs w:val="24"/>
        </w:rPr>
        <w:t>ë</w:t>
      </w:r>
      <w:r w:rsidRPr="00554FAF">
        <w:rPr>
          <w:rFonts w:ascii="Times New Roman" w:hAnsi="Times New Roman" w:cs="Times New Roman"/>
          <w:sz w:val="24"/>
          <w:szCs w:val="24"/>
        </w:rPr>
        <w:t>r vitin 2020, e cila pritet t</w:t>
      </w:r>
      <w:r w:rsidR="00193C88" w:rsidRPr="00554FAF">
        <w:rPr>
          <w:rFonts w:ascii="Times New Roman" w:hAnsi="Times New Roman" w:cs="Times New Roman"/>
          <w:sz w:val="24"/>
          <w:szCs w:val="24"/>
        </w:rPr>
        <w:t>ë</w:t>
      </w:r>
      <w:r w:rsidRPr="00554FAF">
        <w:rPr>
          <w:rFonts w:ascii="Times New Roman" w:hAnsi="Times New Roman" w:cs="Times New Roman"/>
          <w:sz w:val="24"/>
          <w:szCs w:val="24"/>
        </w:rPr>
        <w:t xml:space="preserve"> financohet nga grantet tjera (Projekti i USAID). P</w:t>
      </w:r>
      <w:r w:rsidR="00193C88" w:rsidRPr="00554FAF">
        <w:rPr>
          <w:rFonts w:ascii="Times New Roman" w:hAnsi="Times New Roman" w:cs="Times New Roman"/>
          <w:sz w:val="24"/>
          <w:szCs w:val="24"/>
        </w:rPr>
        <w:t>ë</w:t>
      </w:r>
      <w:r w:rsidRPr="00554FAF">
        <w:rPr>
          <w:rFonts w:ascii="Times New Roman" w:hAnsi="Times New Roman" w:cs="Times New Roman"/>
          <w:sz w:val="24"/>
          <w:szCs w:val="24"/>
        </w:rPr>
        <w:t>r vitin 2021, kosto vlerësohet t</w:t>
      </w:r>
      <w:r w:rsidR="00193C88" w:rsidRPr="00554FAF">
        <w:rPr>
          <w:rFonts w:ascii="Times New Roman" w:hAnsi="Times New Roman" w:cs="Times New Roman"/>
          <w:sz w:val="24"/>
          <w:szCs w:val="24"/>
        </w:rPr>
        <w:t>ë</w:t>
      </w:r>
      <w:r w:rsidRPr="00554FAF">
        <w:rPr>
          <w:rFonts w:ascii="Times New Roman" w:hAnsi="Times New Roman" w:cs="Times New Roman"/>
          <w:sz w:val="24"/>
          <w:szCs w:val="24"/>
        </w:rPr>
        <w:t xml:space="preserve"> jet</w:t>
      </w:r>
      <w:r w:rsidR="00193C88" w:rsidRPr="00554FAF">
        <w:rPr>
          <w:rFonts w:ascii="Times New Roman" w:hAnsi="Times New Roman" w:cs="Times New Roman"/>
          <w:sz w:val="24"/>
          <w:szCs w:val="24"/>
        </w:rPr>
        <w:t>ë</w:t>
      </w:r>
      <w:r w:rsidRPr="00554FAF">
        <w:rPr>
          <w:rFonts w:ascii="Times New Roman" w:hAnsi="Times New Roman" w:cs="Times New Roman"/>
          <w:sz w:val="24"/>
          <w:szCs w:val="24"/>
        </w:rPr>
        <w:t xml:space="preserve"> rreth 900,000 EUR, nga t</w:t>
      </w:r>
      <w:r w:rsidR="00193C88" w:rsidRPr="00554FAF">
        <w:rPr>
          <w:rFonts w:ascii="Times New Roman" w:hAnsi="Times New Roman" w:cs="Times New Roman"/>
          <w:sz w:val="24"/>
          <w:szCs w:val="24"/>
        </w:rPr>
        <w:t>ë</w:t>
      </w:r>
      <w:r w:rsidRPr="00554FAF">
        <w:rPr>
          <w:rFonts w:ascii="Times New Roman" w:hAnsi="Times New Roman" w:cs="Times New Roman"/>
          <w:sz w:val="24"/>
          <w:szCs w:val="24"/>
        </w:rPr>
        <w:t xml:space="preserve"> cilat 758,000 pritet t</w:t>
      </w:r>
      <w:r w:rsidR="00193C88" w:rsidRPr="00554FAF">
        <w:rPr>
          <w:rFonts w:ascii="Times New Roman" w:hAnsi="Times New Roman" w:cs="Times New Roman"/>
          <w:sz w:val="24"/>
          <w:szCs w:val="24"/>
        </w:rPr>
        <w:t>ë</w:t>
      </w:r>
      <w:r w:rsidRPr="00554FAF">
        <w:rPr>
          <w:rFonts w:ascii="Times New Roman" w:hAnsi="Times New Roman" w:cs="Times New Roman"/>
          <w:sz w:val="24"/>
          <w:szCs w:val="24"/>
        </w:rPr>
        <w:t xml:space="preserve"> financohen nga Buxheti i Kosovës dhe 141, 025 EUR nga </w:t>
      </w:r>
      <w:r w:rsidR="00193C88" w:rsidRPr="00554FAF">
        <w:rPr>
          <w:rFonts w:ascii="Times New Roman" w:hAnsi="Times New Roman" w:cs="Times New Roman"/>
          <w:sz w:val="24"/>
          <w:szCs w:val="24"/>
        </w:rPr>
        <w:t>g</w:t>
      </w:r>
      <w:r w:rsidRPr="00554FAF">
        <w:rPr>
          <w:rFonts w:ascii="Times New Roman" w:hAnsi="Times New Roman" w:cs="Times New Roman"/>
          <w:sz w:val="24"/>
          <w:szCs w:val="24"/>
        </w:rPr>
        <w:t>rantet tjera. Ndërsa kosto e vlerësuar p</w:t>
      </w:r>
      <w:r w:rsidR="00193C88" w:rsidRPr="00554FAF">
        <w:rPr>
          <w:rFonts w:ascii="Times New Roman" w:hAnsi="Times New Roman" w:cs="Times New Roman"/>
          <w:sz w:val="24"/>
          <w:szCs w:val="24"/>
        </w:rPr>
        <w:t>ë</w:t>
      </w:r>
      <w:r w:rsidRPr="00554FAF">
        <w:rPr>
          <w:rFonts w:ascii="Times New Roman" w:hAnsi="Times New Roman" w:cs="Times New Roman"/>
          <w:sz w:val="24"/>
          <w:szCs w:val="24"/>
        </w:rPr>
        <w:t>r vitin 2022 është 779,805 nga t</w:t>
      </w:r>
      <w:r w:rsidR="00193C88" w:rsidRPr="00554FAF">
        <w:rPr>
          <w:rFonts w:ascii="Times New Roman" w:hAnsi="Times New Roman" w:cs="Times New Roman"/>
          <w:sz w:val="24"/>
          <w:szCs w:val="24"/>
        </w:rPr>
        <w:t>ë</w:t>
      </w:r>
      <w:r w:rsidRPr="00554FAF">
        <w:rPr>
          <w:rFonts w:ascii="Times New Roman" w:hAnsi="Times New Roman" w:cs="Times New Roman"/>
          <w:sz w:val="24"/>
          <w:szCs w:val="24"/>
        </w:rPr>
        <w:t xml:space="preserve"> cilat 701,600 pritet t</w:t>
      </w:r>
      <w:r w:rsidR="00193C88" w:rsidRPr="00554FAF">
        <w:rPr>
          <w:rFonts w:ascii="Times New Roman" w:hAnsi="Times New Roman" w:cs="Times New Roman"/>
          <w:sz w:val="24"/>
          <w:szCs w:val="24"/>
        </w:rPr>
        <w:t>ë</w:t>
      </w:r>
      <w:r w:rsidRPr="00554FAF">
        <w:rPr>
          <w:rFonts w:ascii="Times New Roman" w:hAnsi="Times New Roman" w:cs="Times New Roman"/>
          <w:sz w:val="24"/>
          <w:szCs w:val="24"/>
        </w:rPr>
        <w:t xml:space="preserve"> financohen nga Buxheti i Kosovës dhe 78,205 nga </w:t>
      </w:r>
      <w:r w:rsidR="00193C88" w:rsidRPr="00554FAF">
        <w:rPr>
          <w:rFonts w:ascii="Times New Roman" w:hAnsi="Times New Roman" w:cs="Times New Roman"/>
          <w:sz w:val="24"/>
          <w:szCs w:val="24"/>
        </w:rPr>
        <w:t>g</w:t>
      </w:r>
      <w:r w:rsidRPr="00554FAF">
        <w:rPr>
          <w:rFonts w:ascii="Times New Roman" w:hAnsi="Times New Roman" w:cs="Times New Roman"/>
          <w:sz w:val="24"/>
          <w:szCs w:val="24"/>
        </w:rPr>
        <w:t>rantet tjera.</w:t>
      </w:r>
    </w:p>
    <w:p w14:paraId="2170F390" w14:textId="22EAF684" w:rsidR="00BC2BEE" w:rsidRPr="00F3381D" w:rsidRDefault="00BC2BEE" w:rsidP="000702CB">
      <w:pPr>
        <w:pStyle w:val="Default"/>
        <w:spacing w:after="60"/>
        <w:jc w:val="both"/>
        <w:rPr>
          <w:iCs/>
          <w:lang w:val="sq-AL"/>
        </w:rPr>
      </w:pPr>
      <w:r w:rsidRPr="00554FAF">
        <w:rPr>
          <w:b/>
          <w:bCs/>
          <w:lang w:val="sq-AL"/>
        </w:rPr>
        <w:t xml:space="preserve">5. Ndikimet e pritshme mbi rezultatet sociale, të tilla si punësimi, reduktimi i varfërisë, barazia gjinore: </w:t>
      </w:r>
      <w:r w:rsidRPr="00554FAF">
        <w:rPr>
          <w:lang w:val="sq-AL"/>
        </w:rPr>
        <w:t xml:space="preserve">Fuqizimi i të drejtave pronësore kontribuon në uljen e pabarazisë gjinore. </w:t>
      </w:r>
      <w:r w:rsidRPr="00554FAF">
        <w:rPr>
          <w:iCs/>
          <w:lang w:val="sq-AL"/>
        </w:rPr>
        <w:t xml:space="preserve">Për gratë dhe vajzat, </w:t>
      </w:r>
      <w:r w:rsidR="0010445C" w:rsidRPr="00554FAF">
        <w:rPr>
          <w:iCs/>
          <w:lang w:val="sq-AL"/>
        </w:rPr>
        <w:t xml:space="preserve">ekonomia joformale </w:t>
      </w:r>
      <w:r w:rsidRPr="00554FAF">
        <w:rPr>
          <w:iCs/>
          <w:lang w:val="sq-AL"/>
        </w:rPr>
        <w:t xml:space="preserve">i gjerë në sektorin e pronave kur prona shkëmbehet jashtë sistemit formal përjashton ato nga shitblerjet mbi të cilat ato posedojnë të drejta legjitime. Me posedim të pronës, gratë pavarësohen ekonomikisht, duke shfrytëzuar pronën si kolateral </w:t>
      </w:r>
      <w:r w:rsidRPr="00554FAF">
        <w:rPr>
          <w:lang w:val="sq-AL"/>
        </w:rPr>
        <w:t xml:space="preserve">për marrjen e kredive bankare për fillim të një biznesi të ri që krijon vende të reja pune, apo për marrjen e subvencioneve për shfrytëzim efektiv të tokave bujqësore. </w:t>
      </w:r>
    </w:p>
    <w:p w14:paraId="7FF6A4C6" w14:textId="37028314" w:rsidR="00BC2BEE" w:rsidRPr="00F3381D" w:rsidRDefault="00BC2BEE" w:rsidP="00F3381D">
      <w:pPr>
        <w:pStyle w:val="Default"/>
        <w:spacing w:after="60"/>
        <w:jc w:val="both"/>
        <w:rPr>
          <w:bCs/>
          <w:iCs/>
          <w:lang w:val="sq-AL"/>
        </w:rPr>
      </w:pPr>
      <w:r w:rsidRPr="00554FAF">
        <w:rPr>
          <w:b/>
          <w:bCs/>
          <w:lang w:val="sq-AL"/>
        </w:rPr>
        <w:t xml:space="preserve">6. Ndikimi i pritshëm në mjedis: </w:t>
      </w:r>
      <w:r w:rsidRPr="00554FAF">
        <w:rPr>
          <w:bCs/>
          <w:iCs/>
          <w:lang w:val="sq-AL"/>
        </w:rPr>
        <w:t xml:space="preserve"> Nuk ka ndikim relevant n</w:t>
      </w:r>
      <w:r w:rsidR="0010445C" w:rsidRPr="00554FAF">
        <w:rPr>
          <w:bCs/>
          <w:iCs/>
          <w:lang w:val="sq-AL"/>
        </w:rPr>
        <w:t>ë</w:t>
      </w:r>
      <w:r w:rsidR="00F3381D">
        <w:rPr>
          <w:bCs/>
          <w:iCs/>
          <w:lang w:val="sq-AL"/>
        </w:rPr>
        <w:t xml:space="preserve"> mjedis. </w:t>
      </w:r>
    </w:p>
    <w:p w14:paraId="6C594342" w14:textId="40578001" w:rsidR="00E3413B" w:rsidRPr="00554FAF" w:rsidRDefault="000A0A12" w:rsidP="000702CB">
      <w:pPr>
        <w:spacing w:after="60" w:line="240" w:lineRule="auto"/>
        <w:rPr>
          <w:rFonts w:ascii="Times New Roman" w:hAnsi="Times New Roman" w:cs="Times New Roman"/>
          <w:b/>
          <w:sz w:val="24"/>
          <w:szCs w:val="24"/>
        </w:rPr>
      </w:pPr>
      <w:r w:rsidRPr="00554FAF">
        <w:rPr>
          <w:rFonts w:ascii="Times New Roman" w:hAnsi="Times New Roman" w:cs="Times New Roman"/>
          <w:b/>
          <w:sz w:val="24"/>
          <w:szCs w:val="24"/>
        </w:rPr>
        <w:t xml:space="preserve">7. Rreziqet potenciale </w:t>
      </w:r>
    </w:p>
    <w:tbl>
      <w:tblPr>
        <w:tblpPr w:leftFromText="180" w:rightFromText="180" w:vertAnchor="text" w:horzAnchor="margin" w:tblpY="98"/>
        <w:tblOverlap w:val="neve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1517"/>
        <w:gridCol w:w="5130"/>
      </w:tblGrid>
      <w:tr w:rsidR="00C91BB6" w:rsidRPr="00554FAF" w14:paraId="2BE66798" w14:textId="77777777" w:rsidTr="00C91BB6">
        <w:trPr>
          <w:trHeight w:val="618"/>
        </w:trPr>
        <w:tc>
          <w:tcPr>
            <w:tcW w:w="2978" w:type="dxa"/>
            <w:shd w:val="clear" w:color="auto" w:fill="auto"/>
          </w:tcPr>
          <w:p w14:paraId="1D7DFAAD" w14:textId="77777777" w:rsidR="00C91BB6" w:rsidRPr="00554FAF" w:rsidRDefault="00C91BB6" w:rsidP="00C91BB6">
            <w:pPr>
              <w:pStyle w:val="Default"/>
              <w:spacing w:after="60"/>
              <w:jc w:val="both"/>
              <w:rPr>
                <w:lang w:val="sq-AL"/>
              </w:rPr>
            </w:pPr>
            <w:r w:rsidRPr="00554FAF">
              <w:rPr>
                <w:b/>
                <w:bCs/>
                <w:lang w:val="sq-AL"/>
              </w:rPr>
              <w:t xml:space="preserve">Rreziku </w:t>
            </w:r>
          </w:p>
          <w:p w14:paraId="05068728" w14:textId="77777777" w:rsidR="00C91BB6" w:rsidRPr="00554FAF" w:rsidRDefault="00C91BB6" w:rsidP="00C91BB6">
            <w:pPr>
              <w:pStyle w:val="Default"/>
              <w:spacing w:after="60"/>
              <w:jc w:val="both"/>
              <w:rPr>
                <w:lang w:val="sq-AL"/>
              </w:rPr>
            </w:pPr>
          </w:p>
        </w:tc>
        <w:tc>
          <w:tcPr>
            <w:tcW w:w="1517" w:type="dxa"/>
            <w:shd w:val="clear" w:color="auto" w:fill="auto"/>
          </w:tcPr>
          <w:p w14:paraId="667BC7DF" w14:textId="77777777" w:rsidR="00C91BB6" w:rsidRPr="00554FAF" w:rsidRDefault="00C91BB6" w:rsidP="00C91BB6">
            <w:pPr>
              <w:pStyle w:val="Default"/>
              <w:spacing w:after="60"/>
              <w:ind w:right="-122"/>
              <w:rPr>
                <w:lang w:val="sq-AL"/>
              </w:rPr>
            </w:pPr>
            <w:r w:rsidRPr="00554FAF">
              <w:rPr>
                <w:b/>
                <w:bCs/>
                <w:lang w:val="sq-AL"/>
              </w:rPr>
              <w:t xml:space="preserve">Probabiliteti (i ulët ose i lartë) </w:t>
            </w:r>
          </w:p>
        </w:tc>
        <w:tc>
          <w:tcPr>
            <w:tcW w:w="5130" w:type="dxa"/>
            <w:shd w:val="clear" w:color="auto" w:fill="auto"/>
          </w:tcPr>
          <w:p w14:paraId="35AF94A6" w14:textId="77777777" w:rsidR="00C91BB6" w:rsidRPr="00554FAF" w:rsidRDefault="00C91BB6" w:rsidP="00C91BB6">
            <w:pPr>
              <w:pStyle w:val="Default"/>
              <w:spacing w:after="60"/>
              <w:rPr>
                <w:lang w:val="sq-AL"/>
              </w:rPr>
            </w:pPr>
            <w:r w:rsidRPr="00554FAF">
              <w:rPr>
                <w:b/>
                <w:bCs/>
                <w:lang w:val="sq-AL"/>
              </w:rPr>
              <w:t xml:space="preserve">Veprimi lehtësues i planifikuar </w:t>
            </w:r>
          </w:p>
        </w:tc>
      </w:tr>
      <w:tr w:rsidR="00C91BB6" w:rsidRPr="00554FAF" w14:paraId="3844F3D7" w14:textId="77777777" w:rsidTr="00C91BB6">
        <w:trPr>
          <w:trHeight w:val="606"/>
        </w:trPr>
        <w:tc>
          <w:tcPr>
            <w:tcW w:w="2978" w:type="dxa"/>
            <w:shd w:val="clear" w:color="auto" w:fill="auto"/>
          </w:tcPr>
          <w:p w14:paraId="4120EA0A" w14:textId="77777777" w:rsidR="00C91BB6" w:rsidRPr="00554FAF" w:rsidRDefault="00C91BB6" w:rsidP="00C91BB6">
            <w:pPr>
              <w:pStyle w:val="Default"/>
              <w:spacing w:after="60"/>
              <w:jc w:val="both"/>
              <w:rPr>
                <w:lang w:val="sq-AL"/>
              </w:rPr>
            </w:pPr>
            <w:r w:rsidRPr="00554FAF">
              <w:rPr>
                <w:lang w:val="sq-AL"/>
              </w:rPr>
              <w:t xml:space="preserve">Bashkëpunimi dhe koordinimi ndërinstitucional </w:t>
            </w:r>
          </w:p>
        </w:tc>
        <w:tc>
          <w:tcPr>
            <w:tcW w:w="1517" w:type="dxa"/>
            <w:shd w:val="clear" w:color="auto" w:fill="auto"/>
          </w:tcPr>
          <w:p w14:paraId="26BF67D6" w14:textId="77777777" w:rsidR="00C91BB6" w:rsidRPr="00554FAF" w:rsidRDefault="00C91BB6" w:rsidP="00C91BB6">
            <w:pPr>
              <w:pStyle w:val="Default"/>
              <w:spacing w:after="60"/>
              <w:jc w:val="both"/>
              <w:rPr>
                <w:lang w:val="sq-AL"/>
              </w:rPr>
            </w:pPr>
            <w:r w:rsidRPr="00554FAF">
              <w:rPr>
                <w:lang w:val="sq-AL"/>
              </w:rPr>
              <w:t>I ulët</w:t>
            </w:r>
          </w:p>
        </w:tc>
        <w:tc>
          <w:tcPr>
            <w:tcW w:w="5130" w:type="dxa"/>
            <w:shd w:val="clear" w:color="auto" w:fill="auto"/>
          </w:tcPr>
          <w:p w14:paraId="17FF4D4B" w14:textId="77777777" w:rsidR="00C91BB6" w:rsidRPr="00554FAF" w:rsidRDefault="00C91BB6" w:rsidP="00C91BB6">
            <w:pPr>
              <w:pStyle w:val="Default"/>
              <w:spacing w:after="60"/>
              <w:jc w:val="both"/>
              <w:rPr>
                <w:lang w:val="sq-AL"/>
              </w:rPr>
            </w:pPr>
            <w:r w:rsidRPr="00554FAF">
              <w:rPr>
                <w:lang w:val="sq-AL"/>
              </w:rPr>
              <w:t>AKKVP në ndërmarrë hapat e duhur për themelim të grupeve punuese dhe të rris rolin e saj koordinues në ketë proces.</w:t>
            </w:r>
          </w:p>
        </w:tc>
      </w:tr>
    </w:tbl>
    <w:p w14:paraId="2CEF2D4C" w14:textId="77777777" w:rsidR="00C91BB6" w:rsidRPr="00554FAF" w:rsidRDefault="00C91BB6" w:rsidP="000702CB">
      <w:pPr>
        <w:spacing w:after="60" w:line="240" w:lineRule="auto"/>
        <w:rPr>
          <w:rFonts w:ascii="Times New Roman" w:hAnsi="Times New Roman" w:cs="Times New Roman"/>
          <w:b/>
          <w:b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BC2BEE" w:rsidRPr="00554FAF" w14:paraId="7699C1AC" w14:textId="77777777" w:rsidTr="004A424A">
        <w:tc>
          <w:tcPr>
            <w:tcW w:w="9350" w:type="dxa"/>
            <w:shd w:val="clear" w:color="auto" w:fill="5B9BD5"/>
          </w:tcPr>
          <w:p w14:paraId="66FC42C1" w14:textId="77777777" w:rsidR="00BC2BEE" w:rsidRPr="00554FAF" w:rsidRDefault="00BC2BEE" w:rsidP="000702CB">
            <w:pPr>
              <w:spacing w:after="60" w:line="240" w:lineRule="auto"/>
              <w:rPr>
                <w:rFonts w:ascii="Times New Roman" w:hAnsi="Times New Roman" w:cs="Times New Roman"/>
                <w:b/>
                <w:bCs/>
                <w:sz w:val="24"/>
                <w:szCs w:val="24"/>
              </w:rPr>
            </w:pPr>
            <w:r w:rsidRPr="00554FAF">
              <w:rPr>
                <w:rFonts w:ascii="Times New Roman" w:hAnsi="Times New Roman" w:cs="Times New Roman"/>
                <w:b/>
                <w:bCs/>
                <w:sz w:val="24"/>
                <w:szCs w:val="24"/>
              </w:rPr>
              <w:t xml:space="preserve">Masa e reformës 11: </w:t>
            </w:r>
            <w:r w:rsidRPr="00554FAF">
              <w:rPr>
                <w:rFonts w:ascii="Times New Roman" w:hAnsi="Times New Roman" w:cs="Times New Roman"/>
                <w:b/>
                <w:bCs/>
                <w:iCs/>
                <w:sz w:val="24"/>
                <w:szCs w:val="24"/>
              </w:rPr>
              <w:t>Zvogëlimi i ekonomisë joformale</w:t>
            </w:r>
          </w:p>
        </w:tc>
      </w:tr>
    </w:tbl>
    <w:p w14:paraId="5AA2EB03" w14:textId="57E0BEBA" w:rsidR="00BC2BEE" w:rsidRPr="00554FAF" w:rsidRDefault="000A0A12" w:rsidP="000702CB">
      <w:pPr>
        <w:pStyle w:val="Default"/>
        <w:spacing w:after="60"/>
        <w:jc w:val="both"/>
        <w:rPr>
          <w:bCs/>
          <w:lang w:val="sq-AL"/>
        </w:rPr>
      </w:pPr>
      <w:r w:rsidRPr="00554FAF">
        <w:rPr>
          <w:b/>
          <w:bCs/>
          <w:lang w:val="sq-AL"/>
        </w:rPr>
        <w:t xml:space="preserve">1. </w:t>
      </w:r>
      <w:r w:rsidR="00BC2BEE" w:rsidRPr="00554FAF">
        <w:rPr>
          <w:b/>
          <w:bCs/>
          <w:lang w:val="sq-AL"/>
        </w:rPr>
        <w:t>Përshkrimi i masës:</w:t>
      </w:r>
      <w:r w:rsidR="00BC2BEE" w:rsidRPr="00554FAF">
        <w:rPr>
          <w:bCs/>
          <w:lang w:val="sq-AL"/>
        </w:rPr>
        <w:t xml:space="preserve"> Ekonomia joformale si fenomen, ka marrë shtrirje të gjerë në ekonominë e vendit. Studimet e fundit vlerësojnë që ekonomia joformale arrin deri  në 30% të BPV-së. Duke </w:t>
      </w:r>
      <w:r w:rsidR="0010445C" w:rsidRPr="00554FAF">
        <w:rPr>
          <w:bCs/>
          <w:lang w:val="sq-AL"/>
        </w:rPr>
        <w:t>i</w:t>
      </w:r>
      <w:r w:rsidR="00BC2BEE" w:rsidRPr="00554FAF">
        <w:rPr>
          <w:bCs/>
          <w:lang w:val="sq-AL"/>
        </w:rPr>
        <w:t>u shmangur detyrimeve të ndryshme ndaj shtetit, subjekte të ndryshme fitojnë shuma të mëdha financiare në mënyrë të paligjshme. Prezenca e ekonomisë joformale në vend dëmton ekonominë e tregut dhe konkurrencën e drejtë në mes të bizneseve. Në këtë drejtim ajo gjithashtu paraqet pengesë të madhe në matjen e treguesve makroekonomik siç janë: bruto produkti vendor (BPV), shkalla e rritjes ekonomike dhe papunësisë, etj.</w:t>
      </w:r>
      <w:r w:rsidR="0010445C" w:rsidRPr="00554FAF">
        <w:rPr>
          <w:bCs/>
          <w:lang w:val="sq-AL"/>
        </w:rPr>
        <w:t>,</w:t>
      </w:r>
      <w:r w:rsidR="00BC2BEE" w:rsidRPr="00554FAF">
        <w:rPr>
          <w:bCs/>
          <w:lang w:val="sq-AL"/>
        </w:rPr>
        <w:t xml:space="preserve"> të cilat reflektohen në krijimin e politikave ekonomike. Qëllimi i masës është luftimi i ekonomisë joformale, përmes përmirësimi i sundimit të ligjit dhe qeverisjes ekonomike në Kosovë, me qëllim të rritjes së të ardhurave tatimore si dhe formalizmit të punësimit. Masa është në përputhje me Strategjinë e re Kundër Ekonomisë Joformale dhe Parandalimin e Pastrimit të Parave dhe Financimit të Terrorizmit 2019-2023. </w:t>
      </w:r>
      <w:r w:rsidR="0010445C" w:rsidRPr="00554FAF">
        <w:rPr>
          <w:bCs/>
          <w:lang w:val="sq-AL"/>
        </w:rPr>
        <w:t>Gjithashtu, a</w:t>
      </w:r>
      <w:r w:rsidR="00BC2BEE" w:rsidRPr="00554FAF">
        <w:rPr>
          <w:bCs/>
          <w:lang w:val="sq-AL"/>
        </w:rPr>
        <w:t>jo është në përputhje me Strategjinë aktuale të Zhvillimit të Kosovës dhe marrëveshjen e vendit në Marrëveshjen e Stabilizim Asocimit.</w:t>
      </w:r>
    </w:p>
    <w:p w14:paraId="371EAFE7" w14:textId="77777777" w:rsidR="00BC2BEE" w:rsidRPr="00554FAF" w:rsidRDefault="00BC2BEE" w:rsidP="000702CB">
      <w:pPr>
        <w:spacing w:after="60" w:line="240" w:lineRule="auto"/>
        <w:jc w:val="both"/>
        <w:rPr>
          <w:rFonts w:ascii="Times New Roman" w:hAnsi="Times New Roman" w:cs="Times New Roman"/>
          <w:b/>
          <w:bCs/>
          <w:sz w:val="24"/>
          <w:szCs w:val="24"/>
        </w:rPr>
      </w:pPr>
    </w:p>
    <w:p w14:paraId="2F4EF448" w14:textId="77777777" w:rsidR="00BC2BEE" w:rsidRPr="00554FAF" w:rsidRDefault="00BC2BEE" w:rsidP="00802FB3">
      <w:pPr>
        <w:pStyle w:val="ListParagraph"/>
        <w:numPr>
          <w:ilvl w:val="0"/>
          <w:numId w:val="44"/>
        </w:numPr>
        <w:spacing w:after="60" w:line="240" w:lineRule="auto"/>
        <w:contextualSpacing w:val="0"/>
        <w:jc w:val="both"/>
        <w:rPr>
          <w:rFonts w:ascii="Times New Roman" w:hAnsi="Times New Roman" w:cs="Times New Roman"/>
          <w:b/>
          <w:bCs/>
          <w:sz w:val="24"/>
          <w:szCs w:val="24"/>
        </w:rPr>
      </w:pPr>
      <w:r w:rsidRPr="00554FAF">
        <w:rPr>
          <w:rFonts w:ascii="Times New Roman" w:hAnsi="Times New Roman" w:cs="Times New Roman"/>
          <w:b/>
          <w:bCs/>
          <w:sz w:val="24"/>
          <w:szCs w:val="24"/>
        </w:rPr>
        <w:t>Aktivitetet e planifikuara për 2020:</w:t>
      </w:r>
    </w:p>
    <w:p w14:paraId="02FE2CF3" w14:textId="31B73537" w:rsidR="00BC2BEE" w:rsidRPr="00554FAF" w:rsidRDefault="00BC2BEE" w:rsidP="00730ACA">
      <w:pPr>
        <w:pStyle w:val="Default"/>
        <w:numPr>
          <w:ilvl w:val="0"/>
          <w:numId w:val="8"/>
        </w:numPr>
        <w:spacing w:after="60"/>
        <w:ind w:left="360"/>
        <w:jc w:val="both"/>
        <w:rPr>
          <w:bCs/>
          <w:lang w:val="sq-AL"/>
        </w:rPr>
      </w:pPr>
      <w:r w:rsidRPr="00554FAF">
        <w:rPr>
          <w:bCs/>
          <w:lang w:val="sq-AL"/>
        </w:rPr>
        <w:t xml:space="preserve">Ndryshimi i kornizës së nevojshme ligjore, miratimi dhe nxjerrja e akteve nënligjore për uljen e transaksionit aktual prej 500 € në 300 Euro për biznes ( Ligji per procedurat e  ATK) në para kesh si dhe futjen e pagesës elektronike obligative (Ligji i </w:t>
      </w:r>
      <w:r w:rsidR="00F202BD" w:rsidRPr="00554FAF">
        <w:rPr>
          <w:bCs/>
          <w:lang w:val="sq-AL"/>
        </w:rPr>
        <w:t>Punës</w:t>
      </w:r>
      <w:r w:rsidRPr="00554FAF">
        <w:rPr>
          <w:bCs/>
          <w:lang w:val="sq-AL"/>
        </w:rPr>
        <w:t xml:space="preserve">)  për </w:t>
      </w:r>
      <w:r w:rsidR="0010445C" w:rsidRPr="00554FAF">
        <w:rPr>
          <w:bCs/>
          <w:lang w:val="sq-AL"/>
        </w:rPr>
        <w:t>1</w:t>
      </w:r>
      <w:r w:rsidRPr="00554FAF">
        <w:rPr>
          <w:bCs/>
          <w:lang w:val="sq-AL"/>
        </w:rPr>
        <w:t xml:space="preserve">) të gjitha pagat dhe mëditjet e punonjësve në të gjithë sektorët </w:t>
      </w:r>
      <w:r w:rsidR="0010445C" w:rsidRPr="00554FAF">
        <w:rPr>
          <w:bCs/>
          <w:lang w:val="sq-AL"/>
        </w:rPr>
        <w:t>dhe</w:t>
      </w:r>
      <w:r w:rsidRPr="00554FAF">
        <w:rPr>
          <w:bCs/>
          <w:lang w:val="sq-AL"/>
        </w:rPr>
        <w:t xml:space="preserve"> </w:t>
      </w:r>
      <w:r w:rsidR="0010445C" w:rsidRPr="00554FAF">
        <w:rPr>
          <w:bCs/>
          <w:lang w:val="sq-AL"/>
        </w:rPr>
        <w:t>2</w:t>
      </w:r>
      <w:r w:rsidRPr="00554FAF">
        <w:rPr>
          <w:bCs/>
          <w:lang w:val="sq-AL"/>
        </w:rPr>
        <w:t>) punësimin, papunësinë dhe pagesat e sigurisë sociale / shëndetësore për të gjithë banorët e Kosovës</w:t>
      </w:r>
      <w:r w:rsidR="0010445C" w:rsidRPr="00554FAF">
        <w:rPr>
          <w:lang w:val="sq-AL"/>
        </w:rPr>
        <w:t>;</w:t>
      </w:r>
    </w:p>
    <w:p w14:paraId="6C0F21FE" w14:textId="77777777" w:rsidR="00BC2BEE" w:rsidRPr="00554FAF" w:rsidRDefault="00BC2BEE" w:rsidP="00730ACA">
      <w:pPr>
        <w:pStyle w:val="Default"/>
        <w:numPr>
          <w:ilvl w:val="0"/>
          <w:numId w:val="8"/>
        </w:numPr>
        <w:spacing w:after="60"/>
        <w:ind w:left="360"/>
        <w:jc w:val="both"/>
        <w:rPr>
          <w:bCs/>
          <w:lang w:val="sq-AL"/>
        </w:rPr>
      </w:pPr>
      <w:r w:rsidRPr="00554FAF">
        <w:rPr>
          <w:bCs/>
          <w:lang w:val="sq-AL"/>
        </w:rPr>
        <w:t xml:space="preserve">Zhvillimi i sistemit aktual për përditësimin automatik të klasifikimit të aktivitetit ekonomik të bizneseve përmes EDI-t sipas nomenklaturës ndërkombëtare (NACE rev.2) dhe shkëmbimi i këtyre informacioneve nga ATK në ARBK dhe ASK; </w:t>
      </w:r>
    </w:p>
    <w:p w14:paraId="1B980490" w14:textId="70CD7C4F" w:rsidR="00BC2BEE" w:rsidRPr="00554FAF" w:rsidRDefault="00BC2BEE" w:rsidP="00730ACA">
      <w:pPr>
        <w:pStyle w:val="Default"/>
        <w:numPr>
          <w:ilvl w:val="0"/>
          <w:numId w:val="8"/>
        </w:numPr>
        <w:spacing w:after="60"/>
        <w:ind w:left="360"/>
        <w:jc w:val="both"/>
        <w:rPr>
          <w:bCs/>
          <w:lang w:val="sq-AL"/>
        </w:rPr>
      </w:pPr>
      <w:r w:rsidRPr="00554FAF">
        <w:rPr>
          <w:bCs/>
          <w:lang w:val="sq-AL"/>
        </w:rPr>
        <w:t>Zgjerimi i aktiviteteve inspektuese në sektorin e nd</w:t>
      </w:r>
      <w:r w:rsidR="0010445C" w:rsidRPr="00554FAF">
        <w:rPr>
          <w:bCs/>
          <w:lang w:val="sq-AL"/>
        </w:rPr>
        <w:t>ë</w:t>
      </w:r>
      <w:r w:rsidRPr="00554FAF">
        <w:rPr>
          <w:bCs/>
          <w:lang w:val="sq-AL"/>
        </w:rPr>
        <w:t>rtimit, akomodimit dhe kontrollit të stoqeve t</w:t>
      </w:r>
      <w:r w:rsidR="0010445C" w:rsidRPr="00554FAF">
        <w:rPr>
          <w:bCs/>
          <w:lang w:val="sq-AL"/>
        </w:rPr>
        <w:t>ë</w:t>
      </w:r>
      <w:r w:rsidRPr="00554FAF">
        <w:rPr>
          <w:bCs/>
          <w:lang w:val="sq-AL"/>
        </w:rPr>
        <w:t xml:space="preserve"> mallrat në sektorin e tregtisë, si rezultat i zbatimit të Planeve Specifike Përmbushëse për sektorët me shkallë të lartë të rrezikshmërisë; </w:t>
      </w:r>
    </w:p>
    <w:p w14:paraId="31F3D976" w14:textId="77777777" w:rsidR="00BC2BEE" w:rsidRPr="00554FAF" w:rsidRDefault="00BC2BEE" w:rsidP="00730ACA">
      <w:pPr>
        <w:pStyle w:val="Default"/>
        <w:numPr>
          <w:ilvl w:val="0"/>
          <w:numId w:val="8"/>
        </w:numPr>
        <w:spacing w:after="60"/>
        <w:ind w:left="360"/>
        <w:jc w:val="both"/>
        <w:rPr>
          <w:bCs/>
          <w:lang w:val="sq-AL"/>
        </w:rPr>
      </w:pPr>
      <w:r w:rsidRPr="00554FAF">
        <w:rPr>
          <w:bCs/>
          <w:lang w:val="sq-AL"/>
        </w:rPr>
        <w:t>Intensifikimi i aktiviteteve inspektuese në mes ATK-së dhe Ministrisë së Punës dhe Mirëqenies Sociale (MPMS) me qëllim të identifikimit dhe regjistrimit të punëtorëve të pa regjistruar;</w:t>
      </w:r>
    </w:p>
    <w:p w14:paraId="72EA52D7" w14:textId="60546264" w:rsidR="00BC2BEE" w:rsidRPr="00554FAF" w:rsidRDefault="00F202BD" w:rsidP="00730ACA">
      <w:pPr>
        <w:pStyle w:val="Default"/>
        <w:numPr>
          <w:ilvl w:val="0"/>
          <w:numId w:val="8"/>
        </w:numPr>
        <w:spacing w:after="60"/>
        <w:ind w:left="360"/>
        <w:jc w:val="both"/>
        <w:rPr>
          <w:bCs/>
          <w:lang w:val="sq-AL"/>
        </w:rPr>
      </w:pPr>
      <w:r w:rsidRPr="00554FAF">
        <w:rPr>
          <w:bCs/>
          <w:lang w:val="sq-AL"/>
        </w:rPr>
        <w:t>Ristrukturimi</w:t>
      </w:r>
      <w:r w:rsidR="00BC2BEE" w:rsidRPr="00554FAF">
        <w:rPr>
          <w:bCs/>
          <w:lang w:val="sq-AL"/>
        </w:rPr>
        <w:t xml:space="preserve"> i </w:t>
      </w:r>
      <w:r w:rsidRPr="00554FAF">
        <w:rPr>
          <w:bCs/>
          <w:lang w:val="sq-AL"/>
        </w:rPr>
        <w:t>Inspektoratit</w:t>
      </w:r>
      <w:r w:rsidR="00BC2BEE" w:rsidRPr="00554FAF">
        <w:rPr>
          <w:bCs/>
          <w:lang w:val="sq-AL"/>
        </w:rPr>
        <w:t xml:space="preserve"> të Punës dhe punësimi i 20 inspektorëve shtesë  të punës; </w:t>
      </w:r>
    </w:p>
    <w:p w14:paraId="2278ED2E" w14:textId="77777777" w:rsidR="00BC2BEE" w:rsidRPr="00554FAF" w:rsidRDefault="00BC2BEE" w:rsidP="00730ACA">
      <w:pPr>
        <w:pStyle w:val="Default"/>
        <w:numPr>
          <w:ilvl w:val="0"/>
          <w:numId w:val="8"/>
        </w:numPr>
        <w:spacing w:after="60"/>
        <w:ind w:left="360"/>
        <w:jc w:val="both"/>
        <w:rPr>
          <w:bCs/>
          <w:lang w:val="sq-AL"/>
        </w:rPr>
      </w:pPr>
      <w:r w:rsidRPr="00554FAF">
        <w:rPr>
          <w:bCs/>
          <w:lang w:val="sq-AL"/>
        </w:rPr>
        <w:t xml:space="preserve">Intensifikimi i veprimeve inspektuese (kontrolleve/inspektimeve) ndërmjet DK dhe ATK tek bizneset që kategorizohen me rrezik të lartë të shmangies së tatimeve të identifikuara nga grupi i përbashkët i inspektorëve të DK dhe ATK në fushat si tregtia, tekstili, dyqanet e telefonave dhe arit. </w:t>
      </w:r>
    </w:p>
    <w:p w14:paraId="07EEEA9C" w14:textId="77777777" w:rsidR="00BC2BEE" w:rsidRPr="00554FAF" w:rsidRDefault="00BC2BEE" w:rsidP="00802FB3">
      <w:pPr>
        <w:pStyle w:val="ListParagraph"/>
        <w:numPr>
          <w:ilvl w:val="0"/>
          <w:numId w:val="44"/>
        </w:numPr>
        <w:spacing w:after="60" w:line="240" w:lineRule="auto"/>
        <w:contextualSpacing w:val="0"/>
        <w:rPr>
          <w:rFonts w:ascii="Times New Roman" w:hAnsi="Times New Roman" w:cs="Times New Roman"/>
          <w:b/>
          <w:bCs/>
          <w:sz w:val="24"/>
          <w:szCs w:val="24"/>
        </w:rPr>
      </w:pPr>
      <w:r w:rsidRPr="00554FAF">
        <w:rPr>
          <w:rFonts w:ascii="Times New Roman" w:hAnsi="Times New Roman" w:cs="Times New Roman"/>
          <w:b/>
          <w:bCs/>
          <w:sz w:val="24"/>
          <w:szCs w:val="24"/>
        </w:rPr>
        <w:t>Aktivitetet e planifikuara për 2021:</w:t>
      </w:r>
    </w:p>
    <w:p w14:paraId="73AB0FDA" w14:textId="5C1CC71F" w:rsidR="00BC2BEE" w:rsidRPr="00554FAF" w:rsidRDefault="00BC2BEE" w:rsidP="00730ACA">
      <w:pPr>
        <w:pStyle w:val="Default"/>
        <w:numPr>
          <w:ilvl w:val="0"/>
          <w:numId w:val="9"/>
        </w:numPr>
        <w:spacing w:after="60"/>
        <w:ind w:left="360"/>
        <w:jc w:val="both"/>
        <w:rPr>
          <w:bCs/>
          <w:lang w:val="sq-AL"/>
        </w:rPr>
      </w:pPr>
      <w:r w:rsidRPr="00554FAF">
        <w:rPr>
          <w:bCs/>
          <w:lang w:val="sq-AL"/>
        </w:rPr>
        <w:t>Zgjerimi i aktiviteteve inspektuese n</w:t>
      </w:r>
      <w:r w:rsidR="0010445C" w:rsidRPr="00554FAF">
        <w:rPr>
          <w:bCs/>
          <w:lang w:val="sq-AL"/>
        </w:rPr>
        <w:t>ë</w:t>
      </w:r>
      <w:r w:rsidRPr="00554FAF">
        <w:rPr>
          <w:bCs/>
          <w:lang w:val="sq-AL"/>
        </w:rPr>
        <w:t xml:space="preserve"> sektorin e nd</w:t>
      </w:r>
      <w:r w:rsidR="0010445C" w:rsidRPr="00554FAF">
        <w:rPr>
          <w:bCs/>
          <w:lang w:val="sq-AL"/>
        </w:rPr>
        <w:t>ë</w:t>
      </w:r>
      <w:r w:rsidRPr="00554FAF">
        <w:rPr>
          <w:bCs/>
          <w:lang w:val="sq-AL"/>
        </w:rPr>
        <w:t>rtimit, akomodimit dhe kontrollit të stoqeve t</w:t>
      </w:r>
      <w:r w:rsidR="0010445C" w:rsidRPr="00554FAF">
        <w:rPr>
          <w:bCs/>
          <w:lang w:val="sq-AL"/>
        </w:rPr>
        <w:t>ë</w:t>
      </w:r>
      <w:r w:rsidRPr="00554FAF">
        <w:rPr>
          <w:bCs/>
          <w:lang w:val="sq-AL"/>
        </w:rPr>
        <w:t xml:space="preserve"> mallrat në sektorin e tregtisë, si rezultat i zbatimit të Planeve Specifike të përmbushjes për sektorët me shkallë të lart të rrezikshmërisë; </w:t>
      </w:r>
    </w:p>
    <w:p w14:paraId="048C0C58" w14:textId="570FD9C2" w:rsidR="00BC2BEE" w:rsidRPr="00554FAF" w:rsidRDefault="00BC2BEE" w:rsidP="00730ACA">
      <w:pPr>
        <w:pStyle w:val="Default"/>
        <w:numPr>
          <w:ilvl w:val="0"/>
          <w:numId w:val="9"/>
        </w:numPr>
        <w:spacing w:after="60"/>
        <w:ind w:left="360"/>
        <w:jc w:val="both"/>
        <w:rPr>
          <w:lang w:val="sq-AL"/>
        </w:rPr>
      </w:pPr>
      <w:r w:rsidRPr="00554FAF">
        <w:rPr>
          <w:lang w:val="sq-AL"/>
        </w:rPr>
        <w:t>Vlerësimi ex post i zbatimit të aktivitetit 3 t</w:t>
      </w:r>
      <w:r w:rsidR="0010445C" w:rsidRPr="00554FAF">
        <w:rPr>
          <w:lang w:val="sq-AL"/>
        </w:rPr>
        <w:t>ë</w:t>
      </w:r>
      <w:r w:rsidRPr="00554FAF">
        <w:rPr>
          <w:lang w:val="sq-AL"/>
        </w:rPr>
        <w:t xml:space="preserve"> vitit 2019 dhe hartimi i masave të nevojshme korrigjuese për planin e vitit vijues, ndryshimeve dhe zbatimit; </w:t>
      </w:r>
    </w:p>
    <w:p w14:paraId="0BC2400C" w14:textId="77777777" w:rsidR="00BC2BEE" w:rsidRPr="00554FAF" w:rsidRDefault="00BC2BEE" w:rsidP="00730ACA">
      <w:pPr>
        <w:pStyle w:val="Default"/>
        <w:numPr>
          <w:ilvl w:val="0"/>
          <w:numId w:val="9"/>
        </w:numPr>
        <w:spacing w:after="60"/>
        <w:ind w:left="360"/>
        <w:jc w:val="both"/>
        <w:rPr>
          <w:lang w:val="sq-AL"/>
        </w:rPr>
      </w:pPr>
      <w:r w:rsidRPr="00554FAF">
        <w:rPr>
          <w:bCs/>
          <w:lang w:val="sq-AL"/>
        </w:rPr>
        <w:t>Zgjerimi i gamës së Vlerësimeve të Rrezikut nga NJIF (Njësia e Inteligjencës Financiare) duke shtuar vlerësimin e Sektorit Financiar.</w:t>
      </w:r>
    </w:p>
    <w:p w14:paraId="7C70D681" w14:textId="77777777" w:rsidR="00BC2BEE" w:rsidRPr="00554FAF" w:rsidRDefault="00BC2BEE" w:rsidP="00802FB3">
      <w:pPr>
        <w:pStyle w:val="ListParagraph"/>
        <w:numPr>
          <w:ilvl w:val="0"/>
          <w:numId w:val="44"/>
        </w:numPr>
        <w:spacing w:after="60" w:line="240" w:lineRule="auto"/>
        <w:contextualSpacing w:val="0"/>
        <w:rPr>
          <w:rFonts w:ascii="Times New Roman" w:hAnsi="Times New Roman" w:cs="Times New Roman"/>
          <w:b/>
          <w:bCs/>
          <w:sz w:val="24"/>
          <w:szCs w:val="24"/>
        </w:rPr>
      </w:pPr>
      <w:r w:rsidRPr="00554FAF">
        <w:rPr>
          <w:rFonts w:ascii="Times New Roman" w:hAnsi="Times New Roman" w:cs="Times New Roman"/>
          <w:b/>
          <w:bCs/>
          <w:sz w:val="24"/>
          <w:szCs w:val="24"/>
        </w:rPr>
        <w:t>Aktivitetet e planifikuara për 2022:</w:t>
      </w:r>
    </w:p>
    <w:p w14:paraId="6DB7B3B8" w14:textId="77777777" w:rsidR="00BC2BEE" w:rsidRPr="00554FAF" w:rsidRDefault="00BC2BEE" w:rsidP="00730ACA">
      <w:pPr>
        <w:pStyle w:val="ListParagraph"/>
        <w:numPr>
          <w:ilvl w:val="0"/>
          <w:numId w:val="10"/>
        </w:numPr>
        <w:spacing w:after="60" w:line="240" w:lineRule="auto"/>
        <w:ind w:left="360"/>
        <w:contextualSpacing w:val="0"/>
        <w:jc w:val="both"/>
        <w:rPr>
          <w:rFonts w:ascii="Times New Roman" w:hAnsi="Times New Roman" w:cs="Times New Roman"/>
          <w:sz w:val="24"/>
          <w:szCs w:val="24"/>
        </w:rPr>
      </w:pPr>
      <w:r w:rsidRPr="00554FAF">
        <w:rPr>
          <w:rFonts w:ascii="Times New Roman" w:hAnsi="Times New Roman" w:cs="Times New Roman"/>
          <w:sz w:val="24"/>
          <w:szCs w:val="24"/>
        </w:rPr>
        <w:t xml:space="preserve">Themelimi dhe funksionalizimi i Njësisë për Rikthimin e Aseteve të Konfiskuara; </w:t>
      </w:r>
    </w:p>
    <w:p w14:paraId="3B7680CC" w14:textId="77777777" w:rsidR="00BC2BEE" w:rsidRPr="00554FAF" w:rsidRDefault="00BC2BEE" w:rsidP="00730ACA">
      <w:pPr>
        <w:pStyle w:val="ListParagraph"/>
        <w:numPr>
          <w:ilvl w:val="0"/>
          <w:numId w:val="10"/>
        </w:numPr>
        <w:spacing w:after="60" w:line="240" w:lineRule="auto"/>
        <w:ind w:left="360"/>
        <w:contextualSpacing w:val="0"/>
        <w:jc w:val="both"/>
        <w:rPr>
          <w:rFonts w:ascii="Times New Roman" w:hAnsi="Times New Roman" w:cs="Times New Roman"/>
          <w:sz w:val="24"/>
          <w:szCs w:val="24"/>
        </w:rPr>
      </w:pPr>
      <w:r w:rsidRPr="00554FAF">
        <w:rPr>
          <w:rFonts w:ascii="Times New Roman" w:hAnsi="Times New Roman" w:cs="Times New Roman"/>
          <w:sz w:val="24"/>
          <w:szCs w:val="24"/>
        </w:rPr>
        <w:t>Krijimi i fondit të konfiskimit në Kosovë;</w:t>
      </w:r>
    </w:p>
    <w:p w14:paraId="4C37DBC3" w14:textId="14180E89" w:rsidR="00BC2BEE" w:rsidRPr="00554FAF" w:rsidRDefault="00BC2BEE" w:rsidP="00730ACA">
      <w:pPr>
        <w:pStyle w:val="ListParagraph"/>
        <w:numPr>
          <w:ilvl w:val="0"/>
          <w:numId w:val="10"/>
        </w:numPr>
        <w:spacing w:after="60" w:line="240" w:lineRule="auto"/>
        <w:ind w:left="360"/>
        <w:contextualSpacing w:val="0"/>
        <w:jc w:val="both"/>
        <w:rPr>
          <w:rFonts w:ascii="Times New Roman" w:hAnsi="Times New Roman" w:cs="Times New Roman"/>
          <w:sz w:val="24"/>
          <w:szCs w:val="24"/>
        </w:rPr>
      </w:pPr>
      <w:r w:rsidRPr="00554FAF">
        <w:rPr>
          <w:rFonts w:ascii="Times New Roman" w:hAnsi="Times New Roman" w:cs="Times New Roman"/>
          <w:sz w:val="24"/>
          <w:szCs w:val="24"/>
        </w:rPr>
        <w:t xml:space="preserve">Themelimi i një sistemi për pagesa ndërbankare me qëllim të stimulimit të pagesave përmes kartave dhe formave tjera të pagesës që e ulë përdorimin e </w:t>
      </w:r>
      <w:r w:rsidR="0010445C" w:rsidRPr="00554FAF">
        <w:rPr>
          <w:rFonts w:ascii="Times New Roman" w:hAnsi="Times New Roman" w:cs="Times New Roman"/>
          <w:sz w:val="24"/>
          <w:szCs w:val="24"/>
        </w:rPr>
        <w:t xml:space="preserve">parasë së gatshme </w:t>
      </w:r>
      <w:r w:rsidRPr="00554FAF">
        <w:rPr>
          <w:rFonts w:ascii="Times New Roman" w:hAnsi="Times New Roman" w:cs="Times New Roman"/>
          <w:sz w:val="24"/>
          <w:szCs w:val="24"/>
        </w:rPr>
        <w:t>në një shkallë të lartë si mjet pagese;</w:t>
      </w:r>
    </w:p>
    <w:p w14:paraId="15F6B6E3" w14:textId="77777777" w:rsidR="00BC2BEE" w:rsidRPr="00554FAF" w:rsidRDefault="00BC2BEE" w:rsidP="000702CB">
      <w:pPr>
        <w:pStyle w:val="ListParagraph"/>
        <w:spacing w:after="60" w:line="240" w:lineRule="auto"/>
        <w:ind w:left="360"/>
        <w:contextualSpacing w:val="0"/>
        <w:rPr>
          <w:rFonts w:ascii="Times New Roman" w:hAnsi="Times New Roman" w:cs="Times New Roman"/>
          <w:b/>
          <w:bCs/>
          <w:sz w:val="24"/>
          <w:szCs w:val="24"/>
        </w:rPr>
      </w:pPr>
    </w:p>
    <w:p w14:paraId="34D2DD49" w14:textId="77777777" w:rsidR="00BC2BEE" w:rsidRPr="00554FAF" w:rsidRDefault="00BC2BEE" w:rsidP="000702CB">
      <w:pPr>
        <w:spacing w:after="60" w:line="240" w:lineRule="auto"/>
        <w:rPr>
          <w:rFonts w:ascii="Times New Roman" w:hAnsi="Times New Roman" w:cs="Times New Roman"/>
          <w:b/>
          <w:bCs/>
          <w:sz w:val="24"/>
          <w:szCs w:val="24"/>
        </w:rPr>
      </w:pPr>
      <w:r w:rsidRPr="00554FAF">
        <w:rPr>
          <w:rFonts w:ascii="Times New Roman" w:hAnsi="Times New Roman" w:cs="Times New Roman"/>
          <w:b/>
          <w:sz w:val="24"/>
          <w:szCs w:val="24"/>
        </w:rPr>
        <w:t>2. Treguesit e rezultateve</w:t>
      </w:r>
      <w:r w:rsidRPr="00554FAF">
        <w:rPr>
          <w:rFonts w:ascii="Times New Roman" w:hAnsi="Times New Roman" w:cs="Times New Roman"/>
          <w:b/>
          <w:bCs/>
          <w:sz w:val="24"/>
          <w:szCs w:val="24"/>
        </w:rPr>
        <w:t xml:space="preserve">: </w:t>
      </w:r>
    </w:p>
    <w:tbl>
      <w:tblPr>
        <w:tblpPr w:leftFromText="180" w:rightFromText="180" w:vertAnchor="text" w:horzAnchor="margin" w:tblpY="138"/>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5"/>
        <w:gridCol w:w="2340"/>
        <w:gridCol w:w="2250"/>
        <w:gridCol w:w="2250"/>
      </w:tblGrid>
      <w:tr w:rsidR="00BC2BEE" w:rsidRPr="00554FAF" w14:paraId="4B352805" w14:textId="77777777" w:rsidTr="004A424A">
        <w:trPr>
          <w:trHeight w:val="528"/>
        </w:trPr>
        <w:tc>
          <w:tcPr>
            <w:tcW w:w="2245" w:type="dxa"/>
            <w:shd w:val="clear" w:color="auto" w:fill="auto"/>
          </w:tcPr>
          <w:p w14:paraId="1880038D" w14:textId="77777777" w:rsidR="00BC2BEE" w:rsidRPr="00554FAF" w:rsidRDefault="00BC2BEE" w:rsidP="000702CB">
            <w:pPr>
              <w:pStyle w:val="Default"/>
              <w:spacing w:after="60"/>
              <w:jc w:val="center"/>
              <w:rPr>
                <w:b/>
                <w:color w:val="auto"/>
                <w:lang w:val="sq-AL"/>
              </w:rPr>
            </w:pPr>
            <w:r w:rsidRPr="00554FAF">
              <w:rPr>
                <w:b/>
                <w:color w:val="auto"/>
                <w:lang w:val="sq-AL"/>
              </w:rPr>
              <w:t>Treguesi</w:t>
            </w:r>
          </w:p>
        </w:tc>
        <w:tc>
          <w:tcPr>
            <w:tcW w:w="2340" w:type="dxa"/>
            <w:shd w:val="clear" w:color="auto" w:fill="auto"/>
          </w:tcPr>
          <w:p w14:paraId="0214FD63" w14:textId="77777777" w:rsidR="00BC2BEE" w:rsidRPr="00554FAF" w:rsidRDefault="00BC2BEE" w:rsidP="000702CB">
            <w:pPr>
              <w:pStyle w:val="Default"/>
              <w:spacing w:after="60"/>
              <w:jc w:val="center"/>
              <w:rPr>
                <w:b/>
                <w:color w:val="auto"/>
                <w:lang w:val="sq-AL"/>
              </w:rPr>
            </w:pPr>
            <w:r w:rsidRPr="00554FAF">
              <w:rPr>
                <w:b/>
                <w:color w:val="auto"/>
                <w:lang w:val="sq-AL"/>
              </w:rPr>
              <w:t>Baza 2018</w:t>
            </w:r>
          </w:p>
          <w:p w14:paraId="7A49652D" w14:textId="77777777" w:rsidR="00BC2BEE" w:rsidRPr="00554FAF" w:rsidRDefault="00BC2BEE" w:rsidP="000702CB">
            <w:pPr>
              <w:pStyle w:val="Default"/>
              <w:spacing w:after="60"/>
              <w:jc w:val="center"/>
              <w:rPr>
                <w:b/>
                <w:color w:val="auto"/>
                <w:lang w:val="sq-AL"/>
              </w:rPr>
            </w:pPr>
          </w:p>
        </w:tc>
        <w:tc>
          <w:tcPr>
            <w:tcW w:w="2250" w:type="dxa"/>
            <w:shd w:val="clear" w:color="auto" w:fill="auto"/>
          </w:tcPr>
          <w:p w14:paraId="6CBB619D" w14:textId="77777777" w:rsidR="00BC2BEE" w:rsidRPr="00554FAF" w:rsidRDefault="00BC2BEE" w:rsidP="000702CB">
            <w:pPr>
              <w:pStyle w:val="Default"/>
              <w:spacing w:after="60"/>
              <w:jc w:val="center"/>
              <w:rPr>
                <w:b/>
                <w:color w:val="auto"/>
                <w:lang w:val="sq-AL"/>
              </w:rPr>
            </w:pPr>
            <w:r w:rsidRPr="00554FAF">
              <w:rPr>
                <w:b/>
                <w:color w:val="auto"/>
                <w:lang w:val="sq-AL"/>
              </w:rPr>
              <w:t>Synimi i ndërmjetëm   2020</w:t>
            </w:r>
          </w:p>
        </w:tc>
        <w:tc>
          <w:tcPr>
            <w:tcW w:w="2250" w:type="dxa"/>
            <w:shd w:val="clear" w:color="auto" w:fill="auto"/>
          </w:tcPr>
          <w:p w14:paraId="6B9CB4F3" w14:textId="77777777" w:rsidR="00BC2BEE" w:rsidRPr="00554FAF" w:rsidRDefault="00BC2BEE" w:rsidP="000702CB">
            <w:pPr>
              <w:pStyle w:val="Default"/>
              <w:spacing w:after="60"/>
              <w:jc w:val="center"/>
              <w:rPr>
                <w:b/>
                <w:color w:val="auto"/>
                <w:lang w:val="sq-AL"/>
              </w:rPr>
            </w:pPr>
            <w:r w:rsidRPr="00554FAF">
              <w:rPr>
                <w:b/>
                <w:color w:val="auto"/>
                <w:lang w:val="sq-AL"/>
              </w:rPr>
              <w:t>Synimi 2022</w:t>
            </w:r>
          </w:p>
          <w:p w14:paraId="75D6C449" w14:textId="77777777" w:rsidR="00BC2BEE" w:rsidRPr="00554FAF" w:rsidRDefault="00BC2BEE" w:rsidP="000702CB">
            <w:pPr>
              <w:pStyle w:val="Default"/>
              <w:spacing w:after="60"/>
              <w:jc w:val="center"/>
              <w:rPr>
                <w:b/>
                <w:color w:val="auto"/>
                <w:lang w:val="sq-AL"/>
              </w:rPr>
            </w:pPr>
          </w:p>
        </w:tc>
      </w:tr>
      <w:tr w:rsidR="00BC2BEE" w:rsidRPr="00554FAF" w14:paraId="6B792786" w14:textId="77777777" w:rsidTr="004A424A">
        <w:trPr>
          <w:trHeight w:val="712"/>
        </w:trPr>
        <w:tc>
          <w:tcPr>
            <w:tcW w:w="2245" w:type="dxa"/>
            <w:shd w:val="clear" w:color="auto" w:fill="auto"/>
          </w:tcPr>
          <w:p w14:paraId="514D1943" w14:textId="52CF3855" w:rsidR="00BC2BEE" w:rsidRPr="00554FAF" w:rsidRDefault="00BC2BEE" w:rsidP="000702CB">
            <w:pPr>
              <w:pStyle w:val="Default"/>
              <w:spacing w:after="60"/>
              <w:jc w:val="both"/>
              <w:rPr>
                <w:iCs/>
                <w:color w:val="auto"/>
                <w:lang w:val="sq-AL"/>
              </w:rPr>
            </w:pPr>
            <w:r w:rsidRPr="00554FAF">
              <w:rPr>
                <w:iCs/>
                <w:lang w:val="sq-AL"/>
              </w:rPr>
              <w:t>1.</w:t>
            </w:r>
            <w:r w:rsidRPr="00554FAF">
              <w:rPr>
                <w:lang w:val="sq-AL"/>
              </w:rPr>
              <w:t xml:space="preserve"> % e të hyrave </w:t>
            </w:r>
            <w:r w:rsidR="00F202BD" w:rsidRPr="00554FAF">
              <w:rPr>
                <w:lang w:val="sq-AL"/>
              </w:rPr>
              <w:t>tatimore</w:t>
            </w:r>
            <w:r w:rsidRPr="00554FAF">
              <w:rPr>
                <w:lang w:val="sq-AL"/>
              </w:rPr>
              <w:t xml:space="preserve"> nga ngushtimi i hendekut tatimor</w:t>
            </w:r>
            <w:r w:rsidRPr="00554FAF">
              <w:rPr>
                <w:rStyle w:val="FootnoteReference"/>
                <w:lang w:val="sq-AL"/>
              </w:rPr>
              <w:footnoteReference w:id="33"/>
            </w:r>
          </w:p>
        </w:tc>
        <w:tc>
          <w:tcPr>
            <w:tcW w:w="2340" w:type="dxa"/>
          </w:tcPr>
          <w:p w14:paraId="15CF0A31" w14:textId="0A91A5B3" w:rsidR="00BC2BEE" w:rsidRPr="00554FAF" w:rsidRDefault="00BC2BEE" w:rsidP="00F202BD">
            <w:pPr>
              <w:pStyle w:val="Default"/>
              <w:spacing w:after="60"/>
              <w:jc w:val="center"/>
              <w:rPr>
                <w:iCs/>
                <w:lang w:val="sq-AL"/>
              </w:rPr>
            </w:pPr>
            <w:r w:rsidRPr="00554FAF">
              <w:rPr>
                <w:iCs/>
                <w:lang w:val="sq-AL"/>
              </w:rPr>
              <w:t>Rritja e përqindjes së bazës tatimore pë</w:t>
            </w:r>
            <w:r w:rsidR="00F202BD" w:rsidRPr="00554FAF">
              <w:rPr>
                <w:iCs/>
                <w:lang w:val="sq-AL"/>
              </w:rPr>
              <w:t>r</w:t>
            </w:r>
            <w:r w:rsidRPr="00554FAF">
              <w:rPr>
                <w:iCs/>
                <w:lang w:val="sq-AL"/>
              </w:rPr>
              <w:t xml:space="preserve"> tip tatimi dhe sektori me ekspozim të lartë ndaj ekonomisë joformale; jo më pak 2% si mesatare e të gjitha tipeve të tatimit (VAT, PIT, CIT)</w:t>
            </w:r>
          </w:p>
        </w:tc>
        <w:tc>
          <w:tcPr>
            <w:tcW w:w="2250" w:type="dxa"/>
          </w:tcPr>
          <w:p w14:paraId="42C6AE07" w14:textId="42CAF5B6" w:rsidR="00BC2BEE" w:rsidRPr="00554FAF" w:rsidRDefault="00BC2BEE" w:rsidP="00F202BD">
            <w:pPr>
              <w:pStyle w:val="Default"/>
              <w:spacing w:after="60"/>
              <w:jc w:val="center"/>
              <w:rPr>
                <w:iCs/>
                <w:lang w:val="sq-AL"/>
              </w:rPr>
            </w:pPr>
            <w:r w:rsidRPr="00554FAF">
              <w:rPr>
                <w:iCs/>
                <w:lang w:val="sq-AL"/>
              </w:rPr>
              <w:t>Rritja e përqindjes së bazës tatimore pë</w:t>
            </w:r>
            <w:r w:rsidR="00F202BD" w:rsidRPr="00554FAF">
              <w:rPr>
                <w:iCs/>
                <w:lang w:val="sq-AL"/>
              </w:rPr>
              <w:t>r</w:t>
            </w:r>
            <w:r w:rsidRPr="00554FAF">
              <w:rPr>
                <w:iCs/>
                <w:lang w:val="sq-AL"/>
              </w:rPr>
              <w:t xml:space="preserve"> tip tatimi dhe sektori me ekspozim të lartë ndaj ekonomisë joformale; jo më pak 2.5% si mesatare e të gjitha tipeve të tatimit (VAT, PIT, CIT)</w:t>
            </w:r>
          </w:p>
        </w:tc>
        <w:tc>
          <w:tcPr>
            <w:tcW w:w="2250" w:type="dxa"/>
            <w:shd w:val="clear" w:color="auto" w:fill="auto"/>
          </w:tcPr>
          <w:p w14:paraId="5B0F0D2C" w14:textId="7F24797C" w:rsidR="00BC2BEE" w:rsidRPr="00554FAF" w:rsidRDefault="00BC2BEE" w:rsidP="00F202BD">
            <w:pPr>
              <w:pStyle w:val="Default"/>
              <w:spacing w:after="60"/>
              <w:jc w:val="center"/>
              <w:rPr>
                <w:iCs/>
                <w:lang w:val="sq-AL"/>
              </w:rPr>
            </w:pPr>
            <w:r w:rsidRPr="00554FAF">
              <w:rPr>
                <w:iCs/>
                <w:lang w:val="sq-AL"/>
              </w:rPr>
              <w:t>Rritja e përqindjes së bazës tatimore pë</w:t>
            </w:r>
            <w:r w:rsidR="00F202BD" w:rsidRPr="00554FAF">
              <w:rPr>
                <w:iCs/>
                <w:lang w:val="sq-AL"/>
              </w:rPr>
              <w:t>r</w:t>
            </w:r>
            <w:r w:rsidRPr="00554FAF">
              <w:rPr>
                <w:iCs/>
                <w:lang w:val="sq-AL"/>
              </w:rPr>
              <w:t xml:space="preserve"> tip tatimi dhe sektori me ekspozim të lartë ndaj ekonomisë joformale; jo më pak 2.5% si mesatare e të gjitha tipeve të tatimit (VAT, PIT, CIT)</w:t>
            </w:r>
          </w:p>
        </w:tc>
      </w:tr>
      <w:tr w:rsidR="00BC2BEE" w:rsidRPr="00554FAF" w14:paraId="1B6AAEDF" w14:textId="77777777" w:rsidTr="004A424A">
        <w:trPr>
          <w:trHeight w:val="443"/>
        </w:trPr>
        <w:tc>
          <w:tcPr>
            <w:tcW w:w="2245" w:type="dxa"/>
          </w:tcPr>
          <w:p w14:paraId="21EE3804" w14:textId="77777777" w:rsidR="00BC2BEE" w:rsidRPr="00554FAF" w:rsidRDefault="00BC2BEE" w:rsidP="000702CB">
            <w:pPr>
              <w:pStyle w:val="Default"/>
              <w:spacing w:after="60"/>
              <w:jc w:val="both"/>
              <w:rPr>
                <w:iCs/>
                <w:color w:val="auto"/>
                <w:lang w:val="sq-AL"/>
              </w:rPr>
            </w:pPr>
            <w:r w:rsidRPr="00554FAF">
              <w:rPr>
                <w:iCs/>
                <w:lang w:val="sq-AL"/>
              </w:rPr>
              <w:t xml:space="preserve">2. </w:t>
            </w:r>
            <w:r w:rsidRPr="00554FAF">
              <w:rPr>
                <w:lang w:val="sq-AL"/>
              </w:rPr>
              <w:t xml:space="preserve"> </w:t>
            </w:r>
            <w:r w:rsidRPr="00554FAF">
              <w:rPr>
                <w:iCs/>
                <w:lang w:val="sq-AL"/>
              </w:rPr>
              <w:t>Shkalla e punësimit joformal</w:t>
            </w:r>
            <w:r w:rsidRPr="00554FAF">
              <w:rPr>
                <w:rStyle w:val="FootnoteReference"/>
                <w:iCs/>
                <w:lang w:val="sq-AL"/>
              </w:rPr>
              <w:footnoteReference w:id="34"/>
            </w:r>
          </w:p>
        </w:tc>
        <w:tc>
          <w:tcPr>
            <w:tcW w:w="2340" w:type="dxa"/>
            <w:shd w:val="clear" w:color="auto" w:fill="auto"/>
          </w:tcPr>
          <w:p w14:paraId="4AE7C081" w14:textId="77777777" w:rsidR="00BC2BEE" w:rsidRPr="00554FAF" w:rsidRDefault="00BC2BEE" w:rsidP="000702CB">
            <w:pPr>
              <w:pStyle w:val="Default"/>
              <w:spacing w:after="60"/>
              <w:jc w:val="center"/>
              <w:rPr>
                <w:iCs/>
                <w:lang w:val="sq-AL"/>
              </w:rPr>
            </w:pPr>
            <w:r w:rsidRPr="00554FAF">
              <w:rPr>
                <w:iCs/>
                <w:lang w:val="sq-AL"/>
              </w:rPr>
              <w:t>14%</w:t>
            </w:r>
          </w:p>
        </w:tc>
        <w:tc>
          <w:tcPr>
            <w:tcW w:w="2250" w:type="dxa"/>
            <w:shd w:val="clear" w:color="auto" w:fill="auto"/>
          </w:tcPr>
          <w:p w14:paraId="37D0E08B" w14:textId="77777777" w:rsidR="00BC2BEE" w:rsidRPr="00554FAF" w:rsidRDefault="00BC2BEE" w:rsidP="000702CB">
            <w:pPr>
              <w:pStyle w:val="Default"/>
              <w:spacing w:after="60"/>
              <w:jc w:val="center"/>
              <w:rPr>
                <w:iCs/>
                <w:lang w:val="sq-AL"/>
              </w:rPr>
            </w:pPr>
            <w:r w:rsidRPr="00554FAF">
              <w:rPr>
                <w:iCs/>
                <w:lang w:val="sq-AL"/>
              </w:rPr>
              <w:t>12%</w:t>
            </w:r>
          </w:p>
        </w:tc>
        <w:tc>
          <w:tcPr>
            <w:tcW w:w="2250" w:type="dxa"/>
            <w:shd w:val="clear" w:color="auto" w:fill="auto"/>
          </w:tcPr>
          <w:p w14:paraId="6342F981" w14:textId="77777777" w:rsidR="00BC2BEE" w:rsidRPr="00554FAF" w:rsidRDefault="00BC2BEE" w:rsidP="000702CB">
            <w:pPr>
              <w:pStyle w:val="Default"/>
              <w:spacing w:after="60"/>
              <w:jc w:val="center"/>
              <w:rPr>
                <w:iCs/>
                <w:lang w:val="sq-AL"/>
              </w:rPr>
            </w:pPr>
            <w:r w:rsidRPr="00554FAF">
              <w:rPr>
                <w:iCs/>
                <w:lang w:val="sq-AL"/>
              </w:rPr>
              <w:t>10%</w:t>
            </w:r>
          </w:p>
        </w:tc>
      </w:tr>
    </w:tbl>
    <w:p w14:paraId="66C34ECA" w14:textId="77777777" w:rsidR="00BC2BEE" w:rsidRPr="00554FAF" w:rsidRDefault="00BC2BEE" w:rsidP="000702CB">
      <w:pPr>
        <w:spacing w:after="60" w:line="240" w:lineRule="auto"/>
        <w:rPr>
          <w:rFonts w:ascii="Times New Roman" w:hAnsi="Times New Roman" w:cs="Times New Roman"/>
          <w:b/>
          <w:bCs/>
          <w:sz w:val="24"/>
          <w:szCs w:val="24"/>
        </w:rPr>
      </w:pPr>
    </w:p>
    <w:p w14:paraId="77EDBC53" w14:textId="62B8D1D0" w:rsidR="00BC2BEE" w:rsidRPr="00554FAF" w:rsidRDefault="00BC2BEE" w:rsidP="000702CB">
      <w:pPr>
        <w:pStyle w:val="Default"/>
        <w:spacing w:after="60"/>
        <w:jc w:val="both"/>
        <w:rPr>
          <w:bCs/>
          <w:lang w:val="sq-AL"/>
        </w:rPr>
      </w:pPr>
      <w:r w:rsidRPr="00554FAF">
        <w:rPr>
          <w:b/>
          <w:bCs/>
          <w:lang w:val="sq-AL"/>
        </w:rPr>
        <w:t xml:space="preserve">3. Ndikimi i pritur në konkurrueshmëri: </w:t>
      </w:r>
      <w:r w:rsidRPr="00554FAF">
        <w:rPr>
          <w:bCs/>
          <w:lang w:val="sq-AL"/>
        </w:rPr>
        <w:t>Reduktimi i ekonomisë joformale do të përmirësojë mjedisin e të bërit biznes në përgjithësi, konkurrencën lojale dhe për rrjedhojë do të mundësojë rritjen e atyre sektorëve ku Kosova ka avantazhe më konkurrues. Konkurrenca nga sektori  joformal, është pengesa kryesore e tatimpagueseve të rregullt.  Kjo masë do të adresonte këtë çështje, përmes rritjes se transaksioneve të tatueshme, si rezultat i zbatimit të një mekanizmi më të efektshëm të kontrollit dhe një analize më të mirë të rrezikut, e cila pritet që të patën brenda një viti të reflektohet me rreth 50 mil qarkullim shtesë dhe të paktën 1,000 punësime të formalizuara.</w:t>
      </w:r>
    </w:p>
    <w:p w14:paraId="765EBAB4" w14:textId="5C981DA8" w:rsidR="00BC2BEE" w:rsidRPr="00554FAF" w:rsidRDefault="00F202BD" w:rsidP="00F202BD">
      <w:pPr>
        <w:spacing w:after="60" w:line="240" w:lineRule="auto"/>
        <w:jc w:val="both"/>
        <w:rPr>
          <w:rFonts w:ascii="Times New Roman" w:hAnsi="Times New Roman" w:cs="Times New Roman"/>
          <w:b/>
          <w:sz w:val="24"/>
          <w:szCs w:val="24"/>
        </w:rPr>
      </w:pPr>
      <w:r w:rsidRPr="00554FAF">
        <w:rPr>
          <w:rFonts w:ascii="Times New Roman" w:hAnsi="Times New Roman" w:cs="Times New Roman"/>
          <w:b/>
          <w:bCs/>
          <w:sz w:val="24"/>
          <w:szCs w:val="24"/>
        </w:rPr>
        <w:t xml:space="preserve">4. </w:t>
      </w:r>
      <w:r w:rsidR="00BC2BEE" w:rsidRPr="00554FAF">
        <w:rPr>
          <w:rFonts w:ascii="Times New Roman" w:hAnsi="Times New Roman" w:cs="Times New Roman"/>
          <w:b/>
          <w:bCs/>
          <w:sz w:val="24"/>
          <w:szCs w:val="24"/>
        </w:rPr>
        <w:t xml:space="preserve">Vlerësimi i kostos së aktiviteteve dhe </w:t>
      </w:r>
      <w:r w:rsidR="00BC2BEE" w:rsidRPr="00554FAF">
        <w:rPr>
          <w:rFonts w:ascii="Times New Roman" w:hAnsi="Times New Roman" w:cs="Times New Roman"/>
          <w:b/>
          <w:sz w:val="24"/>
          <w:szCs w:val="24"/>
        </w:rPr>
        <w:t xml:space="preserve">burimet e financimit: </w:t>
      </w:r>
      <w:r w:rsidR="00BC2BEE" w:rsidRPr="00554FAF">
        <w:rPr>
          <w:rFonts w:ascii="Times New Roman" w:hAnsi="Times New Roman" w:cs="Times New Roman"/>
          <w:sz w:val="24"/>
          <w:szCs w:val="24"/>
        </w:rPr>
        <w:t xml:space="preserve">Kostoja totale për zbatimin e kësaj mase është 1,296,650 për vitet 2020-2022. Një pjesë e madhe e hargjimeve në vitin 2020 janë të </w:t>
      </w:r>
      <w:r w:rsidR="00554FAF" w:rsidRPr="00554FAF">
        <w:rPr>
          <w:rFonts w:ascii="Times New Roman" w:hAnsi="Times New Roman" w:cs="Times New Roman"/>
          <w:sz w:val="24"/>
          <w:szCs w:val="24"/>
        </w:rPr>
        <w:t>planifikuara</w:t>
      </w:r>
      <w:r w:rsidR="00BC2BEE" w:rsidRPr="00554FAF">
        <w:rPr>
          <w:rFonts w:ascii="Times New Roman" w:hAnsi="Times New Roman" w:cs="Times New Roman"/>
          <w:sz w:val="24"/>
          <w:szCs w:val="24"/>
        </w:rPr>
        <w:t xml:space="preserve"> si paga në shumën prej 294,000 euro me të cilat do të paguhen 30 inspektorë tatimor të ri (6 muaj) dhe </w:t>
      </w:r>
      <w:r w:rsidR="00192973" w:rsidRPr="00554FAF">
        <w:rPr>
          <w:rFonts w:ascii="Times New Roman" w:hAnsi="Times New Roman" w:cs="Times New Roman"/>
          <w:sz w:val="24"/>
          <w:szCs w:val="24"/>
        </w:rPr>
        <w:t>2</w:t>
      </w:r>
      <w:r w:rsidR="00BC2BEE" w:rsidRPr="00554FAF">
        <w:rPr>
          <w:rFonts w:ascii="Times New Roman" w:hAnsi="Times New Roman" w:cs="Times New Roman"/>
          <w:sz w:val="24"/>
          <w:szCs w:val="24"/>
        </w:rPr>
        <w:t xml:space="preserve">0 inspektorë të punës. </w:t>
      </w:r>
      <w:r w:rsidR="00192973" w:rsidRPr="00554FAF">
        <w:rPr>
          <w:rFonts w:ascii="Times New Roman" w:hAnsi="Times New Roman" w:cs="Times New Roman"/>
          <w:sz w:val="24"/>
          <w:szCs w:val="24"/>
        </w:rPr>
        <w:t>1</w:t>
      </w:r>
      <w:r w:rsidR="00BC2BEE" w:rsidRPr="00554FAF">
        <w:rPr>
          <w:rFonts w:ascii="Times New Roman" w:hAnsi="Times New Roman" w:cs="Times New Roman"/>
          <w:sz w:val="24"/>
          <w:szCs w:val="24"/>
        </w:rPr>
        <w:t>87,</w:t>
      </w:r>
      <w:r w:rsidR="00192973" w:rsidRPr="00554FAF">
        <w:rPr>
          <w:rFonts w:ascii="Times New Roman" w:hAnsi="Times New Roman" w:cs="Times New Roman"/>
          <w:sz w:val="24"/>
          <w:szCs w:val="24"/>
        </w:rPr>
        <w:t>5</w:t>
      </w:r>
      <w:r w:rsidR="00BC2BEE" w:rsidRPr="00554FAF">
        <w:rPr>
          <w:rFonts w:ascii="Times New Roman" w:hAnsi="Times New Roman" w:cs="Times New Roman"/>
          <w:sz w:val="24"/>
          <w:szCs w:val="24"/>
        </w:rPr>
        <w:t xml:space="preserve">00 euro shtesë janë planifikuar si G&amp;S për </w:t>
      </w:r>
      <w:r w:rsidR="00554FAF" w:rsidRPr="00554FAF">
        <w:rPr>
          <w:rFonts w:ascii="Times New Roman" w:hAnsi="Times New Roman" w:cs="Times New Roman"/>
          <w:sz w:val="24"/>
          <w:szCs w:val="24"/>
        </w:rPr>
        <w:t>blerjen</w:t>
      </w:r>
      <w:r w:rsidR="00BC2BEE" w:rsidRPr="00554FAF">
        <w:rPr>
          <w:rFonts w:ascii="Times New Roman" w:hAnsi="Times New Roman" w:cs="Times New Roman"/>
          <w:sz w:val="24"/>
          <w:szCs w:val="24"/>
        </w:rPr>
        <w:t xml:space="preserve"> e pajisjeve ekipore dhe furnizime tjera të nevojshme që e lehtësojnë koordinimin e veprimeve të inspektorëve të DK dhe ATK. Kostoja totale për vitet 2021 dhe 2022 </w:t>
      </w:r>
      <w:r w:rsidR="008A0ED8" w:rsidRPr="00554FAF">
        <w:rPr>
          <w:rFonts w:ascii="Times New Roman" w:hAnsi="Times New Roman" w:cs="Times New Roman"/>
          <w:sz w:val="24"/>
          <w:szCs w:val="24"/>
        </w:rPr>
        <w:t>merr parasysh ndikimin e</w:t>
      </w:r>
      <w:r w:rsidR="00BC2BEE" w:rsidRPr="00554FAF">
        <w:rPr>
          <w:rFonts w:ascii="Times New Roman" w:hAnsi="Times New Roman" w:cs="Times New Roman"/>
          <w:sz w:val="24"/>
          <w:szCs w:val="24"/>
        </w:rPr>
        <w:t xml:space="preserve"> plotë vjetor</w:t>
      </w:r>
      <w:r w:rsidR="008A0ED8" w:rsidRPr="00554FAF">
        <w:rPr>
          <w:rFonts w:ascii="Times New Roman" w:hAnsi="Times New Roman" w:cs="Times New Roman"/>
          <w:sz w:val="24"/>
          <w:szCs w:val="24"/>
        </w:rPr>
        <w:t xml:space="preserve"> të pagave</w:t>
      </w:r>
      <w:r w:rsidR="00BC2BEE" w:rsidRPr="00554FAF">
        <w:rPr>
          <w:rFonts w:ascii="Times New Roman" w:hAnsi="Times New Roman" w:cs="Times New Roman"/>
          <w:sz w:val="24"/>
          <w:szCs w:val="24"/>
        </w:rPr>
        <w:t xml:space="preserve"> për të dy kategoritë e inspektorëve (inspektorëve tatimor dhe të punës). Përveç kësaj, vlerësimi për vitin 2022 </w:t>
      </w:r>
      <w:r w:rsidR="008A0ED8" w:rsidRPr="00554FAF">
        <w:rPr>
          <w:rFonts w:ascii="Times New Roman" w:hAnsi="Times New Roman" w:cs="Times New Roman"/>
          <w:sz w:val="24"/>
          <w:szCs w:val="24"/>
        </w:rPr>
        <w:t>merr parasysh</w:t>
      </w:r>
      <w:r w:rsidR="00BC2BEE" w:rsidRPr="00554FAF">
        <w:rPr>
          <w:rFonts w:ascii="Times New Roman" w:hAnsi="Times New Roman" w:cs="Times New Roman"/>
          <w:sz w:val="24"/>
          <w:szCs w:val="24"/>
        </w:rPr>
        <w:t xml:space="preserve"> pagat e stafit të ri dhe G&amp;S, </w:t>
      </w:r>
      <w:r w:rsidR="008A0ED8" w:rsidRPr="00554FAF">
        <w:rPr>
          <w:rFonts w:ascii="Times New Roman" w:hAnsi="Times New Roman" w:cs="Times New Roman"/>
          <w:sz w:val="24"/>
          <w:szCs w:val="24"/>
        </w:rPr>
        <w:t xml:space="preserve">për </w:t>
      </w:r>
      <w:r w:rsidR="00BC2BEE" w:rsidRPr="00554FAF">
        <w:rPr>
          <w:rFonts w:ascii="Times New Roman" w:hAnsi="Times New Roman" w:cs="Times New Roman"/>
          <w:sz w:val="24"/>
          <w:szCs w:val="24"/>
        </w:rPr>
        <w:t>stafi</w:t>
      </w:r>
      <w:r w:rsidR="008A0ED8" w:rsidRPr="00554FAF">
        <w:rPr>
          <w:rFonts w:ascii="Times New Roman" w:hAnsi="Times New Roman" w:cs="Times New Roman"/>
          <w:sz w:val="24"/>
          <w:szCs w:val="24"/>
        </w:rPr>
        <w:t xml:space="preserve">n e </w:t>
      </w:r>
      <w:r w:rsidR="00BC2BEE" w:rsidRPr="00554FAF">
        <w:rPr>
          <w:rFonts w:ascii="Times New Roman" w:hAnsi="Times New Roman" w:cs="Times New Roman"/>
          <w:sz w:val="24"/>
          <w:szCs w:val="24"/>
        </w:rPr>
        <w:t xml:space="preserve">ri </w:t>
      </w:r>
      <w:r w:rsidR="008A0ED8" w:rsidRPr="00554FAF">
        <w:rPr>
          <w:rFonts w:ascii="Times New Roman" w:hAnsi="Times New Roman" w:cs="Times New Roman"/>
          <w:sz w:val="24"/>
          <w:szCs w:val="24"/>
        </w:rPr>
        <w:t xml:space="preserve">që </w:t>
      </w:r>
      <w:r w:rsidR="00BC2BEE" w:rsidRPr="00554FAF">
        <w:rPr>
          <w:rFonts w:ascii="Times New Roman" w:hAnsi="Times New Roman" w:cs="Times New Roman"/>
          <w:sz w:val="24"/>
          <w:szCs w:val="24"/>
        </w:rPr>
        <w:t>pritet të punësohet nën Njësinë për Rikthimin e Aseteve të Konfiskuara.</w:t>
      </w:r>
    </w:p>
    <w:p w14:paraId="2B2D83A7" w14:textId="07B6030A" w:rsidR="00BC2BEE" w:rsidRPr="00554FAF" w:rsidRDefault="00F202BD" w:rsidP="00F202BD">
      <w:pPr>
        <w:pStyle w:val="Default"/>
        <w:spacing w:after="60"/>
        <w:jc w:val="both"/>
        <w:rPr>
          <w:b/>
          <w:bCs/>
          <w:lang w:val="sq-AL"/>
        </w:rPr>
      </w:pPr>
      <w:r w:rsidRPr="00554FAF">
        <w:rPr>
          <w:b/>
          <w:bCs/>
          <w:lang w:val="sq-AL"/>
        </w:rPr>
        <w:t xml:space="preserve">5. </w:t>
      </w:r>
      <w:r w:rsidR="00BC2BEE" w:rsidRPr="00554FAF">
        <w:rPr>
          <w:b/>
          <w:bCs/>
          <w:lang w:val="sq-AL"/>
        </w:rPr>
        <w:t xml:space="preserve">Ndikimet e pritshme mbi rezultatet sociale, të tilla si punësimi, reduktimi i varfërisë, barazia gjinore: </w:t>
      </w:r>
      <w:r w:rsidR="00BC2BEE" w:rsidRPr="00554FAF">
        <w:rPr>
          <w:lang w:val="sq-AL"/>
        </w:rPr>
        <w:t>Reduktimi i ekonomisë joformale do</w:t>
      </w:r>
      <w:r w:rsidR="000316F9" w:rsidRPr="00554FAF">
        <w:rPr>
          <w:lang w:val="sq-AL"/>
        </w:rPr>
        <w:t xml:space="preserve"> të</w:t>
      </w:r>
      <w:r w:rsidR="00BC2BEE" w:rsidRPr="00554FAF">
        <w:rPr>
          <w:lang w:val="sq-AL"/>
        </w:rPr>
        <w:t xml:space="preserve"> ndikojë drejtpërdrejt në rritjen e punësimit formal. Ndikimi kryesor në punësim do të ishte përmirësimi i niveleve zyrtare të punësimit në sektorët me nivelin më të lartë të informalitetit, kjo do ndikonte edhe në rritjen e të drejtave të punëtorëve në punë dhe qasjen më të lehtë në financa</w:t>
      </w:r>
      <w:r w:rsidR="000316F9" w:rsidRPr="00554FAF">
        <w:rPr>
          <w:lang w:val="sq-AL"/>
        </w:rPr>
        <w:t>.</w:t>
      </w:r>
      <w:r w:rsidR="00BC2BEE" w:rsidRPr="00554FAF">
        <w:rPr>
          <w:lang w:val="sq-AL"/>
        </w:rPr>
        <w:t xml:space="preserve"> </w:t>
      </w:r>
      <w:r w:rsidR="000316F9" w:rsidRPr="00554FAF">
        <w:rPr>
          <w:lang w:val="sq-AL"/>
        </w:rPr>
        <w:t>P</w:t>
      </w:r>
      <w:r w:rsidR="00BC2BEE" w:rsidRPr="00554FAF">
        <w:rPr>
          <w:lang w:val="sq-AL"/>
        </w:rPr>
        <w:t>o ashtu</w:t>
      </w:r>
      <w:r w:rsidR="000316F9" w:rsidRPr="00554FAF">
        <w:rPr>
          <w:lang w:val="sq-AL"/>
        </w:rPr>
        <w:t>,</w:t>
      </w:r>
      <w:r w:rsidR="00BC2BEE" w:rsidRPr="00554FAF">
        <w:rPr>
          <w:lang w:val="sq-AL"/>
        </w:rPr>
        <w:t xml:space="preserve"> do t</w:t>
      </w:r>
      <w:r w:rsidR="000316F9" w:rsidRPr="00554FAF">
        <w:rPr>
          <w:lang w:val="sq-AL"/>
        </w:rPr>
        <w:t>ë</w:t>
      </w:r>
      <w:r w:rsidR="00BC2BEE" w:rsidRPr="00554FAF">
        <w:rPr>
          <w:lang w:val="sq-AL"/>
        </w:rPr>
        <w:t xml:space="preserve"> ndikoj në zhvillimin ekonomik, rritjen e buxhetit, e cila do mund të përkthehej </w:t>
      </w:r>
      <w:r w:rsidR="000316F9" w:rsidRPr="00554FAF">
        <w:rPr>
          <w:lang w:val="sq-AL"/>
        </w:rPr>
        <w:t>e</w:t>
      </w:r>
      <w:r w:rsidR="00BC2BEE" w:rsidRPr="00554FAF">
        <w:rPr>
          <w:lang w:val="sq-AL"/>
        </w:rPr>
        <w:t>dhe me ngritjen e mirëqenies</w:t>
      </w:r>
      <w:r w:rsidR="000316F9" w:rsidRPr="00554FAF">
        <w:rPr>
          <w:lang w:val="sq-AL"/>
        </w:rPr>
        <w:t xml:space="preserve"> </w:t>
      </w:r>
      <w:r w:rsidR="00BC2BEE" w:rsidRPr="00554FAF">
        <w:rPr>
          <w:lang w:val="sq-AL"/>
        </w:rPr>
        <w:t>për shtresat më të varfëra të popullsisë. Reduktimi i ekonomisë joformale do</w:t>
      </w:r>
      <w:r w:rsidR="000316F9" w:rsidRPr="00554FAF">
        <w:rPr>
          <w:lang w:val="sq-AL"/>
        </w:rPr>
        <w:t xml:space="preserve"> të</w:t>
      </w:r>
      <w:r w:rsidR="00BC2BEE" w:rsidRPr="00554FAF">
        <w:rPr>
          <w:lang w:val="sq-AL"/>
        </w:rPr>
        <w:t xml:space="preserve"> ndikojë ndjeshëm edhe në rritjen e të hyrave buxhetore përmes së cilave financohen shërbimet publike duke ngritur kështu mirëqenien e qytetarëve të vendit</w:t>
      </w:r>
      <w:r w:rsidR="000316F9" w:rsidRPr="00554FAF">
        <w:rPr>
          <w:lang w:val="sq-AL"/>
        </w:rPr>
        <w:t xml:space="preserve"> dhe</w:t>
      </w:r>
      <w:r w:rsidR="00BC2BEE" w:rsidRPr="00554FAF">
        <w:rPr>
          <w:lang w:val="sq-AL"/>
        </w:rPr>
        <w:t xml:space="preserve"> ndikojnë në ofrimin jocilësor të shërbimeve. Si rezultat</w:t>
      </w:r>
      <w:r w:rsidR="000316F9" w:rsidRPr="00554FAF">
        <w:rPr>
          <w:lang w:val="sq-AL"/>
        </w:rPr>
        <w:t>,</w:t>
      </w:r>
      <w:r w:rsidR="00BC2BEE" w:rsidRPr="00554FAF">
        <w:rPr>
          <w:lang w:val="sq-AL"/>
        </w:rPr>
        <w:t xml:space="preserve"> shkalla e punësimit joformal deri në vitin 2021 pritet të ulet deri në 12% nga 16 % sa vlerësohet të jetë në vitin 2018.</w:t>
      </w:r>
    </w:p>
    <w:p w14:paraId="57956498" w14:textId="77777777" w:rsidR="00F202BD" w:rsidRPr="00554FAF" w:rsidRDefault="00F202BD" w:rsidP="00F202BD">
      <w:pPr>
        <w:pStyle w:val="Default"/>
        <w:spacing w:after="60"/>
        <w:jc w:val="both"/>
        <w:rPr>
          <w:bCs/>
          <w:iCs/>
          <w:lang w:val="sq-AL"/>
        </w:rPr>
      </w:pPr>
      <w:r w:rsidRPr="00554FAF">
        <w:rPr>
          <w:b/>
          <w:bCs/>
          <w:lang w:val="sq-AL"/>
        </w:rPr>
        <w:t xml:space="preserve">6. </w:t>
      </w:r>
      <w:r w:rsidR="00BC2BEE" w:rsidRPr="00554FAF">
        <w:rPr>
          <w:b/>
          <w:bCs/>
          <w:lang w:val="sq-AL"/>
        </w:rPr>
        <w:t xml:space="preserve">Ndikimi i pritshëm në mjedis: </w:t>
      </w:r>
      <w:r w:rsidR="00BC2BEE" w:rsidRPr="00554FAF">
        <w:rPr>
          <w:bCs/>
          <w:iCs/>
          <w:lang w:val="sq-AL"/>
        </w:rPr>
        <w:t xml:space="preserve"> Nuk ka ndikim relevant n</w:t>
      </w:r>
      <w:r w:rsidR="000316F9" w:rsidRPr="00554FAF">
        <w:rPr>
          <w:bCs/>
          <w:iCs/>
          <w:lang w:val="sq-AL"/>
        </w:rPr>
        <w:t>ë</w:t>
      </w:r>
      <w:r w:rsidR="00BC2BEE" w:rsidRPr="00554FAF">
        <w:rPr>
          <w:bCs/>
          <w:iCs/>
          <w:lang w:val="sq-AL"/>
        </w:rPr>
        <w:t xml:space="preserve"> mjedis. </w:t>
      </w:r>
    </w:p>
    <w:p w14:paraId="34FF3BDE" w14:textId="6C426F67" w:rsidR="00BC2BEE" w:rsidRPr="00554FAF" w:rsidRDefault="00F202BD" w:rsidP="00F202BD">
      <w:pPr>
        <w:pStyle w:val="Default"/>
        <w:spacing w:after="60"/>
        <w:jc w:val="both"/>
        <w:rPr>
          <w:bCs/>
          <w:iCs/>
          <w:lang w:val="sq-AL"/>
        </w:rPr>
      </w:pPr>
      <w:r w:rsidRPr="00554FAF">
        <w:rPr>
          <w:bCs/>
          <w:iCs/>
          <w:lang w:val="sq-AL"/>
        </w:rPr>
        <w:t xml:space="preserve">7. </w:t>
      </w:r>
      <w:r w:rsidR="00BC2BEE" w:rsidRPr="00554FAF">
        <w:rPr>
          <w:b/>
          <w:bCs/>
          <w:lang w:val="sq-AL"/>
        </w:rPr>
        <w:t>Rreziqet potenciale:</w:t>
      </w:r>
    </w:p>
    <w:tbl>
      <w:tblPr>
        <w:tblpPr w:leftFromText="180" w:rightFromText="180" w:vertAnchor="text" w:horzAnchor="margin" w:tblpY="185"/>
        <w:tblOverlap w:val="neve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1517"/>
        <w:gridCol w:w="5130"/>
      </w:tblGrid>
      <w:tr w:rsidR="00554FAF" w:rsidRPr="00554FAF" w14:paraId="078E3747" w14:textId="77777777" w:rsidTr="00554FAF">
        <w:trPr>
          <w:trHeight w:val="618"/>
        </w:trPr>
        <w:tc>
          <w:tcPr>
            <w:tcW w:w="2978" w:type="dxa"/>
            <w:shd w:val="clear" w:color="auto" w:fill="auto"/>
          </w:tcPr>
          <w:p w14:paraId="61318194" w14:textId="77777777" w:rsidR="00554FAF" w:rsidRPr="00554FAF" w:rsidRDefault="00554FAF" w:rsidP="00554FAF">
            <w:pPr>
              <w:pStyle w:val="Default"/>
              <w:spacing w:after="60"/>
              <w:jc w:val="both"/>
              <w:rPr>
                <w:lang w:val="sq-AL"/>
              </w:rPr>
            </w:pPr>
            <w:r w:rsidRPr="00554FAF">
              <w:rPr>
                <w:b/>
                <w:bCs/>
                <w:lang w:val="sq-AL"/>
              </w:rPr>
              <w:t xml:space="preserve">Rreziku </w:t>
            </w:r>
          </w:p>
          <w:p w14:paraId="434500ED" w14:textId="77777777" w:rsidR="00554FAF" w:rsidRPr="00554FAF" w:rsidRDefault="00554FAF" w:rsidP="00554FAF">
            <w:pPr>
              <w:pStyle w:val="Default"/>
              <w:spacing w:after="60"/>
              <w:jc w:val="both"/>
              <w:rPr>
                <w:lang w:val="sq-AL"/>
              </w:rPr>
            </w:pPr>
          </w:p>
        </w:tc>
        <w:tc>
          <w:tcPr>
            <w:tcW w:w="1517" w:type="dxa"/>
            <w:shd w:val="clear" w:color="auto" w:fill="auto"/>
          </w:tcPr>
          <w:p w14:paraId="49416F18" w14:textId="77777777" w:rsidR="00554FAF" w:rsidRPr="00554FAF" w:rsidRDefault="00554FAF" w:rsidP="00554FAF">
            <w:pPr>
              <w:pStyle w:val="Default"/>
              <w:spacing w:after="60"/>
              <w:ind w:right="-122"/>
              <w:rPr>
                <w:lang w:val="sq-AL"/>
              </w:rPr>
            </w:pPr>
            <w:r w:rsidRPr="00554FAF">
              <w:rPr>
                <w:b/>
                <w:bCs/>
                <w:lang w:val="sq-AL"/>
              </w:rPr>
              <w:t xml:space="preserve">Probabiliteti (i ulët ose i lartë) </w:t>
            </w:r>
          </w:p>
        </w:tc>
        <w:tc>
          <w:tcPr>
            <w:tcW w:w="5130" w:type="dxa"/>
            <w:shd w:val="clear" w:color="auto" w:fill="auto"/>
          </w:tcPr>
          <w:p w14:paraId="6E4FD43E" w14:textId="77777777" w:rsidR="00554FAF" w:rsidRPr="00554FAF" w:rsidRDefault="00554FAF" w:rsidP="00554FAF">
            <w:pPr>
              <w:pStyle w:val="Default"/>
              <w:spacing w:after="60"/>
              <w:rPr>
                <w:lang w:val="sq-AL"/>
              </w:rPr>
            </w:pPr>
            <w:r w:rsidRPr="00554FAF">
              <w:rPr>
                <w:b/>
                <w:bCs/>
                <w:lang w:val="sq-AL"/>
              </w:rPr>
              <w:t xml:space="preserve">Veprimi lehtësues i planifikuar </w:t>
            </w:r>
          </w:p>
        </w:tc>
      </w:tr>
      <w:tr w:rsidR="00554FAF" w:rsidRPr="00554FAF" w14:paraId="7F1E2400" w14:textId="77777777" w:rsidTr="00554FAF">
        <w:trPr>
          <w:trHeight w:val="606"/>
        </w:trPr>
        <w:tc>
          <w:tcPr>
            <w:tcW w:w="2978" w:type="dxa"/>
          </w:tcPr>
          <w:p w14:paraId="75EB4FDE" w14:textId="77777777" w:rsidR="00554FAF" w:rsidRPr="00554FAF" w:rsidRDefault="00554FAF" w:rsidP="00554FAF">
            <w:pPr>
              <w:pStyle w:val="Default"/>
              <w:spacing w:after="60"/>
              <w:jc w:val="both"/>
              <w:rPr>
                <w:lang w:val="sq-AL"/>
              </w:rPr>
            </w:pPr>
            <w:r w:rsidRPr="00554FAF">
              <w:rPr>
                <w:lang w:val="sq-AL"/>
              </w:rPr>
              <w:t xml:space="preserve">1. Ngecja e bashkëpunimit ndërinstitucional </w:t>
            </w:r>
          </w:p>
          <w:p w14:paraId="5F63F6E0" w14:textId="77777777" w:rsidR="00554FAF" w:rsidRPr="00554FAF" w:rsidRDefault="00554FAF" w:rsidP="00554FAF">
            <w:pPr>
              <w:pStyle w:val="Default"/>
              <w:spacing w:after="60"/>
              <w:jc w:val="both"/>
              <w:rPr>
                <w:lang w:val="sq-AL"/>
              </w:rPr>
            </w:pPr>
          </w:p>
        </w:tc>
        <w:tc>
          <w:tcPr>
            <w:tcW w:w="1517" w:type="dxa"/>
            <w:shd w:val="clear" w:color="auto" w:fill="auto"/>
          </w:tcPr>
          <w:p w14:paraId="1902D9B3" w14:textId="77777777" w:rsidR="00554FAF" w:rsidRPr="00554FAF" w:rsidRDefault="00554FAF" w:rsidP="00554FAF">
            <w:pPr>
              <w:pStyle w:val="Default"/>
              <w:spacing w:after="60"/>
              <w:jc w:val="both"/>
              <w:rPr>
                <w:lang w:val="sq-AL"/>
              </w:rPr>
            </w:pPr>
            <w:r w:rsidRPr="00554FAF">
              <w:rPr>
                <w:lang w:val="sq-AL"/>
              </w:rPr>
              <w:t>I Lartë</w:t>
            </w:r>
          </w:p>
        </w:tc>
        <w:tc>
          <w:tcPr>
            <w:tcW w:w="5130" w:type="dxa"/>
          </w:tcPr>
          <w:p w14:paraId="1D667834" w14:textId="77777777" w:rsidR="00554FAF" w:rsidRPr="00554FAF" w:rsidRDefault="00554FAF" w:rsidP="00554FAF">
            <w:pPr>
              <w:pStyle w:val="Default"/>
              <w:spacing w:after="60"/>
              <w:jc w:val="both"/>
              <w:rPr>
                <w:lang w:val="sq-AL"/>
              </w:rPr>
            </w:pPr>
            <w:r w:rsidRPr="00554FAF">
              <w:rPr>
                <w:lang w:val="sq-AL"/>
              </w:rPr>
              <w:t>Intensifikimi apo rritja e shkëmbimit të të dhënave ndërmjet institucioneve të ndryshme si atyre të nivelit qendror, po ashtu edhe atyre lokale me qëllim luftimin e ekonomisë joformale.</w:t>
            </w:r>
          </w:p>
        </w:tc>
      </w:tr>
      <w:tr w:rsidR="00554FAF" w:rsidRPr="00554FAF" w14:paraId="03FD809A" w14:textId="77777777" w:rsidTr="00554FAF">
        <w:trPr>
          <w:trHeight w:val="606"/>
        </w:trPr>
        <w:tc>
          <w:tcPr>
            <w:tcW w:w="2978" w:type="dxa"/>
          </w:tcPr>
          <w:p w14:paraId="42580E48" w14:textId="77777777" w:rsidR="00554FAF" w:rsidRPr="00554FAF" w:rsidRDefault="00554FAF" w:rsidP="00554FAF">
            <w:pPr>
              <w:pStyle w:val="Default"/>
              <w:spacing w:after="60"/>
              <w:jc w:val="both"/>
              <w:rPr>
                <w:lang w:val="sq-AL"/>
              </w:rPr>
            </w:pPr>
            <w:r w:rsidRPr="00554FAF">
              <w:rPr>
                <w:lang w:val="sq-AL"/>
              </w:rPr>
              <w:t>2.Mungesa e konsistencës së Institucioneve Ligj zbatuese në bashkëveprimin ndër-institucional.</w:t>
            </w:r>
          </w:p>
        </w:tc>
        <w:tc>
          <w:tcPr>
            <w:tcW w:w="1517" w:type="dxa"/>
            <w:shd w:val="clear" w:color="auto" w:fill="auto"/>
          </w:tcPr>
          <w:p w14:paraId="4728CAC7" w14:textId="77777777" w:rsidR="00554FAF" w:rsidRPr="00554FAF" w:rsidRDefault="00554FAF" w:rsidP="00554FAF">
            <w:pPr>
              <w:pStyle w:val="Default"/>
              <w:spacing w:after="60"/>
              <w:jc w:val="both"/>
              <w:rPr>
                <w:lang w:val="sq-AL"/>
              </w:rPr>
            </w:pPr>
            <w:r w:rsidRPr="00554FAF">
              <w:rPr>
                <w:lang w:val="sq-AL"/>
              </w:rPr>
              <w:t>I Lartë</w:t>
            </w:r>
          </w:p>
        </w:tc>
        <w:tc>
          <w:tcPr>
            <w:tcW w:w="5130" w:type="dxa"/>
          </w:tcPr>
          <w:p w14:paraId="02F82058" w14:textId="77777777" w:rsidR="00554FAF" w:rsidRPr="00554FAF" w:rsidRDefault="00554FAF" w:rsidP="00554FAF">
            <w:pPr>
              <w:pStyle w:val="Default"/>
              <w:spacing w:after="60"/>
              <w:jc w:val="both"/>
              <w:rPr>
                <w:lang w:val="sq-AL"/>
              </w:rPr>
            </w:pPr>
            <w:r w:rsidRPr="00554FAF">
              <w:rPr>
                <w:lang w:val="sq-AL"/>
              </w:rPr>
              <w:t>Rritja e numrit të memorandumeve të bashkëpunimit në mes institucioneve duke mundësuar ndërlidhjen e sistemeve ku informacioni do shkëmbehej në formë elektronike.</w:t>
            </w:r>
          </w:p>
        </w:tc>
      </w:tr>
    </w:tbl>
    <w:p w14:paraId="7AF335CA" w14:textId="77777777" w:rsidR="000A0A12" w:rsidRPr="00554FAF" w:rsidRDefault="000A0A12" w:rsidP="000702CB">
      <w:pPr>
        <w:spacing w:after="60" w:line="240" w:lineRule="auto"/>
        <w:jc w:val="both"/>
        <w:rPr>
          <w:rFonts w:ascii="Times New Roman" w:hAnsi="Times New Roman" w:cs="Times New Roman"/>
          <w:b/>
          <w:bCs/>
          <w:sz w:val="24"/>
          <w:szCs w:val="24"/>
        </w:rPr>
      </w:pPr>
    </w:p>
    <w:p w14:paraId="6FE71DB5" w14:textId="57B0AA9B" w:rsidR="006114F2" w:rsidRPr="00FC648F" w:rsidRDefault="006114F2" w:rsidP="00085F16">
      <w:pPr>
        <w:pStyle w:val="ERPL3"/>
        <w:rPr>
          <w:lang w:val="sq-AL"/>
        </w:rPr>
      </w:pPr>
      <w:bookmarkStart w:id="200" w:name="_Toc25533245"/>
      <w:bookmarkStart w:id="201" w:name="_Toc25873751"/>
      <w:r w:rsidRPr="00FC648F">
        <w:rPr>
          <w:lang w:val="sq-AL"/>
        </w:rPr>
        <w:t xml:space="preserve">4.3.4.  Hulumtimi, zhvillimi dhe inovacioni dhe </w:t>
      </w:r>
      <w:r w:rsidR="00921F17" w:rsidRPr="00FC648F">
        <w:rPr>
          <w:lang w:val="sq-AL"/>
        </w:rPr>
        <w:t>e</w:t>
      </w:r>
      <w:r w:rsidRPr="00FC648F">
        <w:rPr>
          <w:lang w:val="sq-AL"/>
        </w:rPr>
        <w:t xml:space="preserve">konomia </w:t>
      </w:r>
      <w:r w:rsidR="00921F17" w:rsidRPr="00FC648F">
        <w:rPr>
          <w:lang w:val="sq-AL"/>
        </w:rPr>
        <w:t>d</w:t>
      </w:r>
      <w:r w:rsidRPr="00FC648F">
        <w:rPr>
          <w:lang w:val="sq-AL"/>
        </w:rPr>
        <w:t>igjitale</w:t>
      </w:r>
      <w:bookmarkEnd w:id="199"/>
      <w:bookmarkEnd w:id="200"/>
      <w:bookmarkEnd w:id="201"/>
    </w:p>
    <w:p w14:paraId="545ED9A2" w14:textId="6DE482EA" w:rsidR="004A424A" w:rsidRPr="00554FAF" w:rsidRDefault="004A424A" w:rsidP="00802FB3">
      <w:pPr>
        <w:pStyle w:val="ListParagraph"/>
        <w:numPr>
          <w:ilvl w:val="0"/>
          <w:numId w:val="46"/>
        </w:numPr>
        <w:spacing w:after="60" w:line="240" w:lineRule="auto"/>
        <w:jc w:val="both"/>
        <w:rPr>
          <w:rFonts w:ascii="Times New Roman" w:hAnsi="Times New Roman" w:cs="Times New Roman"/>
          <w:b/>
          <w:sz w:val="24"/>
          <w:szCs w:val="24"/>
        </w:rPr>
      </w:pPr>
      <w:bookmarkStart w:id="202" w:name="_bookmark27"/>
      <w:bookmarkStart w:id="203" w:name="_Toc13127896"/>
      <w:bookmarkEnd w:id="202"/>
      <w:r w:rsidRPr="00554FAF">
        <w:rPr>
          <w:rFonts w:ascii="Times New Roman" w:hAnsi="Times New Roman" w:cs="Times New Roman"/>
          <w:b/>
          <w:sz w:val="24"/>
          <w:szCs w:val="24"/>
        </w:rPr>
        <w:t xml:space="preserve">Analiza e pengesave kryesore </w:t>
      </w:r>
    </w:p>
    <w:p w14:paraId="55CFF89D" w14:textId="570F04F0" w:rsidR="004A424A" w:rsidRPr="00554FAF" w:rsidRDefault="000316F9" w:rsidP="000702CB">
      <w:pPr>
        <w:spacing w:after="60" w:line="240" w:lineRule="auto"/>
        <w:jc w:val="both"/>
        <w:rPr>
          <w:rFonts w:ascii="Times New Roman" w:hAnsi="Times New Roman" w:cs="Times New Roman"/>
          <w:bCs/>
          <w:sz w:val="24"/>
          <w:szCs w:val="24"/>
        </w:rPr>
      </w:pPr>
      <w:r w:rsidRPr="00554FAF">
        <w:rPr>
          <w:rFonts w:ascii="Times New Roman" w:hAnsi="Times New Roman" w:cs="Times New Roman"/>
          <w:b/>
          <w:bCs/>
          <w:sz w:val="24"/>
          <w:szCs w:val="24"/>
        </w:rPr>
        <w:t>Gjendja aktuale:</w:t>
      </w:r>
      <w:r w:rsidRPr="00554FAF">
        <w:rPr>
          <w:rFonts w:ascii="Times New Roman" w:hAnsi="Times New Roman" w:cs="Times New Roman"/>
          <w:bCs/>
          <w:sz w:val="24"/>
          <w:szCs w:val="24"/>
        </w:rPr>
        <w:t xml:space="preserve"> </w:t>
      </w:r>
      <w:r w:rsidR="004A424A" w:rsidRPr="00554FAF">
        <w:rPr>
          <w:rFonts w:ascii="Times New Roman" w:hAnsi="Times New Roman" w:cs="Times New Roman"/>
          <w:bCs/>
          <w:sz w:val="24"/>
          <w:szCs w:val="24"/>
        </w:rPr>
        <w:t xml:space="preserve">Sistemi i Hulumtimit, Zhvillimit dhe Inovacionit  (HZHI)  në Kosovë vazhdon të ketë nivel shumë të ulët të zhvillimit. Raporti i vitit 2016 i OECD-së rendit sistemin e inovacionit të Kosovës në vendin e fundit dhe e </w:t>
      </w:r>
      <w:r w:rsidR="004A424A" w:rsidRPr="00554FAF">
        <w:rPr>
          <w:rFonts w:ascii="Times New Roman" w:hAnsi="Times New Roman" w:cs="Times New Roman"/>
          <w:sz w:val="24"/>
          <w:szCs w:val="24"/>
        </w:rPr>
        <w:t xml:space="preserve">vlerëson dobët në katër fushat e politikave, </w:t>
      </w:r>
      <w:r w:rsidRPr="00554FAF">
        <w:rPr>
          <w:rFonts w:ascii="Times New Roman" w:hAnsi="Times New Roman" w:cs="Times New Roman"/>
          <w:sz w:val="24"/>
          <w:szCs w:val="24"/>
        </w:rPr>
        <w:t>si</w:t>
      </w:r>
      <w:r w:rsidR="004A424A" w:rsidRPr="00554FAF">
        <w:rPr>
          <w:rFonts w:ascii="Times New Roman" w:hAnsi="Times New Roman" w:cs="Times New Roman"/>
          <w:sz w:val="24"/>
          <w:szCs w:val="24"/>
        </w:rPr>
        <w:t>: politikat për qeverisjen e HZHI</w:t>
      </w:r>
      <w:r w:rsidRPr="00554FAF">
        <w:rPr>
          <w:rFonts w:ascii="Times New Roman" w:hAnsi="Times New Roman" w:cs="Times New Roman"/>
          <w:sz w:val="24"/>
          <w:szCs w:val="24"/>
        </w:rPr>
        <w:t>,</w:t>
      </w:r>
      <w:r w:rsidR="004A424A" w:rsidRPr="00554FAF">
        <w:rPr>
          <w:rFonts w:ascii="Times New Roman" w:hAnsi="Times New Roman" w:cs="Times New Roman"/>
          <w:sz w:val="24"/>
          <w:szCs w:val="24"/>
        </w:rPr>
        <w:t xml:space="preserve"> baza kërkimore</w:t>
      </w:r>
      <w:r w:rsidRPr="00554FAF">
        <w:rPr>
          <w:rFonts w:ascii="Times New Roman" w:hAnsi="Times New Roman" w:cs="Times New Roman"/>
          <w:sz w:val="24"/>
          <w:szCs w:val="24"/>
        </w:rPr>
        <w:t>,</w:t>
      </w:r>
      <w:r w:rsidR="004A424A" w:rsidRPr="00554FAF">
        <w:rPr>
          <w:rFonts w:ascii="Times New Roman" w:hAnsi="Times New Roman" w:cs="Times New Roman"/>
          <w:sz w:val="24"/>
          <w:szCs w:val="24"/>
        </w:rPr>
        <w:t xml:space="preserve"> aktivitetet e HZHI në sektorin privat dhe bashkëpunimi ndërmjet bizneseve dhe akademisë.</w:t>
      </w:r>
      <w:r w:rsidR="004A424A" w:rsidRPr="00554FAF">
        <w:rPr>
          <w:rFonts w:ascii="Times New Roman" w:hAnsi="Times New Roman" w:cs="Times New Roman"/>
          <w:bCs/>
          <w:sz w:val="24"/>
          <w:szCs w:val="24"/>
        </w:rPr>
        <w:t xml:space="preserve"> Po ashtu</w:t>
      </w:r>
      <w:r w:rsidRPr="00554FAF">
        <w:rPr>
          <w:rFonts w:ascii="Times New Roman" w:hAnsi="Times New Roman" w:cs="Times New Roman"/>
          <w:bCs/>
          <w:sz w:val="24"/>
          <w:szCs w:val="24"/>
        </w:rPr>
        <w:t>,</w:t>
      </w:r>
      <w:r w:rsidR="004A424A" w:rsidRPr="00554FAF">
        <w:rPr>
          <w:rFonts w:ascii="Times New Roman" w:hAnsi="Times New Roman" w:cs="Times New Roman"/>
          <w:bCs/>
          <w:sz w:val="24"/>
          <w:szCs w:val="24"/>
        </w:rPr>
        <w:t xml:space="preserve"> buxheti i alokuar është i pamjaftueshëm</w:t>
      </w:r>
      <w:r w:rsidRPr="00554FAF">
        <w:rPr>
          <w:rFonts w:ascii="Times New Roman" w:hAnsi="Times New Roman" w:cs="Times New Roman"/>
          <w:bCs/>
          <w:sz w:val="24"/>
          <w:szCs w:val="24"/>
        </w:rPr>
        <w:t xml:space="preserve">, pasi që </w:t>
      </w:r>
      <w:r w:rsidR="004A424A" w:rsidRPr="00554FAF">
        <w:rPr>
          <w:rFonts w:ascii="Times New Roman" w:hAnsi="Times New Roman" w:cs="Times New Roman"/>
          <w:bCs/>
          <w:sz w:val="24"/>
          <w:szCs w:val="24"/>
        </w:rPr>
        <w:t xml:space="preserve">sipas Ligjit për Kërkim dhe Aktivitetet Shkencore, Qeveria e Kosovës duhet të ndajë 0.7% ose 14 milion </w:t>
      </w:r>
      <w:r w:rsidRPr="00554FAF">
        <w:rPr>
          <w:rFonts w:ascii="Times New Roman" w:hAnsi="Times New Roman" w:cs="Times New Roman"/>
          <w:bCs/>
          <w:sz w:val="24"/>
          <w:szCs w:val="24"/>
        </w:rPr>
        <w:t>e</w:t>
      </w:r>
      <w:r w:rsidR="004A424A" w:rsidRPr="00554FAF">
        <w:rPr>
          <w:rFonts w:ascii="Times New Roman" w:hAnsi="Times New Roman" w:cs="Times New Roman"/>
          <w:bCs/>
          <w:sz w:val="24"/>
          <w:szCs w:val="24"/>
        </w:rPr>
        <w:t xml:space="preserve">uro në vit për shkencë dhe inovacion në MASHT, por për shkak të mungesës së fondeve buxheti i alokuar në  MASHT për vitin  2019 është 1.600,000 EUR, </w:t>
      </w:r>
      <w:r w:rsidRPr="00554FAF">
        <w:rPr>
          <w:rFonts w:ascii="Times New Roman" w:hAnsi="Times New Roman" w:cs="Times New Roman"/>
          <w:bCs/>
          <w:sz w:val="24"/>
          <w:szCs w:val="24"/>
        </w:rPr>
        <w:t xml:space="preserve">ndonëse </w:t>
      </w:r>
      <w:r w:rsidR="004A424A" w:rsidRPr="00554FAF">
        <w:rPr>
          <w:rFonts w:ascii="Times New Roman" w:hAnsi="Times New Roman" w:cs="Times New Roman"/>
          <w:bCs/>
          <w:sz w:val="24"/>
          <w:szCs w:val="24"/>
        </w:rPr>
        <w:t>kjo shënon një rritje të vogël në krahasim me vitet e kaluara.</w:t>
      </w:r>
    </w:p>
    <w:p w14:paraId="268173EE" w14:textId="7295FB36" w:rsidR="004A424A" w:rsidRPr="00554FAF" w:rsidRDefault="004A424A" w:rsidP="000702CB">
      <w:pPr>
        <w:spacing w:after="60" w:line="240" w:lineRule="auto"/>
        <w:jc w:val="both"/>
        <w:rPr>
          <w:rFonts w:ascii="Times New Roman" w:hAnsi="Times New Roman" w:cs="Times New Roman"/>
          <w:bCs/>
          <w:sz w:val="24"/>
          <w:szCs w:val="24"/>
        </w:rPr>
      </w:pPr>
      <w:r w:rsidRPr="00554FAF">
        <w:rPr>
          <w:rFonts w:ascii="Times New Roman" w:hAnsi="Times New Roman" w:cs="Times New Roman"/>
          <w:sz w:val="24"/>
          <w:szCs w:val="24"/>
        </w:rPr>
        <w:t>Më 2018 është miratuar dhe ka hyrë në fuqi</w:t>
      </w:r>
      <w:r w:rsidR="000316F9" w:rsidRPr="00554FAF">
        <w:rPr>
          <w:rFonts w:ascii="Times New Roman" w:hAnsi="Times New Roman" w:cs="Times New Roman"/>
          <w:sz w:val="24"/>
          <w:szCs w:val="24"/>
        </w:rPr>
        <w:t xml:space="preserve"> </w:t>
      </w:r>
      <w:r w:rsidRPr="00554FAF">
        <w:rPr>
          <w:rFonts w:ascii="Times New Roman" w:hAnsi="Times New Roman" w:cs="Times New Roman"/>
          <w:sz w:val="24"/>
          <w:szCs w:val="24"/>
        </w:rPr>
        <w:t>Ligji për Inovacion Shkencor dhe Transfer të Dijes dhe Teknologjisë</w:t>
      </w:r>
      <w:r w:rsidRPr="00554FAF">
        <w:rPr>
          <w:rFonts w:ascii="Times New Roman" w:hAnsi="Times New Roman" w:cs="Times New Roman"/>
          <w:bCs/>
          <w:sz w:val="24"/>
          <w:szCs w:val="24"/>
        </w:rPr>
        <w:t>. Ky ligj, ndër të tjera përcakton qartë bartësit e kërkimit shkencor në Kosovë. Ndërsa, tani MASHT është duke finalizuar rregulloren e skemave të reja Voucher që do të prezantojnë si risi mekanizmat mbështetës dhe procedurat e promovimit</w:t>
      </w:r>
      <w:r w:rsidR="00921F17" w:rsidRPr="00554FAF">
        <w:rPr>
          <w:rFonts w:ascii="Times New Roman" w:hAnsi="Times New Roman" w:cs="Times New Roman"/>
          <w:bCs/>
          <w:sz w:val="24"/>
          <w:szCs w:val="24"/>
        </w:rPr>
        <w:t>.</w:t>
      </w:r>
      <w:r w:rsidRPr="00554FAF">
        <w:rPr>
          <w:rFonts w:ascii="Times New Roman" w:hAnsi="Times New Roman" w:cs="Times New Roman"/>
          <w:bCs/>
          <w:sz w:val="24"/>
          <w:szCs w:val="24"/>
        </w:rPr>
        <w:t xml:space="preserve"> </w:t>
      </w:r>
      <w:r w:rsidR="00921F17" w:rsidRPr="00554FAF">
        <w:rPr>
          <w:rFonts w:ascii="Times New Roman" w:hAnsi="Times New Roman" w:cs="Times New Roman"/>
          <w:bCs/>
          <w:sz w:val="24"/>
          <w:szCs w:val="24"/>
        </w:rPr>
        <w:t xml:space="preserve">Ministria </w:t>
      </w:r>
      <w:r w:rsidRPr="00554FAF">
        <w:rPr>
          <w:rFonts w:ascii="Times New Roman" w:hAnsi="Times New Roman" w:cs="Times New Roman"/>
          <w:bCs/>
          <w:sz w:val="24"/>
          <w:szCs w:val="24"/>
        </w:rPr>
        <w:t xml:space="preserve">ka hartuar edhe koncept dokumentin për shkencën dhe sistemet e inovacionit si dhe së shpejti do të fillojë edhe hartimin e Hartës së Infrastrukturës Kërkimore. Sa i përket performancës së Kosovës në programin Horizon 2020, janë marrë masa për përmirësim të performancës përmes trajnimeve dhe ndërlidhjes më të mirë me studiuesit, përmirësimit të pikave kombëtare të kontaktit, shkëmbimit të praktikave më të mira dhe konsultimeve me vendet e tjera. Nuk ka statistika për shpenzimet e biznesit privat në R&amp;D dhe  NVM-të nuk shprehin interes për të absorbuar ndihmën përmes skemave 'Voucher' dhe mbështetje tjetër institucionale për zhvillimin e produkteve dhe shërbimeve inovative. </w:t>
      </w:r>
    </w:p>
    <w:p w14:paraId="4F494395" w14:textId="69199C66" w:rsidR="004A424A" w:rsidRPr="00554FAF" w:rsidRDefault="004A424A" w:rsidP="000702CB">
      <w:pPr>
        <w:spacing w:after="60" w:line="240" w:lineRule="auto"/>
        <w:jc w:val="both"/>
        <w:rPr>
          <w:rFonts w:ascii="Times New Roman" w:hAnsi="Times New Roman" w:cs="Times New Roman"/>
          <w:color w:val="000000"/>
          <w:sz w:val="24"/>
          <w:szCs w:val="24"/>
        </w:rPr>
      </w:pPr>
      <w:r w:rsidRPr="00554FAF">
        <w:rPr>
          <w:rFonts w:ascii="Times New Roman" w:hAnsi="Times New Roman" w:cs="Times New Roman"/>
          <w:color w:val="000000"/>
          <w:sz w:val="24"/>
          <w:szCs w:val="24"/>
        </w:rPr>
        <w:t>Ministria e Inovacionit dhe Ndërmarrësisë, e krijuar kohët e fundit, ka filluar të ndryshojë këtë gjendje në lidhje me zhvillimin e inovacionit duke rezultuar me ndikim në ndërmarrësi. Sidoqoftë, Ministria nuk e ka finalizuar  ende hartimin e Ligjit për Inovacionin dhe Ndërmarrësi dhe aktet nënligjore për krijimin dhe funksionimin e Qendrave Rajonale për Inovacion dhe Ndërmarrësi si dhe krijimin e një mekanizmi për rishikimin dhe zbatimin e Fondit të Inovacionit dhe Ndërmarrësisë. Sidoqoftë, Fondi I&amp;N ka përfunduar zbatimin e një skem</w:t>
      </w:r>
      <w:r w:rsidR="005A5112" w:rsidRPr="00554FAF">
        <w:rPr>
          <w:rFonts w:ascii="Times New Roman" w:hAnsi="Times New Roman" w:cs="Times New Roman"/>
          <w:color w:val="000000"/>
          <w:sz w:val="24"/>
          <w:szCs w:val="24"/>
        </w:rPr>
        <w:t>ë</w:t>
      </w:r>
      <w:r w:rsidRPr="00554FAF">
        <w:rPr>
          <w:rFonts w:ascii="Times New Roman" w:hAnsi="Times New Roman" w:cs="Times New Roman"/>
          <w:color w:val="000000"/>
          <w:sz w:val="24"/>
          <w:szCs w:val="24"/>
        </w:rPr>
        <w:t xml:space="preserve"> për mbështetje të drejtpërdrejtë financiare për bizneset start-up. </w:t>
      </w:r>
    </w:p>
    <w:p w14:paraId="48B287F7" w14:textId="334D1434" w:rsidR="004A424A" w:rsidRPr="00554FAF" w:rsidRDefault="004A424A" w:rsidP="000702CB">
      <w:pPr>
        <w:spacing w:after="60" w:line="240" w:lineRule="auto"/>
        <w:jc w:val="both"/>
        <w:rPr>
          <w:rFonts w:ascii="Times New Roman" w:hAnsi="Times New Roman" w:cs="Times New Roman"/>
          <w:color w:val="000000"/>
          <w:sz w:val="24"/>
          <w:szCs w:val="24"/>
        </w:rPr>
      </w:pPr>
      <w:r w:rsidRPr="00554FAF">
        <w:rPr>
          <w:rFonts w:ascii="Times New Roman" w:hAnsi="Times New Roman" w:cs="Times New Roman"/>
          <w:color w:val="000000"/>
          <w:sz w:val="24"/>
          <w:szCs w:val="24"/>
        </w:rPr>
        <w:t>MIN gjithashtu ka përfunduar punën në një skemë tjetër fondesh dhe së shpejti do t</w:t>
      </w:r>
      <w:r w:rsidR="005A5112" w:rsidRPr="00554FAF">
        <w:rPr>
          <w:rFonts w:ascii="Times New Roman" w:hAnsi="Times New Roman" w:cs="Times New Roman"/>
          <w:color w:val="000000"/>
          <w:sz w:val="24"/>
          <w:szCs w:val="24"/>
        </w:rPr>
        <w:t>a</w:t>
      </w:r>
      <w:r w:rsidRPr="00554FAF">
        <w:rPr>
          <w:rFonts w:ascii="Times New Roman" w:hAnsi="Times New Roman" w:cs="Times New Roman"/>
          <w:color w:val="000000"/>
          <w:sz w:val="24"/>
          <w:szCs w:val="24"/>
        </w:rPr>
        <w:t xml:space="preserve"> shpall </w:t>
      </w:r>
      <w:r w:rsidR="005A5112" w:rsidRPr="00554FAF">
        <w:rPr>
          <w:rFonts w:ascii="Times New Roman" w:hAnsi="Times New Roman" w:cs="Times New Roman"/>
          <w:color w:val="000000"/>
          <w:sz w:val="24"/>
          <w:szCs w:val="24"/>
        </w:rPr>
        <w:t>t</w:t>
      </w:r>
      <w:r w:rsidRPr="00554FAF">
        <w:rPr>
          <w:rFonts w:ascii="Times New Roman" w:hAnsi="Times New Roman" w:cs="Times New Roman"/>
          <w:color w:val="000000"/>
          <w:sz w:val="24"/>
          <w:szCs w:val="24"/>
        </w:rPr>
        <w:t xml:space="preserve">hirrjen </w:t>
      </w:r>
      <w:r w:rsidR="005A5112" w:rsidRPr="00554FAF">
        <w:rPr>
          <w:rFonts w:ascii="Times New Roman" w:hAnsi="Times New Roman" w:cs="Times New Roman"/>
          <w:color w:val="000000"/>
          <w:sz w:val="24"/>
          <w:szCs w:val="24"/>
        </w:rPr>
        <w:t>p</w:t>
      </w:r>
      <w:r w:rsidRPr="00554FAF">
        <w:rPr>
          <w:rFonts w:ascii="Times New Roman" w:hAnsi="Times New Roman" w:cs="Times New Roman"/>
          <w:color w:val="000000"/>
          <w:sz w:val="24"/>
          <w:szCs w:val="24"/>
        </w:rPr>
        <w:t xml:space="preserve">ublike për </w:t>
      </w:r>
      <w:r w:rsidR="005A5112" w:rsidRPr="00554FAF">
        <w:rPr>
          <w:rFonts w:ascii="Times New Roman" w:hAnsi="Times New Roman" w:cs="Times New Roman"/>
          <w:color w:val="000000"/>
          <w:sz w:val="24"/>
          <w:szCs w:val="24"/>
        </w:rPr>
        <w:t>m</w:t>
      </w:r>
      <w:r w:rsidRPr="00554FAF">
        <w:rPr>
          <w:rFonts w:ascii="Times New Roman" w:hAnsi="Times New Roman" w:cs="Times New Roman"/>
          <w:color w:val="000000"/>
          <w:sz w:val="24"/>
          <w:szCs w:val="24"/>
        </w:rPr>
        <w:t xml:space="preserve">bështetje </w:t>
      </w:r>
      <w:r w:rsidR="005A5112" w:rsidRPr="00554FAF">
        <w:rPr>
          <w:rFonts w:ascii="Times New Roman" w:hAnsi="Times New Roman" w:cs="Times New Roman"/>
          <w:color w:val="000000"/>
          <w:sz w:val="24"/>
          <w:szCs w:val="24"/>
        </w:rPr>
        <w:t>f</w:t>
      </w:r>
      <w:r w:rsidRPr="00554FAF">
        <w:rPr>
          <w:rFonts w:ascii="Times New Roman" w:hAnsi="Times New Roman" w:cs="Times New Roman"/>
          <w:color w:val="000000"/>
          <w:sz w:val="24"/>
          <w:szCs w:val="24"/>
        </w:rPr>
        <w:t xml:space="preserve">inanciare të </w:t>
      </w:r>
      <w:r w:rsidR="005A5112" w:rsidRPr="00554FAF">
        <w:rPr>
          <w:rFonts w:ascii="Times New Roman" w:hAnsi="Times New Roman" w:cs="Times New Roman"/>
          <w:color w:val="000000"/>
          <w:sz w:val="24"/>
          <w:szCs w:val="24"/>
        </w:rPr>
        <w:t>d</w:t>
      </w:r>
      <w:r w:rsidRPr="00554FAF">
        <w:rPr>
          <w:rFonts w:ascii="Times New Roman" w:hAnsi="Times New Roman" w:cs="Times New Roman"/>
          <w:color w:val="000000"/>
          <w:sz w:val="24"/>
          <w:szCs w:val="24"/>
        </w:rPr>
        <w:t xml:space="preserve">rejtpërdrejtë për NMVM-të, ndërsa skema e </w:t>
      </w:r>
      <w:r w:rsidR="005A5112" w:rsidRPr="00554FAF">
        <w:rPr>
          <w:rFonts w:ascii="Times New Roman" w:hAnsi="Times New Roman" w:cs="Times New Roman"/>
          <w:color w:val="000000"/>
          <w:sz w:val="24"/>
          <w:szCs w:val="24"/>
        </w:rPr>
        <w:t>n</w:t>
      </w:r>
      <w:r w:rsidRPr="00554FAF">
        <w:rPr>
          <w:rFonts w:ascii="Times New Roman" w:hAnsi="Times New Roman" w:cs="Times New Roman"/>
          <w:color w:val="000000"/>
          <w:sz w:val="24"/>
          <w:szCs w:val="24"/>
        </w:rPr>
        <w:t xml:space="preserve">dihmës </w:t>
      </w:r>
      <w:r w:rsidR="005A5112" w:rsidRPr="00554FAF">
        <w:rPr>
          <w:rFonts w:ascii="Times New Roman" w:hAnsi="Times New Roman" w:cs="Times New Roman"/>
          <w:color w:val="000000"/>
          <w:sz w:val="24"/>
          <w:szCs w:val="24"/>
        </w:rPr>
        <w:t>f</w:t>
      </w:r>
      <w:r w:rsidRPr="00554FAF">
        <w:rPr>
          <w:rFonts w:ascii="Times New Roman" w:hAnsi="Times New Roman" w:cs="Times New Roman"/>
          <w:color w:val="000000"/>
          <w:sz w:val="24"/>
          <w:szCs w:val="24"/>
        </w:rPr>
        <w:t xml:space="preserve">inanciare </w:t>
      </w:r>
      <w:r w:rsidR="005A5112" w:rsidRPr="00554FAF">
        <w:rPr>
          <w:rFonts w:ascii="Times New Roman" w:hAnsi="Times New Roman" w:cs="Times New Roman"/>
          <w:color w:val="000000"/>
          <w:sz w:val="24"/>
          <w:szCs w:val="24"/>
        </w:rPr>
        <w:t>d</w:t>
      </w:r>
      <w:r w:rsidRPr="00554FAF">
        <w:rPr>
          <w:rFonts w:ascii="Times New Roman" w:hAnsi="Times New Roman" w:cs="Times New Roman"/>
          <w:color w:val="000000"/>
          <w:sz w:val="24"/>
          <w:szCs w:val="24"/>
        </w:rPr>
        <w:t xml:space="preserve">irekt për OJQ-të do të ndryshohet (subvencion vetëm 30-40% nga buxheti për aktivitetet në kuadër të një  projekt propozimi inovativ). MIN ka nënshkruar  Fondin e </w:t>
      </w:r>
      <w:r w:rsidR="005A5112" w:rsidRPr="00554FAF">
        <w:rPr>
          <w:rFonts w:ascii="Times New Roman" w:hAnsi="Times New Roman" w:cs="Times New Roman"/>
          <w:color w:val="000000"/>
          <w:sz w:val="24"/>
          <w:szCs w:val="24"/>
        </w:rPr>
        <w:t>n</w:t>
      </w:r>
      <w:r w:rsidRPr="00554FAF">
        <w:rPr>
          <w:rFonts w:ascii="Times New Roman" w:hAnsi="Times New Roman" w:cs="Times New Roman"/>
          <w:color w:val="000000"/>
          <w:sz w:val="24"/>
          <w:szCs w:val="24"/>
        </w:rPr>
        <w:t xml:space="preserve">dërsjellë për </w:t>
      </w:r>
      <w:r w:rsidR="005A5112" w:rsidRPr="00554FAF">
        <w:rPr>
          <w:rFonts w:ascii="Times New Roman" w:hAnsi="Times New Roman" w:cs="Times New Roman"/>
          <w:color w:val="000000"/>
          <w:sz w:val="24"/>
          <w:szCs w:val="24"/>
        </w:rPr>
        <w:t>i</w:t>
      </w:r>
      <w:r w:rsidRPr="00554FAF">
        <w:rPr>
          <w:rFonts w:ascii="Times New Roman" w:hAnsi="Times New Roman" w:cs="Times New Roman"/>
          <w:color w:val="000000"/>
          <w:sz w:val="24"/>
          <w:szCs w:val="24"/>
        </w:rPr>
        <w:t xml:space="preserve">novacion dhe </w:t>
      </w:r>
      <w:r w:rsidR="005A5112" w:rsidRPr="00554FAF">
        <w:rPr>
          <w:rFonts w:ascii="Times New Roman" w:hAnsi="Times New Roman" w:cs="Times New Roman"/>
          <w:color w:val="000000"/>
          <w:sz w:val="24"/>
          <w:szCs w:val="24"/>
        </w:rPr>
        <w:t>n</w:t>
      </w:r>
      <w:r w:rsidRPr="00554FAF">
        <w:rPr>
          <w:rFonts w:ascii="Times New Roman" w:hAnsi="Times New Roman" w:cs="Times New Roman"/>
          <w:color w:val="000000"/>
          <w:sz w:val="24"/>
          <w:szCs w:val="24"/>
        </w:rPr>
        <w:t>dërmarrësi me MF dhe GIZ për mbështetje financiare për zhvillimin e ideve dhe projekteve për NMVM-të. Këtë vit</w:t>
      </w:r>
      <w:r w:rsidR="005A5112" w:rsidRPr="00554FAF">
        <w:rPr>
          <w:rFonts w:ascii="Times New Roman" w:hAnsi="Times New Roman" w:cs="Times New Roman"/>
          <w:color w:val="000000"/>
          <w:sz w:val="24"/>
          <w:szCs w:val="24"/>
        </w:rPr>
        <w:t>,</w:t>
      </w:r>
      <w:r w:rsidRPr="00554FAF">
        <w:rPr>
          <w:rFonts w:ascii="Times New Roman" w:hAnsi="Times New Roman" w:cs="Times New Roman"/>
          <w:color w:val="000000"/>
          <w:sz w:val="24"/>
          <w:szCs w:val="24"/>
        </w:rPr>
        <w:t xml:space="preserve"> </w:t>
      </w:r>
      <w:r w:rsidR="004A2969" w:rsidRPr="00554FAF">
        <w:rPr>
          <w:rFonts w:ascii="Times New Roman" w:hAnsi="Times New Roman" w:cs="Times New Roman"/>
          <w:color w:val="000000"/>
          <w:sz w:val="24"/>
          <w:szCs w:val="24"/>
        </w:rPr>
        <w:t>ë</w:t>
      </w:r>
      <w:r w:rsidR="00C91BB6" w:rsidRPr="00554FAF">
        <w:rPr>
          <w:rFonts w:ascii="Times New Roman" w:hAnsi="Times New Roman" w:cs="Times New Roman"/>
          <w:color w:val="000000"/>
          <w:sz w:val="24"/>
          <w:szCs w:val="24"/>
        </w:rPr>
        <w:t>sht</w:t>
      </w:r>
      <w:r w:rsidR="004A2969" w:rsidRPr="00554FAF">
        <w:rPr>
          <w:rFonts w:ascii="Times New Roman" w:hAnsi="Times New Roman" w:cs="Times New Roman"/>
          <w:color w:val="000000"/>
          <w:sz w:val="24"/>
          <w:szCs w:val="24"/>
        </w:rPr>
        <w:t>ë</w:t>
      </w:r>
      <w:r w:rsidR="00C91BB6" w:rsidRPr="00554FAF">
        <w:rPr>
          <w:rFonts w:ascii="Times New Roman" w:hAnsi="Times New Roman" w:cs="Times New Roman"/>
          <w:color w:val="000000"/>
          <w:sz w:val="24"/>
          <w:szCs w:val="24"/>
        </w:rPr>
        <w:t xml:space="preserve"> miratuar</w:t>
      </w:r>
      <w:r w:rsidRPr="00554FAF">
        <w:rPr>
          <w:rFonts w:ascii="Times New Roman" w:hAnsi="Times New Roman" w:cs="Times New Roman"/>
          <w:color w:val="000000"/>
          <w:sz w:val="24"/>
          <w:szCs w:val="24"/>
        </w:rPr>
        <w:t xml:space="preserve"> Strategji</w:t>
      </w:r>
      <w:r w:rsidR="00C91BB6" w:rsidRPr="00554FAF">
        <w:rPr>
          <w:rFonts w:ascii="Times New Roman" w:hAnsi="Times New Roman" w:cs="Times New Roman"/>
          <w:color w:val="000000"/>
          <w:sz w:val="24"/>
          <w:szCs w:val="24"/>
        </w:rPr>
        <w:t>a</w:t>
      </w:r>
      <w:r w:rsidRPr="00554FAF">
        <w:rPr>
          <w:rFonts w:ascii="Times New Roman" w:hAnsi="Times New Roman" w:cs="Times New Roman"/>
          <w:color w:val="000000"/>
          <w:sz w:val="24"/>
          <w:szCs w:val="24"/>
        </w:rPr>
        <w:t xml:space="preserve"> </w:t>
      </w:r>
      <w:r w:rsidR="005A5112" w:rsidRPr="00554FAF">
        <w:rPr>
          <w:rFonts w:ascii="Times New Roman" w:hAnsi="Times New Roman" w:cs="Times New Roman"/>
          <w:color w:val="000000"/>
          <w:sz w:val="24"/>
          <w:szCs w:val="24"/>
        </w:rPr>
        <w:t>k</w:t>
      </w:r>
      <w:r w:rsidRPr="00554FAF">
        <w:rPr>
          <w:rFonts w:ascii="Times New Roman" w:hAnsi="Times New Roman" w:cs="Times New Roman"/>
          <w:color w:val="000000"/>
          <w:sz w:val="24"/>
          <w:szCs w:val="24"/>
        </w:rPr>
        <w:t xml:space="preserve">ombëtare për </w:t>
      </w:r>
      <w:r w:rsidR="005A5112" w:rsidRPr="00554FAF">
        <w:rPr>
          <w:rFonts w:ascii="Times New Roman" w:hAnsi="Times New Roman" w:cs="Times New Roman"/>
          <w:color w:val="000000"/>
          <w:sz w:val="24"/>
          <w:szCs w:val="24"/>
        </w:rPr>
        <w:t>i</w:t>
      </w:r>
      <w:r w:rsidRPr="00554FAF">
        <w:rPr>
          <w:rFonts w:ascii="Times New Roman" w:hAnsi="Times New Roman" w:cs="Times New Roman"/>
          <w:color w:val="000000"/>
          <w:sz w:val="24"/>
          <w:szCs w:val="24"/>
        </w:rPr>
        <w:t xml:space="preserve">novacion dhe </w:t>
      </w:r>
      <w:r w:rsidR="005A5112" w:rsidRPr="00554FAF">
        <w:rPr>
          <w:rFonts w:ascii="Times New Roman" w:hAnsi="Times New Roman" w:cs="Times New Roman"/>
          <w:color w:val="000000"/>
          <w:sz w:val="24"/>
          <w:szCs w:val="24"/>
        </w:rPr>
        <w:t>n</w:t>
      </w:r>
      <w:r w:rsidRPr="00554FAF">
        <w:rPr>
          <w:rFonts w:ascii="Times New Roman" w:hAnsi="Times New Roman" w:cs="Times New Roman"/>
          <w:color w:val="000000"/>
          <w:sz w:val="24"/>
          <w:szCs w:val="24"/>
        </w:rPr>
        <w:t xml:space="preserve">dërmarrësi dhe koncept dokumenti për Ligjin për </w:t>
      </w:r>
      <w:r w:rsidR="005A5112" w:rsidRPr="00554FAF">
        <w:rPr>
          <w:rFonts w:ascii="Times New Roman" w:hAnsi="Times New Roman" w:cs="Times New Roman"/>
          <w:color w:val="000000"/>
          <w:sz w:val="24"/>
          <w:szCs w:val="24"/>
        </w:rPr>
        <w:t>i</w:t>
      </w:r>
      <w:r w:rsidRPr="00554FAF">
        <w:rPr>
          <w:rFonts w:ascii="Times New Roman" w:hAnsi="Times New Roman" w:cs="Times New Roman"/>
          <w:color w:val="000000"/>
          <w:sz w:val="24"/>
          <w:szCs w:val="24"/>
        </w:rPr>
        <w:t xml:space="preserve">novacion dhe </w:t>
      </w:r>
      <w:r w:rsidR="005A5112" w:rsidRPr="00554FAF">
        <w:rPr>
          <w:rFonts w:ascii="Times New Roman" w:hAnsi="Times New Roman" w:cs="Times New Roman"/>
          <w:color w:val="000000"/>
          <w:sz w:val="24"/>
          <w:szCs w:val="24"/>
        </w:rPr>
        <w:t>n</w:t>
      </w:r>
      <w:r w:rsidRPr="00554FAF">
        <w:rPr>
          <w:rFonts w:ascii="Times New Roman" w:hAnsi="Times New Roman" w:cs="Times New Roman"/>
          <w:color w:val="000000"/>
          <w:sz w:val="24"/>
          <w:szCs w:val="24"/>
        </w:rPr>
        <w:t>dërmarrësi, ndërsa tani po vazhdon pun</w:t>
      </w:r>
      <w:r w:rsidR="00C91BB6" w:rsidRPr="00554FAF">
        <w:rPr>
          <w:rFonts w:ascii="Times New Roman" w:hAnsi="Times New Roman" w:cs="Times New Roman"/>
          <w:color w:val="000000"/>
          <w:sz w:val="24"/>
          <w:szCs w:val="24"/>
        </w:rPr>
        <w:t>a</w:t>
      </w:r>
      <w:r w:rsidRPr="00554FAF">
        <w:rPr>
          <w:rFonts w:ascii="Times New Roman" w:hAnsi="Times New Roman" w:cs="Times New Roman"/>
          <w:color w:val="000000"/>
          <w:sz w:val="24"/>
          <w:szCs w:val="24"/>
        </w:rPr>
        <w:t xml:space="preserve"> për hartimin e Ligjit për I&amp;N. Sa i përket zhvillimit të HZHI-së, janë  themeluar 4 </w:t>
      </w:r>
      <w:r w:rsidR="005A5112" w:rsidRPr="00554FAF">
        <w:rPr>
          <w:rFonts w:ascii="Times New Roman" w:hAnsi="Times New Roman" w:cs="Times New Roman"/>
          <w:color w:val="000000"/>
          <w:sz w:val="24"/>
          <w:szCs w:val="24"/>
        </w:rPr>
        <w:t>q</w:t>
      </w:r>
      <w:r w:rsidRPr="00554FAF">
        <w:rPr>
          <w:rFonts w:ascii="Times New Roman" w:hAnsi="Times New Roman" w:cs="Times New Roman"/>
          <w:color w:val="000000"/>
          <w:sz w:val="24"/>
          <w:szCs w:val="24"/>
        </w:rPr>
        <w:t xml:space="preserve">endrat </w:t>
      </w:r>
      <w:r w:rsidR="005A5112" w:rsidRPr="00554FAF">
        <w:rPr>
          <w:rFonts w:ascii="Times New Roman" w:hAnsi="Times New Roman" w:cs="Times New Roman"/>
          <w:color w:val="000000"/>
          <w:sz w:val="24"/>
          <w:szCs w:val="24"/>
        </w:rPr>
        <w:t>r</w:t>
      </w:r>
      <w:r w:rsidRPr="00554FAF">
        <w:rPr>
          <w:rFonts w:ascii="Times New Roman" w:hAnsi="Times New Roman" w:cs="Times New Roman"/>
          <w:color w:val="000000"/>
          <w:sz w:val="24"/>
          <w:szCs w:val="24"/>
        </w:rPr>
        <w:t xml:space="preserve">egjionale për </w:t>
      </w:r>
      <w:r w:rsidR="005A5112" w:rsidRPr="00554FAF">
        <w:rPr>
          <w:rFonts w:ascii="Times New Roman" w:hAnsi="Times New Roman" w:cs="Times New Roman"/>
          <w:color w:val="000000"/>
          <w:sz w:val="24"/>
          <w:szCs w:val="24"/>
        </w:rPr>
        <w:t>i</w:t>
      </w:r>
      <w:r w:rsidRPr="00554FAF">
        <w:rPr>
          <w:rFonts w:ascii="Times New Roman" w:hAnsi="Times New Roman" w:cs="Times New Roman"/>
          <w:color w:val="000000"/>
          <w:sz w:val="24"/>
          <w:szCs w:val="24"/>
        </w:rPr>
        <w:t xml:space="preserve">novacion dhe </w:t>
      </w:r>
      <w:r w:rsidR="005A5112" w:rsidRPr="00554FAF">
        <w:rPr>
          <w:rFonts w:ascii="Times New Roman" w:hAnsi="Times New Roman" w:cs="Times New Roman"/>
          <w:color w:val="000000"/>
          <w:sz w:val="24"/>
          <w:szCs w:val="24"/>
        </w:rPr>
        <w:t>n</w:t>
      </w:r>
      <w:r w:rsidRPr="00554FAF">
        <w:rPr>
          <w:rFonts w:ascii="Times New Roman" w:hAnsi="Times New Roman" w:cs="Times New Roman"/>
          <w:color w:val="000000"/>
          <w:sz w:val="24"/>
          <w:szCs w:val="24"/>
        </w:rPr>
        <w:t>dërmarrësi (Prishtinë, Ferizaj, Mitrovicë dhe Pejë) dhe tani është duke punuar në funksionalizimin e tyre.</w:t>
      </w:r>
    </w:p>
    <w:p w14:paraId="0416EA99" w14:textId="03449035" w:rsidR="004A424A" w:rsidRPr="00554FAF" w:rsidRDefault="004A424A"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b/>
          <w:sz w:val="24"/>
          <w:szCs w:val="24"/>
        </w:rPr>
        <w:t>Ekonomia Digjitale</w:t>
      </w:r>
      <w:r w:rsidR="005A5112" w:rsidRPr="00554FAF">
        <w:rPr>
          <w:rFonts w:ascii="Times New Roman" w:hAnsi="Times New Roman" w:cs="Times New Roman"/>
          <w:b/>
          <w:sz w:val="24"/>
          <w:szCs w:val="24"/>
        </w:rPr>
        <w:t xml:space="preserve">: </w:t>
      </w:r>
      <w:r w:rsidRPr="00554FAF">
        <w:rPr>
          <w:rFonts w:ascii="Times New Roman" w:hAnsi="Times New Roman" w:cs="Times New Roman"/>
          <w:sz w:val="24"/>
          <w:szCs w:val="24"/>
        </w:rPr>
        <w:t>rrjetet fikse të telekomunikimeve janë të përhapura gjerësisht në zonat urbane por jo edhe në të gjitha zonat rurale. Penetrimi i telefonisë fikse është 3.5% krahasuar me mesataren e BE-së prej 24%. Penetrimi i telefonisë mobile është rreth 108% të popullsisë dhe vlerësohet se përdorues të internetit përmes rrjetit 3G dhe 4G janë 106% të banorëve krahasuar me 126% në BE</w:t>
      </w:r>
      <w:r w:rsidR="005A5112" w:rsidRPr="00554FAF">
        <w:rPr>
          <w:rFonts w:ascii="Times New Roman" w:hAnsi="Times New Roman" w:cs="Times New Roman"/>
          <w:sz w:val="24"/>
          <w:szCs w:val="24"/>
        </w:rPr>
        <w:t>.</w:t>
      </w:r>
      <w:r w:rsidRPr="00554FAF">
        <w:rPr>
          <w:rFonts w:ascii="Times New Roman" w:hAnsi="Times New Roman" w:cs="Times New Roman"/>
          <w:sz w:val="24"/>
          <w:szCs w:val="24"/>
        </w:rPr>
        <w:t xml:space="preserve"> </w:t>
      </w:r>
      <w:r w:rsidR="005A5112" w:rsidRPr="00554FAF">
        <w:rPr>
          <w:rFonts w:ascii="Times New Roman" w:hAnsi="Times New Roman" w:cs="Times New Roman"/>
          <w:sz w:val="24"/>
          <w:szCs w:val="24"/>
        </w:rPr>
        <w:t>P</w:t>
      </w:r>
      <w:r w:rsidRPr="00554FAF">
        <w:rPr>
          <w:rFonts w:ascii="Times New Roman" w:hAnsi="Times New Roman" w:cs="Times New Roman"/>
          <w:sz w:val="24"/>
          <w:szCs w:val="24"/>
        </w:rPr>
        <w:t>enetrimi i internetit me qasje fikse vlerësohet të jetë 110% të familjeve krahasuar me</w:t>
      </w:r>
      <w:r w:rsidR="005A5112" w:rsidRPr="00554FAF">
        <w:rPr>
          <w:rFonts w:ascii="Times New Roman" w:hAnsi="Times New Roman" w:cs="Times New Roman"/>
          <w:sz w:val="24"/>
          <w:szCs w:val="24"/>
        </w:rPr>
        <w:t xml:space="preserve"> </w:t>
      </w:r>
      <w:r w:rsidRPr="00554FAF">
        <w:rPr>
          <w:rFonts w:ascii="Times New Roman" w:hAnsi="Times New Roman" w:cs="Times New Roman"/>
          <w:sz w:val="24"/>
          <w:szCs w:val="24"/>
        </w:rPr>
        <w:t xml:space="preserve">87% në BE. Me hyrjen në fuqi (nëntor 2012) të Ligjit nr.04/L-109 për Komunikimet Elektronike është vendosur regjimi i autorizimit të përgjithshëm për përfshirje në aktivitete të komunikimeve elektronike. </w:t>
      </w:r>
    </w:p>
    <w:p w14:paraId="7E329737" w14:textId="5ABC6E67" w:rsidR="004A424A" w:rsidRPr="00554FAF" w:rsidRDefault="004A424A"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sz w:val="24"/>
          <w:szCs w:val="24"/>
        </w:rPr>
        <w:t>Sipas të dhënave të raportuara në ARKEP</w:t>
      </w:r>
      <w:r w:rsidR="005A5112" w:rsidRPr="00554FAF">
        <w:rPr>
          <w:rFonts w:ascii="Times New Roman" w:hAnsi="Times New Roman" w:cs="Times New Roman"/>
          <w:sz w:val="24"/>
          <w:szCs w:val="24"/>
        </w:rPr>
        <w:t>,</w:t>
      </w:r>
      <w:r w:rsidRPr="00554FAF">
        <w:rPr>
          <w:rFonts w:ascii="Times New Roman" w:hAnsi="Times New Roman" w:cs="Times New Roman"/>
          <w:sz w:val="24"/>
          <w:szCs w:val="24"/>
        </w:rPr>
        <w:t xml:space="preserve"> investimet në infrastrukturën e telekomunikimit kanë shënuar rënie nga viti 2015 kur kanë qenë afër 52 mil. €</w:t>
      </w:r>
      <w:r w:rsidR="005A5112" w:rsidRPr="00554FAF">
        <w:rPr>
          <w:rFonts w:ascii="Times New Roman" w:hAnsi="Times New Roman" w:cs="Times New Roman"/>
          <w:sz w:val="24"/>
          <w:szCs w:val="24"/>
        </w:rPr>
        <w:t xml:space="preserve">, </w:t>
      </w:r>
      <w:r w:rsidRPr="00554FAF">
        <w:rPr>
          <w:rFonts w:ascii="Times New Roman" w:hAnsi="Times New Roman" w:cs="Times New Roman"/>
          <w:sz w:val="24"/>
          <w:szCs w:val="24"/>
        </w:rPr>
        <w:t>gjatë vitit 2018 kanë qenë rreth 30 mil.€ (afër 0.5 % e BPV së përgjithshme të Kosovës). Përdorimi i përgjithshëm i TIK-ut në industri është akoma i kufizuar dhe shumë kompani kanë</w:t>
      </w:r>
      <w:r w:rsidR="005A5112" w:rsidRPr="00554FAF">
        <w:rPr>
          <w:rFonts w:ascii="Times New Roman" w:hAnsi="Times New Roman" w:cs="Times New Roman"/>
          <w:sz w:val="24"/>
          <w:szCs w:val="24"/>
        </w:rPr>
        <w:t xml:space="preserve"> </w:t>
      </w:r>
      <w:r w:rsidRPr="00554FAF">
        <w:rPr>
          <w:rFonts w:ascii="Times New Roman" w:hAnsi="Times New Roman" w:cs="Times New Roman"/>
          <w:sz w:val="24"/>
          <w:szCs w:val="24"/>
        </w:rPr>
        <w:t>mungesë</w:t>
      </w:r>
      <w:r w:rsidR="005A5112" w:rsidRPr="00554FAF">
        <w:rPr>
          <w:rFonts w:ascii="Times New Roman" w:hAnsi="Times New Roman" w:cs="Times New Roman"/>
          <w:sz w:val="24"/>
          <w:szCs w:val="24"/>
        </w:rPr>
        <w:t xml:space="preserve"> </w:t>
      </w:r>
      <w:r w:rsidRPr="00554FAF">
        <w:rPr>
          <w:rFonts w:ascii="Times New Roman" w:hAnsi="Times New Roman" w:cs="Times New Roman"/>
          <w:sz w:val="24"/>
          <w:szCs w:val="24"/>
        </w:rPr>
        <w:t xml:space="preserve">të vetëdijesimit lidhur me përfitimet konkurruese. Pavarësisht se shumica e familjeve në Kosovë kanë qasje në internet si me lidhje fikse ashtu edhe me celular, 38.7 % e popullsisë së vendit ende nuk ka qasje në asnjë lloj pajisje kompjuterike elektronike. Shpërndarja e infrastrukturës së TIK në Kosovë është relativisht e pa balancuar, duke rezultuar në mungesë të qasjes në infrastrukturën brezgjerë </w:t>
      </w:r>
      <w:r w:rsidR="005A5112" w:rsidRPr="00554FAF">
        <w:rPr>
          <w:rFonts w:ascii="Times New Roman" w:hAnsi="Times New Roman" w:cs="Times New Roman"/>
          <w:sz w:val="24"/>
          <w:szCs w:val="24"/>
        </w:rPr>
        <w:t>e cila</w:t>
      </w:r>
      <w:r w:rsidRPr="00554FAF">
        <w:rPr>
          <w:rFonts w:ascii="Times New Roman" w:hAnsi="Times New Roman" w:cs="Times New Roman"/>
          <w:sz w:val="24"/>
          <w:szCs w:val="24"/>
        </w:rPr>
        <w:t xml:space="preserve"> ndikon në konkurrueshmërinë globale të Kosovës</w:t>
      </w:r>
      <w:r w:rsidR="005A5112" w:rsidRPr="00554FAF">
        <w:rPr>
          <w:rFonts w:ascii="Times New Roman" w:hAnsi="Times New Roman" w:cs="Times New Roman"/>
          <w:sz w:val="24"/>
          <w:szCs w:val="24"/>
        </w:rPr>
        <w:t xml:space="preserve"> </w:t>
      </w:r>
      <w:r w:rsidRPr="00554FAF">
        <w:rPr>
          <w:rFonts w:ascii="Times New Roman" w:hAnsi="Times New Roman" w:cs="Times New Roman"/>
          <w:sz w:val="24"/>
          <w:szCs w:val="24"/>
        </w:rPr>
        <w:t>dhe zvogëlon mundësitë për vetëpunësim, të mësuarit të hapur dhe dixhital. Vlerësimet e fundit treguan se ekzistojnë vështirësi në sigurimin e shkathtësive  të nevojshme për stafin e ri. Kompanitë e TIK-ut kanë nevojë për ndërtim të kapaciteteve me fokus në aplikimin e standardeve jo vetëm për ofrimin e shërbimeve që lidhen me softuer dhe aplikacione të reja, por edhe në prodhim.  Vlerësohet se në sektorin e TIK-ut janë të punësuar rreth 2000 punëtorë, apo më pak se 1% nga numri total i të punësuarve krahasuar me 3,7% në nivel të BE. 571 biznese kanë të regjistruara TIK-un si aktivitet parësor, por vetëm rreth 120 prej tyre konsiderohen biznese me shërbime të bazuar</w:t>
      </w:r>
      <w:r w:rsidR="005A5112" w:rsidRPr="00554FAF">
        <w:rPr>
          <w:rFonts w:ascii="Times New Roman" w:hAnsi="Times New Roman" w:cs="Times New Roman"/>
          <w:sz w:val="24"/>
          <w:szCs w:val="24"/>
        </w:rPr>
        <w:t>a</w:t>
      </w:r>
      <w:r w:rsidRPr="00554FAF">
        <w:rPr>
          <w:rFonts w:ascii="Times New Roman" w:hAnsi="Times New Roman" w:cs="Times New Roman"/>
          <w:sz w:val="24"/>
          <w:szCs w:val="24"/>
        </w:rPr>
        <w:t xml:space="preserve"> në produkte të TIK, ndërsa të tjerat janë biznese shitëse e servisuese të harduerit.</w:t>
      </w:r>
    </w:p>
    <w:p w14:paraId="75E01C8D" w14:textId="77777777" w:rsidR="004A424A" w:rsidRPr="00554FAF" w:rsidRDefault="004A424A"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b/>
          <w:sz w:val="24"/>
          <w:szCs w:val="24"/>
        </w:rPr>
        <w:t xml:space="preserve">Pengesat strukturore: </w:t>
      </w:r>
      <w:r w:rsidRPr="00554FAF">
        <w:rPr>
          <w:rFonts w:ascii="Times New Roman" w:hAnsi="Times New Roman" w:cs="Times New Roman"/>
          <w:sz w:val="24"/>
          <w:szCs w:val="24"/>
        </w:rPr>
        <w:t>Pengesa kryesore është mungesa e kornizës ligjore dhe politikave për mbështetje të aktiviteteve të fushës së hulumtimit dhe zhvillimit (R&amp;D), aktivitetet e fragmentuara, infrastruktura e pamjaftueshme e butë (p.sh. ekspertë / konsulentë të HZHI) dhe infrastrukturës fizike (p.sh. laboratorë, pajisje). Dështimi për të marrë pjesë në programet Horizon 2020 paraqet pengesë për ndërmarrjet që të bashkëpunojnë në fushën e specializimit të mençur që synojnë industritë në zhvillim, duke humbur kështu mundësinë për t'u përfshirë në zhvillime moderne industriale në lidhje me mallrat dhe shërbimet e reja.</w:t>
      </w:r>
    </w:p>
    <w:p w14:paraId="31B44BED" w14:textId="77777777" w:rsidR="004A424A" w:rsidRPr="00554FAF" w:rsidRDefault="004A424A"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sz w:val="24"/>
          <w:szCs w:val="24"/>
        </w:rPr>
        <w:t>Për më tepër, mungesa e bashkëpunimit midis sektorit privat, sektorit publik dhe institucioneve të arsimit të lartë pengon transferimin efektiv të njohurive dhe gjithashtu rezulton në humbjen e mundësive për zhvillim ekonomik; gjithashtu mungesa e informacionit të saktë dhe të përditësuar mbi potencialin e inovacionit dhe ndërmarrësisë për zhvillimin e projekteve inovative të produkteve dhe shërbimeve paraqet një pengesë tjetër për zhvillimin e HZHI-së. Sa i përket ekonomisë dixhitale, pengesa kryesore është mungesa e një ekosistemi të përgjithshëm për të krijuar mundësi për idetë më inovative jo vetëm në sektorin e TIK-ut, por në të gjitha fushat që lidhen me TIK dhe me teknologjitë dixhitale të mishëruara dhe aplikuara në të gjitha pjesët e jetës.</w:t>
      </w:r>
    </w:p>
    <w:p w14:paraId="79DB4F21" w14:textId="22C9699F" w:rsidR="000316F9" w:rsidRPr="00554FAF" w:rsidRDefault="004A424A"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sz w:val="24"/>
          <w:szCs w:val="24"/>
        </w:rPr>
        <w:t>Mungesa e shtrirjes së infrastrukturës së internetit  brezgjerë ndikon negativisht në produktivitetin global dhe konkurrencën e kompanive</w:t>
      </w:r>
      <w:r w:rsidR="005A5112" w:rsidRPr="00554FAF">
        <w:rPr>
          <w:rFonts w:ascii="Times New Roman" w:hAnsi="Times New Roman" w:cs="Times New Roman"/>
          <w:sz w:val="24"/>
          <w:szCs w:val="24"/>
        </w:rPr>
        <w:t xml:space="preserve"> </w:t>
      </w:r>
      <w:r w:rsidRPr="00554FAF">
        <w:rPr>
          <w:rFonts w:ascii="Times New Roman" w:hAnsi="Times New Roman" w:cs="Times New Roman"/>
          <w:sz w:val="24"/>
          <w:szCs w:val="24"/>
        </w:rPr>
        <w:t>dhe zvogëlon mundësitë për vetëpunësim, mësim në distancë, mësim dixhital dhe marketing dixhital. Shpërndarja e infrastrukturës TIK në Kosovë është relativisht e pa balancuar, duke rezultuar në mungesë të qasjes në infrastrukturën brezgjerë. Raportet e hulumtimit kanë treguar se ka vështirësi në pajisjen e personelit të ri me aftësitë e nevojshme të TIK-ut.</w:t>
      </w:r>
    </w:p>
    <w:p w14:paraId="22EC3068" w14:textId="1554E9A8" w:rsidR="000316F9" w:rsidRPr="00554FAF" w:rsidRDefault="000316F9" w:rsidP="00802FB3">
      <w:pPr>
        <w:pStyle w:val="ListParagraph"/>
        <w:numPr>
          <w:ilvl w:val="0"/>
          <w:numId w:val="46"/>
        </w:numPr>
        <w:spacing w:after="60" w:line="240" w:lineRule="auto"/>
        <w:jc w:val="both"/>
        <w:rPr>
          <w:rFonts w:ascii="Times New Roman" w:hAnsi="Times New Roman" w:cs="Times New Roman"/>
          <w:b/>
          <w:sz w:val="24"/>
          <w:szCs w:val="24"/>
        </w:rPr>
      </w:pPr>
      <w:r w:rsidRPr="00554FAF">
        <w:rPr>
          <w:rFonts w:ascii="Times New Roman" w:hAnsi="Times New Roman" w:cs="Times New Roman"/>
          <w:b/>
          <w:sz w:val="24"/>
          <w:szCs w:val="24"/>
        </w:rPr>
        <w:t>Prioritetet e reformave strukturore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4A424A" w:rsidRPr="00554FAF" w14:paraId="44570CB7" w14:textId="77777777" w:rsidTr="004A424A">
        <w:tc>
          <w:tcPr>
            <w:tcW w:w="9350" w:type="dxa"/>
            <w:shd w:val="clear" w:color="auto" w:fill="5B9BD5"/>
          </w:tcPr>
          <w:p w14:paraId="41646A83" w14:textId="01E2DDA2" w:rsidR="004A424A" w:rsidRPr="00554FAF" w:rsidRDefault="004A424A" w:rsidP="000702CB">
            <w:pPr>
              <w:spacing w:after="60" w:line="240" w:lineRule="auto"/>
              <w:jc w:val="both"/>
              <w:rPr>
                <w:rFonts w:ascii="Times New Roman" w:hAnsi="Times New Roman" w:cs="Times New Roman"/>
                <w:b/>
                <w:bCs/>
                <w:sz w:val="24"/>
                <w:szCs w:val="24"/>
              </w:rPr>
            </w:pPr>
            <w:r w:rsidRPr="00554FAF">
              <w:rPr>
                <w:rFonts w:ascii="Times New Roman" w:hAnsi="Times New Roman" w:cs="Times New Roman"/>
                <w:b/>
                <w:bCs/>
                <w:sz w:val="24"/>
                <w:szCs w:val="24"/>
              </w:rPr>
              <w:t xml:space="preserve">Masa e reformës #12: </w:t>
            </w:r>
            <w:r w:rsidRPr="00554FAF">
              <w:rPr>
                <w:rFonts w:ascii="Times New Roman" w:hAnsi="Times New Roman" w:cs="Times New Roman"/>
                <w:b/>
                <w:sz w:val="24"/>
                <w:szCs w:val="24"/>
              </w:rPr>
              <w:t xml:space="preserve">Përmirësimi i mjedisit për </w:t>
            </w:r>
            <w:r w:rsidR="005A5112" w:rsidRPr="00554FAF">
              <w:rPr>
                <w:rFonts w:ascii="Times New Roman" w:hAnsi="Times New Roman" w:cs="Times New Roman"/>
                <w:b/>
                <w:sz w:val="24"/>
                <w:szCs w:val="24"/>
              </w:rPr>
              <w:t>i</w:t>
            </w:r>
            <w:r w:rsidRPr="00554FAF">
              <w:rPr>
                <w:rFonts w:ascii="Times New Roman" w:hAnsi="Times New Roman" w:cs="Times New Roman"/>
                <w:b/>
                <w:sz w:val="24"/>
                <w:szCs w:val="24"/>
              </w:rPr>
              <w:t xml:space="preserve">novacion dhe </w:t>
            </w:r>
            <w:r w:rsidR="005A5112" w:rsidRPr="00554FAF">
              <w:rPr>
                <w:rFonts w:ascii="Times New Roman" w:hAnsi="Times New Roman" w:cs="Times New Roman"/>
                <w:b/>
                <w:sz w:val="24"/>
                <w:szCs w:val="24"/>
              </w:rPr>
              <w:t>n</w:t>
            </w:r>
            <w:r w:rsidRPr="00554FAF">
              <w:rPr>
                <w:rFonts w:ascii="Times New Roman" w:hAnsi="Times New Roman" w:cs="Times New Roman"/>
                <w:b/>
                <w:sz w:val="24"/>
                <w:szCs w:val="24"/>
              </w:rPr>
              <w:t>dërmarrësi</w:t>
            </w:r>
          </w:p>
        </w:tc>
      </w:tr>
    </w:tbl>
    <w:p w14:paraId="5A8F9C40" w14:textId="0ECED406" w:rsidR="004A424A" w:rsidRPr="00554FAF" w:rsidRDefault="004A424A" w:rsidP="000702CB">
      <w:pPr>
        <w:spacing w:after="60" w:line="240" w:lineRule="auto"/>
        <w:jc w:val="both"/>
        <w:rPr>
          <w:rFonts w:ascii="Times New Roman" w:hAnsi="Times New Roman" w:cs="Times New Roman"/>
          <w:bCs/>
          <w:sz w:val="24"/>
          <w:szCs w:val="24"/>
        </w:rPr>
      </w:pPr>
      <w:r w:rsidRPr="00554FAF">
        <w:rPr>
          <w:rFonts w:ascii="Times New Roman" w:hAnsi="Times New Roman" w:cs="Times New Roman"/>
          <w:b/>
          <w:sz w:val="24"/>
          <w:szCs w:val="24"/>
        </w:rPr>
        <w:t xml:space="preserve">1. Përshkrimi i masës: </w:t>
      </w:r>
      <w:r w:rsidRPr="00554FAF">
        <w:rPr>
          <w:rFonts w:ascii="Times New Roman" w:hAnsi="Times New Roman" w:cs="Times New Roman"/>
          <w:bCs/>
          <w:sz w:val="24"/>
          <w:szCs w:val="24"/>
        </w:rPr>
        <w:t>Kjo masë ka për qëllim stimulimin dhe zbatimin e ideve dhe projekteve inovative të ekosistemit dhe ekselencës për hulumtim, të fuqizojë shkathtësitë e ndërmarrësisë, në veçanti për NMVM-të dhe  bizneset fillestare (Start-Up) si dhe të rris mobilitetin e studentëve. Kjo do të arrihet duke siguruar fonde dhe infrastrukturë adekuate për zhvillimin e këtyre projekteve, fuqizimin dhe zhvillimin e shkathtësive të reja</w:t>
      </w:r>
      <w:r w:rsidR="005A5112" w:rsidRPr="00554FAF">
        <w:rPr>
          <w:rFonts w:ascii="Times New Roman" w:hAnsi="Times New Roman" w:cs="Times New Roman"/>
          <w:bCs/>
          <w:sz w:val="24"/>
          <w:szCs w:val="24"/>
        </w:rPr>
        <w:t xml:space="preserve"> </w:t>
      </w:r>
      <w:r w:rsidRPr="00554FAF">
        <w:rPr>
          <w:rFonts w:ascii="Times New Roman" w:hAnsi="Times New Roman" w:cs="Times New Roman"/>
          <w:bCs/>
          <w:sz w:val="24"/>
          <w:szCs w:val="24"/>
        </w:rPr>
        <w:t>dhe duke iniciuar instrumente të reja për qeverisje dinamike në hulumtim dhe inovacion</w:t>
      </w:r>
      <w:r w:rsidR="005A5112" w:rsidRPr="00554FAF">
        <w:rPr>
          <w:rFonts w:ascii="Times New Roman" w:hAnsi="Times New Roman" w:cs="Times New Roman"/>
          <w:bCs/>
          <w:sz w:val="24"/>
          <w:szCs w:val="24"/>
        </w:rPr>
        <w:t>.</w:t>
      </w:r>
      <w:r w:rsidRPr="00554FAF">
        <w:rPr>
          <w:rFonts w:ascii="Times New Roman" w:hAnsi="Times New Roman" w:cs="Times New Roman"/>
          <w:bCs/>
          <w:sz w:val="24"/>
          <w:szCs w:val="24"/>
        </w:rPr>
        <w:t xml:space="preserve"> MIN do të fillojë punën rreth krijimit të udhëzuesit dhe hartimit të projekteve për qytetet e mençura, në bashkëpunim me kuvendet komunale me qëllim të përmirësimit të shërbimeve publike për qytetarët</w:t>
      </w:r>
      <w:r w:rsidR="005A5112" w:rsidRPr="00554FAF">
        <w:rPr>
          <w:rFonts w:ascii="Times New Roman" w:hAnsi="Times New Roman" w:cs="Times New Roman"/>
          <w:bCs/>
          <w:sz w:val="24"/>
          <w:szCs w:val="24"/>
        </w:rPr>
        <w:t>.</w:t>
      </w:r>
      <w:r w:rsidRPr="00554FAF">
        <w:rPr>
          <w:rFonts w:ascii="Times New Roman" w:hAnsi="Times New Roman" w:cs="Times New Roman"/>
          <w:bCs/>
          <w:sz w:val="24"/>
          <w:szCs w:val="24"/>
        </w:rPr>
        <w:t xml:space="preserve"> </w:t>
      </w:r>
      <w:r w:rsidR="005A5112" w:rsidRPr="00554FAF">
        <w:rPr>
          <w:rFonts w:ascii="Times New Roman" w:hAnsi="Times New Roman" w:cs="Times New Roman"/>
          <w:bCs/>
          <w:sz w:val="24"/>
          <w:szCs w:val="24"/>
        </w:rPr>
        <w:t>G</w:t>
      </w:r>
      <w:r w:rsidRPr="00554FAF">
        <w:rPr>
          <w:rFonts w:ascii="Times New Roman" w:hAnsi="Times New Roman" w:cs="Times New Roman"/>
          <w:bCs/>
          <w:sz w:val="24"/>
          <w:szCs w:val="24"/>
        </w:rPr>
        <w:t>jithashtu</w:t>
      </w:r>
      <w:r w:rsidR="005A5112" w:rsidRPr="00554FAF">
        <w:rPr>
          <w:rFonts w:ascii="Times New Roman" w:hAnsi="Times New Roman" w:cs="Times New Roman"/>
          <w:bCs/>
          <w:sz w:val="24"/>
          <w:szCs w:val="24"/>
        </w:rPr>
        <w:t>,</w:t>
      </w:r>
      <w:r w:rsidRPr="00554FAF">
        <w:rPr>
          <w:rFonts w:ascii="Times New Roman" w:hAnsi="Times New Roman" w:cs="Times New Roman"/>
          <w:bCs/>
          <w:sz w:val="24"/>
          <w:szCs w:val="24"/>
        </w:rPr>
        <w:t xml:space="preserve"> MIN është duke punuar në finalizimin e draft Ligjit për Inovacion dhe Ndërmarrësi dhe dy Udhëzimeve Administrative -  themelimin dhe funksionalizimin e qendrave të </w:t>
      </w:r>
      <w:r w:rsidR="005A5112" w:rsidRPr="00554FAF">
        <w:rPr>
          <w:rFonts w:ascii="Times New Roman" w:hAnsi="Times New Roman" w:cs="Times New Roman"/>
          <w:bCs/>
          <w:sz w:val="24"/>
          <w:szCs w:val="24"/>
        </w:rPr>
        <w:t>i</w:t>
      </w:r>
      <w:r w:rsidRPr="00554FAF">
        <w:rPr>
          <w:rFonts w:ascii="Times New Roman" w:hAnsi="Times New Roman" w:cs="Times New Roman"/>
          <w:bCs/>
          <w:sz w:val="24"/>
          <w:szCs w:val="24"/>
        </w:rPr>
        <w:t>novacionit dhe themelimin e mekanizmit për implementimin e fondit për I&amp;N.</w:t>
      </w:r>
    </w:p>
    <w:p w14:paraId="526A1FEF" w14:textId="1DF431A7" w:rsidR="004A424A" w:rsidRPr="00554FAF" w:rsidRDefault="004A424A" w:rsidP="000702CB">
      <w:pPr>
        <w:spacing w:after="60" w:line="240" w:lineRule="auto"/>
        <w:jc w:val="both"/>
        <w:rPr>
          <w:rFonts w:ascii="Times New Roman" w:hAnsi="Times New Roman" w:cs="Times New Roman"/>
          <w:bCs/>
          <w:sz w:val="24"/>
          <w:szCs w:val="24"/>
        </w:rPr>
      </w:pPr>
      <w:r w:rsidRPr="00554FAF">
        <w:rPr>
          <w:rFonts w:ascii="Times New Roman" w:hAnsi="Times New Roman" w:cs="Times New Roman"/>
          <w:bCs/>
          <w:sz w:val="24"/>
          <w:szCs w:val="24"/>
        </w:rPr>
        <w:t>Inovacionet në prodhim, përpunim dhe shërbime në fushën e TIK-ut do të kenë përparësi për subvencionim. Ndërsa MIN në bashkëfinancim me GIZ është duke zbatuar projektin “Innovation Fund” që ka për qëllim përkrahjen e bizneseve inovative. Gjithashtu</w:t>
      </w:r>
      <w:r w:rsidR="005A5112" w:rsidRPr="00554FAF">
        <w:rPr>
          <w:rFonts w:ascii="Times New Roman" w:hAnsi="Times New Roman" w:cs="Times New Roman"/>
          <w:bCs/>
          <w:sz w:val="24"/>
          <w:szCs w:val="24"/>
        </w:rPr>
        <w:t>,</w:t>
      </w:r>
      <w:r w:rsidRPr="00554FAF">
        <w:rPr>
          <w:rFonts w:ascii="Times New Roman" w:hAnsi="Times New Roman" w:cs="Times New Roman"/>
          <w:bCs/>
          <w:sz w:val="24"/>
          <w:szCs w:val="24"/>
        </w:rPr>
        <w:t xml:space="preserve"> MIN është duke  funksionalizuar Qendrat Rajonale të Inovacionit dhe Ndërmarrësisë në Prishtinë, Mitrovicë dhe Qendrën Multi-funksionale inovative në Shtime dhe së shpejti do të fillojmë punën rreth funksionalizimit të Parkut të Inovacionit dhe Trajnimeve në Prizren. Objektivat e kësaj mase do të realizohen në bashkëpunim të ngushtë me akademinë/universitet, sektorin privat dhe politik</w:t>
      </w:r>
      <w:r w:rsidR="005A5112" w:rsidRPr="00554FAF">
        <w:rPr>
          <w:rFonts w:ascii="Times New Roman" w:hAnsi="Times New Roman" w:cs="Times New Roman"/>
          <w:bCs/>
          <w:sz w:val="24"/>
          <w:szCs w:val="24"/>
        </w:rPr>
        <w:t>ë</w:t>
      </w:r>
      <w:r w:rsidRPr="00554FAF">
        <w:rPr>
          <w:rFonts w:ascii="Times New Roman" w:hAnsi="Times New Roman" w:cs="Times New Roman"/>
          <w:bCs/>
          <w:sz w:val="24"/>
          <w:szCs w:val="24"/>
        </w:rPr>
        <w:t>bërjen, në mënyrë që arsimimi dhe ngritja profesionale e të rinjve tanë të je</w:t>
      </w:r>
      <w:r w:rsidR="005A5112" w:rsidRPr="00554FAF">
        <w:rPr>
          <w:rFonts w:ascii="Times New Roman" w:hAnsi="Times New Roman" w:cs="Times New Roman"/>
          <w:bCs/>
          <w:sz w:val="24"/>
          <w:szCs w:val="24"/>
        </w:rPr>
        <w:t>t</w:t>
      </w:r>
      <w:r w:rsidRPr="00554FAF">
        <w:rPr>
          <w:rFonts w:ascii="Times New Roman" w:hAnsi="Times New Roman" w:cs="Times New Roman"/>
          <w:bCs/>
          <w:sz w:val="24"/>
          <w:szCs w:val="24"/>
        </w:rPr>
        <w:t>ë</w:t>
      </w:r>
      <w:r w:rsidR="005A5112" w:rsidRPr="00554FAF">
        <w:rPr>
          <w:rFonts w:ascii="Times New Roman" w:hAnsi="Times New Roman" w:cs="Times New Roman"/>
          <w:bCs/>
          <w:sz w:val="24"/>
          <w:szCs w:val="24"/>
        </w:rPr>
        <w:t xml:space="preserve"> e</w:t>
      </w:r>
      <w:r w:rsidRPr="00554FAF">
        <w:rPr>
          <w:rFonts w:ascii="Times New Roman" w:hAnsi="Times New Roman" w:cs="Times New Roman"/>
          <w:bCs/>
          <w:sz w:val="24"/>
          <w:szCs w:val="24"/>
        </w:rPr>
        <w:t xml:space="preserve">  harmonizuar me nevojat e tregut. Aktivitetet e kësaj mase janë në pajtim me Strategjinë Kombëtare për Zhvillim, Strategjinë për Inovacion dhe Ndërmarrësi dhe Agjendën Digjitale për shtetet e Ballkanit Perëndimor</w:t>
      </w:r>
      <w:r w:rsidR="005A5112" w:rsidRPr="00554FAF">
        <w:rPr>
          <w:rFonts w:ascii="Times New Roman" w:hAnsi="Times New Roman" w:cs="Times New Roman"/>
          <w:bCs/>
          <w:sz w:val="24"/>
          <w:szCs w:val="24"/>
        </w:rPr>
        <w:t xml:space="preserve">, </w:t>
      </w:r>
      <w:r w:rsidRPr="00554FAF">
        <w:rPr>
          <w:rFonts w:ascii="Times New Roman" w:hAnsi="Times New Roman" w:cs="Times New Roman"/>
          <w:bCs/>
          <w:sz w:val="24"/>
          <w:szCs w:val="24"/>
        </w:rPr>
        <w:t xml:space="preserve">PKZMSA dhe KASH. </w:t>
      </w:r>
    </w:p>
    <w:p w14:paraId="4C58081D" w14:textId="77777777" w:rsidR="004A424A" w:rsidRPr="00554FAF" w:rsidRDefault="004A424A" w:rsidP="00730ACA">
      <w:pPr>
        <w:numPr>
          <w:ilvl w:val="0"/>
          <w:numId w:val="11"/>
        </w:numPr>
        <w:autoSpaceDE w:val="0"/>
        <w:autoSpaceDN w:val="0"/>
        <w:adjustRightInd w:val="0"/>
        <w:spacing w:after="60" w:line="240" w:lineRule="auto"/>
        <w:jc w:val="both"/>
        <w:rPr>
          <w:rFonts w:ascii="Times New Roman" w:hAnsi="Times New Roman" w:cs="Times New Roman"/>
          <w:b/>
          <w:i/>
          <w:color w:val="000000"/>
          <w:sz w:val="24"/>
          <w:szCs w:val="24"/>
        </w:rPr>
      </w:pPr>
      <w:r w:rsidRPr="00554FAF">
        <w:rPr>
          <w:rFonts w:ascii="Times New Roman" w:hAnsi="Times New Roman" w:cs="Times New Roman"/>
          <w:b/>
          <w:color w:val="000000"/>
          <w:sz w:val="24"/>
          <w:szCs w:val="24"/>
        </w:rPr>
        <w:t>Aktivitetet e planifikuara për 2020:</w:t>
      </w:r>
      <w:r w:rsidRPr="00554FAF">
        <w:rPr>
          <w:rFonts w:ascii="Times New Roman" w:hAnsi="Times New Roman" w:cs="Times New Roman"/>
          <w:b/>
          <w:i/>
          <w:color w:val="000000"/>
          <w:sz w:val="24"/>
          <w:szCs w:val="24"/>
        </w:rPr>
        <w:t xml:space="preserve"> </w:t>
      </w:r>
    </w:p>
    <w:p w14:paraId="683C16C7" w14:textId="7146DA33" w:rsidR="004A424A" w:rsidRPr="00554FAF" w:rsidRDefault="004A424A" w:rsidP="00730ACA">
      <w:pPr>
        <w:pStyle w:val="Default"/>
        <w:numPr>
          <w:ilvl w:val="0"/>
          <w:numId w:val="12"/>
        </w:numPr>
        <w:spacing w:after="60"/>
        <w:jc w:val="both"/>
        <w:rPr>
          <w:bCs/>
          <w:lang w:val="sq-AL"/>
        </w:rPr>
      </w:pPr>
      <w:r w:rsidRPr="00554FAF">
        <w:rPr>
          <w:rFonts w:eastAsia="Times New Roman"/>
          <w:bCs/>
          <w:spacing w:val="-1"/>
          <w:lang w:val="sq-AL"/>
        </w:rPr>
        <w:t xml:space="preserve">Hartimi dhe Miratimi i Ligjit për Inovacion dhe Ndërmarrësi dhe  infrastruktura sekondare ligjore si dhe UA mbi themelimin dhe funksionalizimin e qendrave të </w:t>
      </w:r>
      <w:r w:rsidR="005A5112" w:rsidRPr="00554FAF">
        <w:rPr>
          <w:rFonts w:eastAsia="Times New Roman"/>
          <w:bCs/>
          <w:spacing w:val="-1"/>
          <w:lang w:val="sq-AL"/>
        </w:rPr>
        <w:t xml:space="preserve">inovacioni; </w:t>
      </w:r>
      <w:r w:rsidRPr="00554FAF">
        <w:rPr>
          <w:rFonts w:eastAsia="Times New Roman"/>
          <w:bCs/>
          <w:spacing w:val="-1"/>
          <w:lang w:val="sq-AL"/>
        </w:rPr>
        <w:t xml:space="preserve">(MIN) </w:t>
      </w:r>
    </w:p>
    <w:p w14:paraId="6442ACC1" w14:textId="462DD11C" w:rsidR="004A424A" w:rsidRPr="00554FAF" w:rsidRDefault="004A424A" w:rsidP="00730ACA">
      <w:pPr>
        <w:pStyle w:val="Default"/>
        <w:numPr>
          <w:ilvl w:val="0"/>
          <w:numId w:val="12"/>
        </w:numPr>
        <w:spacing w:after="60"/>
        <w:jc w:val="both"/>
        <w:rPr>
          <w:bCs/>
          <w:lang w:val="sq-AL"/>
        </w:rPr>
      </w:pPr>
      <w:r w:rsidRPr="00554FAF">
        <w:rPr>
          <w:rFonts w:eastAsia="Times New Roman"/>
          <w:bCs/>
          <w:spacing w:val="-1"/>
          <w:lang w:val="sq-AL"/>
        </w:rPr>
        <w:t>Hartimi dhe miratimi i UA për Themelimin e mekanizmit për implementimin e fondit për I&amp;N</w:t>
      </w:r>
      <w:r w:rsidR="005A5112" w:rsidRPr="00554FAF">
        <w:rPr>
          <w:rFonts w:eastAsia="Times New Roman"/>
          <w:bCs/>
          <w:spacing w:val="-1"/>
          <w:lang w:val="sq-AL"/>
        </w:rPr>
        <w:t>;</w:t>
      </w:r>
      <w:r w:rsidRPr="00554FAF">
        <w:rPr>
          <w:rFonts w:eastAsia="Times New Roman"/>
          <w:bCs/>
          <w:spacing w:val="-1"/>
          <w:lang w:val="sq-AL"/>
        </w:rPr>
        <w:t xml:space="preserve"> (MIN)</w:t>
      </w:r>
    </w:p>
    <w:p w14:paraId="6CEA477F" w14:textId="66BBFF4E" w:rsidR="004A424A" w:rsidRPr="00554FAF" w:rsidRDefault="004A424A" w:rsidP="00730ACA">
      <w:pPr>
        <w:pStyle w:val="Default"/>
        <w:numPr>
          <w:ilvl w:val="0"/>
          <w:numId w:val="12"/>
        </w:numPr>
        <w:spacing w:after="60"/>
        <w:jc w:val="both"/>
        <w:rPr>
          <w:bCs/>
          <w:lang w:val="sq-AL"/>
        </w:rPr>
      </w:pPr>
      <w:r w:rsidRPr="00554FAF">
        <w:rPr>
          <w:rFonts w:eastAsia="Times New Roman"/>
          <w:bCs/>
          <w:spacing w:val="-1"/>
          <w:lang w:val="sq-AL"/>
        </w:rPr>
        <w:t>Mbështetja direkte financiare për idetë, projektet dhe aktivitet inovative për NMVM-të dhe bizneset fillestare Start UP në sektorin e TIK dhe sektorët prioritarë si dhe skema spin-off</w:t>
      </w:r>
      <w:r w:rsidR="005A5112" w:rsidRPr="00554FAF">
        <w:rPr>
          <w:rFonts w:eastAsia="Times New Roman"/>
          <w:bCs/>
          <w:spacing w:val="-1"/>
          <w:lang w:val="sq-AL"/>
        </w:rPr>
        <w:t>;</w:t>
      </w:r>
      <w:r w:rsidRPr="00554FAF">
        <w:rPr>
          <w:rFonts w:eastAsia="Times New Roman"/>
          <w:bCs/>
          <w:spacing w:val="-1"/>
          <w:lang w:val="sq-AL"/>
        </w:rPr>
        <w:t xml:space="preserve"> (MIN)</w:t>
      </w:r>
    </w:p>
    <w:p w14:paraId="72C5B5BD" w14:textId="4D9A060B" w:rsidR="004A424A" w:rsidRPr="00554FAF" w:rsidRDefault="004A424A" w:rsidP="00730ACA">
      <w:pPr>
        <w:numPr>
          <w:ilvl w:val="0"/>
          <w:numId w:val="12"/>
        </w:numPr>
        <w:autoSpaceDE w:val="0"/>
        <w:autoSpaceDN w:val="0"/>
        <w:adjustRightInd w:val="0"/>
        <w:spacing w:after="60" w:line="240" w:lineRule="auto"/>
        <w:jc w:val="both"/>
        <w:rPr>
          <w:rFonts w:ascii="Times New Roman" w:hAnsi="Times New Roman" w:cs="Times New Roman"/>
          <w:color w:val="000000"/>
          <w:sz w:val="24"/>
          <w:szCs w:val="24"/>
        </w:rPr>
      </w:pPr>
      <w:r w:rsidRPr="00554FAF">
        <w:rPr>
          <w:rFonts w:ascii="Times New Roman" w:hAnsi="Times New Roman" w:cs="Times New Roman"/>
          <w:bCs/>
          <w:sz w:val="24"/>
          <w:szCs w:val="24"/>
        </w:rPr>
        <w:t>Studim (hulumtim) lidhur me aplikimin e qyteteve të mençura dhe hartimi i udhëzuesit për qytetet e mençura (smart cities)</w:t>
      </w:r>
      <w:r w:rsidR="005A5112" w:rsidRPr="00554FAF">
        <w:rPr>
          <w:rFonts w:ascii="Times New Roman" w:hAnsi="Times New Roman" w:cs="Times New Roman"/>
          <w:bCs/>
          <w:sz w:val="24"/>
          <w:szCs w:val="24"/>
        </w:rPr>
        <w:t>;</w:t>
      </w:r>
      <w:r w:rsidRPr="00554FAF">
        <w:rPr>
          <w:rFonts w:ascii="Times New Roman" w:hAnsi="Times New Roman" w:cs="Times New Roman"/>
          <w:bCs/>
          <w:sz w:val="24"/>
          <w:szCs w:val="24"/>
        </w:rPr>
        <w:t xml:space="preserve"> (MIN)</w:t>
      </w:r>
    </w:p>
    <w:p w14:paraId="25DA155D" w14:textId="28E6C1B1" w:rsidR="004A424A" w:rsidRPr="00554FAF" w:rsidRDefault="004A424A" w:rsidP="00730ACA">
      <w:pPr>
        <w:numPr>
          <w:ilvl w:val="0"/>
          <w:numId w:val="12"/>
        </w:numPr>
        <w:autoSpaceDE w:val="0"/>
        <w:autoSpaceDN w:val="0"/>
        <w:adjustRightInd w:val="0"/>
        <w:spacing w:after="60" w:line="240" w:lineRule="auto"/>
        <w:jc w:val="both"/>
        <w:rPr>
          <w:rFonts w:ascii="Times New Roman" w:hAnsi="Times New Roman" w:cs="Times New Roman"/>
          <w:bCs/>
          <w:sz w:val="24"/>
          <w:szCs w:val="24"/>
        </w:rPr>
      </w:pPr>
      <w:r w:rsidRPr="00554FAF">
        <w:rPr>
          <w:rFonts w:ascii="Times New Roman" w:hAnsi="Times New Roman" w:cs="Times New Roman"/>
          <w:bCs/>
          <w:sz w:val="24"/>
          <w:szCs w:val="24"/>
        </w:rPr>
        <w:t>Mbështetja direkte financiare për hulumtuesit për mobilitete në fushat prioritare të hulumtimit si dhe mbështetje studentëve të doktoratës për studime në top 500 universitetet më të mira sipas listës Shanghay</w:t>
      </w:r>
      <w:r w:rsidR="005A5112" w:rsidRPr="00554FAF">
        <w:rPr>
          <w:rFonts w:ascii="Times New Roman" w:hAnsi="Times New Roman" w:cs="Times New Roman"/>
          <w:bCs/>
          <w:sz w:val="24"/>
          <w:szCs w:val="24"/>
        </w:rPr>
        <w:t>;</w:t>
      </w:r>
      <w:r w:rsidRPr="00554FAF">
        <w:rPr>
          <w:rFonts w:ascii="Times New Roman" w:hAnsi="Times New Roman" w:cs="Times New Roman"/>
          <w:bCs/>
          <w:sz w:val="24"/>
          <w:szCs w:val="24"/>
        </w:rPr>
        <w:t xml:space="preserve"> (MASHT)  </w:t>
      </w:r>
    </w:p>
    <w:p w14:paraId="3A725472" w14:textId="37A17A25" w:rsidR="004A424A" w:rsidRPr="00554FAF" w:rsidRDefault="004A424A" w:rsidP="00730ACA">
      <w:pPr>
        <w:pStyle w:val="ListParagraph"/>
        <w:numPr>
          <w:ilvl w:val="0"/>
          <w:numId w:val="12"/>
        </w:numPr>
        <w:autoSpaceDE w:val="0"/>
        <w:autoSpaceDN w:val="0"/>
        <w:adjustRightInd w:val="0"/>
        <w:spacing w:after="60" w:line="240" w:lineRule="auto"/>
        <w:contextualSpacing w:val="0"/>
        <w:jc w:val="both"/>
        <w:rPr>
          <w:rFonts w:ascii="Times New Roman" w:hAnsi="Times New Roman" w:cs="Times New Roman"/>
          <w:bCs/>
          <w:sz w:val="24"/>
          <w:szCs w:val="24"/>
        </w:rPr>
      </w:pPr>
      <w:r w:rsidRPr="00554FAF">
        <w:rPr>
          <w:rFonts w:ascii="Times New Roman" w:hAnsi="Times New Roman" w:cs="Times New Roman"/>
          <w:bCs/>
          <w:sz w:val="24"/>
          <w:szCs w:val="24"/>
        </w:rPr>
        <w:t>Finalizimi i koncept dokumentit për hartëzimin e sistemeve të hulumtimit, shkencës dhe inovacionit</w:t>
      </w:r>
      <w:r w:rsidR="005A5112" w:rsidRPr="00554FAF">
        <w:rPr>
          <w:rFonts w:ascii="Times New Roman" w:hAnsi="Times New Roman" w:cs="Times New Roman"/>
          <w:bCs/>
          <w:sz w:val="24"/>
          <w:szCs w:val="24"/>
        </w:rPr>
        <w:t>;</w:t>
      </w:r>
      <w:r w:rsidRPr="00554FAF">
        <w:rPr>
          <w:rFonts w:ascii="Times New Roman" w:hAnsi="Times New Roman" w:cs="Times New Roman"/>
          <w:bCs/>
          <w:sz w:val="24"/>
          <w:szCs w:val="24"/>
        </w:rPr>
        <w:t xml:space="preserve"> (MASHT)   </w:t>
      </w:r>
    </w:p>
    <w:p w14:paraId="6141BA88" w14:textId="77777777" w:rsidR="005A5112" w:rsidRPr="00554FAF" w:rsidRDefault="004A424A" w:rsidP="00730ACA">
      <w:pPr>
        <w:pStyle w:val="ListParagraph"/>
        <w:numPr>
          <w:ilvl w:val="0"/>
          <w:numId w:val="12"/>
        </w:numPr>
        <w:autoSpaceDE w:val="0"/>
        <w:autoSpaceDN w:val="0"/>
        <w:adjustRightInd w:val="0"/>
        <w:spacing w:after="60" w:line="240" w:lineRule="auto"/>
        <w:contextualSpacing w:val="0"/>
        <w:jc w:val="both"/>
        <w:rPr>
          <w:rFonts w:ascii="Times New Roman" w:hAnsi="Times New Roman" w:cs="Times New Roman"/>
          <w:bCs/>
          <w:sz w:val="24"/>
          <w:szCs w:val="24"/>
        </w:rPr>
      </w:pPr>
      <w:r w:rsidRPr="00554FAF">
        <w:rPr>
          <w:rFonts w:ascii="Times New Roman" w:hAnsi="Times New Roman" w:cs="Times New Roman"/>
          <w:bCs/>
          <w:sz w:val="24"/>
          <w:szCs w:val="24"/>
        </w:rPr>
        <w:t>Mbështetje direkte financiare për bizneset përmes skemave voucher</w:t>
      </w:r>
      <w:r w:rsidR="005A5112" w:rsidRPr="00554FAF">
        <w:rPr>
          <w:rFonts w:ascii="Times New Roman" w:hAnsi="Times New Roman" w:cs="Times New Roman"/>
          <w:bCs/>
          <w:sz w:val="24"/>
          <w:szCs w:val="24"/>
        </w:rPr>
        <w:t>;</w:t>
      </w:r>
      <w:r w:rsidRPr="00554FAF">
        <w:rPr>
          <w:rFonts w:ascii="Times New Roman" w:hAnsi="Times New Roman" w:cs="Times New Roman"/>
          <w:bCs/>
          <w:sz w:val="24"/>
          <w:szCs w:val="24"/>
        </w:rPr>
        <w:t xml:space="preserve"> (MASHT)</w:t>
      </w:r>
    </w:p>
    <w:p w14:paraId="5E57F4DC" w14:textId="77777777" w:rsidR="004A424A" w:rsidRPr="00554FAF" w:rsidRDefault="004A424A" w:rsidP="00730ACA">
      <w:pPr>
        <w:pStyle w:val="ListParagraph"/>
        <w:numPr>
          <w:ilvl w:val="0"/>
          <w:numId w:val="11"/>
        </w:numPr>
        <w:autoSpaceDE w:val="0"/>
        <w:autoSpaceDN w:val="0"/>
        <w:adjustRightInd w:val="0"/>
        <w:spacing w:after="60" w:line="240" w:lineRule="auto"/>
        <w:contextualSpacing w:val="0"/>
        <w:jc w:val="both"/>
        <w:rPr>
          <w:rFonts w:ascii="Times New Roman" w:hAnsi="Times New Roman" w:cs="Times New Roman"/>
          <w:b/>
          <w:color w:val="000000"/>
          <w:sz w:val="24"/>
          <w:szCs w:val="24"/>
        </w:rPr>
      </w:pPr>
      <w:r w:rsidRPr="00554FAF">
        <w:rPr>
          <w:rFonts w:ascii="Times New Roman" w:hAnsi="Times New Roman" w:cs="Times New Roman"/>
          <w:b/>
          <w:color w:val="000000"/>
          <w:sz w:val="24"/>
          <w:szCs w:val="24"/>
        </w:rPr>
        <w:t>Aktivitetet e planifikuara për 2021:</w:t>
      </w:r>
    </w:p>
    <w:p w14:paraId="6F5994B4" w14:textId="11E34E55" w:rsidR="004A424A" w:rsidRPr="00554FAF" w:rsidRDefault="004A424A" w:rsidP="00730ACA">
      <w:pPr>
        <w:pStyle w:val="Default"/>
        <w:numPr>
          <w:ilvl w:val="0"/>
          <w:numId w:val="13"/>
        </w:numPr>
        <w:spacing w:after="60"/>
        <w:jc w:val="both"/>
        <w:rPr>
          <w:bCs/>
          <w:lang w:val="sq-AL"/>
        </w:rPr>
      </w:pPr>
      <w:r w:rsidRPr="00554FAF">
        <w:rPr>
          <w:rFonts w:eastAsia="Times New Roman"/>
          <w:bCs/>
          <w:spacing w:val="-1"/>
          <w:lang w:val="sq-AL"/>
        </w:rPr>
        <w:t>Mbështetja direkte financiare për idetë, projektet dhe aktivitet inovative për NMVM-të dhe bizneset fillestare Start UP në  sektorin e TIK dhe sektorët prioritarë si dhe skema spin-off</w:t>
      </w:r>
      <w:r w:rsidR="0058111B" w:rsidRPr="00554FAF">
        <w:rPr>
          <w:rFonts w:eastAsia="Times New Roman"/>
          <w:bCs/>
          <w:spacing w:val="-1"/>
          <w:lang w:val="sq-AL"/>
        </w:rPr>
        <w:t xml:space="preserve">; </w:t>
      </w:r>
      <w:r w:rsidRPr="00554FAF">
        <w:rPr>
          <w:rFonts w:eastAsia="Times New Roman"/>
          <w:bCs/>
          <w:spacing w:val="-1"/>
          <w:lang w:val="sq-AL"/>
        </w:rPr>
        <w:t>(MIN)</w:t>
      </w:r>
    </w:p>
    <w:p w14:paraId="5AAAB619" w14:textId="3B30F027" w:rsidR="004A424A" w:rsidRPr="00554FAF" w:rsidRDefault="004A424A" w:rsidP="00730ACA">
      <w:pPr>
        <w:pStyle w:val="Default"/>
        <w:numPr>
          <w:ilvl w:val="0"/>
          <w:numId w:val="13"/>
        </w:numPr>
        <w:spacing w:after="60"/>
        <w:jc w:val="both"/>
        <w:rPr>
          <w:bCs/>
          <w:lang w:val="sq-AL"/>
        </w:rPr>
      </w:pPr>
      <w:r w:rsidRPr="00554FAF">
        <w:rPr>
          <w:rFonts w:eastAsia="Times New Roman"/>
          <w:bCs/>
          <w:spacing w:val="-1"/>
          <w:lang w:val="sq-AL"/>
        </w:rPr>
        <w:t xml:space="preserve">Themelimi i Qendrave </w:t>
      </w:r>
      <w:r w:rsidR="0058111B" w:rsidRPr="00554FAF">
        <w:rPr>
          <w:rFonts w:eastAsia="Times New Roman"/>
          <w:bCs/>
          <w:spacing w:val="-1"/>
          <w:lang w:val="sq-AL"/>
        </w:rPr>
        <w:t>r</w:t>
      </w:r>
      <w:r w:rsidRPr="00554FAF">
        <w:rPr>
          <w:rFonts w:eastAsia="Times New Roman"/>
          <w:bCs/>
          <w:spacing w:val="-1"/>
          <w:lang w:val="sq-AL"/>
        </w:rPr>
        <w:t xml:space="preserve">ajonale të </w:t>
      </w:r>
      <w:r w:rsidR="0058111B" w:rsidRPr="00554FAF">
        <w:rPr>
          <w:rFonts w:eastAsia="Times New Roman"/>
          <w:bCs/>
          <w:spacing w:val="-1"/>
          <w:lang w:val="sq-AL"/>
        </w:rPr>
        <w:t>i</w:t>
      </w:r>
      <w:r w:rsidRPr="00554FAF">
        <w:rPr>
          <w:rFonts w:eastAsia="Times New Roman"/>
          <w:bCs/>
          <w:spacing w:val="-1"/>
          <w:lang w:val="sq-AL"/>
        </w:rPr>
        <w:t xml:space="preserve">novacionit dhe </w:t>
      </w:r>
      <w:r w:rsidR="0058111B" w:rsidRPr="00554FAF">
        <w:rPr>
          <w:rFonts w:eastAsia="Times New Roman"/>
          <w:bCs/>
          <w:spacing w:val="-1"/>
          <w:lang w:val="sq-AL"/>
        </w:rPr>
        <w:t>n</w:t>
      </w:r>
      <w:r w:rsidRPr="00554FAF">
        <w:rPr>
          <w:rFonts w:eastAsia="Times New Roman"/>
          <w:bCs/>
          <w:spacing w:val="-1"/>
          <w:lang w:val="sq-AL"/>
        </w:rPr>
        <w:t>dërmarrësisë në Pejë dhe Gjilan</w:t>
      </w:r>
      <w:r w:rsidR="0058111B" w:rsidRPr="00554FAF">
        <w:rPr>
          <w:rFonts w:eastAsia="Times New Roman"/>
          <w:bCs/>
          <w:spacing w:val="-1"/>
          <w:lang w:val="sq-AL"/>
        </w:rPr>
        <w:t>;</w:t>
      </w:r>
      <w:r w:rsidRPr="00554FAF">
        <w:rPr>
          <w:rFonts w:eastAsia="Times New Roman"/>
          <w:bCs/>
          <w:spacing w:val="-1"/>
          <w:lang w:val="sq-AL"/>
        </w:rPr>
        <w:t xml:space="preserve"> (MIN)</w:t>
      </w:r>
    </w:p>
    <w:p w14:paraId="6218CEE5" w14:textId="46B2A0DD" w:rsidR="004A424A" w:rsidRPr="00554FAF" w:rsidRDefault="004A424A" w:rsidP="00730ACA">
      <w:pPr>
        <w:pStyle w:val="Default"/>
        <w:numPr>
          <w:ilvl w:val="0"/>
          <w:numId w:val="13"/>
        </w:numPr>
        <w:spacing w:after="60"/>
        <w:jc w:val="both"/>
        <w:rPr>
          <w:bCs/>
          <w:lang w:val="sq-AL"/>
        </w:rPr>
      </w:pPr>
      <w:r w:rsidRPr="00554FAF">
        <w:rPr>
          <w:rFonts w:eastAsia="Times New Roman"/>
          <w:bCs/>
          <w:spacing w:val="-1"/>
          <w:lang w:val="sq-AL"/>
        </w:rPr>
        <w:t xml:space="preserve">Hartimi i programit për zhvillimin e  Parkut të </w:t>
      </w:r>
      <w:r w:rsidR="0058111B" w:rsidRPr="00554FAF">
        <w:rPr>
          <w:rFonts w:eastAsia="Times New Roman"/>
          <w:bCs/>
          <w:spacing w:val="-1"/>
          <w:lang w:val="sq-AL"/>
        </w:rPr>
        <w:t>i</w:t>
      </w:r>
      <w:r w:rsidRPr="00554FAF">
        <w:rPr>
          <w:rFonts w:eastAsia="Times New Roman"/>
          <w:bCs/>
          <w:spacing w:val="-1"/>
          <w:lang w:val="sq-AL"/>
        </w:rPr>
        <w:t xml:space="preserve">novacionit dhe </w:t>
      </w:r>
      <w:r w:rsidR="0058111B" w:rsidRPr="00554FAF">
        <w:rPr>
          <w:rFonts w:eastAsia="Times New Roman"/>
          <w:bCs/>
          <w:spacing w:val="-1"/>
          <w:lang w:val="sq-AL"/>
        </w:rPr>
        <w:t>t</w:t>
      </w:r>
      <w:r w:rsidRPr="00554FAF">
        <w:rPr>
          <w:rFonts w:eastAsia="Times New Roman"/>
          <w:bCs/>
          <w:spacing w:val="-1"/>
          <w:lang w:val="sq-AL"/>
        </w:rPr>
        <w:t>rajnimeve në Prizren në bashkëpunim me GIZ dhe ministritë relevante të linjës</w:t>
      </w:r>
      <w:r w:rsidR="0058111B" w:rsidRPr="00554FAF">
        <w:rPr>
          <w:rFonts w:eastAsia="Times New Roman"/>
          <w:bCs/>
          <w:spacing w:val="-1"/>
          <w:lang w:val="sq-AL"/>
        </w:rPr>
        <w:t>;</w:t>
      </w:r>
      <w:r w:rsidRPr="00554FAF">
        <w:rPr>
          <w:rFonts w:eastAsia="Times New Roman"/>
          <w:bCs/>
          <w:spacing w:val="-1"/>
          <w:lang w:val="sq-AL"/>
        </w:rPr>
        <w:t xml:space="preserve"> (MIN)</w:t>
      </w:r>
    </w:p>
    <w:p w14:paraId="6CC62405" w14:textId="4DD21607" w:rsidR="004A424A" w:rsidRPr="00554FAF" w:rsidRDefault="004A424A" w:rsidP="00730ACA">
      <w:pPr>
        <w:pStyle w:val="Default"/>
        <w:numPr>
          <w:ilvl w:val="0"/>
          <w:numId w:val="13"/>
        </w:numPr>
        <w:spacing w:after="60"/>
        <w:jc w:val="both"/>
        <w:rPr>
          <w:bCs/>
          <w:lang w:val="sq-AL"/>
        </w:rPr>
      </w:pPr>
      <w:r w:rsidRPr="00554FAF">
        <w:rPr>
          <w:bCs/>
          <w:lang w:val="sq-AL"/>
        </w:rPr>
        <w:t>Hartimi i Pilot Projekteve për qytetet e mençura  në bashkëpunim me Kuvendet Komunale</w:t>
      </w:r>
      <w:r w:rsidR="0058111B" w:rsidRPr="00554FAF">
        <w:rPr>
          <w:bCs/>
          <w:lang w:val="sq-AL"/>
        </w:rPr>
        <w:t>;</w:t>
      </w:r>
      <w:r w:rsidRPr="00554FAF">
        <w:rPr>
          <w:bCs/>
          <w:lang w:val="sq-AL"/>
        </w:rPr>
        <w:t xml:space="preserve"> (MIN)</w:t>
      </w:r>
    </w:p>
    <w:p w14:paraId="0860C530" w14:textId="4D247940" w:rsidR="004A424A" w:rsidRPr="00554FAF" w:rsidRDefault="004A424A" w:rsidP="00730ACA">
      <w:pPr>
        <w:numPr>
          <w:ilvl w:val="0"/>
          <w:numId w:val="13"/>
        </w:numPr>
        <w:spacing w:after="60" w:line="240" w:lineRule="auto"/>
        <w:jc w:val="both"/>
        <w:rPr>
          <w:rFonts w:ascii="Times New Roman" w:eastAsia="Times New Roman" w:hAnsi="Times New Roman" w:cs="Times New Roman"/>
          <w:sz w:val="24"/>
          <w:szCs w:val="24"/>
        </w:rPr>
      </w:pPr>
      <w:r w:rsidRPr="00554FAF">
        <w:rPr>
          <w:rFonts w:ascii="Times New Roman" w:eastAsia="Times New Roman" w:hAnsi="Times New Roman" w:cs="Times New Roman"/>
          <w:bCs/>
          <w:spacing w:val="-1"/>
          <w:sz w:val="24"/>
          <w:szCs w:val="24"/>
        </w:rPr>
        <w:t>Përgatitja e një programi t</w:t>
      </w:r>
      <w:r w:rsidR="0058111B" w:rsidRPr="00554FAF">
        <w:rPr>
          <w:rFonts w:ascii="Times New Roman" w:eastAsia="Times New Roman" w:hAnsi="Times New Roman" w:cs="Times New Roman"/>
          <w:bCs/>
          <w:spacing w:val="-1"/>
          <w:sz w:val="24"/>
          <w:szCs w:val="24"/>
        </w:rPr>
        <w:t>ë</w:t>
      </w:r>
      <w:r w:rsidRPr="00554FAF">
        <w:rPr>
          <w:rFonts w:ascii="Times New Roman" w:eastAsia="Times New Roman" w:hAnsi="Times New Roman" w:cs="Times New Roman"/>
          <w:bCs/>
          <w:spacing w:val="-1"/>
          <w:sz w:val="24"/>
          <w:szCs w:val="24"/>
        </w:rPr>
        <w:t xml:space="preserve"> përbashkët për zhvillimin e Parkut t</w:t>
      </w:r>
      <w:r w:rsidR="0058111B" w:rsidRPr="00554FAF">
        <w:rPr>
          <w:rFonts w:ascii="Times New Roman" w:eastAsia="Times New Roman" w:hAnsi="Times New Roman" w:cs="Times New Roman"/>
          <w:bCs/>
          <w:spacing w:val="-1"/>
          <w:sz w:val="24"/>
          <w:szCs w:val="24"/>
        </w:rPr>
        <w:t>ë</w:t>
      </w:r>
      <w:r w:rsidRPr="00554FAF">
        <w:rPr>
          <w:rFonts w:ascii="Times New Roman" w:eastAsia="Times New Roman" w:hAnsi="Times New Roman" w:cs="Times New Roman"/>
          <w:bCs/>
          <w:spacing w:val="-1"/>
          <w:sz w:val="24"/>
          <w:szCs w:val="24"/>
        </w:rPr>
        <w:t xml:space="preserve"> </w:t>
      </w:r>
      <w:r w:rsidR="0058111B" w:rsidRPr="00554FAF">
        <w:rPr>
          <w:rFonts w:ascii="Times New Roman" w:eastAsia="Times New Roman" w:hAnsi="Times New Roman" w:cs="Times New Roman"/>
          <w:bCs/>
          <w:spacing w:val="-1"/>
          <w:sz w:val="24"/>
          <w:szCs w:val="24"/>
        </w:rPr>
        <w:t>t</w:t>
      </w:r>
      <w:r w:rsidRPr="00554FAF">
        <w:rPr>
          <w:rFonts w:ascii="Times New Roman" w:eastAsia="Times New Roman" w:hAnsi="Times New Roman" w:cs="Times New Roman"/>
          <w:bCs/>
          <w:spacing w:val="-1"/>
          <w:sz w:val="24"/>
          <w:szCs w:val="24"/>
        </w:rPr>
        <w:t>eknologjisë n</w:t>
      </w:r>
      <w:r w:rsidR="0058111B" w:rsidRPr="00554FAF">
        <w:rPr>
          <w:rFonts w:ascii="Times New Roman" w:eastAsia="Times New Roman" w:hAnsi="Times New Roman" w:cs="Times New Roman"/>
          <w:bCs/>
          <w:spacing w:val="-1"/>
          <w:sz w:val="24"/>
          <w:szCs w:val="24"/>
        </w:rPr>
        <w:t>ë</w:t>
      </w:r>
      <w:r w:rsidRPr="00554FAF">
        <w:rPr>
          <w:rFonts w:ascii="Times New Roman" w:eastAsia="Times New Roman" w:hAnsi="Times New Roman" w:cs="Times New Roman"/>
          <w:bCs/>
          <w:spacing w:val="-1"/>
          <w:sz w:val="24"/>
          <w:szCs w:val="24"/>
        </w:rPr>
        <w:t xml:space="preserve"> Prizren</w:t>
      </w:r>
      <w:r w:rsidR="0058111B" w:rsidRPr="00554FAF">
        <w:rPr>
          <w:rFonts w:ascii="Times New Roman" w:eastAsia="Times New Roman" w:hAnsi="Times New Roman" w:cs="Times New Roman"/>
          <w:bCs/>
          <w:spacing w:val="-1"/>
          <w:sz w:val="24"/>
          <w:szCs w:val="24"/>
        </w:rPr>
        <w:t>;</w:t>
      </w:r>
      <w:r w:rsidRPr="00554FAF">
        <w:rPr>
          <w:rFonts w:ascii="Times New Roman" w:eastAsia="Times New Roman" w:hAnsi="Times New Roman" w:cs="Times New Roman"/>
          <w:bCs/>
          <w:spacing w:val="-1"/>
          <w:sz w:val="24"/>
          <w:szCs w:val="24"/>
        </w:rPr>
        <w:t xml:space="preserve"> (MIN)</w:t>
      </w:r>
    </w:p>
    <w:p w14:paraId="03796F2C" w14:textId="0BE71E30" w:rsidR="004A424A" w:rsidRPr="00554FAF" w:rsidRDefault="004A424A" w:rsidP="00730ACA">
      <w:pPr>
        <w:pStyle w:val="Default"/>
        <w:numPr>
          <w:ilvl w:val="0"/>
          <w:numId w:val="13"/>
        </w:numPr>
        <w:spacing w:after="60"/>
        <w:jc w:val="both"/>
        <w:rPr>
          <w:rFonts w:eastAsia="Times New Roman"/>
          <w:bCs/>
          <w:spacing w:val="-1"/>
          <w:lang w:val="sq-AL"/>
        </w:rPr>
      </w:pPr>
      <w:r w:rsidRPr="00554FAF">
        <w:rPr>
          <w:rFonts w:eastAsia="Times New Roman"/>
          <w:bCs/>
          <w:spacing w:val="-1"/>
          <w:lang w:val="sq-AL"/>
        </w:rPr>
        <w:t>Hartëzimi i infrastrukturës laboratorike për hulumtim dhe inovacion</w:t>
      </w:r>
      <w:r w:rsidR="0058111B" w:rsidRPr="00554FAF">
        <w:rPr>
          <w:rFonts w:eastAsia="Times New Roman"/>
          <w:bCs/>
          <w:spacing w:val="-1"/>
          <w:lang w:val="sq-AL"/>
        </w:rPr>
        <w:t>;</w:t>
      </w:r>
      <w:r w:rsidRPr="00554FAF">
        <w:rPr>
          <w:rFonts w:eastAsia="Times New Roman"/>
          <w:bCs/>
          <w:spacing w:val="-1"/>
          <w:lang w:val="sq-AL"/>
        </w:rPr>
        <w:t xml:space="preserve"> (MASHT)</w:t>
      </w:r>
    </w:p>
    <w:p w14:paraId="64AAAF51" w14:textId="415CBEFD" w:rsidR="004A424A" w:rsidRPr="00554FAF" w:rsidRDefault="004A424A" w:rsidP="00730ACA">
      <w:pPr>
        <w:pStyle w:val="Default"/>
        <w:numPr>
          <w:ilvl w:val="0"/>
          <w:numId w:val="13"/>
        </w:numPr>
        <w:spacing w:after="60"/>
        <w:jc w:val="both"/>
        <w:rPr>
          <w:rFonts w:eastAsia="Times New Roman"/>
          <w:bCs/>
          <w:spacing w:val="-1"/>
          <w:lang w:val="sq-AL"/>
        </w:rPr>
      </w:pPr>
      <w:r w:rsidRPr="00554FAF">
        <w:rPr>
          <w:rFonts w:eastAsia="Times New Roman"/>
          <w:bCs/>
          <w:spacing w:val="-1"/>
          <w:lang w:val="sq-AL"/>
        </w:rPr>
        <w:t>Vazhdimi i mbështetjes së projekteve shkencore dhe inovative, projekteve bilaterale për skemat e mobilitetit, mobilitetin afatshkurtër të shkencëtarëve të Kosovës, ngritjen e kapaciteteve</w:t>
      </w:r>
      <w:r w:rsidR="0058111B" w:rsidRPr="00554FAF">
        <w:rPr>
          <w:rFonts w:eastAsia="Times New Roman"/>
          <w:bCs/>
          <w:spacing w:val="-1"/>
          <w:lang w:val="sq-AL"/>
        </w:rPr>
        <w:t>;</w:t>
      </w:r>
      <w:r w:rsidRPr="00554FAF">
        <w:rPr>
          <w:rFonts w:eastAsia="Times New Roman"/>
          <w:bCs/>
          <w:spacing w:val="-1"/>
          <w:lang w:val="sq-AL"/>
        </w:rPr>
        <w:t xml:space="preserve"> (MASHT)</w:t>
      </w:r>
    </w:p>
    <w:p w14:paraId="0314A972" w14:textId="1283B17A" w:rsidR="004A424A" w:rsidRPr="00554FAF" w:rsidRDefault="004A424A" w:rsidP="00730ACA">
      <w:pPr>
        <w:pStyle w:val="Default"/>
        <w:numPr>
          <w:ilvl w:val="0"/>
          <w:numId w:val="13"/>
        </w:numPr>
        <w:spacing w:after="60"/>
        <w:jc w:val="both"/>
        <w:rPr>
          <w:rFonts w:eastAsia="Times New Roman"/>
          <w:bCs/>
          <w:spacing w:val="-1"/>
          <w:lang w:val="sq-AL"/>
        </w:rPr>
      </w:pPr>
      <w:r w:rsidRPr="00554FAF">
        <w:rPr>
          <w:rFonts w:eastAsia="Times New Roman"/>
          <w:bCs/>
          <w:spacing w:val="-1"/>
          <w:lang w:val="sq-AL"/>
        </w:rPr>
        <w:t xml:space="preserve"> Zhvillimi i regjistrit të hulumtuesve në nivel vendi</w:t>
      </w:r>
      <w:r w:rsidR="0058111B" w:rsidRPr="00554FAF">
        <w:rPr>
          <w:rFonts w:eastAsia="Times New Roman"/>
          <w:bCs/>
          <w:spacing w:val="-1"/>
          <w:lang w:val="sq-AL"/>
        </w:rPr>
        <w:t>;</w:t>
      </w:r>
      <w:r w:rsidRPr="00554FAF">
        <w:rPr>
          <w:rFonts w:eastAsia="Times New Roman"/>
          <w:bCs/>
          <w:spacing w:val="-1"/>
          <w:lang w:val="sq-AL"/>
        </w:rPr>
        <w:t xml:space="preserve"> (MASHT)</w:t>
      </w:r>
      <w:r w:rsidR="0058111B" w:rsidRPr="00554FAF">
        <w:rPr>
          <w:rFonts w:eastAsia="Times New Roman"/>
          <w:bCs/>
          <w:spacing w:val="-1"/>
          <w:lang w:val="sq-AL"/>
        </w:rPr>
        <w:t>.</w:t>
      </w:r>
    </w:p>
    <w:p w14:paraId="4AB526EC" w14:textId="77777777" w:rsidR="004A424A" w:rsidRPr="00554FAF" w:rsidRDefault="004A424A" w:rsidP="00730ACA">
      <w:pPr>
        <w:numPr>
          <w:ilvl w:val="0"/>
          <w:numId w:val="11"/>
        </w:numPr>
        <w:autoSpaceDE w:val="0"/>
        <w:autoSpaceDN w:val="0"/>
        <w:adjustRightInd w:val="0"/>
        <w:spacing w:after="60" w:line="240" w:lineRule="auto"/>
        <w:jc w:val="both"/>
        <w:rPr>
          <w:rFonts w:ascii="Times New Roman" w:hAnsi="Times New Roman" w:cs="Times New Roman"/>
          <w:b/>
          <w:color w:val="000000"/>
          <w:sz w:val="24"/>
          <w:szCs w:val="24"/>
        </w:rPr>
      </w:pPr>
      <w:r w:rsidRPr="00554FAF">
        <w:rPr>
          <w:rFonts w:ascii="Times New Roman" w:hAnsi="Times New Roman" w:cs="Times New Roman"/>
          <w:b/>
          <w:color w:val="000000"/>
          <w:sz w:val="24"/>
          <w:szCs w:val="24"/>
        </w:rPr>
        <w:t xml:space="preserve">Aktivitetet e planifikuara për 2022: </w:t>
      </w:r>
    </w:p>
    <w:p w14:paraId="627E880F" w14:textId="1324CB18" w:rsidR="004A424A" w:rsidRPr="00554FAF" w:rsidRDefault="004A424A" w:rsidP="00730ACA">
      <w:pPr>
        <w:pStyle w:val="Default"/>
        <w:numPr>
          <w:ilvl w:val="0"/>
          <w:numId w:val="14"/>
        </w:numPr>
        <w:spacing w:after="60"/>
        <w:jc w:val="both"/>
        <w:rPr>
          <w:iCs/>
          <w:lang w:val="sq-AL"/>
        </w:rPr>
      </w:pPr>
      <w:r w:rsidRPr="00554FAF">
        <w:rPr>
          <w:rFonts w:eastAsia="Times New Roman"/>
          <w:bCs/>
          <w:spacing w:val="-1"/>
          <w:lang w:val="sq-AL"/>
        </w:rPr>
        <w:t>Mbështetja direkte financiare për idetë, projektet dhe aktivitet inovative për NMVM-të dhe bizneset fillestare Start UP ne sektorin e TIK dhe sektorët prioritarë si dhe skema spin-off</w:t>
      </w:r>
      <w:r w:rsidR="0058111B" w:rsidRPr="00554FAF">
        <w:rPr>
          <w:rFonts w:eastAsia="Times New Roman"/>
          <w:bCs/>
          <w:spacing w:val="-1"/>
          <w:lang w:val="sq-AL"/>
        </w:rPr>
        <w:t>;</w:t>
      </w:r>
      <w:r w:rsidRPr="00554FAF">
        <w:rPr>
          <w:rFonts w:eastAsia="Times New Roman"/>
          <w:bCs/>
          <w:spacing w:val="-1"/>
          <w:lang w:val="sq-AL"/>
        </w:rPr>
        <w:t xml:space="preserve"> (MIN)</w:t>
      </w:r>
    </w:p>
    <w:p w14:paraId="2B36967F" w14:textId="7791C137" w:rsidR="004A424A" w:rsidRPr="00554FAF" w:rsidRDefault="004A424A" w:rsidP="00730ACA">
      <w:pPr>
        <w:pStyle w:val="Default"/>
        <w:numPr>
          <w:ilvl w:val="0"/>
          <w:numId w:val="14"/>
        </w:numPr>
        <w:spacing w:after="60"/>
        <w:jc w:val="both"/>
        <w:rPr>
          <w:iCs/>
          <w:lang w:val="sq-AL"/>
        </w:rPr>
      </w:pPr>
      <w:r w:rsidRPr="00554FAF">
        <w:rPr>
          <w:bCs/>
          <w:lang w:val="sq-AL"/>
        </w:rPr>
        <w:t xml:space="preserve">Vazhdimi i hartimit të Pilot </w:t>
      </w:r>
      <w:r w:rsidR="0058111B" w:rsidRPr="00554FAF">
        <w:rPr>
          <w:bCs/>
          <w:lang w:val="sq-AL"/>
        </w:rPr>
        <w:t>p</w:t>
      </w:r>
      <w:r w:rsidRPr="00554FAF">
        <w:rPr>
          <w:bCs/>
          <w:lang w:val="sq-AL"/>
        </w:rPr>
        <w:t>rojekteve për qytetet e mençura në bashkëpunim me Kuvendet Komunale</w:t>
      </w:r>
      <w:r w:rsidR="0058111B" w:rsidRPr="00554FAF">
        <w:rPr>
          <w:bCs/>
          <w:lang w:val="sq-AL"/>
        </w:rPr>
        <w:t>;</w:t>
      </w:r>
      <w:r w:rsidRPr="00554FAF">
        <w:rPr>
          <w:bCs/>
          <w:lang w:val="sq-AL"/>
        </w:rPr>
        <w:t xml:space="preserve"> (MIN)</w:t>
      </w:r>
    </w:p>
    <w:p w14:paraId="683840F4" w14:textId="6E194905" w:rsidR="004A424A" w:rsidRPr="00554FAF" w:rsidRDefault="004A424A" w:rsidP="00730ACA">
      <w:pPr>
        <w:numPr>
          <w:ilvl w:val="0"/>
          <w:numId w:val="14"/>
        </w:numPr>
        <w:autoSpaceDE w:val="0"/>
        <w:autoSpaceDN w:val="0"/>
        <w:adjustRightInd w:val="0"/>
        <w:spacing w:after="60" w:line="240" w:lineRule="auto"/>
        <w:jc w:val="both"/>
        <w:rPr>
          <w:rFonts w:ascii="Times New Roman" w:eastAsia="Times New Roman" w:hAnsi="Times New Roman" w:cs="Times New Roman"/>
          <w:bCs/>
          <w:color w:val="000000"/>
          <w:spacing w:val="-1"/>
          <w:sz w:val="24"/>
          <w:szCs w:val="24"/>
        </w:rPr>
      </w:pPr>
      <w:r w:rsidRPr="00554FAF">
        <w:rPr>
          <w:rFonts w:ascii="Times New Roman" w:eastAsia="Times New Roman" w:hAnsi="Times New Roman" w:cs="Times New Roman"/>
          <w:bCs/>
          <w:color w:val="000000"/>
          <w:spacing w:val="-1"/>
          <w:sz w:val="24"/>
          <w:szCs w:val="24"/>
        </w:rPr>
        <w:t>Mbështetje direkte për hulumtuesit përmes projekteve shkencore dhe inovative, projekteve bilaterale për skemat e mobilitetit, mobilitetit afatshkurtër të shkencëtarëve të Kosovës, ngritjen e kapaciteteve</w:t>
      </w:r>
      <w:r w:rsidR="0058111B" w:rsidRPr="00554FAF">
        <w:rPr>
          <w:rFonts w:ascii="Times New Roman" w:eastAsia="Times New Roman" w:hAnsi="Times New Roman" w:cs="Times New Roman"/>
          <w:bCs/>
          <w:color w:val="000000"/>
          <w:spacing w:val="-1"/>
          <w:sz w:val="24"/>
          <w:szCs w:val="24"/>
        </w:rPr>
        <w:t xml:space="preserve">; </w:t>
      </w:r>
      <w:r w:rsidRPr="00554FAF">
        <w:rPr>
          <w:rFonts w:ascii="Times New Roman" w:eastAsia="Times New Roman" w:hAnsi="Times New Roman" w:cs="Times New Roman"/>
          <w:bCs/>
          <w:color w:val="000000"/>
          <w:spacing w:val="-1"/>
          <w:sz w:val="24"/>
          <w:szCs w:val="24"/>
        </w:rPr>
        <w:t>(MASHT)</w:t>
      </w:r>
    </w:p>
    <w:p w14:paraId="5120C108" w14:textId="6E520FE8" w:rsidR="004A424A" w:rsidRPr="00554FAF" w:rsidRDefault="004A424A" w:rsidP="00730ACA">
      <w:pPr>
        <w:pStyle w:val="ListParagraph"/>
        <w:numPr>
          <w:ilvl w:val="0"/>
          <w:numId w:val="14"/>
        </w:numPr>
        <w:spacing w:after="60" w:line="240" w:lineRule="auto"/>
        <w:contextualSpacing w:val="0"/>
        <w:jc w:val="both"/>
        <w:rPr>
          <w:rFonts w:ascii="Times New Roman" w:eastAsia="Times New Roman" w:hAnsi="Times New Roman" w:cs="Times New Roman"/>
          <w:bCs/>
          <w:color w:val="000000"/>
          <w:spacing w:val="-1"/>
          <w:sz w:val="24"/>
          <w:szCs w:val="24"/>
        </w:rPr>
      </w:pPr>
      <w:r w:rsidRPr="00554FAF">
        <w:rPr>
          <w:rFonts w:ascii="Times New Roman" w:eastAsia="Times New Roman" w:hAnsi="Times New Roman" w:cs="Times New Roman"/>
          <w:bCs/>
          <w:color w:val="000000"/>
          <w:spacing w:val="-1"/>
          <w:sz w:val="24"/>
          <w:szCs w:val="24"/>
        </w:rPr>
        <w:t>Përgatitja e një raporti mbi potencialin hulumtues në Kosovë duke bashkuar hartën e infrastrukturës laboratorike dhe vlerësimin e performancës së hulumtimit</w:t>
      </w:r>
      <w:r w:rsidR="0058111B" w:rsidRPr="00554FAF">
        <w:rPr>
          <w:rFonts w:ascii="Times New Roman" w:eastAsia="Times New Roman" w:hAnsi="Times New Roman" w:cs="Times New Roman"/>
          <w:bCs/>
          <w:color w:val="000000"/>
          <w:spacing w:val="-1"/>
          <w:sz w:val="24"/>
          <w:szCs w:val="24"/>
        </w:rPr>
        <w:t>;</w:t>
      </w:r>
      <w:r w:rsidRPr="00554FAF">
        <w:rPr>
          <w:rFonts w:ascii="Times New Roman" w:eastAsia="Times New Roman" w:hAnsi="Times New Roman" w:cs="Times New Roman"/>
          <w:bCs/>
          <w:color w:val="000000"/>
          <w:spacing w:val="-1"/>
          <w:sz w:val="24"/>
          <w:szCs w:val="24"/>
        </w:rPr>
        <w:t xml:space="preserve"> (MASHT).</w:t>
      </w:r>
    </w:p>
    <w:p w14:paraId="709A3B6D" w14:textId="77777777" w:rsidR="004A424A" w:rsidRPr="00554FAF" w:rsidRDefault="004A424A" w:rsidP="000702CB">
      <w:pPr>
        <w:spacing w:after="60" w:line="240" w:lineRule="auto"/>
        <w:jc w:val="both"/>
        <w:rPr>
          <w:rFonts w:ascii="Times New Roman" w:hAnsi="Times New Roman" w:cs="Times New Roman"/>
          <w:b/>
          <w:sz w:val="24"/>
          <w:szCs w:val="24"/>
        </w:rPr>
      </w:pPr>
      <w:r w:rsidRPr="00554FAF">
        <w:rPr>
          <w:rFonts w:ascii="Times New Roman" w:hAnsi="Times New Roman" w:cs="Times New Roman"/>
          <w:b/>
          <w:sz w:val="24"/>
          <w:szCs w:val="24"/>
        </w:rPr>
        <w:t xml:space="preserve">2. Treguesit e rezultateve </w:t>
      </w:r>
    </w:p>
    <w:tbl>
      <w:tblPr>
        <w:tblpPr w:leftFromText="180" w:rightFromText="180" w:vertAnchor="text" w:horzAnchor="margin" w:tblpY="175"/>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1147"/>
        <w:gridCol w:w="2340"/>
        <w:gridCol w:w="1620"/>
      </w:tblGrid>
      <w:tr w:rsidR="004A424A" w:rsidRPr="00554FAF" w14:paraId="556A1F16" w14:textId="77777777" w:rsidTr="004A424A">
        <w:tc>
          <w:tcPr>
            <w:tcW w:w="4248" w:type="dxa"/>
            <w:shd w:val="clear" w:color="auto" w:fill="auto"/>
          </w:tcPr>
          <w:p w14:paraId="67E6B789" w14:textId="77777777" w:rsidR="004A424A" w:rsidRPr="00554FAF" w:rsidRDefault="004A424A" w:rsidP="000702CB">
            <w:pPr>
              <w:pStyle w:val="Default"/>
              <w:spacing w:after="60"/>
              <w:jc w:val="both"/>
              <w:rPr>
                <w:lang w:val="sq-AL"/>
              </w:rPr>
            </w:pPr>
            <w:r w:rsidRPr="00554FAF">
              <w:rPr>
                <w:lang w:val="sq-AL"/>
              </w:rPr>
              <w:t>Treguesit:</w:t>
            </w:r>
          </w:p>
        </w:tc>
        <w:tc>
          <w:tcPr>
            <w:tcW w:w="1147" w:type="dxa"/>
            <w:shd w:val="clear" w:color="auto" w:fill="auto"/>
          </w:tcPr>
          <w:p w14:paraId="191BF530" w14:textId="5B13319C" w:rsidR="004A424A" w:rsidRPr="00554FAF" w:rsidRDefault="0058111B" w:rsidP="000702CB">
            <w:pPr>
              <w:pStyle w:val="Default"/>
              <w:spacing w:after="60"/>
              <w:jc w:val="both"/>
              <w:rPr>
                <w:i/>
                <w:iCs/>
                <w:lang w:val="sq-AL"/>
              </w:rPr>
            </w:pPr>
            <w:r w:rsidRPr="00554FAF">
              <w:rPr>
                <w:lang w:val="sq-AL"/>
              </w:rPr>
              <w:t>Baza</w:t>
            </w:r>
            <w:r w:rsidR="004A424A" w:rsidRPr="00554FAF">
              <w:rPr>
                <w:lang w:val="sq-AL"/>
              </w:rPr>
              <w:t xml:space="preserve">    </w:t>
            </w:r>
          </w:p>
        </w:tc>
        <w:tc>
          <w:tcPr>
            <w:tcW w:w="2340" w:type="dxa"/>
            <w:shd w:val="clear" w:color="auto" w:fill="auto"/>
          </w:tcPr>
          <w:p w14:paraId="6099F3EC" w14:textId="0A6323FD" w:rsidR="004A424A" w:rsidRPr="00554FAF" w:rsidRDefault="0058111B" w:rsidP="000702CB">
            <w:pPr>
              <w:pStyle w:val="Default"/>
              <w:spacing w:after="60"/>
              <w:jc w:val="both"/>
              <w:rPr>
                <w:i/>
                <w:iCs/>
                <w:lang w:val="sq-AL"/>
              </w:rPr>
            </w:pPr>
            <w:r w:rsidRPr="00554FAF">
              <w:rPr>
                <w:lang w:val="sq-AL"/>
              </w:rPr>
              <w:t xml:space="preserve">Synimi </w:t>
            </w:r>
            <w:r w:rsidR="004A424A" w:rsidRPr="00554FAF">
              <w:rPr>
                <w:lang w:val="sq-AL"/>
              </w:rPr>
              <w:t xml:space="preserve">i ndërmjetëm </w:t>
            </w:r>
            <w:r w:rsidRPr="00554FAF">
              <w:rPr>
                <w:lang w:val="sq-AL"/>
              </w:rPr>
              <w:t>2021</w:t>
            </w:r>
          </w:p>
        </w:tc>
        <w:tc>
          <w:tcPr>
            <w:tcW w:w="1620" w:type="dxa"/>
            <w:shd w:val="clear" w:color="auto" w:fill="auto"/>
          </w:tcPr>
          <w:p w14:paraId="0D2F9B80" w14:textId="18684D1F" w:rsidR="004A424A" w:rsidRPr="00554FAF" w:rsidRDefault="0058111B" w:rsidP="000702CB">
            <w:pPr>
              <w:pStyle w:val="Default"/>
              <w:spacing w:after="60"/>
              <w:jc w:val="both"/>
              <w:rPr>
                <w:lang w:val="sq-AL"/>
              </w:rPr>
            </w:pPr>
            <w:r w:rsidRPr="00554FAF">
              <w:rPr>
                <w:lang w:val="sq-AL"/>
              </w:rPr>
              <w:t>Synimi 2022</w:t>
            </w:r>
          </w:p>
          <w:p w14:paraId="766D2D27" w14:textId="77777777" w:rsidR="004A424A" w:rsidRPr="00554FAF" w:rsidRDefault="004A424A" w:rsidP="000702CB">
            <w:pPr>
              <w:pStyle w:val="Default"/>
              <w:spacing w:after="60"/>
              <w:jc w:val="both"/>
              <w:rPr>
                <w:i/>
                <w:iCs/>
                <w:lang w:val="sq-AL"/>
              </w:rPr>
            </w:pPr>
          </w:p>
        </w:tc>
      </w:tr>
      <w:tr w:rsidR="004A424A" w:rsidRPr="00554FAF" w14:paraId="77867A1D" w14:textId="77777777" w:rsidTr="004A424A">
        <w:tc>
          <w:tcPr>
            <w:tcW w:w="4248" w:type="dxa"/>
            <w:shd w:val="clear" w:color="auto" w:fill="auto"/>
          </w:tcPr>
          <w:p w14:paraId="63377AD0" w14:textId="7463582E" w:rsidR="004A424A" w:rsidRPr="00554FAF" w:rsidRDefault="004A424A" w:rsidP="000702CB">
            <w:pPr>
              <w:pStyle w:val="Default"/>
              <w:spacing w:after="60"/>
              <w:jc w:val="both"/>
              <w:rPr>
                <w:i/>
                <w:iCs/>
                <w:lang w:val="sq-AL"/>
              </w:rPr>
            </w:pPr>
            <w:r w:rsidRPr="00554FAF">
              <w:rPr>
                <w:lang w:val="sq-AL"/>
              </w:rPr>
              <w:t>Rritja e punësimit në NMVM q</w:t>
            </w:r>
            <w:r w:rsidR="0058111B" w:rsidRPr="00554FAF">
              <w:rPr>
                <w:lang w:val="sq-AL"/>
              </w:rPr>
              <w:t>ë</w:t>
            </w:r>
            <w:r w:rsidRPr="00554FAF">
              <w:rPr>
                <w:lang w:val="sq-AL"/>
              </w:rPr>
              <w:t xml:space="preserve"> financohen nga MIN, rritja me  %</w:t>
            </w:r>
          </w:p>
        </w:tc>
        <w:tc>
          <w:tcPr>
            <w:tcW w:w="1147" w:type="dxa"/>
            <w:shd w:val="clear" w:color="auto" w:fill="auto"/>
          </w:tcPr>
          <w:p w14:paraId="626F6603" w14:textId="223AC636" w:rsidR="004A424A" w:rsidRPr="00554FAF" w:rsidRDefault="004A424A" w:rsidP="000702CB">
            <w:pPr>
              <w:pStyle w:val="Default"/>
              <w:spacing w:after="60"/>
              <w:jc w:val="both"/>
              <w:rPr>
                <w:iCs/>
                <w:lang w:val="sq-AL"/>
              </w:rPr>
            </w:pPr>
            <w:r w:rsidRPr="00554FAF">
              <w:rPr>
                <w:iCs/>
                <w:lang w:val="sq-AL"/>
              </w:rPr>
              <w:t>Fillon t</w:t>
            </w:r>
            <w:r w:rsidR="0058111B" w:rsidRPr="00554FAF">
              <w:rPr>
                <w:iCs/>
                <w:lang w:val="sq-AL"/>
              </w:rPr>
              <w:t>ë</w:t>
            </w:r>
            <w:r w:rsidRPr="00554FAF">
              <w:rPr>
                <w:iCs/>
                <w:lang w:val="sq-AL"/>
              </w:rPr>
              <w:t xml:space="preserve"> matet nga 2020</w:t>
            </w:r>
          </w:p>
        </w:tc>
        <w:tc>
          <w:tcPr>
            <w:tcW w:w="2340" w:type="dxa"/>
            <w:shd w:val="clear" w:color="auto" w:fill="auto"/>
          </w:tcPr>
          <w:p w14:paraId="66A962DF" w14:textId="43D2D5DE" w:rsidR="004A424A" w:rsidRPr="00554FAF" w:rsidRDefault="004A424A" w:rsidP="000702CB">
            <w:pPr>
              <w:pStyle w:val="Default"/>
              <w:spacing w:after="60"/>
              <w:jc w:val="both"/>
              <w:rPr>
                <w:iCs/>
                <w:lang w:val="sq-AL"/>
              </w:rPr>
            </w:pPr>
          </w:p>
          <w:p w14:paraId="0B42E06E" w14:textId="77777777" w:rsidR="004A424A" w:rsidRPr="00554FAF" w:rsidRDefault="004A424A" w:rsidP="000702CB">
            <w:pPr>
              <w:pStyle w:val="Default"/>
              <w:spacing w:after="60"/>
              <w:jc w:val="both"/>
              <w:rPr>
                <w:iCs/>
                <w:lang w:val="sq-AL"/>
              </w:rPr>
            </w:pPr>
            <w:r w:rsidRPr="00554FAF">
              <w:rPr>
                <w:iCs/>
                <w:lang w:val="sq-AL"/>
              </w:rPr>
              <w:t>15%</w:t>
            </w:r>
          </w:p>
        </w:tc>
        <w:tc>
          <w:tcPr>
            <w:tcW w:w="1620" w:type="dxa"/>
            <w:shd w:val="clear" w:color="auto" w:fill="auto"/>
          </w:tcPr>
          <w:p w14:paraId="1FA88027" w14:textId="0A636DBC" w:rsidR="004A424A" w:rsidRPr="00554FAF" w:rsidRDefault="004A424A" w:rsidP="000702CB">
            <w:pPr>
              <w:pStyle w:val="Default"/>
              <w:spacing w:after="60"/>
              <w:jc w:val="both"/>
              <w:rPr>
                <w:iCs/>
                <w:lang w:val="sq-AL"/>
              </w:rPr>
            </w:pPr>
          </w:p>
          <w:p w14:paraId="1E4927BF" w14:textId="77777777" w:rsidR="004A424A" w:rsidRPr="00554FAF" w:rsidRDefault="004A424A" w:rsidP="000702CB">
            <w:pPr>
              <w:pStyle w:val="Default"/>
              <w:spacing w:after="60"/>
              <w:jc w:val="both"/>
              <w:rPr>
                <w:iCs/>
                <w:lang w:val="sq-AL"/>
              </w:rPr>
            </w:pPr>
            <w:r w:rsidRPr="00554FAF">
              <w:rPr>
                <w:iCs/>
                <w:lang w:val="sq-AL"/>
              </w:rPr>
              <w:t>25%</w:t>
            </w:r>
          </w:p>
        </w:tc>
      </w:tr>
    </w:tbl>
    <w:p w14:paraId="7D079F6B" w14:textId="77777777" w:rsidR="004A424A" w:rsidRPr="00554FAF" w:rsidRDefault="004A424A" w:rsidP="000702CB">
      <w:pPr>
        <w:spacing w:after="60" w:line="240" w:lineRule="auto"/>
        <w:jc w:val="both"/>
        <w:rPr>
          <w:rFonts w:ascii="Times New Roman" w:hAnsi="Times New Roman" w:cs="Times New Roman"/>
          <w:b/>
          <w:bCs/>
          <w:sz w:val="24"/>
          <w:szCs w:val="24"/>
        </w:rPr>
      </w:pPr>
    </w:p>
    <w:p w14:paraId="287BD9DD" w14:textId="4F3995CE" w:rsidR="004A424A" w:rsidRPr="00554FAF" w:rsidRDefault="004A424A" w:rsidP="000702CB">
      <w:pPr>
        <w:spacing w:after="60" w:line="240" w:lineRule="auto"/>
        <w:jc w:val="both"/>
        <w:rPr>
          <w:rFonts w:ascii="Times New Roman" w:hAnsi="Times New Roman" w:cs="Times New Roman"/>
          <w:b/>
          <w:sz w:val="24"/>
          <w:szCs w:val="24"/>
        </w:rPr>
      </w:pPr>
      <w:r w:rsidRPr="00554FAF">
        <w:rPr>
          <w:rFonts w:ascii="Times New Roman" w:hAnsi="Times New Roman" w:cs="Times New Roman"/>
          <w:b/>
          <w:bCs/>
          <w:sz w:val="24"/>
          <w:szCs w:val="24"/>
        </w:rPr>
        <w:t>3. Ndikimi i pritshëm në konkurrueshmëri</w:t>
      </w:r>
      <w:r w:rsidR="004A2969" w:rsidRPr="00554FAF">
        <w:rPr>
          <w:rFonts w:ascii="Times New Roman" w:hAnsi="Times New Roman" w:cs="Times New Roman"/>
          <w:b/>
          <w:bCs/>
          <w:sz w:val="24"/>
          <w:szCs w:val="24"/>
        </w:rPr>
        <w:t xml:space="preserve">: </w:t>
      </w:r>
      <w:r w:rsidRPr="00554FAF">
        <w:rPr>
          <w:rFonts w:ascii="Times New Roman" w:hAnsi="Times New Roman" w:cs="Times New Roman"/>
          <w:sz w:val="24"/>
          <w:szCs w:val="24"/>
        </w:rPr>
        <w:t xml:space="preserve">Konkurrueshmëria e ekonomisë është tregues i rëndësishëm i gjendjes ekonomike të një vendi dhe si  i tillë është në lidhshmëri të ngushtë me nivelin e inovacioneve, ndërlidhjen me ekonomi dhe sistemin arsimor. Investimet financiare direkte nga qeveria në fushën e inovacionit dhe ndërmarrësisë në shumë shtete të botës kanë rezultuar se janë faktorë kyç në rritjen ekonomike dhe konkurrueshmërinë, çfarë ka për synim edhe qeveria jonë. MIN, përmes skemave për financimin e projekteve dhe ideve inovative dhe </w:t>
      </w:r>
      <w:r w:rsidR="0058111B" w:rsidRPr="00554FAF">
        <w:rPr>
          <w:rFonts w:ascii="Times New Roman" w:hAnsi="Times New Roman" w:cs="Times New Roman"/>
          <w:sz w:val="24"/>
          <w:szCs w:val="24"/>
        </w:rPr>
        <w:t>q</w:t>
      </w:r>
      <w:r w:rsidRPr="00554FAF">
        <w:rPr>
          <w:rFonts w:ascii="Times New Roman" w:hAnsi="Times New Roman" w:cs="Times New Roman"/>
          <w:sz w:val="24"/>
          <w:szCs w:val="24"/>
        </w:rPr>
        <w:t xml:space="preserve">endrave rajonale të </w:t>
      </w:r>
      <w:r w:rsidR="0058111B" w:rsidRPr="00554FAF">
        <w:rPr>
          <w:rFonts w:ascii="Times New Roman" w:hAnsi="Times New Roman" w:cs="Times New Roman"/>
          <w:sz w:val="24"/>
          <w:szCs w:val="24"/>
        </w:rPr>
        <w:t>i</w:t>
      </w:r>
      <w:r w:rsidRPr="00554FAF">
        <w:rPr>
          <w:rFonts w:ascii="Times New Roman" w:hAnsi="Times New Roman" w:cs="Times New Roman"/>
          <w:sz w:val="24"/>
          <w:szCs w:val="24"/>
        </w:rPr>
        <w:t xml:space="preserve">novacionit dhe </w:t>
      </w:r>
      <w:r w:rsidR="0058111B" w:rsidRPr="00554FAF">
        <w:rPr>
          <w:rFonts w:ascii="Times New Roman" w:hAnsi="Times New Roman" w:cs="Times New Roman"/>
          <w:sz w:val="24"/>
          <w:szCs w:val="24"/>
        </w:rPr>
        <w:t>n</w:t>
      </w:r>
      <w:r w:rsidRPr="00554FAF">
        <w:rPr>
          <w:rFonts w:ascii="Times New Roman" w:hAnsi="Times New Roman" w:cs="Times New Roman"/>
          <w:sz w:val="24"/>
          <w:szCs w:val="24"/>
        </w:rPr>
        <w:t xml:space="preserve">dërmarrësisë mëton të avancojë teknologjitë e reja, produktet dhe shërbimet tek kompanitë vendore, duke zhvilluar resurset humane, rritur profitin dhe produktivitetin e ndërmarrjeve dhe njëkohësisht duke rritur potencialin për eksport dhe tërheqjen e investimeve të huaja. </w:t>
      </w:r>
      <w:r w:rsidRPr="00554FAF">
        <w:rPr>
          <w:rFonts w:ascii="Times New Roman" w:hAnsi="Times New Roman" w:cs="Times New Roman"/>
          <w:color w:val="000000"/>
          <w:sz w:val="24"/>
          <w:szCs w:val="24"/>
        </w:rPr>
        <w:t>Zbatimi i kësaj mase ndikon në zhvillimin e shkathtësive të fuqisë punëtore, rrit cilësinë e produkteve dhe efikasitetin e ndërmarrjeve, nxit inovacionin dhe krijon mundësi për punësim dhe vetëpunësim.</w:t>
      </w:r>
    </w:p>
    <w:p w14:paraId="3261AEDB" w14:textId="4E5E8A6F" w:rsidR="004A424A" w:rsidRPr="00554FAF" w:rsidRDefault="004A424A"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b/>
          <w:sz w:val="24"/>
          <w:szCs w:val="24"/>
        </w:rPr>
        <w:t xml:space="preserve">4. Vlerësimi i kostos së aktiviteteve dhe burimet e financimit: </w:t>
      </w:r>
      <w:r w:rsidRPr="00554FAF">
        <w:rPr>
          <w:rFonts w:ascii="Times New Roman" w:hAnsi="Times New Roman" w:cs="Times New Roman"/>
          <w:sz w:val="24"/>
          <w:szCs w:val="24"/>
        </w:rPr>
        <w:t xml:space="preserve">Kosto e përgjithshme për zbatim të kësaj mase gjatë viteve 2020-2022 vlerësohet të jetë 25,833,000 EUR. Nga kjo vlerë  7,590,000 EUR </w:t>
      </w:r>
      <w:r w:rsidRPr="00554FAF">
        <w:rPr>
          <w:rFonts w:ascii="Times New Roman" w:hAnsi="Times New Roman" w:cs="Times New Roman"/>
          <w:color w:val="000000"/>
          <w:sz w:val="24"/>
          <w:szCs w:val="24"/>
        </w:rPr>
        <w:t>ë</w:t>
      </w:r>
      <w:r w:rsidRPr="00554FAF">
        <w:rPr>
          <w:rFonts w:ascii="Times New Roman" w:hAnsi="Times New Roman" w:cs="Times New Roman"/>
          <w:sz w:val="24"/>
          <w:szCs w:val="24"/>
        </w:rPr>
        <w:t>shtë kosto për vitin 2020, e cila në masë të madhe do të financohet nga buxheti i Kosovës</w:t>
      </w:r>
      <w:r w:rsidR="00DB221D" w:rsidRPr="00554FAF">
        <w:rPr>
          <w:rFonts w:ascii="Times New Roman" w:hAnsi="Times New Roman" w:cs="Times New Roman"/>
          <w:sz w:val="24"/>
          <w:szCs w:val="24"/>
        </w:rPr>
        <w:t xml:space="preserve"> nga subvencionet dhe transferet në shumën prej 7,000,000 euro nga mbështetja direkte për SME</w:t>
      </w:r>
      <w:r w:rsidRPr="00554FAF">
        <w:rPr>
          <w:rFonts w:ascii="Times New Roman" w:hAnsi="Times New Roman" w:cs="Times New Roman"/>
          <w:sz w:val="24"/>
          <w:szCs w:val="24"/>
        </w:rPr>
        <w:t xml:space="preserve">  pjesa tjetër  nga grantet tjera. Për vitin 2021, kostoja vlerësohet t</w:t>
      </w:r>
      <w:r w:rsidR="0058111B" w:rsidRPr="00554FAF">
        <w:rPr>
          <w:rFonts w:ascii="Times New Roman" w:hAnsi="Times New Roman" w:cs="Times New Roman"/>
          <w:sz w:val="24"/>
          <w:szCs w:val="24"/>
        </w:rPr>
        <w:t>ë</w:t>
      </w:r>
      <w:r w:rsidRPr="00554FAF">
        <w:rPr>
          <w:rFonts w:ascii="Times New Roman" w:hAnsi="Times New Roman" w:cs="Times New Roman"/>
          <w:sz w:val="24"/>
          <w:szCs w:val="24"/>
        </w:rPr>
        <w:t xml:space="preserve"> jetë 10,098, 000 EUR, nga t</w:t>
      </w:r>
      <w:r w:rsidR="0058111B" w:rsidRPr="00554FAF">
        <w:rPr>
          <w:rFonts w:ascii="Times New Roman" w:hAnsi="Times New Roman" w:cs="Times New Roman"/>
          <w:sz w:val="24"/>
          <w:szCs w:val="24"/>
        </w:rPr>
        <w:t>ë</w:t>
      </w:r>
      <w:r w:rsidRPr="00554FAF">
        <w:rPr>
          <w:rFonts w:ascii="Times New Roman" w:hAnsi="Times New Roman" w:cs="Times New Roman"/>
          <w:sz w:val="24"/>
          <w:szCs w:val="24"/>
        </w:rPr>
        <w:t xml:space="preserve"> cilat 10,050,000 EUR pritet t</w:t>
      </w:r>
      <w:r w:rsidR="0058111B" w:rsidRPr="00554FAF">
        <w:rPr>
          <w:rFonts w:ascii="Times New Roman" w:hAnsi="Times New Roman" w:cs="Times New Roman"/>
          <w:sz w:val="24"/>
          <w:szCs w:val="24"/>
        </w:rPr>
        <w:t>ë</w:t>
      </w:r>
      <w:r w:rsidRPr="00554FAF">
        <w:rPr>
          <w:rFonts w:ascii="Times New Roman" w:hAnsi="Times New Roman" w:cs="Times New Roman"/>
          <w:sz w:val="24"/>
          <w:szCs w:val="24"/>
        </w:rPr>
        <w:t xml:space="preserve"> financohen nga Buxheti i Kosovës dhe 48,000 EUR nga grantet tjera. Ndërsa kostoja e vlerësuar p</w:t>
      </w:r>
      <w:r w:rsidR="0058111B" w:rsidRPr="00554FAF">
        <w:rPr>
          <w:rFonts w:ascii="Times New Roman" w:hAnsi="Times New Roman" w:cs="Times New Roman"/>
          <w:sz w:val="24"/>
          <w:szCs w:val="24"/>
        </w:rPr>
        <w:t>ë</w:t>
      </w:r>
      <w:r w:rsidRPr="00554FAF">
        <w:rPr>
          <w:rFonts w:ascii="Times New Roman" w:hAnsi="Times New Roman" w:cs="Times New Roman"/>
          <w:sz w:val="24"/>
          <w:szCs w:val="24"/>
        </w:rPr>
        <w:t>r vitin 2022 është 8,145,000EUR  nga t</w:t>
      </w:r>
      <w:r w:rsidRPr="00554FAF">
        <w:rPr>
          <w:rFonts w:ascii="Times New Roman" w:hAnsi="Times New Roman" w:cs="Times New Roman"/>
          <w:color w:val="000000"/>
          <w:sz w:val="24"/>
          <w:szCs w:val="24"/>
        </w:rPr>
        <w:t xml:space="preserve">ë </w:t>
      </w:r>
      <w:r w:rsidRPr="00554FAF">
        <w:rPr>
          <w:rFonts w:ascii="Times New Roman" w:hAnsi="Times New Roman" w:cs="Times New Roman"/>
          <w:sz w:val="24"/>
          <w:szCs w:val="24"/>
        </w:rPr>
        <w:t xml:space="preserve"> cilat 8,145,000 pritet t</w:t>
      </w:r>
      <w:r w:rsidR="0058111B" w:rsidRPr="00554FAF">
        <w:rPr>
          <w:rFonts w:ascii="Times New Roman" w:hAnsi="Times New Roman" w:cs="Times New Roman"/>
          <w:sz w:val="24"/>
          <w:szCs w:val="24"/>
        </w:rPr>
        <w:t>ë</w:t>
      </w:r>
      <w:r w:rsidRPr="00554FAF">
        <w:rPr>
          <w:rFonts w:ascii="Times New Roman" w:hAnsi="Times New Roman" w:cs="Times New Roman"/>
          <w:sz w:val="24"/>
          <w:szCs w:val="24"/>
        </w:rPr>
        <w:t xml:space="preserve"> financohen nga Buxheti i Kosovës dhe 60,000 nga grantet </w:t>
      </w:r>
      <w:r w:rsidR="00F202BD" w:rsidRPr="00554FAF">
        <w:rPr>
          <w:rFonts w:ascii="Times New Roman" w:hAnsi="Times New Roman" w:cs="Times New Roman"/>
          <w:sz w:val="24"/>
          <w:szCs w:val="24"/>
        </w:rPr>
        <w:t>tjera. Në</w:t>
      </w:r>
      <w:r w:rsidR="00DB221D" w:rsidRPr="00554FAF">
        <w:rPr>
          <w:rFonts w:ascii="Times New Roman" w:hAnsi="Times New Roman" w:cs="Times New Roman"/>
          <w:sz w:val="24"/>
          <w:szCs w:val="24"/>
        </w:rPr>
        <w:t xml:space="preserve"> vitet 2021 dhe 2022, krahas subvencioneve për ndërmarrjet inovative, janë planifikuar edhe 1,500,000 euro si shpenzim kapital për themelimin e Qendrave regjionale për inovacion dhe ndërmarrësi.</w:t>
      </w:r>
    </w:p>
    <w:p w14:paraId="687DCA8B" w14:textId="77777777" w:rsidR="004A424A" w:rsidRPr="00554FAF" w:rsidRDefault="004A424A" w:rsidP="000702CB">
      <w:pPr>
        <w:autoSpaceDE w:val="0"/>
        <w:autoSpaceDN w:val="0"/>
        <w:adjustRightInd w:val="0"/>
        <w:spacing w:after="60" w:line="240" w:lineRule="auto"/>
        <w:jc w:val="both"/>
        <w:rPr>
          <w:rFonts w:ascii="Times New Roman" w:hAnsi="Times New Roman" w:cs="Times New Roman"/>
          <w:sz w:val="24"/>
          <w:szCs w:val="24"/>
        </w:rPr>
      </w:pPr>
      <w:r w:rsidRPr="00554FAF">
        <w:rPr>
          <w:rFonts w:ascii="Times New Roman" w:hAnsi="Times New Roman" w:cs="Times New Roman"/>
          <w:b/>
          <w:bCs/>
          <w:iCs/>
          <w:color w:val="000000"/>
          <w:sz w:val="24"/>
          <w:szCs w:val="24"/>
        </w:rPr>
        <w:t xml:space="preserve">5. Ndikimet e pritshme mbi rezultatet sociale, të tilla si punësimi, reduktimi i varfërisë, barazia gjinore: </w:t>
      </w:r>
      <w:r w:rsidRPr="00554FAF">
        <w:rPr>
          <w:rFonts w:ascii="Times New Roman" w:hAnsi="Times New Roman" w:cs="Times New Roman"/>
          <w:sz w:val="24"/>
          <w:szCs w:val="24"/>
        </w:rPr>
        <w:t xml:space="preserve">Objektivat dhe aktivitet e kësaj mase do të ndikojnë në ngritjen e punësimit me prioritet për të rinjtë dhe gratë. Vitet e fundit nga granti për inovacion dhe ndërmarrësi, mbështetja financiare direkte skema Start-up, ka rezultuar në lehtësirat për të bërë biznes, me këtë rast kanë startuar punën rreth 80 biznese të reja me nga 2-3 punëtorë, 60% prej tyre gra. </w:t>
      </w:r>
    </w:p>
    <w:p w14:paraId="3CD01F2C" w14:textId="77777777" w:rsidR="004A424A" w:rsidRPr="00554FAF" w:rsidRDefault="004A424A" w:rsidP="000702CB">
      <w:pPr>
        <w:autoSpaceDE w:val="0"/>
        <w:autoSpaceDN w:val="0"/>
        <w:adjustRightInd w:val="0"/>
        <w:spacing w:after="60" w:line="240" w:lineRule="auto"/>
        <w:jc w:val="both"/>
        <w:rPr>
          <w:rFonts w:ascii="Times New Roman" w:hAnsi="Times New Roman" w:cs="Times New Roman"/>
          <w:bCs/>
          <w:color w:val="000000"/>
          <w:sz w:val="24"/>
          <w:szCs w:val="24"/>
        </w:rPr>
      </w:pPr>
      <w:r w:rsidRPr="00554FAF">
        <w:rPr>
          <w:rFonts w:ascii="Times New Roman" w:hAnsi="Times New Roman" w:cs="Times New Roman"/>
          <w:b/>
          <w:sz w:val="24"/>
          <w:szCs w:val="24"/>
        </w:rPr>
        <w:t xml:space="preserve">6. Ndikimi i pritshëm në mjedis: </w:t>
      </w:r>
      <w:r w:rsidRPr="00554FAF">
        <w:rPr>
          <w:rFonts w:ascii="Times New Roman" w:hAnsi="Times New Roman" w:cs="Times New Roman"/>
          <w:bCs/>
          <w:color w:val="000000"/>
          <w:sz w:val="24"/>
          <w:szCs w:val="24"/>
        </w:rPr>
        <w:t xml:space="preserve">Masa nuk pritet të ketë ndikim në mjedis. </w:t>
      </w:r>
    </w:p>
    <w:p w14:paraId="59E0C4BF" w14:textId="77777777" w:rsidR="004A424A" w:rsidRPr="00554FAF" w:rsidRDefault="004A424A" w:rsidP="000702CB">
      <w:pPr>
        <w:autoSpaceDE w:val="0"/>
        <w:autoSpaceDN w:val="0"/>
        <w:adjustRightInd w:val="0"/>
        <w:spacing w:after="60" w:line="240" w:lineRule="auto"/>
        <w:jc w:val="both"/>
        <w:rPr>
          <w:rFonts w:ascii="Times New Roman" w:hAnsi="Times New Roman" w:cs="Times New Roman"/>
          <w:b/>
          <w:bCs/>
          <w:color w:val="000000"/>
          <w:sz w:val="24"/>
          <w:szCs w:val="24"/>
        </w:rPr>
      </w:pPr>
      <w:r w:rsidRPr="00554FAF">
        <w:rPr>
          <w:rFonts w:ascii="Times New Roman" w:hAnsi="Times New Roman" w:cs="Times New Roman"/>
          <w:b/>
          <w:bCs/>
          <w:color w:val="000000"/>
          <w:sz w:val="24"/>
          <w:szCs w:val="24"/>
        </w:rPr>
        <w:t xml:space="preserve">7. Rreziqet potenciale </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8"/>
        <w:gridCol w:w="1867"/>
        <w:gridCol w:w="3330"/>
      </w:tblGrid>
      <w:tr w:rsidR="004A424A" w:rsidRPr="00554FAF" w14:paraId="60251F3A" w14:textId="77777777" w:rsidTr="004A424A">
        <w:tc>
          <w:tcPr>
            <w:tcW w:w="4158" w:type="dxa"/>
            <w:shd w:val="clear" w:color="auto" w:fill="auto"/>
          </w:tcPr>
          <w:p w14:paraId="1EE8C56E" w14:textId="77777777" w:rsidR="004A424A" w:rsidRPr="00554FAF" w:rsidRDefault="004A424A" w:rsidP="000702CB">
            <w:pPr>
              <w:pStyle w:val="Default"/>
              <w:spacing w:after="60"/>
              <w:jc w:val="both"/>
              <w:rPr>
                <w:lang w:val="sq-AL"/>
              </w:rPr>
            </w:pPr>
            <w:r w:rsidRPr="00554FAF">
              <w:rPr>
                <w:b/>
                <w:bCs/>
                <w:lang w:val="sq-AL"/>
              </w:rPr>
              <w:t xml:space="preserve">Rreziku </w:t>
            </w:r>
          </w:p>
        </w:tc>
        <w:tc>
          <w:tcPr>
            <w:tcW w:w="1867" w:type="dxa"/>
            <w:shd w:val="clear" w:color="auto" w:fill="auto"/>
          </w:tcPr>
          <w:p w14:paraId="62EAD1F8" w14:textId="77777777" w:rsidR="004A424A" w:rsidRPr="00554FAF" w:rsidRDefault="004A424A" w:rsidP="000702CB">
            <w:pPr>
              <w:pStyle w:val="Default"/>
              <w:spacing w:after="60"/>
              <w:ind w:right="-122"/>
              <w:jc w:val="both"/>
              <w:rPr>
                <w:lang w:val="sq-AL"/>
              </w:rPr>
            </w:pPr>
            <w:r w:rsidRPr="00554FAF">
              <w:rPr>
                <w:b/>
                <w:bCs/>
                <w:lang w:val="sq-AL"/>
              </w:rPr>
              <w:t>Probabiliteti (i ulët ose i lartë)</w:t>
            </w:r>
          </w:p>
        </w:tc>
        <w:tc>
          <w:tcPr>
            <w:tcW w:w="3330" w:type="dxa"/>
            <w:shd w:val="clear" w:color="auto" w:fill="auto"/>
          </w:tcPr>
          <w:p w14:paraId="6585FC18" w14:textId="77777777" w:rsidR="004A424A" w:rsidRPr="00554FAF" w:rsidRDefault="004A424A" w:rsidP="000702CB">
            <w:pPr>
              <w:pStyle w:val="Default"/>
              <w:spacing w:after="60"/>
              <w:jc w:val="both"/>
              <w:rPr>
                <w:lang w:val="sq-AL"/>
              </w:rPr>
            </w:pPr>
            <w:r w:rsidRPr="00554FAF">
              <w:rPr>
                <w:b/>
                <w:bCs/>
                <w:lang w:val="sq-AL"/>
              </w:rPr>
              <w:t xml:space="preserve">Veprimi lehtësues i planifikuar </w:t>
            </w:r>
          </w:p>
        </w:tc>
      </w:tr>
      <w:tr w:rsidR="004A424A" w:rsidRPr="00554FAF" w14:paraId="4C427753" w14:textId="77777777" w:rsidTr="004A424A">
        <w:tc>
          <w:tcPr>
            <w:tcW w:w="4158" w:type="dxa"/>
            <w:shd w:val="clear" w:color="auto" w:fill="auto"/>
          </w:tcPr>
          <w:p w14:paraId="0B2BCD3D" w14:textId="1BF1A6A2" w:rsidR="004A424A" w:rsidRPr="00554FAF" w:rsidRDefault="004A424A" w:rsidP="000702CB">
            <w:pPr>
              <w:pStyle w:val="Default"/>
              <w:spacing w:after="60"/>
              <w:jc w:val="both"/>
              <w:rPr>
                <w:lang w:val="sq-AL"/>
              </w:rPr>
            </w:pPr>
            <w:r w:rsidRPr="00554FAF">
              <w:rPr>
                <w:lang w:val="sq-AL"/>
              </w:rPr>
              <w:t xml:space="preserve">Mënyra e financimit të </w:t>
            </w:r>
            <w:r w:rsidR="0058111B" w:rsidRPr="00554FAF">
              <w:rPr>
                <w:lang w:val="sq-AL"/>
              </w:rPr>
              <w:t>q</w:t>
            </w:r>
            <w:r w:rsidRPr="00554FAF">
              <w:rPr>
                <w:lang w:val="sq-AL"/>
              </w:rPr>
              <w:t xml:space="preserve">endrave të rajonale të </w:t>
            </w:r>
            <w:r w:rsidR="0058111B" w:rsidRPr="00554FAF">
              <w:rPr>
                <w:lang w:val="sq-AL"/>
              </w:rPr>
              <w:t>i</w:t>
            </w:r>
            <w:r w:rsidRPr="00554FAF">
              <w:rPr>
                <w:lang w:val="sq-AL"/>
              </w:rPr>
              <w:t>novacionit dhe Ndërmarrësisë deri në vetëmbajtje. mosrealizimi i vlerësimi i bazuar në performa</w:t>
            </w:r>
            <w:r w:rsidR="00F202BD" w:rsidRPr="00554FAF">
              <w:rPr>
                <w:lang w:val="sq-AL"/>
              </w:rPr>
              <w:t>n</w:t>
            </w:r>
            <w:r w:rsidRPr="00554FAF">
              <w:rPr>
                <w:lang w:val="sq-AL"/>
              </w:rPr>
              <w:t>cë për fushën e hulumtimit</w:t>
            </w:r>
          </w:p>
        </w:tc>
        <w:tc>
          <w:tcPr>
            <w:tcW w:w="1867" w:type="dxa"/>
            <w:shd w:val="clear" w:color="auto" w:fill="auto"/>
          </w:tcPr>
          <w:p w14:paraId="2A6D567B" w14:textId="77777777" w:rsidR="004A424A" w:rsidRPr="00554FAF" w:rsidRDefault="004A424A" w:rsidP="000702CB">
            <w:pPr>
              <w:pStyle w:val="Default"/>
              <w:spacing w:after="60"/>
              <w:jc w:val="both"/>
              <w:rPr>
                <w:lang w:val="sq-AL"/>
              </w:rPr>
            </w:pPr>
            <w:r w:rsidRPr="00554FAF">
              <w:rPr>
                <w:lang w:val="sq-AL"/>
              </w:rPr>
              <w:t>I ulët</w:t>
            </w:r>
          </w:p>
        </w:tc>
        <w:tc>
          <w:tcPr>
            <w:tcW w:w="3330" w:type="dxa"/>
            <w:shd w:val="clear" w:color="auto" w:fill="auto"/>
          </w:tcPr>
          <w:p w14:paraId="3F9B84CD" w14:textId="67BF5EC2" w:rsidR="004A424A" w:rsidRPr="00554FAF" w:rsidRDefault="004A424A" w:rsidP="000702CB">
            <w:pPr>
              <w:pStyle w:val="Default"/>
              <w:spacing w:after="60"/>
              <w:jc w:val="both"/>
              <w:rPr>
                <w:lang w:val="sq-AL"/>
              </w:rPr>
            </w:pPr>
            <w:r w:rsidRPr="00554FAF">
              <w:rPr>
                <w:lang w:val="sq-AL"/>
              </w:rPr>
              <w:t>Statusi i qendrave t</w:t>
            </w:r>
            <w:r w:rsidR="0058111B" w:rsidRPr="00554FAF">
              <w:rPr>
                <w:lang w:val="sq-AL"/>
              </w:rPr>
              <w:t>ë</w:t>
            </w:r>
            <w:r w:rsidRPr="00554FAF">
              <w:rPr>
                <w:lang w:val="sq-AL"/>
              </w:rPr>
              <w:t xml:space="preserve"> inovacionit në bashkëpunim me universitet dhe kuvendet komunale dhe OJQ-të.</w:t>
            </w:r>
          </w:p>
        </w:tc>
      </w:tr>
      <w:tr w:rsidR="004A424A" w:rsidRPr="00554FAF" w14:paraId="0ACD0752" w14:textId="77777777" w:rsidTr="004A424A">
        <w:trPr>
          <w:trHeight w:val="737"/>
        </w:trPr>
        <w:tc>
          <w:tcPr>
            <w:tcW w:w="4158" w:type="dxa"/>
            <w:shd w:val="clear" w:color="auto" w:fill="auto"/>
          </w:tcPr>
          <w:p w14:paraId="2CE8969A" w14:textId="1560D84E" w:rsidR="004A424A" w:rsidRPr="00554FAF" w:rsidRDefault="004A424A" w:rsidP="000702CB">
            <w:pPr>
              <w:pStyle w:val="Default"/>
              <w:spacing w:after="60"/>
              <w:jc w:val="both"/>
              <w:rPr>
                <w:lang w:val="sq-AL"/>
              </w:rPr>
            </w:pPr>
            <w:r w:rsidRPr="00554FAF">
              <w:rPr>
                <w:lang w:val="sq-AL"/>
              </w:rPr>
              <w:t xml:space="preserve">Ngecjet në funksionalizimin e Parkut të </w:t>
            </w:r>
            <w:r w:rsidR="0058111B" w:rsidRPr="00554FAF">
              <w:rPr>
                <w:lang w:val="sq-AL"/>
              </w:rPr>
              <w:t>i</w:t>
            </w:r>
            <w:r w:rsidRPr="00554FAF">
              <w:rPr>
                <w:lang w:val="sq-AL"/>
              </w:rPr>
              <w:t xml:space="preserve">novacionit dhe </w:t>
            </w:r>
            <w:r w:rsidR="0058111B" w:rsidRPr="00554FAF">
              <w:rPr>
                <w:lang w:val="sq-AL"/>
              </w:rPr>
              <w:t>t</w:t>
            </w:r>
            <w:r w:rsidRPr="00554FAF">
              <w:rPr>
                <w:lang w:val="sq-AL"/>
              </w:rPr>
              <w:t>rajnimeve në Prizren.</w:t>
            </w:r>
          </w:p>
          <w:p w14:paraId="71E6578D" w14:textId="77777777" w:rsidR="004A424A" w:rsidRPr="00554FAF" w:rsidRDefault="004A424A" w:rsidP="000702CB">
            <w:pPr>
              <w:pStyle w:val="Default"/>
              <w:spacing w:after="60"/>
              <w:jc w:val="both"/>
              <w:rPr>
                <w:lang w:val="sq-AL"/>
              </w:rPr>
            </w:pPr>
          </w:p>
          <w:p w14:paraId="2CB9B29C" w14:textId="77777777" w:rsidR="004A424A" w:rsidRPr="00554FAF" w:rsidRDefault="004A424A" w:rsidP="000702CB">
            <w:pPr>
              <w:pStyle w:val="Default"/>
              <w:spacing w:after="60"/>
              <w:jc w:val="both"/>
              <w:rPr>
                <w:lang w:val="sq-AL"/>
              </w:rPr>
            </w:pPr>
          </w:p>
        </w:tc>
        <w:tc>
          <w:tcPr>
            <w:tcW w:w="1867" w:type="dxa"/>
            <w:shd w:val="clear" w:color="auto" w:fill="auto"/>
          </w:tcPr>
          <w:p w14:paraId="6B05E435" w14:textId="77777777" w:rsidR="004A424A" w:rsidRPr="00554FAF" w:rsidRDefault="004A424A" w:rsidP="000702CB">
            <w:pPr>
              <w:pStyle w:val="Default"/>
              <w:spacing w:after="60"/>
              <w:jc w:val="both"/>
              <w:rPr>
                <w:lang w:val="sq-AL"/>
              </w:rPr>
            </w:pPr>
            <w:r w:rsidRPr="00554FAF">
              <w:rPr>
                <w:lang w:val="sq-AL"/>
              </w:rPr>
              <w:t xml:space="preserve">I ulët </w:t>
            </w:r>
          </w:p>
        </w:tc>
        <w:tc>
          <w:tcPr>
            <w:tcW w:w="3330" w:type="dxa"/>
            <w:shd w:val="clear" w:color="auto" w:fill="auto"/>
          </w:tcPr>
          <w:p w14:paraId="5C10C7C7" w14:textId="33F13C87" w:rsidR="004A424A" w:rsidRPr="00554FAF" w:rsidRDefault="004A424A" w:rsidP="000702CB">
            <w:pPr>
              <w:pStyle w:val="Default"/>
              <w:spacing w:after="60"/>
              <w:jc w:val="both"/>
              <w:rPr>
                <w:lang w:val="sq-AL"/>
              </w:rPr>
            </w:pPr>
            <w:r w:rsidRPr="00554FAF">
              <w:rPr>
                <w:lang w:val="sq-AL"/>
              </w:rPr>
              <w:t>Hartimi i një koncept dokumenti apo rregullore të veçantë mbi mënyrën e organizimit, menaxhimit dhe funksionimit të Parkut ndër-</w:t>
            </w:r>
            <w:r w:rsidR="0058111B" w:rsidRPr="00554FAF">
              <w:rPr>
                <w:lang w:val="sq-AL"/>
              </w:rPr>
              <w:t>r</w:t>
            </w:r>
            <w:r w:rsidRPr="00554FAF">
              <w:rPr>
                <w:lang w:val="sq-AL"/>
              </w:rPr>
              <w:t xml:space="preserve">ajonal për </w:t>
            </w:r>
            <w:r w:rsidR="0058111B" w:rsidRPr="00554FAF">
              <w:rPr>
                <w:lang w:val="sq-AL"/>
              </w:rPr>
              <w:t>i</w:t>
            </w:r>
            <w:r w:rsidRPr="00554FAF">
              <w:rPr>
                <w:lang w:val="sq-AL"/>
              </w:rPr>
              <w:t xml:space="preserve">novacion dhe </w:t>
            </w:r>
            <w:r w:rsidR="0058111B" w:rsidRPr="00554FAF">
              <w:rPr>
                <w:lang w:val="sq-AL"/>
              </w:rPr>
              <w:t>t</w:t>
            </w:r>
            <w:r w:rsidRPr="00554FAF">
              <w:rPr>
                <w:lang w:val="sq-AL"/>
              </w:rPr>
              <w:t xml:space="preserve">rajnime. </w:t>
            </w:r>
          </w:p>
        </w:tc>
      </w:tr>
    </w:tbl>
    <w:p w14:paraId="769E8916" w14:textId="77777777" w:rsidR="004A424A" w:rsidRPr="00554FAF" w:rsidRDefault="004A424A" w:rsidP="000702CB">
      <w:pPr>
        <w:spacing w:after="6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4A424A" w:rsidRPr="00554FAF" w14:paraId="3EAA4B23" w14:textId="77777777" w:rsidTr="004A424A">
        <w:tc>
          <w:tcPr>
            <w:tcW w:w="9350" w:type="dxa"/>
            <w:shd w:val="clear" w:color="auto" w:fill="5B9BD5"/>
          </w:tcPr>
          <w:p w14:paraId="3AFE08F4" w14:textId="48ABCDED" w:rsidR="004A424A" w:rsidRPr="00554FAF" w:rsidRDefault="004A424A" w:rsidP="000702CB">
            <w:pPr>
              <w:spacing w:after="60" w:line="240" w:lineRule="auto"/>
              <w:jc w:val="both"/>
              <w:rPr>
                <w:rFonts w:ascii="Times New Roman" w:hAnsi="Times New Roman" w:cs="Times New Roman"/>
                <w:b/>
                <w:bCs/>
                <w:sz w:val="24"/>
                <w:szCs w:val="24"/>
              </w:rPr>
            </w:pPr>
            <w:r w:rsidRPr="00554FAF">
              <w:rPr>
                <w:rFonts w:ascii="Times New Roman" w:hAnsi="Times New Roman" w:cs="Times New Roman"/>
                <w:b/>
                <w:bCs/>
                <w:sz w:val="24"/>
                <w:szCs w:val="24"/>
              </w:rPr>
              <w:t>Masa e reformës #13: Shtrirja e infrastrukturës përkatëse të rrjet</w:t>
            </w:r>
            <w:r w:rsidR="0058111B" w:rsidRPr="00554FAF">
              <w:rPr>
                <w:rFonts w:ascii="Times New Roman" w:hAnsi="Times New Roman" w:cs="Times New Roman"/>
                <w:b/>
                <w:bCs/>
                <w:sz w:val="24"/>
                <w:szCs w:val="24"/>
              </w:rPr>
              <w:t>e</w:t>
            </w:r>
            <w:r w:rsidRPr="00554FAF">
              <w:rPr>
                <w:rFonts w:ascii="Times New Roman" w:hAnsi="Times New Roman" w:cs="Times New Roman"/>
                <w:b/>
                <w:bCs/>
                <w:sz w:val="24"/>
                <w:szCs w:val="24"/>
              </w:rPr>
              <w:t>ve dhe shërbimeve të TIK-ut për zhvillim socio-ekonomik</w:t>
            </w:r>
          </w:p>
        </w:tc>
      </w:tr>
    </w:tbl>
    <w:p w14:paraId="65F201F6" w14:textId="5AA78EE4" w:rsidR="004A2969" w:rsidRPr="00554FAF" w:rsidRDefault="004A424A" w:rsidP="000702CB">
      <w:pPr>
        <w:pStyle w:val="Default"/>
        <w:spacing w:after="60"/>
        <w:jc w:val="both"/>
        <w:rPr>
          <w:lang w:val="sq-AL"/>
        </w:rPr>
      </w:pPr>
      <w:r w:rsidRPr="00554FAF">
        <w:rPr>
          <w:b/>
          <w:iCs/>
          <w:lang w:val="sq-AL"/>
        </w:rPr>
        <w:t xml:space="preserve">1. Përshkrimi i masës: </w:t>
      </w:r>
      <w:r w:rsidRPr="00554FAF">
        <w:rPr>
          <w:lang w:val="sq-AL"/>
        </w:rPr>
        <w:t xml:space="preserve">Masa është vazhdimësi nga PRE 2019-2021 dhe ka për qëllim zgjerimin e qasjes dhe përdorimit të TIK-ut përmes shtrirjes së infrastrukturës brezgjerë në viset e pambuluara, përkrahjes për shtrirjen e infrastrukturës mobile 5G, krijimit të kushteve për hulumtim dhe zhvillim në TIK, forcimit të kapitalit njerëzor dhe mbështetjes së bizneseve dixhitale, si dhe dixhitalizimit të bizneseve tjera. MZHE në bashkëpunim me Bankën Botërore janë duke </w:t>
      </w:r>
      <w:r w:rsidR="0058111B" w:rsidRPr="00554FAF">
        <w:rPr>
          <w:lang w:val="sq-AL"/>
        </w:rPr>
        <w:t xml:space="preserve">e </w:t>
      </w:r>
      <w:r w:rsidRPr="00554FAF">
        <w:rPr>
          <w:lang w:val="sq-AL"/>
        </w:rPr>
        <w:t xml:space="preserve">zbatuar Programin për Ekonominë Dixhitale të Kosovës- KODE. KODE zbatohet nga 2019-2023. Si pjesë e implementimit të KODE, gjatë vitit 2019 janë nënshkruar tridhjetë (30) kontrata për </w:t>
      </w:r>
      <w:r w:rsidR="0058111B" w:rsidRPr="00554FAF">
        <w:rPr>
          <w:lang w:val="sq-AL"/>
        </w:rPr>
        <w:t>s</w:t>
      </w:r>
      <w:r w:rsidRPr="00554FAF">
        <w:rPr>
          <w:lang w:val="sq-AL"/>
        </w:rPr>
        <w:t xml:space="preserve">htrirjen e </w:t>
      </w:r>
      <w:r w:rsidR="0058111B" w:rsidRPr="00554FAF">
        <w:rPr>
          <w:lang w:val="sq-AL"/>
        </w:rPr>
        <w:t>i</w:t>
      </w:r>
      <w:r w:rsidRPr="00554FAF">
        <w:rPr>
          <w:lang w:val="sq-AL"/>
        </w:rPr>
        <w:t xml:space="preserve">nfrastrukturës </w:t>
      </w:r>
      <w:r w:rsidR="0058111B" w:rsidRPr="00554FAF">
        <w:rPr>
          <w:lang w:val="sq-AL"/>
        </w:rPr>
        <w:t>b</w:t>
      </w:r>
      <w:r w:rsidRPr="00554FAF">
        <w:rPr>
          <w:lang w:val="sq-AL"/>
        </w:rPr>
        <w:t xml:space="preserve">rezgjerë me shpejtësi të lartë, për 30 lote/zona që përfshijnë 70 fshatra të pambuluara. Pas realizimit  të fazës së parë për funksionalizimin e Parkut </w:t>
      </w:r>
      <w:r w:rsidR="0058111B" w:rsidRPr="00554FAF">
        <w:rPr>
          <w:lang w:val="sq-AL"/>
        </w:rPr>
        <w:t>t</w:t>
      </w:r>
      <w:r w:rsidRPr="00554FAF">
        <w:rPr>
          <w:lang w:val="sq-AL"/>
        </w:rPr>
        <w:t xml:space="preserve">eknologjik në Bërnicë më 2018, tani më 2019 është duke u realizuar edhe Faza II. Gjithashtu, MZHE është në proces të pajisjes së 20 shkollave fillore me pajisje të domosdoshme për trajnim, testim dhe mentorim në fushën e TIK-ut dhe Inovacionit. Ndërsa, në kuadër të zhvillimit të resurseve njerëzore për </w:t>
      </w:r>
      <w:r w:rsidR="0058111B" w:rsidRPr="00554FAF">
        <w:rPr>
          <w:lang w:val="sq-AL"/>
        </w:rPr>
        <w:t>e</w:t>
      </w:r>
      <w:r w:rsidRPr="00554FAF">
        <w:rPr>
          <w:lang w:val="sq-AL"/>
        </w:rPr>
        <w:t xml:space="preserve">konominë </w:t>
      </w:r>
      <w:r w:rsidR="0058111B" w:rsidRPr="00554FAF">
        <w:rPr>
          <w:lang w:val="sq-AL"/>
        </w:rPr>
        <w:t>d</w:t>
      </w:r>
      <w:r w:rsidRPr="00554FAF">
        <w:rPr>
          <w:lang w:val="sq-AL"/>
        </w:rPr>
        <w:t>ixhitale dhe mbështetje për biznese dixhitale, projekti IPA 2017 që ka për qëllim rritjen e konkurrueshmërisë së sektorit të TIK në Kosovë</w:t>
      </w:r>
      <w:r w:rsidR="0058111B" w:rsidRPr="00554FAF">
        <w:rPr>
          <w:lang w:val="sq-AL"/>
        </w:rPr>
        <w:t>,</w:t>
      </w:r>
      <w:r w:rsidRPr="00554FAF">
        <w:rPr>
          <w:lang w:val="sq-AL"/>
        </w:rPr>
        <w:t xml:space="preserve"> pritet të filloj zbatimin në fund të vitit 2019 apo në fillim të vitit 2020. </w:t>
      </w:r>
    </w:p>
    <w:p w14:paraId="26115708" w14:textId="6D497B5A" w:rsidR="004A424A" w:rsidRPr="00554FAF" w:rsidRDefault="004A424A" w:rsidP="000702CB">
      <w:pPr>
        <w:pStyle w:val="Default"/>
        <w:spacing w:after="60"/>
        <w:jc w:val="both"/>
        <w:rPr>
          <w:lang w:val="sq-AL"/>
        </w:rPr>
      </w:pPr>
      <w:r w:rsidRPr="00554FAF">
        <w:rPr>
          <w:lang w:val="sq-AL"/>
        </w:rPr>
        <w:t xml:space="preserve">Kjo masë është në përputhje me SKZH, Agjendën Dixhitale të Kosovës 2013-2020, Strategjinë e Kosovës për TI, PKZMSA dhe KASH. Në përputhje me Strategjinë e Kosovës për TI, MZHE ka filluar aktivitetet për krijimin e Qendrës së </w:t>
      </w:r>
      <w:r w:rsidR="0058111B" w:rsidRPr="00554FAF">
        <w:rPr>
          <w:lang w:val="sq-AL"/>
        </w:rPr>
        <w:t>e</w:t>
      </w:r>
      <w:r w:rsidRPr="00554FAF">
        <w:rPr>
          <w:lang w:val="sq-AL"/>
        </w:rPr>
        <w:t xml:space="preserve">kselencës </w:t>
      </w:r>
      <w:r w:rsidR="0058111B" w:rsidRPr="00554FAF">
        <w:rPr>
          <w:lang w:val="sq-AL"/>
        </w:rPr>
        <w:t>d</w:t>
      </w:r>
      <w:r w:rsidRPr="00554FAF">
        <w:rPr>
          <w:lang w:val="sq-AL"/>
        </w:rPr>
        <w:t xml:space="preserve">ixhitale (QED) në Parkun për </w:t>
      </w:r>
      <w:r w:rsidR="0058111B" w:rsidRPr="00554FAF">
        <w:rPr>
          <w:lang w:val="sq-AL"/>
        </w:rPr>
        <w:t>i</w:t>
      </w:r>
      <w:r w:rsidRPr="00554FAF">
        <w:rPr>
          <w:lang w:val="sq-AL"/>
        </w:rPr>
        <w:t xml:space="preserve">novacion dhe </w:t>
      </w:r>
      <w:r w:rsidR="0058111B" w:rsidRPr="00554FAF">
        <w:rPr>
          <w:lang w:val="sq-AL"/>
        </w:rPr>
        <w:t>t</w:t>
      </w:r>
      <w:r w:rsidRPr="00554FAF">
        <w:rPr>
          <w:lang w:val="sq-AL"/>
        </w:rPr>
        <w:t xml:space="preserve">rajnim në Prizren. Në kuadër të QED do të themelohet edhe Rrjeti </w:t>
      </w:r>
      <w:r w:rsidR="0058111B" w:rsidRPr="00554FAF">
        <w:rPr>
          <w:lang w:val="sq-AL"/>
        </w:rPr>
        <w:t>k</w:t>
      </w:r>
      <w:r w:rsidRPr="00554FAF">
        <w:rPr>
          <w:lang w:val="sq-AL"/>
        </w:rPr>
        <w:t xml:space="preserve">ombëtar për </w:t>
      </w:r>
      <w:r w:rsidR="0058111B" w:rsidRPr="00554FAF">
        <w:rPr>
          <w:lang w:val="sq-AL"/>
        </w:rPr>
        <w:t>h</w:t>
      </w:r>
      <w:r w:rsidRPr="00554FAF">
        <w:rPr>
          <w:lang w:val="sq-AL"/>
        </w:rPr>
        <w:t xml:space="preserve">ulumtim dhe </w:t>
      </w:r>
      <w:r w:rsidR="0058111B" w:rsidRPr="00554FAF">
        <w:rPr>
          <w:lang w:val="sq-AL"/>
        </w:rPr>
        <w:t>e</w:t>
      </w:r>
      <w:r w:rsidRPr="00554FAF">
        <w:rPr>
          <w:lang w:val="sq-AL"/>
        </w:rPr>
        <w:t>dukim. QED do të shërbejë për zhvillimin e inovacionit në TIK dhe do të fokusohet fillimisht në studime, hulumtime dhe zhvillime të fushës së TIK bazuar në trendët më të rinj të TIK-ut. Në Kosovë vlera e shtuar e sektorit të TIK-ut  kryesisht sigurohet nga ofrimi i shërbimeve brenda e jashtë vendit. Mirëpo</w:t>
      </w:r>
      <w:r w:rsidR="0058111B" w:rsidRPr="00554FAF">
        <w:rPr>
          <w:lang w:val="sq-AL"/>
        </w:rPr>
        <w:t>,</w:t>
      </w:r>
      <w:r w:rsidRPr="00554FAF">
        <w:rPr>
          <w:lang w:val="sq-AL"/>
        </w:rPr>
        <w:t xml:space="preserve"> është me rëndësi strategjike të </w:t>
      </w:r>
      <w:r w:rsidR="0058111B" w:rsidRPr="00554FAF">
        <w:rPr>
          <w:lang w:val="sq-AL"/>
        </w:rPr>
        <w:t xml:space="preserve">mbështetet </w:t>
      </w:r>
      <w:r w:rsidRPr="00554FAF">
        <w:rPr>
          <w:lang w:val="sq-AL"/>
        </w:rPr>
        <w:t>edhe zhvillimi i prodhimit në TIK, p.sh. prodhimi i komponentëve elektronike, pajisjeve komunikuese ose elektronika e konsumatorit.</w:t>
      </w:r>
      <w:r w:rsidRPr="00554FAF">
        <w:rPr>
          <w:b/>
          <w:bCs/>
          <w:lang w:val="sq-AL"/>
        </w:rPr>
        <w:t xml:space="preserve"> </w:t>
      </w:r>
      <w:r w:rsidRPr="00554FAF">
        <w:rPr>
          <w:lang w:val="sq-AL"/>
        </w:rPr>
        <w:t xml:space="preserve">Është thelbësore të përcaktohen përparësitë gjatë procesit të përpilimit të Strategjisë për </w:t>
      </w:r>
      <w:r w:rsidR="0058111B" w:rsidRPr="00554FAF">
        <w:rPr>
          <w:lang w:val="sq-AL"/>
        </w:rPr>
        <w:t>s</w:t>
      </w:r>
      <w:r w:rsidRPr="00554FAF">
        <w:rPr>
          <w:lang w:val="sq-AL"/>
        </w:rPr>
        <w:t xml:space="preserve">pecializim të </w:t>
      </w:r>
      <w:r w:rsidR="0058111B" w:rsidRPr="00554FAF">
        <w:rPr>
          <w:lang w:val="sq-AL"/>
        </w:rPr>
        <w:t>m</w:t>
      </w:r>
      <w:r w:rsidRPr="00554FAF">
        <w:rPr>
          <w:lang w:val="sq-AL"/>
        </w:rPr>
        <w:t xml:space="preserve">ençur për investime në sektorin e TIK-ut në fushën e prodhimit, nëpërmjet bashkëpunimit të ngushtë me sektorin privat. </w:t>
      </w:r>
    </w:p>
    <w:p w14:paraId="0244952B" w14:textId="77777777" w:rsidR="004A424A" w:rsidRPr="00554FAF" w:rsidRDefault="004A424A" w:rsidP="00BA1A1D">
      <w:pPr>
        <w:pStyle w:val="Default"/>
        <w:spacing w:after="60"/>
        <w:jc w:val="both"/>
        <w:rPr>
          <w:b/>
          <w:bCs/>
          <w:lang w:val="sq-AL"/>
        </w:rPr>
      </w:pPr>
      <w:r w:rsidRPr="00554FAF">
        <w:rPr>
          <w:b/>
          <w:bCs/>
          <w:lang w:val="sq-AL"/>
        </w:rPr>
        <w:t>a. Aktivitetet e planifikuara për 2020:</w:t>
      </w:r>
    </w:p>
    <w:p w14:paraId="1C1B3C22" w14:textId="457726C2" w:rsidR="004A424A" w:rsidRPr="00BA1A1D" w:rsidRDefault="004A424A" w:rsidP="00802FB3">
      <w:pPr>
        <w:pStyle w:val="BodyText"/>
        <w:numPr>
          <w:ilvl w:val="0"/>
          <w:numId w:val="64"/>
        </w:numPr>
        <w:spacing w:after="60"/>
        <w:jc w:val="both"/>
        <w:rPr>
          <w:sz w:val="24"/>
          <w:szCs w:val="24"/>
        </w:rPr>
      </w:pPr>
      <w:r w:rsidRPr="00BA1A1D">
        <w:rPr>
          <w:sz w:val="24"/>
          <w:szCs w:val="24"/>
        </w:rPr>
        <w:t xml:space="preserve">Shtrirja e </w:t>
      </w:r>
      <w:r w:rsidR="001A24AA" w:rsidRPr="00BA1A1D">
        <w:rPr>
          <w:sz w:val="24"/>
          <w:szCs w:val="24"/>
        </w:rPr>
        <w:t>i</w:t>
      </w:r>
      <w:r w:rsidRPr="00BA1A1D">
        <w:rPr>
          <w:sz w:val="24"/>
          <w:szCs w:val="24"/>
        </w:rPr>
        <w:t>nfrastrukturës brezgjerë në vise të pambuluara përmes programit KODE dhe përkrahja për shtrirjen e infrastrukturës mobile 5G</w:t>
      </w:r>
      <w:r w:rsidR="001A24AA" w:rsidRPr="00BA1A1D">
        <w:rPr>
          <w:sz w:val="24"/>
          <w:szCs w:val="24"/>
        </w:rPr>
        <w:t>;</w:t>
      </w:r>
      <w:r w:rsidRPr="00BA1A1D">
        <w:rPr>
          <w:sz w:val="24"/>
          <w:szCs w:val="24"/>
        </w:rPr>
        <w:t xml:space="preserve"> (MZHE)</w:t>
      </w:r>
    </w:p>
    <w:p w14:paraId="5BDEAFF5" w14:textId="0716BC44" w:rsidR="004A424A" w:rsidRPr="00BA1A1D" w:rsidRDefault="004A424A" w:rsidP="00802FB3">
      <w:pPr>
        <w:pStyle w:val="BodyText"/>
        <w:numPr>
          <w:ilvl w:val="0"/>
          <w:numId w:val="64"/>
        </w:numPr>
        <w:spacing w:after="60"/>
        <w:jc w:val="both"/>
        <w:rPr>
          <w:sz w:val="24"/>
          <w:szCs w:val="24"/>
        </w:rPr>
      </w:pPr>
      <w:r w:rsidRPr="00BA1A1D">
        <w:rPr>
          <w:sz w:val="24"/>
          <w:szCs w:val="24"/>
        </w:rPr>
        <w:t>Krijimi i Stacionit Fiks për monitorim të frekuencave</w:t>
      </w:r>
      <w:r w:rsidR="001A24AA" w:rsidRPr="00BA1A1D">
        <w:rPr>
          <w:sz w:val="24"/>
          <w:szCs w:val="24"/>
        </w:rPr>
        <w:t>;</w:t>
      </w:r>
      <w:r w:rsidRPr="00BA1A1D">
        <w:rPr>
          <w:sz w:val="24"/>
          <w:szCs w:val="24"/>
        </w:rPr>
        <w:t xml:space="preserve"> (MZHE) </w:t>
      </w:r>
    </w:p>
    <w:p w14:paraId="09111F0D" w14:textId="0E4143BD" w:rsidR="004A424A" w:rsidRPr="00BA1A1D" w:rsidRDefault="004A424A" w:rsidP="00802FB3">
      <w:pPr>
        <w:pStyle w:val="BodyText"/>
        <w:numPr>
          <w:ilvl w:val="0"/>
          <w:numId w:val="64"/>
        </w:numPr>
        <w:spacing w:after="60"/>
        <w:jc w:val="both"/>
        <w:rPr>
          <w:sz w:val="24"/>
          <w:szCs w:val="24"/>
        </w:rPr>
      </w:pPr>
      <w:r w:rsidRPr="00BA1A1D">
        <w:rPr>
          <w:sz w:val="24"/>
          <w:szCs w:val="24"/>
        </w:rPr>
        <w:t>Përgatitja e metodologjisë për monitorimin vjetor të statistikave në industrinë e TIK-ut dhe H&amp;ZH</w:t>
      </w:r>
      <w:r w:rsidR="001A24AA" w:rsidRPr="00BA1A1D">
        <w:rPr>
          <w:sz w:val="24"/>
          <w:szCs w:val="24"/>
        </w:rPr>
        <w:t>;</w:t>
      </w:r>
      <w:r w:rsidRPr="00BA1A1D">
        <w:rPr>
          <w:sz w:val="24"/>
          <w:szCs w:val="24"/>
        </w:rPr>
        <w:t xml:space="preserve"> (MZHE)</w:t>
      </w:r>
    </w:p>
    <w:p w14:paraId="70E0EF6A" w14:textId="18AF6670" w:rsidR="004A424A" w:rsidRPr="00BA1A1D" w:rsidRDefault="004A424A" w:rsidP="00802FB3">
      <w:pPr>
        <w:pStyle w:val="BodyText"/>
        <w:numPr>
          <w:ilvl w:val="0"/>
          <w:numId w:val="64"/>
        </w:numPr>
        <w:spacing w:after="60"/>
        <w:jc w:val="both"/>
        <w:rPr>
          <w:sz w:val="24"/>
          <w:szCs w:val="24"/>
        </w:rPr>
      </w:pPr>
      <w:r w:rsidRPr="00BA1A1D">
        <w:rPr>
          <w:sz w:val="24"/>
          <w:szCs w:val="24"/>
        </w:rPr>
        <w:t xml:space="preserve">Zhvillimi i trajnimeve për të rinj dhe lidhja e tyre me mundësitë e punëve online </w:t>
      </w:r>
      <w:r w:rsidR="001A24AA" w:rsidRPr="00BA1A1D">
        <w:rPr>
          <w:sz w:val="24"/>
          <w:szCs w:val="24"/>
        </w:rPr>
        <w:t>–</w:t>
      </w:r>
      <w:r w:rsidRPr="00BA1A1D">
        <w:rPr>
          <w:sz w:val="24"/>
          <w:szCs w:val="24"/>
        </w:rPr>
        <w:t xml:space="preserve"> </w:t>
      </w:r>
      <w:r w:rsidR="001A24AA" w:rsidRPr="00BA1A1D">
        <w:rPr>
          <w:sz w:val="24"/>
          <w:szCs w:val="24"/>
        </w:rPr>
        <w:t>të rinjtë online dhe programi i rritjes</w:t>
      </w:r>
      <w:r w:rsidRPr="00BA1A1D">
        <w:rPr>
          <w:sz w:val="24"/>
          <w:szCs w:val="24"/>
        </w:rPr>
        <w:t xml:space="preserve"> (Youth Online and Up</w:t>
      </w:r>
      <w:r w:rsidR="001A24AA" w:rsidRPr="00BA1A1D">
        <w:rPr>
          <w:sz w:val="24"/>
          <w:szCs w:val="24"/>
        </w:rPr>
        <w:t>w</w:t>
      </w:r>
      <w:r w:rsidRPr="00BA1A1D">
        <w:rPr>
          <w:sz w:val="24"/>
          <w:szCs w:val="24"/>
        </w:rPr>
        <w:t>ard Program – YOU)</w:t>
      </w:r>
      <w:r w:rsidR="001A24AA" w:rsidRPr="00BA1A1D">
        <w:rPr>
          <w:sz w:val="24"/>
          <w:szCs w:val="24"/>
        </w:rPr>
        <w:t>;</w:t>
      </w:r>
      <w:r w:rsidRPr="00BA1A1D">
        <w:rPr>
          <w:sz w:val="24"/>
          <w:szCs w:val="24"/>
        </w:rPr>
        <w:t xml:space="preserve"> (MZHE)  </w:t>
      </w:r>
    </w:p>
    <w:p w14:paraId="004DB078" w14:textId="41A6F4E3" w:rsidR="004A424A" w:rsidRPr="00BA1A1D" w:rsidRDefault="004A424A" w:rsidP="00802FB3">
      <w:pPr>
        <w:pStyle w:val="BodyText"/>
        <w:numPr>
          <w:ilvl w:val="0"/>
          <w:numId w:val="64"/>
        </w:numPr>
        <w:spacing w:after="60"/>
        <w:jc w:val="both"/>
        <w:rPr>
          <w:sz w:val="24"/>
          <w:szCs w:val="24"/>
        </w:rPr>
      </w:pPr>
      <w:r w:rsidRPr="00BA1A1D">
        <w:rPr>
          <w:sz w:val="24"/>
          <w:szCs w:val="24"/>
        </w:rPr>
        <w:t xml:space="preserve">Krijimi i Qendrës së </w:t>
      </w:r>
      <w:r w:rsidR="001A24AA" w:rsidRPr="00BA1A1D">
        <w:rPr>
          <w:sz w:val="24"/>
          <w:szCs w:val="24"/>
        </w:rPr>
        <w:t>e</w:t>
      </w:r>
      <w:r w:rsidRPr="00BA1A1D">
        <w:rPr>
          <w:sz w:val="24"/>
          <w:szCs w:val="24"/>
        </w:rPr>
        <w:t xml:space="preserve">kselencës </w:t>
      </w:r>
      <w:r w:rsidR="001A24AA" w:rsidRPr="00BA1A1D">
        <w:rPr>
          <w:sz w:val="24"/>
          <w:szCs w:val="24"/>
        </w:rPr>
        <w:t>d</w:t>
      </w:r>
      <w:r w:rsidRPr="00BA1A1D">
        <w:rPr>
          <w:sz w:val="24"/>
          <w:szCs w:val="24"/>
        </w:rPr>
        <w:t>ixhitale - furnizimi me pajisje dhe funksionalizimi i QED, pilotimi i 5G</w:t>
      </w:r>
      <w:r w:rsidR="001A24AA" w:rsidRPr="00BA1A1D">
        <w:rPr>
          <w:sz w:val="24"/>
          <w:szCs w:val="24"/>
        </w:rPr>
        <w:t>;</w:t>
      </w:r>
      <w:r w:rsidRPr="00BA1A1D">
        <w:rPr>
          <w:sz w:val="24"/>
          <w:szCs w:val="24"/>
        </w:rPr>
        <w:t xml:space="preserve"> (MZHE)</w:t>
      </w:r>
    </w:p>
    <w:p w14:paraId="2F262F9D" w14:textId="77777777" w:rsidR="00BA1A1D" w:rsidRDefault="004A424A" w:rsidP="00802FB3">
      <w:pPr>
        <w:pStyle w:val="BodyText"/>
        <w:numPr>
          <w:ilvl w:val="0"/>
          <w:numId w:val="64"/>
        </w:numPr>
        <w:spacing w:after="60"/>
        <w:jc w:val="both"/>
        <w:rPr>
          <w:sz w:val="24"/>
          <w:szCs w:val="24"/>
        </w:rPr>
      </w:pPr>
      <w:r w:rsidRPr="00BA1A1D">
        <w:rPr>
          <w:sz w:val="24"/>
          <w:szCs w:val="24"/>
        </w:rPr>
        <w:t xml:space="preserve">Krijimi i Rrjetit </w:t>
      </w:r>
      <w:r w:rsidR="001A24AA" w:rsidRPr="00BA1A1D">
        <w:rPr>
          <w:sz w:val="24"/>
          <w:szCs w:val="24"/>
        </w:rPr>
        <w:t>k</w:t>
      </w:r>
      <w:r w:rsidRPr="00BA1A1D">
        <w:rPr>
          <w:sz w:val="24"/>
          <w:szCs w:val="24"/>
        </w:rPr>
        <w:t xml:space="preserve">ombëtar për </w:t>
      </w:r>
      <w:r w:rsidR="001A24AA" w:rsidRPr="00BA1A1D">
        <w:rPr>
          <w:sz w:val="24"/>
          <w:szCs w:val="24"/>
        </w:rPr>
        <w:t>h</w:t>
      </w:r>
      <w:r w:rsidRPr="00BA1A1D">
        <w:rPr>
          <w:sz w:val="24"/>
          <w:szCs w:val="24"/>
        </w:rPr>
        <w:t xml:space="preserve">ulumtim dhe </w:t>
      </w:r>
      <w:r w:rsidR="001A24AA" w:rsidRPr="00BA1A1D">
        <w:rPr>
          <w:sz w:val="24"/>
          <w:szCs w:val="24"/>
        </w:rPr>
        <w:t>e</w:t>
      </w:r>
      <w:r w:rsidRPr="00BA1A1D">
        <w:rPr>
          <w:sz w:val="24"/>
          <w:szCs w:val="24"/>
        </w:rPr>
        <w:t>dukim në QED në bashkëpunim me Universitetet  në Kosovë</w:t>
      </w:r>
      <w:r w:rsidR="001A24AA" w:rsidRPr="00BA1A1D">
        <w:rPr>
          <w:sz w:val="24"/>
          <w:szCs w:val="24"/>
        </w:rPr>
        <w:t>.</w:t>
      </w:r>
    </w:p>
    <w:p w14:paraId="6B8B824C" w14:textId="503299FB" w:rsidR="004A424A" w:rsidRPr="00BA1A1D" w:rsidRDefault="004A424A" w:rsidP="00802FB3">
      <w:pPr>
        <w:pStyle w:val="BodyText"/>
        <w:numPr>
          <w:ilvl w:val="2"/>
          <w:numId w:val="49"/>
        </w:numPr>
        <w:spacing w:after="60"/>
        <w:ind w:left="360"/>
        <w:jc w:val="both"/>
        <w:rPr>
          <w:sz w:val="24"/>
          <w:szCs w:val="24"/>
        </w:rPr>
      </w:pPr>
      <w:r w:rsidRPr="00BA1A1D">
        <w:rPr>
          <w:b/>
          <w:bCs/>
        </w:rPr>
        <w:t>Aktivitetet e planifikuara për 2021:</w:t>
      </w:r>
    </w:p>
    <w:p w14:paraId="6212823C" w14:textId="66B53A2B" w:rsidR="004A424A" w:rsidRPr="00554FAF" w:rsidRDefault="004A424A" w:rsidP="00802FB3">
      <w:pPr>
        <w:pStyle w:val="BodyText"/>
        <w:numPr>
          <w:ilvl w:val="0"/>
          <w:numId w:val="65"/>
        </w:numPr>
        <w:spacing w:after="60"/>
        <w:jc w:val="both"/>
        <w:rPr>
          <w:sz w:val="24"/>
          <w:szCs w:val="24"/>
        </w:rPr>
      </w:pPr>
      <w:r w:rsidRPr="00554FAF">
        <w:rPr>
          <w:sz w:val="24"/>
          <w:szCs w:val="24"/>
        </w:rPr>
        <w:t xml:space="preserve">Hartimi dhe miratimi i Strategjisë për </w:t>
      </w:r>
      <w:r w:rsidR="001A24AA" w:rsidRPr="00554FAF">
        <w:rPr>
          <w:sz w:val="24"/>
          <w:szCs w:val="24"/>
        </w:rPr>
        <w:t>a</w:t>
      </w:r>
      <w:r w:rsidRPr="00554FAF">
        <w:rPr>
          <w:sz w:val="24"/>
          <w:szCs w:val="24"/>
        </w:rPr>
        <w:t xml:space="preserve">xhendën e ardhshme </w:t>
      </w:r>
      <w:r w:rsidR="001A24AA" w:rsidRPr="00554FAF">
        <w:rPr>
          <w:sz w:val="24"/>
          <w:szCs w:val="24"/>
        </w:rPr>
        <w:t>d</w:t>
      </w:r>
      <w:r w:rsidRPr="00554FAF">
        <w:rPr>
          <w:sz w:val="24"/>
          <w:szCs w:val="24"/>
        </w:rPr>
        <w:t>ixhitale të Kosovës</w:t>
      </w:r>
      <w:r w:rsidR="001A24AA" w:rsidRPr="00554FAF">
        <w:rPr>
          <w:sz w:val="24"/>
          <w:szCs w:val="24"/>
        </w:rPr>
        <w:t>;</w:t>
      </w:r>
      <w:r w:rsidRPr="00554FAF">
        <w:rPr>
          <w:sz w:val="24"/>
          <w:szCs w:val="24"/>
        </w:rPr>
        <w:t xml:space="preserve"> (MZHE) </w:t>
      </w:r>
    </w:p>
    <w:p w14:paraId="7B1B35E6" w14:textId="0BA2B1BF" w:rsidR="004A424A" w:rsidRPr="00554FAF" w:rsidRDefault="004A424A" w:rsidP="00802FB3">
      <w:pPr>
        <w:pStyle w:val="BodyText"/>
        <w:numPr>
          <w:ilvl w:val="0"/>
          <w:numId w:val="65"/>
        </w:numPr>
        <w:spacing w:after="60"/>
        <w:jc w:val="both"/>
        <w:rPr>
          <w:sz w:val="24"/>
          <w:szCs w:val="24"/>
        </w:rPr>
      </w:pPr>
      <w:r w:rsidRPr="00554FAF">
        <w:rPr>
          <w:sz w:val="24"/>
          <w:szCs w:val="24"/>
        </w:rPr>
        <w:t xml:space="preserve">Shtrirja e </w:t>
      </w:r>
      <w:r w:rsidR="001A24AA" w:rsidRPr="00554FAF">
        <w:rPr>
          <w:sz w:val="24"/>
          <w:szCs w:val="24"/>
        </w:rPr>
        <w:t>i</w:t>
      </w:r>
      <w:r w:rsidRPr="00554FAF">
        <w:rPr>
          <w:sz w:val="24"/>
          <w:szCs w:val="24"/>
        </w:rPr>
        <w:t>nfrastrukturës brezgjerë në vise të pambuluara përmes programit KODE dhe përkrahja për shtrirjen e infrastrukturës mobile 5G</w:t>
      </w:r>
      <w:r w:rsidR="001A24AA" w:rsidRPr="00554FAF">
        <w:rPr>
          <w:sz w:val="24"/>
          <w:szCs w:val="24"/>
        </w:rPr>
        <w:t>;</w:t>
      </w:r>
      <w:r w:rsidRPr="00554FAF">
        <w:rPr>
          <w:sz w:val="24"/>
          <w:szCs w:val="24"/>
        </w:rPr>
        <w:t xml:space="preserve"> (MZHE)</w:t>
      </w:r>
    </w:p>
    <w:p w14:paraId="5DEFAD4B" w14:textId="6ECD6D14" w:rsidR="004A424A" w:rsidRPr="00554FAF" w:rsidRDefault="004A424A" w:rsidP="00802FB3">
      <w:pPr>
        <w:pStyle w:val="BodyText"/>
        <w:numPr>
          <w:ilvl w:val="0"/>
          <w:numId w:val="65"/>
        </w:numPr>
        <w:spacing w:after="60"/>
        <w:jc w:val="both"/>
        <w:rPr>
          <w:sz w:val="24"/>
          <w:szCs w:val="24"/>
        </w:rPr>
      </w:pPr>
      <w:r w:rsidRPr="00554FAF">
        <w:rPr>
          <w:sz w:val="24"/>
          <w:szCs w:val="24"/>
        </w:rPr>
        <w:t xml:space="preserve">Zhvillimi i trajnimeve për të rinj dhe lidhja e tyre me mundësitë e punëve online </w:t>
      </w:r>
      <w:r w:rsidR="001A24AA" w:rsidRPr="00554FAF">
        <w:rPr>
          <w:sz w:val="24"/>
          <w:szCs w:val="24"/>
        </w:rPr>
        <w:t>–</w:t>
      </w:r>
      <w:r w:rsidRPr="00554FAF">
        <w:rPr>
          <w:sz w:val="24"/>
          <w:szCs w:val="24"/>
        </w:rPr>
        <w:t xml:space="preserve"> </w:t>
      </w:r>
      <w:r w:rsidR="001A24AA" w:rsidRPr="00554FAF">
        <w:rPr>
          <w:sz w:val="24"/>
          <w:szCs w:val="24"/>
        </w:rPr>
        <w:t xml:space="preserve">të rinjtë online dhe programi i rritjes </w:t>
      </w:r>
      <w:r w:rsidRPr="00554FAF">
        <w:rPr>
          <w:sz w:val="24"/>
          <w:szCs w:val="24"/>
        </w:rPr>
        <w:t>(Youth Online and Up</w:t>
      </w:r>
      <w:r w:rsidR="001A24AA" w:rsidRPr="00554FAF">
        <w:rPr>
          <w:sz w:val="24"/>
          <w:szCs w:val="24"/>
        </w:rPr>
        <w:t>w</w:t>
      </w:r>
      <w:r w:rsidRPr="00554FAF">
        <w:rPr>
          <w:sz w:val="24"/>
          <w:szCs w:val="24"/>
        </w:rPr>
        <w:t>ard Program – YOU)</w:t>
      </w:r>
      <w:r w:rsidR="001A24AA" w:rsidRPr="00554FAF">
        <w:rPr>
          <w:sz w:val="24"/>
          <w:szCs w:val="24"/>
        </w:rPr>
        <w:t>;</w:t>
      </w:r>
      <w:r w:rsidRPr="00554FAF">
        <w:rPr>
          <w:sz w:val="24"/>
          <w:szCs w:val="24"/>
        </w:rPr>
        <w:t xml:space="preserve"> (MZHE)</w:t>
      </w:r>
    </w:p>
    <w:p w14:paraId="4ED7F016" w14:textId="59DE7D31" w:rsidR="004A424A" w:rsidRPr="00554FAF" w:rsidRDefault="004A424A" w:rsidP="00802FB3">
      <w:pPr>
        <w:pStyle w:val="BodyText"/>
        <w:numPr>
          <w:ilvl w:val="0"/>
          <w:numId w:val="65"/>
        </w:numPr>
        <w:spacing w:after="60"/>
        <w:jc w:val="both"/>
        <w:rPr>
          <w:sz w:val="24"/>
          <w:szCs w:val="24"/>
        </w:rPr>
      </w:pPr>
      <w:r w:rsidRPr="00554FAF">
        <w:rPr>
          <w:sz w:val="24"/>
          <w:szCs w:val="24"/>
        </w:rPr>
        <w:t>Dixhitalizimi i bizneseve tradicionale dhe rritja e përdorimit të teknologjive TIK në sektorin privat</w:t>
      </w:r>
      <w:r w:rsidR="001A24AA" w:rsidRPr="00554FAF">
        <w:rPr>
          <w:sz w:val="24"/>
          <w:szCs w:val="24"/>
        </w:rPr>
        <w:t>;</w:t>
      </w:r>
      <w:r w:rsidRPr="00554FAF">
        <w:rPr>
          <w:sz w:val="24"/>
          <w:szCs w:val="24"/>
        </w:rPr>
        <w:t xml:space="preserve"> (MZHE)</w:t>
      </w:r>
    </w:p>
    <w:p w14:paraId="4D224DAA" w14:textId="07505608" w:rsidR="004A424A" w:rsidRPr="00554FAF" w:rsidRDefault="004A424A" w:rsidP="00802FB3">
      <w:pPr>
        <w:pStyle w:val="BodyText"/>
        <w:numPr>
          <w:ilvl w:val="0"/>
          <w:numId w:val="65"/>
        </w:numPr>
        <w:spacing w:after="60"/>
        <w:jc w:val="both"/>
        <w:rPr>
          <w:sz w:val="24"/>
          <w:szCs w:val="24"/>
        </w:rPr>
      </w:pPr>
      <w:r w:rsidRPr="00554FAF">
        <w:rPr>
          <w:sz w:val="24"/>
          <w:szCs w:val="24"/>
        </w:rPr>
        <w:t xml:space="preserve">Zhvillimi në vazhdimësi i Qendrës së </w:t>
      </w:r>
      <w:r w:rsidR="001A24AA" w:rsidRPr="00554FAF">
        <w:rPr>
          <w:sz w:val="24"/>
          <w:szCs w:val="24"/>
        </w:rPr>
        <w:t>e</w:t>
      </w:r>
      <w:r w:rsidRPr="00554FAF">
        <w:rPr>
          <w:sz w:val="24"/>
          <w:szCs w:val="24"/>
        </w:rPr>
        <w:t xml:space="preserve">kselencës </w:t>
      </w:r>
      <w:r w:rsidR="001A24AA" w:rsidRPr="00554FAF">
        <w:rPr>
          <w:sz w:val="24"/>
          <w:szCs w:val="24"/>
        </w:rPr>
        <w:t>d</w:t>
      </w:r>
      <w:r w:rsidRPr="00554FAF">
        <w:rPr>
          <w:sz w:val="24"/>
          <w:szCs w:val="24"/>
        </w:rPr>
        <w:t>ixhitale - furnizimin e pajisjeve dhe funksionimin e QED</w:t>
      </w:r>
      <w:r w:rsidR="001A24AA" w:rsidRPr="00554FAF">
        <w:rPr>
          <w:sz w:val="24"/>
          <w:szCs w:val="24"/>
        </w:rPr>
        <w:t>;</w:t>
      </w:r>
      <w:r w:rsidRPr="00554FAF">
        <w:rPr>
          <w:sz w:val="24"/>
          <w:szCs w:val="24"/>
        </w:rPr>
        <w:t xml:space="preserve"> (MZHE)</w:t>
      </w:r>
    </w:p>
    <w:p w14:paraId="380A4C26" w14:textId="3001268E" w:rsidR="004A424A" w:rsidRPr="00554FAF" w:rsidRDefault="004A424A" w:rsidP="00802FB3">
      <w:pPr>
        <w:pStyle w:val="BodyText"/>
        <w:numPr>
          <w:ilvl w:val="0"/>
          <w:numId w:val="65"/>
        </w:numPr>
        <w:spacing w:after="60"/>
        <w:jc w:val="both"/>
        <w:rPr>
          <w:sz w:val="24"/>
          <w:szCs w:val="24"/>
        </w:rPr>
      </w:pPr>
      <w:r w:rsidRPr="00554FAF">
        <w:rPr>
          <w:sz w:val="24"/>
          <w:szCs w:val="24"/>
        </w:rPr>
        <w:t>Inicimi i një thirrje për propozime për projekte H&amp;ZH në TIK</w:t>
      </w:r>
      <w:r w:rsidR="001A24AA" w:rsidRPr="00554FAF">
        <w:rPr>
          <w:sz w:val="24"/>
          <w:szCs w:val="24"/>
        </w:rPr>
        <w:t>;</w:t>
      </w:r>
      <w:r w:rsidRPr="00554FAF">
        <w:rPr>
          <w:sz w:val="24"/>
          <w:szCs w:val="24"/>
        </w:rPr>
        <w:t xml:space="preserve"> (MZHE)</w:t>
      </w:r>
    </w:p>
    <w:p w14:paraId="7E181C07" w14:textId="6BAE76A5" w:rsidR="004A424A" w:rsidRPr="00554FAF" w:rsidRDefault="004A424A" w:rsidP="00802FB3">
      <w:pPr>
        <w:pStyle w:val="BodyText"/>
        <w:numPr>
          <w:ilvl w:val="0"/>
          <w:numId w:val="65"/>
        </w:numPr>
        <w:spacing w:after="60"/>
        <w:jc w:val="both"/>
        <w:rPr>
          <w:sz w:val="24"/>
          <w:szCs w:val="24"/>
        </w:rPr>
      </w:pPr>
      <w:r w:rsidRPr="00554FAF">
        <w:rPr>
          <w:sz w:val="24"/>
          <w:szCs w:val="24"/>
        </w:rPr>
        <w:t>Krijimi i qendrës për edukim - STEM në fushën e TIK-ut në QED</w:t>
      </w:r>
      <w:r w:rsidR="001A24AA" w:rsidRPr="00554FAF">
        <w:rPr>
          <w:sz w:val="24"/>
          <w:szCs w:val="24"/>
        </w:rPr>
        <w:t>;</w:t>
      </w:r>
      <w:r w:rsidRPr="00554FAF">
        <w:rPr>
          <w:sz w:val="24"/>
          <w:szCs w:val="24"/>
        </w:rPr>
        <w:t xml:space="preserve"> (MZHE)</w:t>
      </w:r>
    </w:p>
    <w:p w14:paraId="7DF82AA8" w14:textId="745ED67B" w:rsidR="004A424A" w:rsidRPr="00554FAF" w:rsidRDefault="004A424A" w:rsidP="00802FB3">
      <w:pPr>
        <w:pStyle w:val="BodyText"/>
        <w:numPr>
          <w:ilvl w:val="0"/>
          <w:numId w:val="65"/>
        </w:numPr>
        <w:spacing w:after="60"/>
        <w:jc w:val="both"/>
        <w:rPr>
          <w:sz w:val="24"/>
          <w:szCs w:val="24"/>
        </w:rPr>
      </w:pPr>
      <w:r w:rsidRPr="00554FAF">
        <w:rPr>
          <w:sz w:val="24"/>
          <w:szCs w:val="24"/>
        </w:rPr>
        <w:t>Krijimi i sistemit të monitorimit për TIK</w:t>
      </w:r>
      <w:r w:rsidR="001A24AA" w:rsidRPr="00554FAF">
        <w:rPr>
          <w:sz w:val="24"/>
          <w:szCs w:val="24"/>
        </w:rPr>
        <w:t>;</w:t>
      </w:r>
      <w:r w:rsidRPr="00554FAF">
        <w:rPr>
          <w:sz w:val="24"/>
          <w:szCs w:val="24"/>
        </w:rPr>
        <w:t xml:space="preserve"> (MZHE)</w:t>
      </w:r>
    </w:p>
    <w:p w14:paraId="34896173" w14:textId="0B554E7F" w:rsidR="004A424A" w:rsidRPr="00554FAF" w:rsidRDefault="004A424A" w:rsidP="00802FB3">
      <w:pPr>
        <w:pStyle w:val="BodyText"/>
        <w:numPr>
          <w:ilvl w:val="0"/>
          <w:numId w:val="65"/>
        </w:numPr>
        <w:spacing w:after="60"/>
        <w:jc w:val="both"/>
        <w:rPr>
          <w:sz w:val="24"/>
          <w:szCs w:val="24"/>
        </w:rPr>
      </w:pPr>
      <w:r w:rsidRPr="00554FAF">
        <w:rPr>
          <w:sz w:val="24"/>
          <w:szCs w:val="24"/>
        </w:rPr>
        <w:t xml:space="preserve">Përgatitja e udhërrëfyesit nacional për </w:t>
      </w:r>
      <w:r w:rsidR="001A24AA" w:rsidRPr="00554FAF">
        <w:rPr>
          <w:sz w:val="24"/>
          <w:szCs w:val="24"/>
        </w:rPr>
        <w:t>i</w:t>
      </w:r>
      <w:r w:rsidRPr="00554FAF">
        <w:rPr>
          <w:sz w:val="24"/>
          <w:szCs w:val="24"/>
        </w:rPr>
        <w:t xml:space="preserve">nteligjencë </w:t>
      </w:r>
      <w:r w:rsidR="001A24AA" w:rsidRPr="00554FAF">
        <w:rPr>
          <w:sz w:val="24"/>
          <w:szCs w:val="24"/>
        </w:rPr>
        <w:t>a</w:t>
      </w:r>
      <w:r w:rsidRPr="00554FAF">
        <w:rPr>
          <w:sz w:val="24"/>
          <w:szCs w:val="24"/>
        </w:rPr>
        <w:t>rtificiale, blockchain</w:t>
      </w:r>
      <w:r w:rsidR="001A24AA" w:rsidRPr="00554FAF">
        <w:rPr>
          <w:sz w:val="24"/>
          <w:szCs w:val="24"/>
        </w:rPr>
        <w:t>;</w:t>
      </w:r>
      <w:r w:rsidRPr="00554FAF">
        <w:rPr>
          <w:sz w:val="24"/>
          <w:szCs w:val="24"/>
        </w:rPr>
        <w:t xml:space="preserve"> (MZHE)</w:t>
      </w:r>
    </w:p>
    <w:p w14:paraId="156C3A58" w14:textId="772C0A11" w:rsidR="004A424A" w:rsidRPr="00554FAF" w:rsidRDefault="004A424A" w:rsidP="00802FB3">
      <w:pPr>
        <w:pStyle w:val="Default"/>
        <w:numPr>
          <w:ilvl w:val="2"/>
          <w:numId w:val="49"/>
        </w:numPr>
        <w:spacing w:after="60"/>
        <w:ind w:left="360"/>
        <w:jc w:val="both"/>
        <w:rPr>
          <w:b/>
          <w:lang w:val="sq-AL"/>
        </w:rPr>
      </w:pPr>
      <w:r w:rsidRPr="00554FAF">
        <w:rPr>
          <w:b/>
          <w:bCs/>
          <w:lang w:val="sq-AL"/>
        </w:rPr>
        <w:t>Aktivitetet e planifikuara për 2022:</w:t>
      </w:r>
    </w:p>
    <w:p w14:paraId="7406F2F8" w14:textId="62B1156F" w:rsidR="004A424A" w:rsidRPr="00554FAF" w:rsidRDefault="004A424A" w:rsidP="00802FB3">
      <w:pPr>
        <w:pStyle w:val="BodyText"/>
        <w:numPr>
          <w:ilvl w:val="0"/>
          <w:numId w:val="66"/>
        </w:numPr>
        <w:spacing w:after="60"/>
        <w:ind w:left="810"/>
        <w:jc w:val="both"/>
        <w:rPr>
          <w:sz w:val="24"/>
          <w:szCs w:val="24"/>
        </w:rPr>
      </w:pPr>
      <w:r w:rsidRPr="00554FAF">
        <w:rPr>
          <w:sz w:val="24"/>
          <w:szCs w:val="24"/>
        </w:rPr>
        <w:t>Përkrahja për shtrirjen e infrastrukturës mobile 5G</w:t>
      </w:r>
      <w:r w:rsidR="001A24AA" w:rsidRPr="00554FAF">
        <w:rPr>
          <w:sz w:val="24"/>
          <w:szCs w:val="24"/>
        </w:rPr>
        <w:t>;</w:t>
      </w:r>
      <w:r w:rsidRPr="00554FAF">
        <w:rPr>
          <w:sz w:val="24"/>
          <w:szCs w:val="24"/>
        </w:rPr>
        <w:t xml:space="preserve"> (MZHE)</w:t>
      </w:r>
    </w:p>
    <w:p w14:paraId="49A40C5A" w14:textId="064DE396" w:rsidR="004A424A" w:rsidRPr="00554FAF" w:rsidRDefault="004A424A" w:rsidP="00802FB3">
      <w:pPr>
        <w:pStyle w:val="BodyText"/>
        <w:numPr>
          <w:ilvl w:val="0"/>
          <w:numId w:val="66"/>
        </w:numPr>
        <w:spacing w:after="60"/>
        <w:ind w:left="810"/>
        <w:jc w:val="both"/>
        <w:rPr>
          <w:sz w:val="24"/>
          <w:szCs w:val="24"/>
        </w:rPr>
      </w:pPr>
      <w:r w:rsidRPr="00554FAF">
        <w:rPr>
          <w:sz w:val="24"/>
          <w:szCs w:val="24"/>
        </w:rPr>
        <w:t xml:space="preserve">Zhvillimi i trajnimeve për të rinj dhe lidhja e tyre me mundësitë e punëve online </w:t>
      </w:r>
      <w:r w:rsidR="001A24AA" w:rsidRPr="00554FAF">
        <w:rPr>
          <w:sz w:val="24"/>
          <w:szCs w:val="24"/>
        </w:rPr>
        <w:t>–</w:t>
      </w:r>
      <w:r w:rsidRPr="00554FAF">
        <w:rPr>
          <w:sz w:val="24"/>
          <w:szCs w:val="24"/>
        </w:rPr>
        <w:t xml:space="preserve"> </w:t>
      </w:r>
      <w:r w:rsidR="001A24AA" w:rsidRPr="00554FAF">
        <w:rPr>
          <w:sz w:val="24"/>
          <w:szCs w:val="24"/>
        </w:rPr>
        <w:t xml:space="preserve">të rinjtë online dhe programi i rritjes </w:t>
      </w:r>
      <w:r w:rsidRPr="00554FAF">
        <w:rPr>
          <w:sz w:val="24"/>
          <w:szCs w:val="24"/>
        </w:rPr>
        <w:t>(Youth Online and Up</w:t>
      </w:r>
      <w:r w:rsidR="001A24AA" w:rsidRPr="00554FAF">
        <w:rPr>
          <w:sz w:val="24"/>
          <w:szCs w:val="24"/>
        </w:rPr>
        <w:t>w</w:t>
      </w:r>
      <w:r w:rsidRPr="00554FAF">
        <w:rPr>
          <w:sz w:val="24"/>
          <w:szCs w:val="24"/>
        </w:rPr>
        <w:t>ard Program – YOU)</w:t>
      </w:r>
      <w:r w:rsidR="001A24AA" w:rsidRPr="00554FAF">
        <w:rPr>
          <w:sz w:val="24"/>
          <w:szCs w:val="24"/>
        </w:rPr>
        <w:t>;</w:t>
      </w:r>
      <w:r w:rsidRPr="00554FAF">
        <w:rPr>
          <w:sz w:val="24"/>
          <w:szCs w:val="24"/>
        </w:rPr>
        <w:t xml:space="preserve"> (MZHE)</w:t>
      </w:r>
    </w:p>
    <w:p w14:paraId="357AC711" w14:textId="75209887" w:rsidR="004A424A" w:rsidRPr="00554FAF" w:rsidRDefault="004A424A" w:rsidP="00802FB3">
      <w:pPr>
        <w:pStyle w:val="BodyText"/>
        <w:numPr>
          <w:ilvl w:val="0"/>
          <w:numId w:val="66"/>
        </w:numPr>
        <w:spacing w:after="60"/>
        <w:ind w:left="810"/>
        <w:jc w:val="both"/>
        <w:rPr>
          <w:sz w:val="24"/>
          <w:szCs w:val="24"/>
        </w:rPr>
      </w:pPr>
      <w:r w:rsidRPr="00554FAF">
        <w:rPr>
          <w:sz w:val="24"/>
          <w:szCs w:val="24"/>
        </w:rPr>
        <w:t>Fshatrat e mençura në zonat e largëta</w:t>
      </w:r>
      <w:r w:rsidR="001A24AA" w:rsidRPr="00554FAF">
        <w:rPr>
          <w:sz w:val="24"/>
          <w:szCs w:val="24"/>
        </w:rPr>
        <w:t>;</w:t>
      </w:r>
      <w:r w:rsidRPr="00554FAF">
        <w:rPr>
          <w:sz w:val="24"/>
          <w:szCs w:val="24"/>
        </w:rPr>
        <w:t xml:space="preserve"> (MZHE) </w:t>
      </w:r>
    </w:p>
    <w:p w14:paraId="4233A002" w14:textId="159E32DD" w:rsidR="004A424A" w:rsidRPr="00554FAF" w:rsidRDefault="004A424A" w:rsidP="00802FB3">
      <w:pPr>
        <w:pStyle w:val="BodyText"/>
        <w:numPr>
          <w:ilvl w:val="0"/>
          <w:numId w:val="66"/>
        </w:numPr>
        <w:spacing w:after="60"/>
        <w:ind w:left="810"/>
        <w:jc w:val="both"/>
        <w:rPr>
          <w:sz w:val="24"/>
          <w:szCs w:val="24"/>
        </w:rPr>
      </w:pPr>
      <w:r w:rsidRPr="00554FAF">
        <w:rPr>
          <w:sz w:val="24"/>
          <w:szCs w:val="24"/>
        </w:rPr>
        <w:t xml:space="preserve">Zhvillimi në vazhdimësi i Qendrës së </w:t>
      </w:r>
      <w:r w:rsidR="001A24AA" w:rsidRPr="00554FAF">
        <w:rPr>
          <w:sz w:val="24"/>
          <w:szCs w:val="24"/>
        </w:rPr>
        <w:t>e</w:t>
      </w:r>
      <w:r w:rsidRPr="00554FAF">
        <w:rPr>
          <w:sz w:val="24"/>
          <w:szCs w:val="24"/>
        </w:rPr>
        <w:t xml:space="preserve">kselencës </w:t>
      </w:r>
      <w:r w:rsidR="001A24AA" w:rsidRPr="00554FAF">
        <w:rPr>
          <w:sz w:val="24"/>
          <w:szCs w:val="24"/>
        </w:rPr>
        <w:t>d</w:t>
      </w:r>
      <w:r w:rsidRPr="00554FAF">
        <w:rPr>
          <w:sz w:val="24"/>
          <w:szCs w:val="24"/>
        </w:rPr>
        <w:t>ixhitale - furnizimin e pajisjeve dhe funksionimin e QED</w:t>
      </w:r>
      <w:r w:rsidR="001A24AA" w:rsidRPr="00554FAF">
        <w:rPr>
          <w:sz w:val="24"/>
          <w:szCs w:val="24"/>
        </w:rPr>
        <w:t>;</w:t>
      </w:r>
      <w:r w:rsidRPr="00554FAF">
        <w:rPr>
          <w:sz w:val="24"/>
          <w:szCs w:val="24"/>
        </w:rPr>
        <w:t xml:space="preserve"> (MZHE)</w:t>
      </w:r>
    </w:p>
    <w:p w14:paraId="518E357B" w14:textId="4094506D" w:rsidR="004A424A" w:rsidRPr="00554FAF" w:rsidRDefault="004A424A" w:rsidP="00802FB3">
      <w:pPr>
        <w:pStyle w:val="BodyText"/>
        <w:numPr>
          <w:ilvl w:val="0"/>
          <w:numId w:val="66"/>
        </w:numPr>
        <w:spacing w:after="60"/>
        <w:ind w:left="810"/>
        <w:jc w:val="both"/>
        <w:rPr>
          <w:sz w:val="24"/>
          <w:szCs w:val="24"/>
        </w:rPr>
      </w:pPr>
      <w:r w:rsidRPr="00554FAF">
        <w:rPr>
          <w:sz w:val="24"/>
          <w:szCs w:val="24"/>
        </w:rPr>
        <w:t>Fillimi i klasave për fëmijë nga shkollat ​​fillore në Prizren në edukimin STEM</w:t>
      </w:r>
      <w:r w:rsidR="001A24AA" w:rsidRPr="00554FAF">
        <w:rPr>
          <w:sz w:val="24"/>
          <w:szCs w:val="24"/>
        </w:rPr>
        <w:t>;</w:t>
      </w:r>
      <w:r w:rsidRPr="00554FAF">
        <w:rPr>
          <w:sz w:val="24"/>
          <w:szCs w:val="24"/>
        </w:rPr>
        <w:t xml:space="preserve"> (MZHE);</w:t>
      </w:r>
    </w:p>
    <w:p w14:paraId="57A697D5" w14:textId="7111FDC8" w:rsidR="004A424A" w:rsidRPr="00554FAF" w:rsidRDefault="004A424A" w:rsidP="00802FB3">
      <w:pPr>
        <w:pStyle w:val="BodyText"/>
        <w:numPr>
          <w:ilvl w:val="0"/>
          <w:numId w:val="66"/>
        </w:numPr>
        <w:spacing w:after="60"/>
        <w:ind w:left="810"/>
        <w:jc w:val="both"/>
        <w:rPr>
          <w:sz w:val="24"/>
          <w:szCs w:val="24"/>
        </w:rPr>
      </w:pPr>
      <w:r w:rsidRPr="00554FAF">
        <w:rPr>
          <w:sz w:val="24"/>
          <w:szCs w:val="24"/>
        </w:rPr>
        <w:t>Inicimi i një thirrje për propozime për projekte H&amp;ZH në TIK</w:t>
      </w:r>
      <w:r w:rsidR="001A24AA" w:rsidRPr="00554FAF">
        <w:rPr>
          <w:sz w:val="24"/>
          <w:szCs w:val="24"/>
        </w:rPr>
        <w:t>;</w:t>
      </w:r>
      <w:r w:rsidRPr="00554FAF">
        <w:rPr>
          <w:sz w:val="24"/>
          <w:szCs w:val="24"/>
        </w:rPr>
        <w:t xml:space="preserve"> (MZHE)</w:t>
      </w:r>
    </w:p>
    <w:p w14:paraId="2D1BB2A7" w14:textId="5A41D605" w:rsidR="004A424A" w:rsidRPr="00BA1A1D" w:rsidRDefault="004A424A" w:rsidP="00802FB3">
      <w:pPr>
        <w:pStyle w:val="ListParagraph"/>
        <w:numPr>
          <w:ilvl w:val="0"/>
          <w:numId w:val="66"/>
        </w:numPr>
        <w:autoSpaceDE w:val="0"/>
        <w:autoSpaceDN w:val="0"/>
        <w:adjustRightInd w:val="0"/>
        <w:spacing w:after="60" w:line="240" w:lineRule="auto"/>
        <w:ind w:left="810"/>
        <w:jc w:val="both"/>
        <w:rPr>
          <w:rFonts w:ascii="Times New Roman" w:eastAsia="MS Mincho" w:hAnsi="Times New Roman" w:cs="Times New Roman"/>
          <w:i/>
          <w:color w:val="000000"/>
          <w:sz w:val="24"/>
          <w:szCs w:val="24"/>
        </w:rPr>
      </w:pPr>
      <w:r w:rsidRPr="00BA1A1D">
        <w:rPr>
          <w:rFonts w:ascii="Times New Roman" w:hAnsi="Times New Roman" w:cs="Times New Roman"/>
          <w:sz w:val="24"/>
          <w:szCs w:val="24"/>
        </w:rPr>
        <w:t>Inicimi i pjesëmarrjes së Kosovës në programin e BE-së për raportin vjetor krahasues "Prospective Insights in ICT R&amp;D" (PREDICT)</w:t>
      </w:r>
      <w:r w:rsidR="001A24AA" w:rsidRPr="00BA1A1D">
        <w:rPr>
          <w:rFonts w:ascii="Times New Roman" w:hAnsi="Times New Roman" w:cs="Times New Roman"/>
          <w:sz w:val="24"/>
          <w:szCs w:val="24"/>
        </w:rPr>
        <w:t>;</w:t>
      </w:r>
      <w:r w:rsidRPr="00BA1A1D">
        <w:rPr>
          <w:rFonts w:ascii="Times New Roman" w:hAnsi="Times New Roman" w:cs="Times New Roman"/>
          <w:sz w:val="24"/>
          <w:szCs w:val="24"/>
        </w:rPr>
        <w:t xml:space="preserve"> (MZHE)</w:t>
      </w:r>
      <w:r w:rsidR="001A24AA" w:rsidRPr="00BA1A1D">
        <w:rPr>
          <w:rFonts w:ascii="Times New Roman" w:hAnsi="Times New Roman" w:cs="Times New Roman"/>
          <w:sz w:val="24"/>
          <w:szCs w:val="24"/>
        </w:rPr>
        <w:t>.</w:t>
      </w:r>
    </w:p>
    <w:p w14:paraId="3F4071F2" w14:textId="2ABC5B1B" w:rsidR="004A424A" w:rsidRPr="00554FAF" w:rsidRDefault="004A424A" w:rsidP="000702CB">
      <w:pPr>
        <w:pStyle w:val="Default"/>
        <w:spacing w:after="60"/>
        <w:jc w:val="both"/>
        <w:rPr>
          <w:b/>
          <w:lang w:val="sq-AL"/>
        </w:rPr>
      </w:pPr>
      <w:r w:rsidRPr="00554FAF">
        <w:rPr>
          <w:b/>
          <w:lang w:val="sq-AL"/>
        </w:rPr>
        <w:t xml:space="preserve">2. Treguesit e </w:t>
      </w:r>
      <w:r w:rsidR="001A24AA" w:rsidRPr="00554FAF">
        <w:rPr>
          <w:b/>
          <w:lang w:val="sq-AL"/>
        </w:rPr>
        <w:t>r</w:t>
      </w:r>
      <w:r w:rsidRPr="00554FAF">
        <w:rPr>
          <w:b/>
          <w:lang w:val="sq-AL"/>
        </w:rPr>
        <w:t xml:space="preserve">ezultateve </w:t>
      </w:r>
    </w:p>
    <w:tbl>
      <w:tblPr>
        <w:tblpPr w:leftFromText="180" w:rightFromText="180" w:vertAnchor="text" w:horzAnchor="margin" w:tblpY="175"/>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5"/>
        <w:gridCol w:w="1080"/>
        <w:gridCol w:w="2340"/>
        <w:gridCol w:w="1620"/>
      </w:tblGrid>
      <w:tr w:rsidR="004A424A" w:rsidRPr="00554FAF" w14:paraId="48B5C515" w14:textId="77777777" w:rsidTr="004A424A">
        <w:tc>
          <w:tcPr>
            <w:tcW w:w="4315" w:type="dxa"/>
            <w:shd w:val="clear" w:color="auto" w:fill="auto"/>
          </w:tcPr>
          <w:p w14:paraId="26602E94" w14:textId="77777777" w:rsidR="004A424A" w:rsidRPr="00554FAF" w:rsidRDefault="004A424A" w:rsidP="000702CB">
            <w:pPr>
              <w:pStyle w:val="Default"/>
              <w:spacing w:after="60"/>
              <w:jc w:val="both"/>
              <w:rPr>
                <w:lang w:val="sq-AL"/>
              </w:rPr>
            </w:pPr>
            <w:r w:rsidRPr="00554FAF">
              <w:rPr>
                <w:lang w:val="sq-AL"/>
              </w:rPr>
              <w:t xml:space="preserve">Treguesi </w:t>
            </w:r>
          </w:p>
        </w:tc>
        <w:tc>
          <w:tcPr>
            <w:tcW w:w="1080" w:type="dxa"/>
            <w:shd w:val="clear" w:color="auto" w:fill="auto"/>
          </w:tcPr>
          <w:p w14:paraId="52E79930" w14:textId="77777777" w:rsidR="004A424A" w:rsidRPr="00554FAF" w:rsidRDefault="004A424A" w:rsidP="000702CB">
            <w:pPr>
              <w:pStyle w:val="Default"/>
              <w:spacing w:after="60"/>
              <w:jc w:val="both"/>
              <w:rPr>
                <w:lang w:val="sq-AL"/>
              </w:rPr>
            </w:pPr>
            <w:r w:rsidRPr="00554FAF">
              <w:rPr>
                <w:lang w:val="sq-AL"/>
              </w:rPr>
              <w:t xml:space="preserve">Viti bazë   </w:t>
            </w:r>
          </w:p>
        </w:tc>
        <w:tc>
          <w:tcPr>
            <w:tcW w:w="2340" w:type="dxa"/>
            <w:shd w:val="clear" w:color="auto" w:fill="auto"/>
          </w:tcPr>
          <w:p w14:paraId="19ECB3D6" w14:textId="16FFD3C2" w:rsidR="004A424A" w:rsidRPr="00554FAF" w:rsidRDefault="001A24AA" w:rsidP="000702CB">
            <w:pPr>
              <w:pStyle w:val="Default"/>
              <w:spacing w:after="60"/>
              <w:jc w:val="both"/>
              <w:rPr>
                <w:lang w:val="sq-AL"/>
              </w:rPr>
            </w:pPr>
            <w:r w:rsidRPr="00554FAF">
              <w:rPr>
                <w:lang w:val="sq-AL"/>
              </w:rPr>
              <w:t xml:space="preserve">Synimi </w:t>
            </w:r>
            <w:r w:rsidR="004A424A" w:rsidRPr="00554FAF">
              <w:rPr>
                <w:lang w:val="sq-AL"/>
              </w:rPr>
              <w:t xml:space="preserve">i ndërmjetëm  </w:t>
            </w:r>
          </w:p>
        </w:tc>
        <w:tc>
          <w:tcPr>
            <w:tcW w:w="1620" w:type="dxa"/>
            <w:shd w:val="clear" w:color="auto" w:fill="auto"/>
          </w:tcPr>
          <w:p w14:paraId="28BBD3B6" w14:textId="6F6B6EBF" w:rsidR="004A424A" w:rsidRPr="00554FAF" w:rsidRDefault="001A24AA" w:rsidP="000702CB">
            <w:pPr>
              <w:pStyle w:val="Default"/>
              <w:spacing w:after="60"/>
              <w:jc w:val="both"/>
              <w:rPr>
                <w:lang w:val="sq-AL"/>
              </w:rPr>
            </w:pPr>
            <w:r w:rsidRPr="00554FAF">
              <w:rPr>
                <w:lang w:val="sq-AL"/>
              </w:rPr>
              <w:t xml:space="preserve">Synimi </w:t>
            </w:r>
            <w:r w:rsidR="004A424A" w:rsidRPr="00554FAF">
              <w:rPr>
                <w:lang w:val="sq-AL"/>
              </w:rPr>
              <w:t xml:space="preserve">2022  </w:t>
            </w:r>
          </w:p>
        </w:tc>
      </w:tr>
      <w:tr w:rsidR="004A424A" w:rsidRPr="00554FAF" w14:paraId="5522909E" w14:textId="77777777" w:rsidTr="004A424A">
        <w:tc>
          <w:tcPr>
            <w:tcW w:w="4315" w:type="dxa"/>
            <w:shd w:val="clear" w:color="auto" w:fill="auto"/>
          </w:tcPr>
          <w:p w14:paraId="005699EA" w14:textId="77777777" w:rsidR="004A424A" w:rsidRPr="00554FAF" w:rsidRDefault="004A424A" w:rsidP="000702CB">
            <w:pPr>
              <w:pStyle w:val="Default"/>
              <w:spacing w:after="60"/>
              <w:jc w:val="both"/>
              <w:rPr>
                <w:iCs/>
                <w:lang w:val="sq-AL"/>
              </w:rPr>
            </w:pPr>
            <w:r w:rsidRPr="00554FAF">
              <w:rPr>
                <w:lang w:val="sq-AL"/>
              </w:rPr>
              <w:t>Numri i zonave kadastrale të mbuluara me infrastrukturë fikse brezgjerë</w:t>
            </w:r>
          </w:p>
        </w:tc>
        <w:tc>
          <w:tcPr>
            <w:tcW w:w="1080" w:type="dxa"/>
            <w:shd w:val="clear" w:color="auto" w:fill="auto"/>
          </w:tcPr>
          <w:p w14:paraId="155B4CF9" w14:textId="77777777" w:rsidR="004A424A" w:rsidRPr="00554FAF" w:rsidRDefault="004A424A" w:rsidP="000702CB">
            <w:pPr>
              <w:pStyle w:val="Default"/>
              <w:spacing w:after="60"/>
              <w:jc w:val="both"/>
              <w:rPr>
                <w:iCs/>
                <w:lang w:val="sq-AL"/>
              </w:rPr>
            </w:pPr>
            <w:r w:rsidRPr="00554FAF">
              <w:rPr>
                <w:iCs/>
                <w:lang w:val="sq-AL"/>
              </w:rPr>
              <w:t>2018</w:t>
            </w:r>
          </w:p>
          <w:p w14:paraId="6AA4B151" w14:textId="77777777" w:rsidR="004A424A" w:rsidRPr="00554FAF" w:rsidRDefault="004A424A" w:rsidP="000702CB">
            <w:pPr>
              <w:pStyle w:val="Default"/>
              <w:spacing w:after="60"/>
              <w:jc w:val="both"/>
              <w:rPr>
                <w:iCs/>
                <w:lang w:val="sq-AL"/>
              </w:rPr>
            </w:pPr>
            <w:r w:rsidRPr="00554FAF">
              <w:rPr>
                <w:iCs/>
                <w:lang w:val="sq-AL"/>
              </w:rPr>
              <w:t>34</w:t>
            </w:r>
          </w:p>
        </w:tc>
        <w:tc>
          <w:tcPr>
            <w:tcW w:w="2340" w:type="dxa"/>
            <w:shd w:val="clear" w:color="auto" w:fill="auto"/>
          </w:tcPr>
          <w:p w14:paraId="4B3355DC" w14:textId="77777777" w:rsidR="004A424A" w:rsidRPr="00554FAF" w:rsidRDefault="004A424A" w:rsidP="000702CB">
            <w:pPr>
              <w:pStyle w:val="Default"/>
              <w:spacing w:after="60"/>
              <w:jc w:val="both"/>
              <w:rPr>
                <w:iCs/>
                <w:lang w:val="sq-AL"/>
              </w:rPr>
            </w:pPr>
            <w:r w:rsidRPr="00554FAF">
              <w:rPr>
                <w:iCs/>
                <w:lang w:val="sq-AL"/>
              </w:rPr>
              <w:t>2021</w:t>
            </w:r>
          </w:p>
          <w:p w14:paraId="0B71B862" w14:textId="77777777" w:rsidR="004A424A" w:rsidRPr="00554FAF" w:rsidRDefault="004A424A" w:rsidP="000702CB">
            <w:pPr>
              <w:pStyle w:val="Default"/>
              <w:spacing w:after="60"/>
              <w:jc w:val="both"/>
              <w:rPr>
                <w:iCs/>
                <w:lang w:val="sq-AL"/>
              </w:rPr>
            </w:pPr>
            <w:r w:rsidRPr="00554FAF">
              <w:rPr>
                <w:iCs/>
                <w:lang w:val="sq-AL"/>
              </w:rPr>
              <w:t>150</w:t>
            </w:r>
          </w:p>
        </w:tc>
        <w:tc>
          <w:tcPr>
            <w:tcW w:w="1620" w:type="dxa"/>
            <w:shd w:val="clear" w:color="auto" w:fill="auto"/>
          </w:tcPr>
          <w:p w14:paraId="24BB4AD0" w14:textId="77777777" w:rsidR="004A424A" w:rsidRPr="00554FAF" w:rsidRDefault="004A424A" w:rsidP="000702CB">
            <w:pPr>
              <w:pStyle w:val="Default"/>
              <w:spacing w:after="60"/>
              <w:jc w:val="both"/>
              <w:rPr>
                <w:iCs/>
                <w:lang w:val="sq-AL"/>
              </w:rPr>
            </w:pPr>
            <w:r w:rsidRPr="00554FAF">
              <w:rPr>
                <w:iCs/>
                <w:lang w:val="sq-AL"/>
              </w:rPr>
              <w:t>2022</w:t>
            </w:r>
          </w:p>
          <w:p w14:paraId="4031E4C8" w14:textId="77777777" w:rsidR="004A424A" w:rsidRPr="00554FAF" w:rsidRDefault="004A424A" w:rsidP="000702CB">
            <w:pPr>
              <w:pStyle w:val="Default"/>
              <w:spacing w:after="60"/>
              <w:jc w:val="both"/>
              <w:rPr>
                <w:iCs/>
                <w:lang w:val="sq-AL"/>
              </w:rPr>
            </w:pPr>
            <w:r w:rsidRPr="00554FAF">
              <w:rPr>
                <w:iCs/>
                <w:lang w:val="sq-AL"/>
              </w:rPr>
              <w:t>266</w:t>
            </w:r>
          </w:p>
        </w:tc>
      </w:tr>
      <w:tr w:rsidR="004A424A" w:rsidRPr="00554FAF" w14:paraId="20171F5F" w14:textId="77777777" w:rsidTr="004A424A">
        <w:tc>
          <w:tcPr>
            <w:tcW w:w="4315" w:type="dxa"/>
            <w:shd w:val="clear" w:color="auto" w:fill="auto"/>
          </w:tcPr>
          <w:p w14:paraId="2A12CD93" w14:textId="77777777" w:rsidR="004A424A" w:rsidRPr="00554FAF" w:rsidRDefault="004A424A" w:rsidP="000702CB">
            <w:pPr>
              <w:pStyle w:val="Default"/>
              <w:spacing w:after="60"/>
              <w:jc w:val="both"/>
              <w:rPr>
                <w:iCs/>
                <w:lang w:val="sq-AL"/>
              </w:rPr>
            </w:pPr>
            <w:r w:rsidRPr="00554FAF">
              <w:rPr>
                <w:lang w:val="sq-AL"/>
              </w:rPr>
              <w:t>Numri i të trajnuarve në fushën e TIK, për ekonominë dixhitale</w:t>
            </w:r>
          </w:p>
        </w:tc>
        <w:tc>
          <w:tcPr>
            <w:tcW w:w="1080" w:type="dxa"/>
            <w:shd w:val="clear" w:color="auto" w:fill="auto"/>
          </w:tcPr>
          <w:p w14:paraId="2E654184" w14:textId="77777777" w:rsidR="004A424A" w:rsidRPr="00554FAF" w:rsidRDefault="004A424A" w:rsidP="000702CB">
            <w:pPr>
              <w:pStyle w:val="Default"/>
              <w:spacing w:after="60"/>
              <w:jc w:val="both"/>
              <w:rPr>
                <w:iCs/>
                <w:lang w:val="sq-AL"/>
              </w:rPr>
            </w:pPr>
            <w:r w:rsidRPr="00554FAF">
              <w:rPr>
                <w:iCs/>
                <w:lang w:val="sq-AL"/>
              </w:rPr>
              <w:t>2019</w:t>
            </w:r>
          </w:p>
          <w:p w14:paraId="7D8F38DF" w14:textId="77777777" w:rsidR="004A424A" w:rsidRPr="00554FAF" w:rsidRDefault="004A424A" w:rsidP="000702CB">
            <w:pPr>
              <w:pStyle w:val="Default"/>
              <w:spacing w:after="60"/>
              <w:jc w:val="both"/>
              <w:rPr>
                <w:iCs/>
                <w:lang w:val="sq-AL"/>
              </w:rPr>
            </w:pPr>
            <w:r w:rsidRPr="00554FAF">
              <w:rPr>
                <w:iCs/>
                <w:lang w:val="sq-AL"/>
              </w:rPr>
              <w:t>0</w:t>
            </w:r>
          </w:p>
        </w:tc>
        <w:tc>
          <w:tcPr>
            <w:tcW w:w="2340" w:type="dxa"/>
            <w:shd w:val="clear" w:color="auto" w:fill="auto"/>
          </w:tcPr>
          <w:p w14:paraId="7A85ADA2" w14:textId="77777777" w:rsidR="004A424A" w:rsidRPr="00554FAF" w:rsidRDefault="004A424A" w:rsidP="000702CB">
            <w:pPr>
              <w:pStyle w:val="Default"/>
              <w:spacing w:after="60"/>
              <w:jc w:val="both"/>
              <w:rPr>
                <w:iCs/>
                <w:lang w:val="sq-AL"/>
              </w:rPr>
            </w:pPr>
            <w:r w:rsidRPr="00554FAF">
              <w:rPr>
                <w:iCs/>
                <w:lang w:val="sq-AL"/>
              </w:rPr>
              <w:t>2021</w:t>
            </w:r>
          </w:p>
          <w:p w14:paraId="75630BF8" w14:textId="77777777" w:rsidR="004A424A" w:rsidRPr="00554FAF" w:rsidRDefault="004A424A" w:rsidP="000702CB">
            <w:pPr>
              <w:pStyle w:val="Default"/>
              <w:spacing w:after="60"/>
              <w:jc w:val="both"/>
              <w:rPr>
                <w:iCs/>
                <w:lang w:val="sq-AL"/>
              </w:rPr>
            </w:pPr>
            <w:r w:rsidRPr="00554FAF">
              <w:rPr>
                <w:iCs/>
                <w:lang w:val="sq-AL"/>
              </w:rPr>
              <w:t>2040</w:t>
            </w:r>
          </w:p>
        </w:tc>
        <w:tc>
          <w:tcPr>
            <w:tcW w:w="1620" w:type="dxa"/>
            <w:shd w:val="clear" w:color="auto" w:fill="auto"/>
          </w:tcPr>
          <w:p w14:paraId="73CF2D7D" w14:textId="77777777" w:rsidR="004A424A" w:rsidRPr="00554FAF" w:rsidRDefault="004A424A" w:rsidP="000702CB">
            <w:pPr>
              <w:pStyle w:val="Default"/>
              <w:spacing w:after="60"/>
              <w:jc w:val="both"/>
              <w:rPr>
                <w:iCs/>
                <w:lang w:val="sq-AL"/>
              </w:rPr>
            </w:pPr>
            <w:r w:rsidRPr="00554FAF">
              <w:rPr>
                <w:iCs/>
                <w:lang w:val="sq-AL"/>
              </w:rPr>
              <w:t>2022</w:t>
            </w:r>
          </w:p>
          <w:p w14:paraId="6E11131D" w14:textId="77777777" w:rsidR="004A424A" w:rsidRPr="00554FAF" w:rsidRDefault="004A424A" w:rsidP="000702CB">
            <w:pPr>
              <w:pStyle w:val="Default"/>
              <w:spacing w:after="60"/>
              <w:jc w:val="both"/>
              <w:rPr>
                <w:iCs/>
                <w:lang w:val="sq-AL"/>
              </w:rPr>
            </w:pPr>
            <w:r w:rsidRPr="00554FAF">
              <w:rPr>
                <w:iCs/>
                <w:lang w:val="sq-AL"/>
              </w:rPr>
              <w:t>3060</w:t>
            </w:r>
          </w:p>
        </w:tc>
      </w:tr>
      <w:tr w:rsidR="004A424A" w:rsidRPr="00554FAF" w14:paraId="7472368C" w14:textId="77777777" w:rsidTr="00DF67AB">
        <w:trPr>
          <w:trHeight w:val="422"/>
        </w:trPr>
        <w:tc>
          <w:tcPr>
            <w:tcW w:w="4315" w:type="dxa"/>
            <w:shd w:val="clear" w:color="auto" w:fill="auto"/>
          </w:tcPr>
          <w:p w14:paraId="321B3F47" w14:textId="77777777" w:rsidR="004A424A" w:rsidRPr="00554FAF" w:rsidRDefault="004A424A" w:rsidP="000702CB">
            <w:pPr>
              <w:pStyle w:val="Default"/>
              <w:spacing w:after="60"/>
              <w:jc w:val="both"/>
              <w:rPr>
                <w:lang w:val="sq-AL"/>
              </w:rPr>
            </w:pPr>
            <w:r w:rsidRPr="00554FAF">
              <w:rPr>
                <w:lang w:val="sq-AL"/>
              </w:rPr>
              <w:t>Piloti i 5G në QED i përfunduar</w:t>
            </w:r>
          </w:p>
        </w:tc>
        <w:tc>
          <w:tcPr>
            <w:tcW w:w="1080" w:type="dxa"/>
            <w:shd w:val="clear" w:color="auto" w:fill="auto"/>
          </w:tcPr>
          <w:p w14:paraId="5A57505F" w14:textId="77777777" w:rsidR="004A424A" w:rsidRPr="00554FAF" w:rsidRDefault="004A424A" w:rsidP="000702CB">
            <w:pPr>
              <w:pStyle w:val="Default"/>
              <w:spacing w:after="60"/>
              <w:jc w:val="both"/>
              <w:rPr>
                <w:iCs/>
                <w:lang w:val="sq-AL"/>
              </w:rPr>
            </w:pPr>
            <w:r w:rsidRPr="00554FAF">
              <w:rPr>
                <w:iCs/>
                <w:lang w:val="sq-AL"/>
              </w:rPr>
              <w:t>2019</w:t>
            </w:r>
          </w:p>
          <w:p w14:paraId="62B33496" w14:textId="77777777" w:rsidR="004A424A" w:rsidRPr="00554FAF" w:rsidRDefault="004A424A" w:rsidP="000702CB">
            <w:pPr>
              <w:pStyle w:val="Default"/>
              <w:spacing w:after="60"/>
              <w:jc w:val="both"/>
              <w:rPr>
                <w:iCs/>
                <w:lang w:val="sq-AL"/>
              </w:rPr>
            </w:pPr>
            <w:r w:rsidRPr="00554FAF">
              <w:rPr>
                <w:iCs/>
                <w:lang w:val="sq-AL"/>
              </w:rPr>
              <w:t>JO</w:t>
            </w:r>
          </w:p>
        </w:tc>
        <w:tc>
          <w:tcPr>
            <w:tcW w:w="2340" w:type="dxa"/>
            <w:shd w:val="clear" w:color="auto" w:fill="auto"/>
          </w:tcPr>
          <w:p w14:paraId="0FF543CC" w14:textId="77777777" w:rsidR="004A424A" w:rsidRPr="00554FAF" w:rsidRDefault="004A424A" w:rsidP="000702CB">
            <w:pPr>
              <w:pStyle w:val="Default"/>
              <w:spacing w:after="60"/>
              <w:jc w:val="both"/>
              <w:rPr>
                <w:iCs/>
                <w:lang w:val="sq-AL"/>
              </w:rPr>
            </w:pPr>
            <w:r w:rsidRPr="00554FAF">
              <w:rPr>
                <w:iCs/>
                <w:lang w:val="sq-AL"/>
              </w:rPr>
              <w:t>2020</w:t>
            </w:r>
          </w:p>
          <w:p w14:paraId="4F36B2C3" w14:textId="77777777" w:rsidR="004A424A" w:rsidRPr="00554FAF" w:rsidRDefault="004A424A" w:rsidP="000702CB">
            <w:pPr>
              <w:pStyle w:val="Default"/>
              <w:spacing w:after="60"/>
              <w:jc w:val="both"/>
              <w:rPr>
                <w:iCs/>
                <w:lang w:val="sq-AL"/>
              </w:rPr>
            </w:pPr>
            <w:r w:rsidRPr="00554FAF">
              <w:rPr>
                <w:iCs/>
                <w:lang w:val="sq-AL"/>
              </w:rPr>
              <w:t>PO</w:t>
            </w:r>
          </w:p>
        </w:tc>
        <w:tc>
          <w:tcPr>
            <w:tcW w:w="1620" w:type="dxa"/>
            <w:shd w:val="clear" w:color="auto" w:fill="auto"/>
          </w:tcPr>
          <w:p w14:paraId="0074D1E3" w14:textId="77777777" w:rsidR="004A424A" w:rsidRPr="00554FAF" w:rsidRDefault="004A424A" w:rsidP="000702CB">
            <w:pPr>
              <w:pStyle w:val="Default"/>
              <w:spacing w:after="60"/>
              <w:jc w:val="both"/>
              <w:rPr>
                <w:iCs/>
                <w:lang w:val="sq-AL"/>
              </w:rPr>
            </w:pPr>
            <w:r w:rsidRPr="00554FAF">
              <w:rPr>
                <w:iCs/>
                <w:lang w:val="sq-AL"/>
              </w:rPr>
              <w:t>2021</w:t>
            </w:r>
          </w:p>
          <w:p w14:paraId="1CA4AC49" w14:textId="77777777" w:rsidR="004A424A" w:rsidRPr="00554FAF" w:rsidRDefault="004A424A" w:rsidP="000702CB">
            <w:pPr>
              <w:pStyle w:val="Default"/>
              <w:spacing w:after="60"/>
              <w:jc w:val="both"/>
              <w:rPr>
                <w:iCs/>
                <w:lang w:val="sq-AL"/>
              </w:rPr>
            </w:pPr>
            <w:r w:rsidRPr="00554FAF">
              <w:rPr>
                <w:iCs/>
                <w:lang w:val="sq-AL"/>
              </w:rPr>
              <w:t>PO</w:t>
            </w:r>
          </w:p>
        </w:tc>
      </w:tr>
    </w:tbl>
    <w:p w14:paraId="5CA38FE2" w14:textId="054329FB" w:rsidR="004A424A" w:rsidRPr="00554FAF" w:rsidRDefault="004A424A" w:rsidP="000702CB">
      <w:pPr>
        <w:pStyle w:val="Default"/>
        <w:spacing w:after="60"/>
        <w:jc w:val="both"/>
        <w:rPr>
          <w:b/>
          <w:bCs/>
          <w:lang w:val="sq-AL"/>
        </w:rPr>
      </w:pPr>
      <w:r w:rsidRPr="00554FAF">
        <w:rPr>
          <w:b/>
          <w:bCs/>
          <w:lang w:val="sq-AL"/>
        </w:rPr>
        <w:t xml:space="preserve">3. Ndikimi i pritur në konkurrueshmëri: </w:t>
      </w:r>
      <w:r w:rsidRPr="00554FAF">
        <w:rPr>
          <w:lang w:val="sq-AL"/>
        </w:rPr>
        <w:t>Studimi i BB arrin në përfundim që rritja e penetrimit të infrastrukturës fikse brezëgjerë prej 10% do të përcillet me një rritje prej 1.21% të GDP-së në ekonomitë e zhvilluara dhe 1.38% të GDP-së në ekonomitë në zhvillim. Krijimi i kushteve të përshtatshme përmes shtrirjes së infrastrukturës përkatëse të rrjetave dhe mundësimit të shërbimeve brezëgjerë do të  lehtësojë  qasjen në  tregje ndërkombëtare, zhvillim të modeleve të reja të biznesit, duke i lejuar njerëzit dhe kompanitë të punojnë pavarësisht lokacionit dhe me orar fleksibil</w:t>
      </w:r>
      <w:r w:rsidR="001A24AA" w:rsidRPr="00554FAF">
        <w:rPr>
          <w:lang w:val="sq-AL"/>
        </w:rPr>
        <w:t xml:space="preserve"> </w:t>
      </w:r>
      <w:r w:rsidRPr="00554FAF">
        <w:rPr>
          <w:lang w:val="sq-AL"/>
        </w:rPr>
        <w:t>dhe në përgjithësi përshpejtimin e procedurave dhe proceseve</w:t>
      </w:r>
      <w:r w:rsidR="001A24AA" w:rsidRPr="00554FAF">
        <w:rPr>
          <w:lang w:val="sq-AL"/>
        </w:rPr>
        <w:t xml:space="preserve"> </w:t>
      </w:r>
      <w:r w:rsidRPr="00554FAF">
        <w:rPr>
          <w:lang w:val="sq-AL"/>
        </w:rPr>
        <w:t>duke rritur dinamizmin ekonomik dhe duke përmirësuar konkurrueshmërinë, përmirësimin e tregut të punës dhe mjedisin e biznesit. Ofrimi i një force të kualifikuar për punë do të ndihmonte rritjen e sektorit të TIK-ut, rritjen e konkurrencës dhe shtimin e të hyrave në ekonominë e vendit tonë.</w:t>
      </w:r>
    </w:p>
    <w:p w14:paraId="09D3AC71" w14:textId="50CEB78A" w:rsidR="004A424A" w:rsidRPr="00554FAF" w:rsidRDefault="004A424A" w:rsidP="000702CB">
      <w:pPr>
        <w:pStyle w:val="Default"/>
        <w:spacing w:after="60"/>
        <w:jc w:val="both"/>
        <w:rPr>
          <w:lang w:val="sq-AL"/>
        </w:rPr>
      </w:pPr>
      <w:r w:rsidRPr="00554FAF">
        <w:rPr>
          <w:b/>
          <w:bCs/>
          <w:lang w:val="sq-AL"/>
        </w:rPr>
        <w:t xml:space="preserve">4. Vlerësimi i kostos së aktiviteteve dhe burimet e financimit: </w:t>
      </w:r>
      <w:r w:rsidRPr="00554FAF">
        <w:rPr>
          <w:lang w:val="sq-AL"/>
        </w:rPr>
        <w:t xml:space="preserve">Kostoja totale për zbatimin e </w:t>
      </w:r>
      <w:r w:rsidRPr="00554FAF">
        <w:rPr>
          <w:color w:val="auto"/>
          <w:lang w:val="sq-AL"/>
        </w:rPr>
        <w:t xml:space="preserve">kësaj mase pritet të jetë rreth 25,000,000€ për 2020-2022. Nga kjo shumë totale,  kostoja e vlerësuar për vitin 2020 është 9,519,069 EUR, nga të cilat 1, 500,000 janë fonde nga Buxheti i Kosovës, 2,150,000 janë fonde nga IPA dhe 5,869,000 </w:t>
      </w:r>
      <w:r w:rsidR="001A24AA" w:rsidRPr="00554FAF">
        <w:rPr>
          <w:color w:val="auto"/>
          <w:lang w:val="sq-AL"/>
        </w:rPr>
        <w:t>k</w:t>
      </w:r>
      <w:r w:rsidRPr="00554FAF">
        <w:rPr>
          <w:color w:val="auto"/>
          <w:lang w:val="sq-AL"/>
        </w:rPr>
        <w:t>redi nga Banka Botërore (Projekti KODE)</w:t>
      </w:r>
      <w:r w:rsidRPr="00554FAF">
        <w:rPr>
          <w:lang w:val="sq-AL"/>
        </w:rPr>
        <w:t>. Kostoja e vlerësuar për vitin 2021</w:t>
      </w:r>
      <w:r w:rsidR="001A24AA" w:rsidRPr="00554FAF">
        <w:rPr>
          <w:lang w:val="sq-AL"/>
        </w:rPr>
        <w:t xml:space="preserve"> </w:t>
      </w:r>
      <w:r w:rsidRPr="00554FAF">
        <w:rPr>
          <w:lang w:val="sq-AL"/>
        </w:rPr>
        <w:t>është 8,570,261 EUR nga të cilat 1,200,000 do të financohen nga Buxheti i Kosovës, 2,050,000 nga Fondet IPA dhe 5,320,261 Kredi nga Banka Botërore (Projekti KODE). Ndërsa, kostoja e vlerësuar për vitin 2022 është 6,890,437</w:t>
      </w:r>
      <w:r w:rsidR="001A24AA" w:rsidRPr="00554FAF">
        <w:rPr>
          <w:lang w:val="sq-AL"/>
        </w:rPr>
        <w:t xml:space="preserve"> </w:t>
      </w:r>
      <w:r w:rsidRPr="00554FAF">
        <w:rPr>
          <w:lang w:val="sq-AL"/>
        </w:rPr>
        <w:t>nga të cilat 1,200,000 EUR do të financohen nga Buxheti Qendror 2,050,000</w:t>
      </w:r>
      <w:r w:rsidR="001A24AA" w:rsidRPr="00554FAF">
        <w:rPr>
          <w:lang w:val="sq-AL"/>
        </w:rPr>
        <w:t xml:space="preserve"> </w:t>
      </w:r>
      <w:r w:rsidRPr="00554FAF">
        <w:rPr>
          <w:lang w:val="sq-AL"/>
        </w:rPr>
        <w:t xml:space="preserve">EUR nga Fondet IPA dhe 3,640,437 EUR </w:t>
      </w:r>
      <w:r w:rsidR="001A24AA" w:rsidRPr="00554FAF">
        <w:rPr>
          <w:lang w:val="sq-AL"/>
        </w:rPr>
        <w:t>k</w:t>
      </w:r>
      <w:r w:rsidRPr="00554FAF">
        <w:rPr>
          <w:lang w:val="sq-AL"/>
        </w:rPr>
        <w:t xml:space="preserve">redi nga Banka Botërore (Projekti KODE). </w:t>
      </w:r>
    </w:p>
    <w:p w14:paraId="188B2EA4" w14:textId="292EA1B3" w:rsidR="004A424A" w:rsidRPr="00554FAF" w:rsidRDefault="004A424A" w:rsidP="000702CB">
      <w:pPr>
        <w:pStyle w:val="Default"/>
        <w:spacing w:after="60"/>
        <w:jc w:val="both"/>
        <w:rPr>
          <w:b/>
          <w:bCs/>
          <w:i/>
          <w:iCs/>
          <w:lang w:val="sq-AL"/>
        </w:rPr>
      </w:pPr>
      <w:r w:rsidRPr="00554FAF">
        <w:rPr>
          <w:b/>
          <w:bCs/>
          <w:iCs/>
          <w:lang w:val="sq-AL"/>
        </w:rPr>
        <w:t>5. Ndikimet e pritshme mbi rezultatet sociale, të tilla si punësimi, reduktimi i varfërisë, barazia gjinore:</w:t>
      </w:r>
      <w:r w:rsidRPr="00554FAF">
        <w:rPr>
          <w:b/>
          <w:bCs/>
          <w:i/>
          <w:iCs/>
          <w:lang w:val="sq-AL"/>
        </w:rPr>
        <w:t xml:space="preserve"> </w:t>
      </w:r>
      <w:r w:rsidRPr="00554FAF">
        <w:rPr>
          <w:lang w:val="sq-AL"/>
        </w:rPr>
        <w:t xml:space="preserve">Kjo masë do të ketë ndikim pozitiv në punësim duke zgjeruar mundësitë për punë dixhitale, me fokus të veçantë tek të rinjtë, gratë dhe personat me aftësi të kufizuara. Sipas disa anketimeve infrastruktura brezëgjerë (broadband-i) është vlerësuar si një </w:t>
      </w:r>
      <w:r w:rsidR="00366828" w:rsidRPr="00554FAF">
        <w:rPr>
          <w:lang w:val="sq-AL"/>
        </w:rPr>
        <w:t xml:space="preserve">motivues </w:t>
      </w:r>
      <w:r w:rsidRPr="00554FAF">
        <w:rPr>
          <w:lang w:val="sq-AL"/>
        </w:rPr>
        <w:t>kryesor i punës fleksibile, në më shumë se ¾ e bizneseve të anketuara duke e cekur zgjerimin e infrastrukturës brezëgjerë si faktor që ndikon në këtë. Si rezultat direkt i komponentës së dytë të Programit KODE është planifikuar krijimi i 400 vendeve të reja të punës në bizneset e softuerit të TI-së</w:t>
      </w:r>
      <w:r w:rsidR="00366828" w:rsidRPr="00554FAF">
        <w:rPr>
          <w:lang w:val="sq-AL"/>
        </w:rPr>
        <w:t xml:space="preserve"> </w:t>
      </w:r>
      <w:r w:rsidRPr="00554FAF">
        <w:rPr>
          <w:lang w:val="sq-AL"/>
        </w:rPr>
        <w:t>dhe janë planifikuar trajnime në TIK për 2000 persona, të cilët potencialisht mund të konsiderohen vende të reja të punës (të punësuar apo vetëpunësuar).</w:t>
      </w:r>
    </w:p>
    <w:p w14:paraId="2E88F6E9" w14:textId="77777777" w:rsidR="004A424A" w:rsidRPr="00554FAF" w:rsidRDefault="004A424A" w:rsidP="000702CB">
      <w:pPr>
        <w:pStyle w:val="Default"/>
        <w:spacing w:after="60"/>
        <w:jc w:val="both"/>
        <w:rPr>
          <w:lang w:val="sq-AL"/>
        </w:rPr>
      </w:pPr>
      <w:r w:rsidRPr="00554FAF">
        <w:rPr>
          <w:b/>
          <w:bCs/>
          <w:iCs/>
          <w:lang w:val="sq-AL"/>
        </w:rPr>
        <w:t>6. Ndikimi i pritshëm në mjedis:</w:t>
      </w:r>
      <w:r w:rsidRPr="00554FAF">
        <w:rPr>
          <w:b/>
          <w:bCs/>
          <w:i/>
          <w:iCs/>
          <w:lang w:val="sq-AL"/>
        </w:rPr>
        <w:t xml:space="preserve"> </w:t>
      </w:r>
      <w:r w:rsidRPr="00554FAF">
        <w:rPr>
          <w:lang w:val="sq-AL"/>
        </w:rPr>
        <w:t>Masa është neutrale ndaj mjedisit.</w:t>
      </w:r>
    </w:p>
    <w:p w14:paraId="57751E5D" w14:textId="77777777" w:rsidR="004A424A" w:rsidRPr="00554FAF" w:rsidRDefault="004A424A" w:rsidP="000702CB">
      <w:pPr>
        <w:pStyle w:val="Default"/>
        <w:spacing w:after="60"/>
        <w:jc w:val="both"/>
        <w:rPr>
          <w:lang w:val="sq-AL"/>
        </w:rPr>
      </w:pPr>
      <w:r w:rsidRPr="00554FAF">
        <w:rPr>
          <w:lang w:val="sq-AL"/>
        </w:rPr>
        <w:t xml:space="preserve"> </w:t>
      </w:r>
    </w:p>
    <w:p w14:paraId="431AA7D5" w14:textId="77777777" w:rsidR="004A424A" w:rsidRPr="00554FAF" w:rsidRDefault="004A424A" w:rsidP="000702CB">
      <w:pPr>
        <w:pStyle w:val="Default"/>
        <w:spacing w:after="60"/>
        <w:jc w:val="both"/>
        <w:rPr>
          <w:b/>
          <w:bCs/>
          <w:lang w:val="sq-AL"/>
        </w:rPr>
      </w:pPr>
      <w:r w:rsidRPr="00554FAF">
        <w:rPr>
          <w:b/>
          <w:bCs/>
          <w:lang w:val="sq-AL"/>
        </w:rPr>
        <w:t>7. Rreziqet potenciale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8"/>
        <w:gridCol w:w="1710"/>
        <w:gridCol w:w="3690"/>
      </w:tblGrid>
      <w:tr w:rsidR="004A424A" w:rsidRPr="00554FAF" w14:paraId="387271D2" w14:textId="77777777" w:rsidTr="004A424A">
        <w:tc>
          <w:tcPr>
            <w:tcW w:w="4158" w:type="dxa"/>
            <w:shd w:val="clear" w:color="auto" w:fill="auto"/>
          </w:tcPr>
          <w:p w14:paraId="70A56C3E" w14:textId="77777777" w:rsidR="004A424A" w:rsidRPr="00554FAF" w:rsidRDefault="004A424A" w:rsidP="000702CB">
            <w:pPr>
              <w:pStyle w:val="Default"/>
              <w:spacing w:after="60"/>
              <w:jc w:val="both"/>
              <w:rPr>
                <w:lang w:val="sq-AL"/>
              </w:rPr>
            </w:pPr>
            <w:r w:rsidRPr="00554FAF">
              <w:rPr>
                <w:b/>
                <w:bCs/>
                <w:lang w:val="sq-AL"/>
              </w:rPr>
              <w:t xml:space="preserve">Rreziku </w:t>
            </w:r>
          </w:p>
        </w:tc>
        <w:tc>
          <w:tcPr>
            <w:tcW w:w="1710" w:type="dxa"/>
            <w:shd w:val="clear" w:color="auto" w:fill="auto"/>
          </w:tcPr>
          <w:p w14:paraId="15368CDF" w14:textId="77777777" w:rsidR="004A424A" w:rsidRPr="00554FAF" w:rsidRDefault="004A424A" w:rsidP="000702CB">
            <w:pPr>
              <w:pStyle w:val="Default"/>
              <w:spacing w:after="60"/>
              <w:ind w:right="-122"/>
              <w:jc w:val="both"/>
              <w:rPr>
                <w:lang w:val="sq-AL"/>
              </w:rPr>
            </w:pPr>
            <w:r w:rsidRPr="00554FAF">
              <w:rPr>
                <w:b/>
                <w:bCs/>
                <w:lang w:val="sq-AL"/>
              </w:rPr>
              <w:t xml:space="preserve">Probabiliteti (i ulët ose i lartë) </w:t>
            </w:r>
          </w:p>
        </w:tc>
        <w:tc>
          <w:tcPr>
            <w:tcW w:w="3690" w:type="dxa"/>
            <w:shd w:val="clear" w:color="auto" w:fill="auto"/>
          </w:tcPr>
          <w:p w14:paraId="68C714B6" w14:textId="77777777" w:rsidR="004A424A" w:rsidRPr="00554FAF" w:rsidRDefault="004A424A" w:rsidP="000702CB">
            <w:pPr>
              <w:pStyle w:val="Default"/>
              <w:spacing w:after="60"/>
              <w:jc w:val="both"/>
              <w:rPr>
                <w:lang w:val="sq-AL"/>
              </w:rPr>
            </w:pPr>
            <w:r w:rsidRPr="00554FAF">
              <w:rPr>
                <w:b/>
                <w:bCs/>
                <w:lang w:val="sq-AL"/>
              </w:rPr>
              <w:t xml:space="preserve">Veprimi lehtësues i planifikuar </w:t>
            </w:r>
          </w:p>
        </w:tc>
      </w:tr>
      <w:tr w:rsidR="004A424A" w:rsidRPr="00554FAF" w14:paraId="3C7DB7D2" w14:textId="77777777" w:rsidTr="004A424A">
        <w:tc>
          <w:tcPr>
            <w:tcW w:w="4158" w:type="dxa"/>
            <w:shd w:val="clear" w:color="auto" w:fill="auto"/>
          </w:tcPr>
          <w:p w14:paraId="198547C1" w14:textId="77777777" w:rsidR="004A424A" w:rsidRPr="00554FAF" w:rsidRDefault="004A424A" w:rsidP="000702CB">
            <w:pPr>
              <w:pStyle w:val="Default"/>
              <w:spacing w:after="60"/>
              <w:jc w:val="both"/>
              <w:rPr>
                <w:lang w:val="sq-AL"/>
              </w:rPr>
            </w:pPr>
            <w:r w:rsidRPr="00554FAF">
              <w:rPr>
                <w:lang w:val="sq-AL"/>
              </w:rPr>
              <w:t>1. Vonesat eventuale në realizimin e projekteve me BB dhe IPA</w:t>
            </w:r>
          </w:p>
          <w:p w14:paraId="291E6F03" w14:textId="77777777" w:rsidR="004A424A" w:rsidRPr="00554FAF" w:rsidRDefault="004A424A" w:rsidP="000702CB">
            <w:pPr>
              <w:pStyle w:val="Default"/>
              <w:spacing w:after="60"/>
              <w:jc w:val="both"/>
              <w:rPr>
                <w:lang w:val="sq-AL"/>
              </w:rPr>
            </w:pPr>
          </w:p>
          <w:p w14:paraId="0F958CE6" w14:textId="77777777" w:rsidR="004A424A" w:rsidRPr="00554FAF" w:rsidRDefault="004A424A" w:rsidP="000702CB">
            <w:pPr>
              <w:pStyle w:val="Default"/>
              <w:spacing w:after="60"/>
              <w:jc w:val="both"/>
              <w:rPr>
                <w:lang w:val="sq-AL"/>
              </w:rPr>
            </w:pPr>
          </w:p>
        </w:tc>
        <w:tc>
          <w:tcPr>
            <w:tcW w:w="1710" w:type="dxa"/>
            <w:shd w:val="clear" w:color="auto" w:fill="auto"/>
          </w:tcPr>
          <w:p w14:paraId="774B1FFA" w14:textId="77777777" w:rsidR="004A424A" w:rsidRPr="00554FAF" w:rsidRDefault="004A424A" w:rsidP="000702CB">
            <w:pPr>
              <w:pStyle w:val="Default"/>
              <w:spacing w:after="60"/>
              <w:jc w:val="both"/>
              <w:rPr>
                <w:lang w:val="sq-AL"/>
              </w:rPr>
            </w:pPr>
            <w:r w:rsidRPr="00554FAF">
              <w:rPr>
                <w:lang w:val="sq-AL"/>
              </w:rPr>
              <w:t>I ulët</w:t>
            </w:r>
          </w:p>
        </w:tc>
        <w:tc>
          <w:tcPr>
            <w:tcW w:w="3690" w:type="dxa"/>
            <w:vMerge w:val="restart"/>
            <w:shd w:val="clear" w:color="auto" w:fill="auto"/>
          </w:tcPr>
          <w:p w14:paraId="1816C484" w14:textId="77777777" w:rsidR="004A424A" w:rsidRPr="00554FAF" w:rsidRDefault="004A424A" w:rsidP="000702CB">
            <w:pPr>
              <w:pStyle w:val="Default"/>
              <w:spacing w:after="60"/>
              <w:jc w:val="both"/>
              <w:rPr>
                <w:lang w:val="sq-AL"/>
              </w:rPr>
            </w:pPr>
            <w:r w:rsidRPr="00554FAF">
              <w:rPr>
                <w:lang w:val="sq-AL"/>
              </w:rPr>
              <w:t>Shqyrtimi i hollësishëm, në fazën e hershme të zbatimit të aktivitetit, të fuqisë punëtore potenciale të TIK dhe bizneseve ekzistuese të TIK në lidhje me kriteret për pranim në aktivitet, duke përdorur mjetet më efikase të TIK-ut për testimin dhe vlerësimin e kandidatëve potencialë</w:t>
            </w:r>
          </w:p>
        </w:tc>
      </w:tr>
      <w:tr w:rsidR="004A424A" w:rsidRPr="00554FAF" w14:paraId="6FA402D4" w14:textId="77777777" w:rsidTr="004A424A">
        <w:tc>
          <w:tcPr>
            <w:tcW w:w="4158" w:type="dxa"/>
            <w:shd w:val="clear" w:color="auto" w:fill="auto"/>
          </w:tcPr>
          <w:p w14:paraId="3E01D226" w14:textId="77777777" w:rsidR="004A424A" w:rsidRPr="00554FAF" w:rsidRDefault="004A424A" w:rsidP="000702CB">
            <w:pPr>
              <w:pStyle w:val="Default"/>
              <w:spacing w:after="60"/>
              <w:jc w:val="both"/>
              <w:rPr>
                <w:lang w:val="sq-AL"/>
              </w:rPr>
            </w:pPr>
            <w:r w:rsidRPr="00554FAF">
              <w:rPr>
                <w:lang w:val="sq-AL"/>
              </w:rPr>
              <w:t>2. Kapacitetet e kufizuara absorbuese në mesin e fuqisë punëtore potenciale të TIK dhe bizneseve të TIK</w:t>
            </w:r>
          </w:p>
        </w:tc>
        <w:tc>
          <w:tcPr>
            <w:tcW w:w="1710" w:type="dxa"/>
            <w:shd w:val="clear" w:color="auto" w:fill="auto"/>
          </w:tcPr>
          <w:p w14:paraId="66E7D3FE" w14:textId="77777777" w:rsidR="004A424A" w:rsidRPr="00554FAF" w:rsidRDefault="004A424A" w:rsidP="000702CB">
            <w:pPr>
              <w:pStyle w:val="Default"/>
              <w:spacing w:after="60"/>
              <w:jc w:val="both"/>
              <w:rPr>
                <w:lang w:val="sq-AL"/>
              </w:rPr>
            </w:pPr>
            <w:r w:rsidRPr="00554FAF">
              <w:rPr>
                <w:lang w:val="sq-AL"/>
              </w:rPr>
              <w:t>I ulët</w:t>
            </w:r>
          </w:p>
        </w:tc>
        <w:tc>
          <w:tcPr>
            <w:tcW w:w="3690" w:type="dxa"/>
            <w:vMerge/>
            <w:shd w:val="clear" w:color="auto" w:fill="auto"/>
          </w:tcPr>
          <w:p w14:paraId="66BCAF75" w14:textId="77777777" w:rsidR="004A424A" w:rsidRPr="00554FAF" w:rsidRDefault="004A424A" w:rsidP="000702CB">
            <w:pPr>
              <w:pStyle w:val="Default"/>
              <w:spacing w:after="60"/>
              <w:jc w:val="both"/>
              <w:rPr>
                <w:lang w:val="sq-AL"/>
              </w:rPr>
            </w:pPr>
          </w:p>
        </w:tc>
      </w:tr>
    </w:tbl>
    <w:p w14:paraId="020D6B5E" w14:textId="77777777" w:rsidR="004A424A" w:rsidRPr="00554FAF" w:rsidRDefault="004A424A" w:rsidP="000702CB">
      <w:pPr>
        <w:pStyle w:val="Default"/>
        <w:spacing w:after="60"/>
        <w:jc w:val="both"/>
        <w:rPr>
          <w:lang w:val="sq-AL"/>
        </w:rPr>
      </w:pPr>
    </w:p>
    <w:p w14:paraId="3C48A38C" w14:textId="77777777" w:rsidR="006114F2" w:rsidRPr="00554FAF" w:rsidRDefault="006114F2" w:rsidP="00085F16">
      <w:pPr>
        <w:pStyle w:val="ERPL3"/>
      </w:pPr>
      <w:bookmarkStart w:id="204" w:name="_Toc25533246"/>
      <w:bookmarkStart w:id="205" w:name="_Toc25873752"/>
      <w:r w:rsidRPr="00554FAF">
        <w:t>4.3.5. Reformat në tregti</w:t>
      </w:r>
      <w:bookmarkEnd w:id="203"/>
      <w:bookmarkEnd w:id="204"/>
      <w:bookmarkEnd w:id="205"/>
    </w:p>
    <w:p w14:paraId="2E46E55E" w14:textId="3953AFEE" w:rsidR="004A424A" w:rsidRPr="00554FAF" w:rsidRDefault="008C7AAB" w:rsidP="000702CB">
      <w:pPr>
        <w:spacing w:after="60" w:line="240" w:lineRule="auto"/>
        <w:jc w:val="both"/>
        <w:rPr>
          <w:rFonts w:ascii="Times New Roman" w:hAnsi="Times New Roman" w:cs="Times New Roman"/>
          <w:b/>
          <w:sz w:val="24"/>
          <w:szCs w:val="24"/>
        </w:rPr>
      </w:pPr>
      <w:bookmarkStart w:id="206" w:name="_bookmark28"/>
      <w:bookmarkStart w:id="207" w:name="_Toc13127897"/>
      <w:bookmarkEnd w:id="206"/>
      <w:r w:rsidRPr="00554FAF">
        <w:rPr>
          <w:rFonts w:ascii="Times New Roman" w:hAnsi="Times New Roman" w:cs="Times New Roman"/>
          <w:b/>
          <w:sz w:val="24"/>
          <w:szCs w:val="24"/>
        </w:rPr>
        <w:t xml:space="preserve">a. </w:t>
      </w:r>
      <w:r w:rsidR="004A424A" w:rsidRPr="00554FAF">
        <w:rPr>
          <w:rFonts w:ascii="Times New Roman" w:hAnsi="Times New Roman" w:cs="Times New Roman"/>
          <w:b/>
          <w:sz w:val="24"/>
          <w:szCs w:val="24"/>
        </w:rPr>
        <w:t xml:space="preserve">Analiza e pengesave kryesore </w:t>
      </w:r>
    </w:p>
    <w:p w14:paraId="29AF4576" w14:textId="28B97B7F" w:rsidR="00737AC7" w:rsidRPr="00554FAF" w:rsidRDefault="004A424A"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b/>
          <w:sz w:val="24"/>
          <w:szCs w:val="24"/>
        </w:rPr>
        <w:t>Gjendja aktuale:</w:t>
      </w:r>
      <w:r w:rsidRPr="00554FAF">
        <w:rPr>
          <w:rFonts w:ascii="Times New Roman" w:hAnsi="Times New Roman" w:cs="Times New Roman"/>
          <w:sz w:val="24"/>
          <w:szCs w:val="24"/>
        </w:rPr>
        <w:t xml:space="preserve"> Kosova ka ndërmarrë hapa thelbësorë në liberalizimin e ekonomisë dhe tregtisë së jashtme. Hapa të rëndësishëm ishin anëtarësimi në CEFTA që nga viti 2007 dhe Marrëveshja e Stabilizim Asociimit me BE. Së fundi është ratifikuar nga Presidenti</w:t>
      </w:r>
      <w:r w:rsidR="008C7AAB" w:rsidRPr="00554FAF">
        <w:rPr>
          <w:rFonts w:ascii="Times New Roman" w:hAnsi="Times New Roman" w:cs="Times New Roman"/>
          <w:sz w:val="24"/>
          <w:szCs w:val="24"/>
        </w:rPr>
        <w:t>,</w:t>
      </w:r>
      <w:r w:rsidRPr="00554FAF">
        <w:rPr>
          <w:rFonts w:ascii="Times New Roman" w:hAnsi="Times New Roman" w:cs="Times New Roman"/>
          <w:sz w:val="24"/>
          <w:szCs w:val="24"/>
        </w:rPr>
        <w:t xml:space="preserve"> Marrëveshja e Tregtisë së Lirë me Turqinë e cila ka hyrë në fuqi me 1 Shtator 2019. Gjithashtu, janë finalizuar negociatat me Mbretërinë e Bashkuar për MTL. Megjithatë, tregtia e mallrave në Kosovë mbetet e dominuar nga importet që përbëjnë pothuajse 90% të tregtisë totale, ndërsa eksportet e shërbimeve përbëjnë 68.9% të eksportit total. Aktivitetet e shërbimeve në vitin 2017 kanë përbërë 71.9 për qind të PBV-së. Duke pasur parasysh këtë rol të rëndësishëm të shërbimeve për konkurrencën e Kosovës, heqja e barrierave tregtare për zhvillimet në sektorin e shërbimeve është vendimtare. Sa i përket eksporteve të mallrave, mungesa e diversifikimit të produkteve është veçanërisht akute kur bëhet fjalë për eksportet e </w:t>
      </w:r>
      <w:r w:rsidR="00F202BD" w:rsidRPr="00554FAF">
        <w:rPr>
          <w:rFonts w:ascii="Times New Roman" w:hAnsi="Times New Roman" w:cs="Times New Roman"/>
          <w:sz w:val="24"/>
          <w:szCs w:val="24"/>
        </w:rPr>
        <w:t>Kosovës</w:t>
      </w:r>
      <w:r w:rsidRPr="00554FAF">
        <w:rPr>
          <w:rFonts w:ascii="Times New Roman" w:hAnsi="Times New Roman" w:cs="Times New Roman"/>
          <w:sz w:val="24"/>
          <w:szCs w:val="24"/>
        </w:rPr>
        <w:t xml:space="preserve"> në tregjet e zhvilluara (BE, CEFTA) me indeksin herfindahl-hirschman prej 0.52 dhe 0.6. Nga ana tjetër, eksportet në CEFTA janë më të larmishme me indeksin hh prej 0.25. Në nivel rajonal, Kosova është pjesëmarrëse në reformat e lehtësimit të tregtisë përmes mekanizmave të CEFTA-s. </w:t>
      </w:r>
    </w:p>
    <w:p w14:paraId="70DA1B37" w14:textId="75DF217B" w:rsidR="004A424A" w:rsidRPr="00554FAF" w:rsidRDefault="004A424A"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sz w:val="24"/>
          <w:szCs w:val="24"/>
        </w:rPr>
        <w:t>Agjenda e lehtësimit të tregtisë të vendeve të CEFTA-së është e lidhur me Marrëveshjen e OBT për Lehtësimin e Tregtisë. Sipas raportit të vetë</w:t>
      </w:r>
      <w:r w:rsidR="008C7AAB" w:rsidRPr="00554FAF">
        <w:rPr>
          <w:rFonts w:ascii="Times New Roman" w:hAnsi="Times New Roman" w:cs="Times New Roman"/>
          <w:sz w:val="24"/>
          <w:szCs w:val="24"/>
        </w:rPr>
        <w:t xml:space="preserve"> </w:t>
      </w:r>
      <w:r w:rsidRPr="00554FAF">
        <w:rPr>
          <w:rFonts w:ascii="Times New Roman" w:hAnsi="Times New Roman" w:cs="Times New Roman"/>
          <w:sz w:val="24"/>
          <w:szCs w:val="24"/>
        </w:rPr>
        <w:t xml:space="preserve">vlerësimit që Kosova e ka bërë në bazë të Marrëveshjes së OBT-së, kërkohen masa të menjëhershme për një numër çështjesh, duke përfshirë: shkëmbimin e informacionit, kontrollit pas </w:t>
      </w:r>
      <w:r w:rsidR="008C7AAB" w:rsidRPr="00554FAF">
        <w:rPr>
          <w:rFonts w:ascii="Times New Roman" w:hAnsi="Times New Roman" w:cs="Times New Roman"/>
          <w:sz w:val="24"/>
          <w:szCs w:val="24"/>
        </w:rPr>
        <w:t>s</w:t>
      </w:r>
      <w:r w:rsidRPr="00554FAF">
        <w:rPr>
          <w:rFonts w:ascii="Times New Roman" w:hAnsi="Times New Roman" w:cs="Times New Roman"/>
          <w:sz w:val="24"/>
          <w:szCs w:val="24"/>
        </w:rPr>
        <w:t xml:space="preserve">hdoganimit, menaxhimin e rrezikut, procedurat e parambërritjes, pagesa elektronike, procedurat e njoftimit, procedurat e konsultimit, tarifa dhe ngarkesa mbi importet dhe eksportet, operatorët e autorizuar ekonomik dhe fusha të tjera. Në Raportin e </w:t>
      </w:r>
      <w:r w:rsidR="008C7AAB" w:rsidRPr="00554FAF">
        <w:rPr>
          <w:rFonts w:ascii="Times New Roman" w:hAnsi="Times New Roman" w:cs="Times New Roman"/>
          <w:sz w:val="24"/>
          <w:szCs w:val="24"/>
        </w:rPr>
        <w:t>p</w:t>
      </w:r>
      <w:r w:rsidRPr="00554FAF">
        <w:rPr>
          <w:rFonts w:ascii="Times New Roman" w:hAnsi="Times New Roman" w:cs="Times New Roman"/>
          <w:sz w:val="24"/>
          <w:szCs w:val="24"/>
        </w:rPr>
        <w:t>olitikave të konkurrueshmërisë 2018 të OECD-së, politikat e lehtësimit të tregtisë së Kosovës u renditën ndër më të ulëtat në mesin e 6 vendeve të SEE. Veçanërisht kritike janë fushat e standardeve teknike dhe masat sanitare dhe fitosanitare</w:t>
      </w:r>
      <w:r w:rsidR="008C7AAB" w:rsidRPr="00554FAF">
        <w:rPr>
          <w:rFonts w:ascii="Times New Roman" w:hAnsi="Times New Roman" w:cs="Times New Roman"/>
          <w:sz w:val="24"/>
          <w:szCs w:val="24"/>
        </w:rPr>
        <w:t>,</w:t>
      </w:r>
      <w:r w:rsidRPr="00554FAF">
        <w:rPr>
          <w:rFonts w:ascii="Times New Roman" w:hAnsi="Times New Roman" w:cs="Times New Roman"/>
          <w:sz w:val="24"/>
          <w:szCs w:val="24"/>
        </w:rPr>
        <w:t xml:space="preserve"> infrastruktura dhe procedurat e vlerësimit të konformitetit</w:t>
      </w:r>
      <w:r w:rsidR="008C7AAB" w:rsidRPr="00554FAF">
        <w:rPr>
          <w:rFonts w:ascii="Times New Roman" w:hAnsi="Times New Roman" w:cs="Times New Roman"/>
          <w:sz w:val="24"/>
          <w:szCs w:val="24"/>
        </w:rPr>
        <w:t>,</w:t>
      </w:r>
      <w:r w:rsidRPr="00554FAF">
        <w:rPr>
          <w:rFonts w:ascii="Times New Roman" w:hAnsi="Times New Roman" w:cs="Times New Roman"/>
          <w:sz w:val="24"/>
          <w:szCs w:val="24"/>
        </w:rPr>
        <w:t xml:space="preserve"> zbatimi i riskut i bazuar në inspektime dhe sistemi i informacionit në fushën e SPS. </w:t>
      </w:r>
      <w:r w:rsidR="008C7AAB" w:rsidRPr="00554FAF">
        <w:rPr>
          <w:rFonts w:ascii="Times New Roman" w:hAnsi="Times New Roman" w:cs="Times New Roman"/>
          <w:sz w:val="24"/>
          <w:szCs w:val="24"/>
        </w:rPr>
        <w:t>Gjithashtu, r</w:t>
      </w:r>
      <w:r w:rsidRPr="00554FAF">
        <w:rPr>
          <w:rFonts w:ascii="Times New Roman" w:hAnsi="Times New Roman" w:cs="Times New Roman"/>
          <w:sz w:val="24"/>
          <w:szCs w:val="24"/>
        </w:rPr>
        <w:t>ezultati për licencat e importit ishte më i ulëti në SEE</w:t>
      </w:r>
      <w:r w:rsidR="008C7AAB" w:rsidRPr="00554FAF">
        <w:rPr>
          <w:rFonts w:ascii="Times New Roman" w:hAnsi="Times New Roman" w:cs="Times New Roman"/>
          <w:sz w:val="24"/>
          <w:szCs w:val="24"/>
        </w:rPr>
        <w:t>,</w:t>
      </w:r>
      <w:r w:rsidRPr="00554FAF">
        <w:rPr>
          <w:rFonts w:ascii="Times New Roman" w:hAnsi="Times New Roman" w:cs="Times New Roman"/>
          <w:sz w:val="24"/>
          <w:szCs w:val="24"/>
        </w:rPr>
        <w:t xml:space="preserve"> ndërsa sa i përket </w:t>
      </w:r>
      <w:r w:rsidR="008C7AAB" w:rsidRPr="00554FAF">
        <w:rPr>
          <w:rFonts w:ascii="Times New Roman" w:hAnsi="Times New Roman" w:cs="Times New Roman"/>
          <w:sz w:val="24"/>
          <w:szCs w:val="24"/>
        </w:rPr>
        <w:t xml:space="preserve">barrës </w:t>
      </w:r>
      <w:r w:rsidRPr="00554FAF">
        <w:rPr>
          <w:rFonts w:ascii="Times New Roman" w:hAnsi="Times New Roman" w:cs="Times New Roman"/>
          <w:sz w:val="24"/>
          <w:szCs w:val="24"/>
        </w:rPr>
        <w:t xml:space="preserve">administrative për tregtinë, performanca e Kosovës është e krahasueshme me vendet e tjera. Në raportin e të bërit </w:t>
      </w:r>
      <w:r w:rsidR="008C7AAB" w:rsidRPr="00554FAF">
        <w:rPr>
          <w:rFonts w:ascii="Times New Roman" w:hAnsi="Times New Roman" w:cs="Times New Roman"/>
          <w:sz w:val="24"/>
          <w:szCs w:val="24"/>
        </w:rPr>
        <w:t>b</w:t>
      </w:r>
      <w:r w:rsidRPr="00554FAF">
        <w:rPr>
          <w:rFonts w:ascii="Times New Roman" w:hAnsi="Times New Roman" w:cs="Times New Roman"/>
          <w:sz w:val="24"/>
          <w:szCs w:val="24"/>
        </w:rPr>
        <w:t>iznes 2019</w:t>
      </w:r>
      <w:r w:rsidR="008C7AAB" w:rsidRPr="00554FAF">
        <w:rPr>
          <w:rFonts w:ascii="Times New Roman" w:hAnsi="Times New Roman" w:cs="Times New Roman"/>
          <w:sz w:val="24"/>
          <w:szCs w:val="24"/>
        </w:rPr>
        <w:t>,</w:t>
      </w:r>
      <w:r w:rsidRPr="00554FAF">
        <w:rPr>
          <w:rFonts w:ascii="Times New Roman" w:hAnsi="Times New Roman" w:cs="Times New Roman"/>
          <w:sz w:val="24"/>
          <w:szCs w:val="24"/>
        </w:rPr>
        <w:t xml:space="preserve"> Kosova ka lehtësuar eksportimin e mallrave duke riorganizuar </w:t>
      </w:r>
      <w:r w:rsidR="00554FAF" w:rsidRPr="00554FAF">
        <w:rPr>
          <w:rFonts w:ascii="Times New Roman" w:hAnsi="Times New Roman" w:cs="Times New Roman"/>
          <w:sz w:val="24"/>
          <w:szCs w:val="24"/>
        </w:rPr>
        <w:t>zhdoganimin</w:t>
      </w:r>
      <w:r w:rsidRPr="00554FAF">
        <w:rPr>
          <w:rFonts w:ascii="Times New Roman" w:hAnsi="Times New Roman" w:cs="Times New Roman"/>
          <w:sz w:val="24"/>
          <w:szCs w:val="24"/>
        </w:rPr>
        <w:t xml:space="preserve"> në kufi. Përveç kësaj, Kosova ka nënshkruar Deklaratën e </w:t>
      </w:r>
      <w:r w:rsidR="008C7AAB" w:rsidRPr="00554FAF">
        <w:rPr>
          <w:rFonts w:ascii="Times New Roman" w:hAnsi="Times New Roman" w:cs="Times New Roman"/>
          <w:sz w:val="24"/>
          <w:szCs w:val="24"/>
        </w:rPr>
        <w:t>p</w:t>
      </w:r>
      <w:r w:rsidRPr="00554FAF">
        <w:rPr>
          <w:rFonts w:ascii="Times New Roman" w:hAnsi="Times New Roman" w:cs="Times New Roman"/>
          <w:sz w:val="24"/>
          <w:szCs w:val="24"/>
        </w:rPr>
        <w:t xml:space="preserve">ërbashkët të </w:t>
      </w:r>
      <w:r w:rsidR="008C7AAB" w:rsidRPr="00554FAF">
        <w:rPr>
          <w:rFonts w:ascii="Times New Roman" w:hAnsi="Times New Roman" w:cs="Times New Roman"/>
          <w:sz w:val="24"/>
          <w:szCs w:val="24"/>
        </w:rPr>
        <w:t>b</w:t>
      </w:r>
      <w:r w:rsidRPr="00554FAF">
        <w:rPr>
          <w:rFonts w:ascii="Times New Roman" w:hAnsi="Times New Roman" w:cs="Times New Roman"/>
          <w:sz w:val="24"/>
          <w:szCs w:val="24"/>
        </w:rPr>
        <w:t xml:space="preserve">ashkëpunimit me </w:t>
      </w:r>
      <w:r w:rsidR="008C7AAB" w:rsidRPr="00554FAF">
        <w:rPr>
          <w:rFonts w:ascii="Times New Roman" w:hAnsi="Times New Roman" w:cs="Times New Roman"/>
          <w:sz w:val="24"/>
          <w:szCs w:val="24"/>
        </w:rPr>
        <w:t>s</w:t>
      </w:r>
      <w:r w:rsidRPr="00554FAF">
        <w:rPr>
          <w:rFonts w:ascii="Times New Roman" w:hAnsi="Times New Roman" w:cs="Times New Roman"/>
          <w:sz w:val="24"/>
          <w:szCs w:val="24"/>
        </w:rPr>
        <w:t xml:space="preserve">htetet e EFTA-s në nëntor 2018, e cila çon në një MTL me Shtetet e EFTA-s. </w:t>
      </w:r>
      <w:r w:rsidR="008C7AAB" w:rsidRPr="00554FAF">
        <w:rPr>
          <w:rFonts w:ascii="Times New Roman" w:hAnsi="Times New Roman" w:cs="Times New Roman"/>
          <w:sz w:val="24"/>
          <w:szCs w:val="24"/>
        </w:rPr>
        <w:t>Po ashtu, n</w:t>
      </w:r>
      <w:r w:rsidRPr="00554FAF">
        <w:rPr>
          <w:rFonts w:ascii="Times New Roman" w:hAnsi="Times New Roman" w:cs="Times New Roman"/>
          <w:sz w:val="24"/>
          <w:szCs w:val="24"/>
        </w:rPr>
        <w:t>ë rrjedhën e aktiviteteve për lehtësimin e tregtisë</w:t>
      </w:r>
      <w:r w:rsidR="008C7AAB" w:rsidRPr="00554FAF">
        <w:rPr>
          <w:rFonts w:ascii="Times New Roman" w:hAnsi="Times New Roman" w:cs="Times New Roman"/>
          <w:sz w:val="24"/>
          <w:szCs w:val="24"/>
        </w:rPr>
        <w:t>,</w:t>
      </w:r>
      <w:r w:rsidRPr="00554FAF">
        <w:rPr>
          <w:rFonts w:ascii="Times New Roman" w:hAnsi="Times New Roman" w:cs="Times New Roman"/>
          <w:sz w:val="24"/>
          <w:szCs w:val="24"/>
        </w:rPr>
        <w:t xml:space="preserve"> Kosova ka vazhduar harmonizimin e legjislacionit në fushën e lëvizjes së mallrave me atë të </w:t>
      </w:r>
      <w:r w:rsidR="008C7AAB" w:rsidRPr="00554FAF">
        <w:rPr>
          <w:rFonts w:ascii="Times New Roman" w:hAnsi="Times New Roman" w:cs="Times New Roman"/>
          <w:sz w:val="24"/>
          <w:szCs w:val="24"/>
        </w:rPr>
        <w:t>BE-së</w:t>
      </w:r>
      <w:r w:rsidRPr="00554FAF">
        <w:rPr>
          <w:rFonts w:ascii="Times New Roman" w:hAnsi="Times New Roman" w:cs="Times New Roman"/>
          <w:sz w:val="24"/>
          <w:szCs w:val="24"/>
        </w:rPr>
        <w:t xml:space="preserve"> që t’i mundësoj qasje më të lehtë produkteve kosovare në tregun e </w:t>
      </w:r>
      <w:r w:rsidR="008C7AAB" w:rsidRPr="00554FAF">
        <w:rPr>
          <w:rFonts w:ascii="Times New Roman" w:hAnsi="Times New Roman" w:cs="Times New Roman"/>
          <w:sz w:val="24"/>
          <w:szCs w:val="24"/>
        </w:rPr>
        <w:t>saj</w:t>
      </w:r>
      <w:r w:rsidRPr="00554FAF">
        <w:rPr>
          <w:rFonts w:ascii="Times New Roman" w:hAnsi="Times New Roman" w:cs="Times New Roman"/>
          <w:sz w:val="24"/>
          <w:szCs w:val="24"/>
        </w:rPr>
        <w:t>. Ky harmonizim është edhe një kërkesë thelbësore e Marrëveshjes së Stabilizim Asociimit. Lidhur me këtë duke pasur parasysh që fusha e produkteve të ndërtimit është shumë e rëndësishme për Kosovën pasi që sektori i ndërtimit përbën afërsisht 7.8% të BPV-së së Kosovës, MTI ka ndërmarr</w:t>
      </w:r>
      <w:r w:rsidR="008C7AAB" w:rsidRPr="00554FAF">
        <w:rPr>
          <w:rFonts w:ascii="Times New Roman" w:hAnsi="Times New Roman" w:cs="Times New Roman"/>
          <w:sz w:val="24"/>
          <w:szCs w:val="24"/>
        </w:rPr>
        <w:t>ë</w:t>
      </w:r>
      <w:r w:rsidRPr="00554FAF">
        <w:rPr>
          <w:rFonts w:ascii="Times New Roman" w:hAnsi="Times New Roman" w:cs="Times New Roman"/>
          <w:sz w:val="24"/>
          <w:szCs w:val="24"/>
        </w:rPr>
        <w:t xml:space="preserve"> masa për rregullimin e kësaj fushe.  Mbrojtja e shëndetit, sigurisë dhe mjedisit për të gjithë qytetarët e Kosovës varet nga ndërtesat adekuate dhe punimet tjera ndërtimore (rrugët, hekurudhat, etj.), përderisa ndërtesat gjithashtu luajnë një rol në fushat tjera të politikave, si reduktimi i konsumit të energjisë dhe shfrytëzimi i qëndrueshëm i burimeve. Prandaj</w:t>
      </w:r>
      <w:r w:rsidR="008C7AAB" w:rsidRPr="00554FAF">
        <w:rPr>
          <w:rFonts w:ascii="Times New Roman" w:hAnsi="Times New Roman" w:cs="Times New Roman"/>
          <w:sz w:val="24"/>
          <w:szCs w:val="24"/>
        </w:rPr>
        <w:t>,</w:t>
      </w:r>
      <w:r w:rsidRPr="00554FAF">
        <w:rPr>
          <w:rFonts w:ascii="Times New Roman" w:hAnsi="Times New Roman" w:cs="Times New Roman"/>
          <w:sz w:val="24"/>
          <w:szCs w:val="24"/>
        </w:rPr>
        <w:t xml:space="preserve"> është qenësore që të dihet performanca dhe përshtatshmëria e produkteve të ndërtimit që do të vendosen në këto punime. Rrjedhimisht duke ngritur performancën e produkteve të ndërtimit dhe tërë industrisë prodhuese të këtyre produkteve</w:t>
      </w:r>
      <w:r w:rsidR="008C7AAB" w:rsidRPr="00554FAF">
        <w:rPr>
          <w:rFonts w:ascii="Times New Roman" w:hAnsi="Times New Roman" w:cs="Times New Roman"/>
          <w:sz w:val="24"/>
          <w:szCs w:val="24"/>
        </w:rPr>
        <w:t>,</w:t>
      </w:r>
      <w:r w:rsidRPr="00554FAF">
        <w:rPr>
          <w:rFonts w:ascii="Times New Roman" w:hAnsi="Times New Roman" w:cs="Times New Roman"/>
          <w:sz w:val="24"/>
          <w:szCs w:val="24"/>
        </w:rPr>
        <w:t xml:space="preserve"> Kosova mund të arrij</w:t>
      </w:r>
      <w:r w:rsidR="008C7AAB" w:rsidRPr="00554FAF">
        <w:rPr>
          <w:rFonts w:ascii="Times New Roman" w:hAnsi="Times New Roman" w:cs="Times New Roman"/>
          <w:sz w:val="24"/>
          <w:szCs w:val="24"/>
        </w:rPr>
        <w:t>ë</w:t>
      </w:r>
      <w:r w:rsidRPr="00554FAF">
        <w:rPr>
          <w:rFonts w:ascii="Times New Roman" w:hAnsi="Times New Roman" w:cs="Times New Roman"/>
          <w:sz w:val="24"/>
          <w:szCs w:val="24"/>
        </w:rPr>
        <w:t xml:space="preserve"> një zvogëlim të disbalancit tregtar dhe të jetë konkurruese në rajon e më gjerë.</w:t>
      </w:r>
    </w:p>
    <w:p w14:paraId="7D1B077D" w14:textId="17821780" w:rsidR="008C7AAB" w:rsidRPr="00554FAF" w:rsidRDefault="004A424A"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b/>
          <w:sz w:val="24"/>
          <w:szCs w:val="24"/>
        </w:rPr>
        <w:t>Pengesat strukturore:</w:t>
      </w:r>
      <w:r w:rsidRPr="00554FAF">
        <w:rPr>
          <w:rFonts w:ascii="Times New Roman" w:hAnsi="Times New Roman" w:cs="Times New Roman"/>
          <w:sz w:val="24"/>
          <w:szCs w:val="24"/>
        </w:rPr>
        <w:t xml:space="preserve"> Përveç zvogëlimit të shpenzimeve administrative, niveli i zhvillimit të  infrastrukturës së cilësisë (standardizimi, akreditimi dhe certifikimi i produktit) është një pengesë tjetër për eksportet dhe zëvendësimin e importit. Reduktimi i pengesave teknike për tregtinë është pra një element po aq i rëndësishëm i lehtësimit të tregtisë. Gjithashtu, mungesa e një strategjie të mirëfilltë për lehtësimin e tregtisë dhe tregtisë në shërbime e vështirëson hartimin e politikave adekuate dhe për më tepër e bën ekonominë e Kosovës një ekonomi të paparashikueshme. Kosova ka identifikuar barrierat logjistike dhe kufitare si një nga pengesat më të mëdha për qarkullim më të madh të mallrave midis partnerëve rajonal, si dhe për një integrim më të thellë me pjesët tjera të botës. Barrierat dhe kostot e larta të tregtisë ndërkufitare zvogëlojnë nivelin e eksporteve të Kosovës dhe rrisin koston e importeve, që ndikon tek shumica e prodhuesve të Kosovës që përdorin materiale të importuara, ashtu edhe tek konsumatorët që përdorin mallra të importuara. Edhe më e rëndësishme, reduktimi i pengesave procedurale, cilësore, logjistike dhe kufitare për eksportin do të kontribuonte në rritjen e nivelit aktualisht shumë të ulët të eksporteve të mallrave</w:t>
      </w:r>
      <w:r w:rsidR="00737AC7" w:rsidRPr="00554FAF">
        <w:rPr>
          <w:rFonts w:ascii="Times New Roman" w:hAnsi="Times New Roman" w:cs="Times New Roman"/>
          <w:sz w:val="24"/>
          <w:szCs w:val="24"/>
        </w:rPr>
        <w:t>.</w:t>
      </w:r>
    </w:p>
    <w:p w14:paraId="7A530589" w14:textId="4067F928" w:rsidR="004A424A" w:rsidRPr="00554FAF" w:rsidRDefault="008C7AAB" w:rsidP="00802FB3">
      <w:pPr>
        <w:pStyle w:val="ListParagraph"/>
        <w:numPr>
          <w:ilvl w:val="2"/>
          <w:numId w:val="28"/>
        </w:numPr>
        <w:spacing w:after="60" w:line="240" w:lineRule="auto"/>
        <w:ind w:left="450" w:hanging="450"/>
        <w:jc w:val="both"/>
        <w:rPr>
          <w:rFonts w:ascii="Times New Roman" w:hAnsi="Times New Roman" w:cs="Times New Roman"/>
          <w:b/>
          <w:sz w:val="24"/>
          <w:szCs w:val="24"/>
        </w:rPr>
      </w:pPr>
      <w:r w:rsidRPr="00554FAF">
        <w:rPr>
          <w:rFonts w:ascii="Times New Roman" w:hAnsi="Times New Roman" w:cs="Times New Roman"/>
          <w:b/>
          <w:sz w:val="24"/>
          <w:szCs w:val="24"/>
        </w:rPr>
        <w:t>Prioritetet e reformave strukturore</w:t>
      </w:r>
    </w:p>
    <w:tbl>
      <w:tblPr>
        <w:tblStyle w:val="TableGrid"/>
        <w:tblW w:w="0" w:type="auto"/>
        <w:tblLook w:val="04A0" w:firstRow="1" w:lastRow="0" w:firstColumn="1" w:lastColumn="0" w:noHBand="0" w:noVBand="1"/>
      </w:tblPr>
      <w:tblGrid>
        <w:gridCol w:w="9350"/>
      </w:tblGrid>
      <w:tr w:rsidR="000702CB" w:rsidRPr="00554FAF" w14:paraId="16A7B014" w14:textId="77777777" w:rsidTr="003A7429">
        <w:tc>
          <w:tcPr>
            <w:tcW w:w="9350" w:type="dxa"/>
            <w:shd w:val="clear" w:color="auto" w:fill="5B9BD5" w:themeFill="accent1"/>
          </w:tcPr>
          <w:p w14:paraId="76939428" w14:textId="77777777" w:rsidR="000702CB" w:rsidRPr="00554FAF" w:rsidRDefault="000702CB" w:rsidP="000702CB">
            <w:pPr>
              <w:spacing w:after="60"/>
              <w:jc w:val="both"/>
              <w:rPr>
                <w:rFonts w:ascii="Times New Roman" w:hAnsi="Times New Roman" w:cs="Times New Roman"/>
                <w:sz w:val="24"/>
                <w:szCs w:val="24"/>
              </w:rPr>
            </w:pPr>
            <w:r w:rsidRPr="00554FAF">
              <w:rPr>
                <w:rFonts w:ascii="Times New Roman" w:hAnsi="Times New Roman" w:cs="Times New Roman"/>
                <w:b/>
                <w:bCs/>
                <w:sz w:val="24"/>
                <w:szCs w:val="24"/>
              </w:rPr>
              <w:t xml:space="preserve">Masa e reformës # 14: </w:t>
            </w:r>
            <w:r w:rsidRPr="00554FAF">
              <w:rPr>
                <w:rFonts w:ascii="Times New Roman" w:hAnsi="Times New Roman" w:cs="Times New Roman"/>
                <w:b/>
                <w:sz w:val="24"/>
                <w:szCs w:val="24"/>
              </w:rPr>
              <w:t>Lehtësimi i tregtisë përmes uljes së kostos së transaksioneve tregtare</w:t>
            </w:r>
          </w:p>
        </w:tc>
      </w:tr>
    </w:tbl>
    <w:p w14:paraId="2E1DFF73" w14:textId="3BBE077F" w:rsidR="000702CB" w:rsidRPr="00554FAF" w:rsidRDefault="000702CB" w:rsidP="000702CB">
      <w:pPr>
        <w:spacing w:after="60" w:line="240" w:lineRule="auto"/>
        <w:jc w:val="both"/>
        <w:rPr>
          <w:rFonts w:ascii="Times New Roman" w:hAnsi="Times New Roman" w:cs="Times New Roman"/>
          <w:bCs/>
          <w:sz w:val="24"/>
          <w:szCs w:val="24"/>
        </w:rPr>
      </w:pPr>
      <w:r w:rsidRPr="00554FAF">
        <w:rPr>
          <w:rFonts w:ascii="Times New Roman" w:hAnsi="Times New Roman" w:cs="Times New Roman"/>
          <w:b/>
          <w:bCs/>
          <w:sz w:val="24"/>
          <w:szCs w:val="24"/>
        </w:rPr>
        <w:t>1. Përshkrimi i masës:</w:t>
      </w:r>
      <w:r w:rsidRPr="00554FAF">
        <w:rPr>
          <w:rFonts w:ascii="Times New Roman" w:hAnsi="Times New Roman" w:cs="Times New Roman"/>
          <w:bCs/>
          <w:sz w:val="24"/>
          <w:szCs w:val="24"/>
        </w:rPr>
        <w:t xml:space="preserve"> Kjo masë pritet t</w:t>
      </w:r>
      <w:r w:rsidR="008C7AAB" w:rsidRPr="00554FAF">
        <w:rPr>
          <w:rFonts w:ascii="Times New Roman" w:hAnsi="Times New Roman" w:cs="Times New Roman"/>
          <w:bCs/>
          <w:sz w:val="24"/>
          <w:szCs w:val="24"/>
        </w:rPr>
        <w:t>a</w:t>
      </w:r>
      <w:r w:rsidRPr="00554FAF">
        <w:rPr>
          <w:rFonts w:ascii="Times New Roman" w:hAnsi="Times New Roman" w:cs="Times New Roman"/>
          <w:bCs/>
          <w:sz w:val="24"/>
          <w:szCs w:val="24"/>
        </w:rPr>
        <w:t xml:space="preserve"> </w:t>
      </w:r>
      <w:r w:rsidR="008C7AAB" w:rsidRPr="00554FAF">
        <w:rPr>
          <w:rFonts w:ascii="Times New Roman" w:hAnsi="Times New Roman" w:cs="Times New Roman"/>
          <w:bCs/>
          <w:sz w:val="24"/>
          <w:szCs w:val="24"/>
        </w:rPr>
        <w:t xml:space="preserve">ulë </w:t>
      </w:r>
      <w:r w:rsidRPr="00554FAF">
        <w:rPr>
          <w:rFonts w:ascii="Times New Roman" w:hAnsi="Times New Roman" w:cs="Times New Roman"/>
          <w:bCs/>
          <w:sz w:val="24"/>
          <w:szCs w:val="24"/>
        </w:rPr>
        <w:t>koston e transaksioneve ndërkufitare dhe kohën,  për të përmirësuar kushtet e hyrjes në treg për eksportet e Kosovës në tregjet e zgjedhura (</w:t>
      </w:r>
      <w:r w:rsidR="008C7AAB" w:rsidRPr="00554FAF">
        <w:rPr>
          <w:rFonts w:ascii="Times New Roman" w:hAnsi="Times New Roman" w:cs="Times New Roman"/>
          <w:bCs/>
          <w:sz w:val="24"/>
          <w:szCs w:val="24"/>
        </w:rPr>
        <w:t>synuara</w:t>
      </w:r>
      <w:r w:rsidRPr="00554FAF">
        <w:rPr>
          <w:rFonts w:ascii="Times New Roman" w:hAnsi="Times New Roman" w:cs="Times New Roman"/>
          <w:bCs/>
          <w:sz w:val="24"/>
          <w:szCs w:val="24"/>
        </w:rPr>
        <w:t xml:space="preserve">). Gjithashtu, kjo masë pritet të sigurojë një mjedis miqësor juridik për aktivitetet tregtare në Kosovë. Kosova tashmë ka marrë obligime në nivel rajonal dhe global, përmes Protokollit 5 të CEFTAs, MSA-së, MTL me Turqinë dhe Organizatës </w:t>
      </w:r>
      <w:r w:rsidR="00D7256A" w:rsidRPr="00554FAF">
        <w:rPr>
          <w:rFonts w:ascii="Times New Roman" w:hAnsi="Times New Roman" w:cs="Times New Roman"/>
          <w:bCs/>
          <w:sz w:val="24"/>
          <w:szCs w:val="24"/>
        </w:rPr>
        <w:t>b</w:t>
      </w:r>
      <w:r w:rsidRPr="00554FAF">
        <w:rPr>
          <w:rFonts w:ascii="Times New Roman" w:hAnsi="Times New Roman" w:cs="Times New Roman"/>
          <w:bCs/>
          <w:sz w:val="24"/>
          <w:szCs w:val="24"/>
        </w:rPr>
        <w:t xml:space="preserve">otërore të </w:t>
      </w:r>
      <w:r w:rsidR="00D7256A" w:rsidRPr="00554FAF">
        <w:rPr>
          <w:rFonts w:ascii="Times New Roman" w:hAnsi="Times New Roman" w:cs="Times New Roman"/>
          <w:bCs/>
          <w:sz w:val="24"/>
          <w:szCs w:val="24"/>
        </w:rPr>
        <w:t>d</w:t>
      </w:r>
      <w:r w:rsidRPr="00554FAF">
        <w:rPr>
          <w:rFonts w:ascii="Times New Roman" w:hAnsi="Times New Roman" w:cs="Times New Roman"/>
          <w:bCs/>
          <w:sz w:val="24"/>
          <w:szCs w:val="24"/>
        </w:rPr>
        <w:t xml:space="preserve">oganës (OBD). Lehtësimi i tregtisë përkatësisht adresimi dhe reduktimi i barrierave trajtohet edhe përmes Strategjisë </w:t>
      </w:r>
      <w:r w:rsidR="00D7256A" w:rsidRPr="00554FAF">
        <w:rPr>
          <w:rFonts w:ascii="Times New Roman" w:hAnsi="Times New Roman" w:cs="Times New Roman"/>
          <w:bCs/>
          <w:sz w:val="24"/>
          <w:szCs w:val="24"/>
        </w:rPr>
        <w:t>k</w:t>
      </w:r>
      <w:r w:rsidRPr="00554FAF">
        <w:rPr>
          <w:rFonts w:ascii="Times New Roman" w:hAnsi="Times New Roman" w:cs="Times New Roman"/>
          <w:bCs/>
          <w:sz w:val="24"/>
          <w:szCs w:val="24"/>
        </w:rPr>
        <w:t xml:space="preserve">ombëtare për </w:t>
      </w:r>
      <w:r w:rsidR="00D7256A" w:rsidRPr="00554FAF">
        <w:rPr>
          <w:rFonts w:ascii="Times New Roman" w:hAnsi="Times New Roman" w:cs="Times New Roman"/>
          <w:bCs/>
          <w:sz w:val="24"/>
          <w:szCs w:val="24"/>
        </w:rPr>
        <w:t>z</w:t>
      </w:r>
      <w:r w:rsidRPr="00554FAF">
        <w:rPr>
          <w:rFonts w:ascii="Times New Roman" w:hAnsi="Times New Roman" w:cs="Times New Roman"/>
          <w:bCs/>
          <w:sz w:val="24"/>
          <w:szCs w:val="24"/>
        </w:rPr>
        <w:t xml:space="preserve">hvillim, Programit të </w:t>
      </w:r>
      <w:r w:rsidR="00D7256A" w:rsidRPr="00554FAF">
        <w:rPr>
          <w:rFonts w:ascii="Times New Roman" w:hAnsi="Times New Roman" w:cs="Times New Roman"/>
          <w:bCs/>
          <w:sz w:val="24"/>
          <w:szCs w:val="24"/>
        </w:rPr>
        <w:t>Q</w:t>
      </w:r>
      <w:r w:rsidRPr="00554FAF">
        <w:rPr>
          <w:rFonts w:ascii="Times New Roman" w:hAnsi="Times New Roman" w:cs="Times New Roman"/>
          <w:bCs/>
          <w:sz w:val="24"/>
          <w:szCs w:val="24"/>
        </w:rPr>
        <w:t xml:space="preserve">everisë dhe Programit </w:t>
      </w:r>
      <w:r w:rsidR="00D7256A" w:rsidRPr="00554FAF">
        <w:rPr>
          <w:rFonts w:ascii="Times New Roman" w:hAnsi="Times New Roman" w:cs="Times New Roman"/>
          <w:bCs/>
          <w:sz w:val="24"/>
          <w:szCs w:val="24"/>
        </w:rPr>
        <w:t>k</w:t>
      </w:r>
      <w:r w:rsidRPr="00554FAF">
        <w:rPr>
          <w:rFonts w:ascii="Times New Roman" w:hAnsi="Times New Roman" w:cs="Times New Roman"/>
          <w:bCs/>
          <w:sz w:val="24"/>
          <w:szCs w:val="24"/>
        </w:rPr>
        <w:t xml:space="preserve">ombëtar për </w:t>
      </w:r>
      <w:r w:rsidR="00D7256A" w:rsidRPr="00554FAF">
        <w:rPr>
          <w:rFonts w:ascii="Times New Roman" w:hAnsi="Times New Roman" w:cs="Times New Roman"/>
          <w:bCs/>
          <w:sz w:val="24"/>
          <w:szCs w:val="24"/>
        </w:rPr>
        <w:t>z</w:t>
      </w:r>
      <w:r w:rsidRPr="00554FAF">
        <w:rPr>
          <w:rFonts w:ascii="Times New Roman" w:hAnsi="Times New Roman" w:cs="Times New Roman"/>
          <w:bCs/>
          <w:sz w:val="24"/>
          <w:szCs w:val="24"/>
        </w:rPr>
        <w:t>batimin e MSA-së. Kjo mas</w:t>
      </w:r>
      <w:r w:rsidR="00D7256A" w:rsidRPr="00554FAF">
        <w:rPr>
          <w:rFonts w:ascii="Times New Roman" w:hAnsi="Times New Roman" w:cs="Times New Roman"/>
          <w:bCs/>
          <w:sz w:val="24"/>
          <w:szCs w:val="24"/>
        </w:rPr>
        <w:t>ë</w:t>
      </w:r>
      <w:r w:rsidRPr="00554FAF">
        <w:rPr>
          <w:rFonts w:ascii="Times New Roman" w:hAnsi="Times New Roman" w:cs="Times New Roman"/>
          <w:bCs/>
          <w:sz w:val="24"/>
          <w:szCs w:val="24"/>
        </w:rPr>
        <w:t xml:space="preserve"> përsëritet nga PRE e vitit të kaluar, për shkak se disa nga aktivitetet kërkojnë periudhe m</w:t>
      </w:r>
      <w:r w:rsidR="00D7256A" w:rsidRPr="00554FAF">
        <w:rPr>
          <w:rFonts w:ascii="Times New Roman" w:hAnsi="Times New Roman" w:cs="Times New Roman"/>
          <w:bCs/>
          <w:sz w:val="24"/>
          <w:szCs w:val="24"/>
        </w:rPr>
        <w:t>ë</w:t>
      </w:r>
      <w:r w:rsidRPr="00554FAF">
        <w:rPr>
          <w:rFonts w:ascii="Times New Roman" w:hAnsi="Times New Roman" w:cs="Times New Roman"/>
          <w:bCs/>
          <w:sz w:val="24"/>
          <w:szCs w:val="24"/>
        </w:rPr>
        <w:t xml:space="preserve"> t</w:t>
      </w:r>
      <w:r w:rsidR="00D7256A" w:rsidRPr="00554FAF">
        <w:rPr>
          <w:rFonts w:ascii="Times New Roman" w:hAnsi="Times New Roman" w:cs="Times New Roman"/>
          <w:bCs/>
          <w:sz w:val="24"/>
          <w:szCs w:val="24"/>
        </w:rPr>
        <w:t>ë</w:t>
      </w:r>
      <w:r w:rsidRPr="00554FAF">
        <w:rPr>
          <w:rFonts w:ascii="Times New Roman" w:hAnsi="Times New Roman" w:cs="Times New Roman"/>
          <w:bCs/>
          <w:sz w:val="24"/>
          <w:szCs w:val="24"/>
        </w:rPr>
        <w:t xml:space="preserve"> gjat</w:t>
      </w:r>
      <w:r w:rsidR="00D7256A" w:rsidRPr="00554FAF">
        <w:rPr>
          <w:rFonts w:ascii="Times New Roman" w:hAnsi="Times New Roman" w:cs="Times New Roman"/>
          <w:bCs/>
          <w:sz w:val="24"/>
          <w:szCs w:val="24"/>
        </w:rPr>
        <w:t>ë</w:t>
      </w:r>
      <w:r w:rsidRPr="00554FAF">
        <w:rPr>
          <w:rFonts w:ascii="Times New Roman" w:hAnsi="Times New Roman" w:cs="Times New Roman"/>
          <w:bCs/>
          <w:sz w:val="24"/>
          <w:szCs w:val="24"/>
        </w:rPr>
        <w:t xml:space="preserve"> se 1 vit për t</w:t>
      </w:r>
      <w:r w:rsidR="00D7256A" w:rsidRPr="00554FAF">
        <w:rPr>
          <w:rFonts w:ascii="Times New Roman" w:hAnsi="Times New Roman" w:cs="Times New Roman"/>
          <w:bCs/>
          <w:sz w:val="24"/>
          <w:szCs w:val="24"/>
        </w:rPr>
        <w:t>’</w:t>
      </w:r>
      <w:r w:rsidRPr="00554FAF">
        <w:rPr>
          <w:rFonts w:ascii="Times New Roman" w:hAnsi="Times New Roman" w:cs="Times New Roman"/>
          <w:bCs/>
          <w:sz w:val="24"/>
          <w:szCs w:val="24"/>
        </w:rPr>
        <w:t>u realizuar (p.sh. aktiviteti nr.2). Gjithashtu</w:t>
      </w:r>
      <w:r w:rsidR="00D7256A" w:rsidRPr="00554FAF">
        <w:rPr>
          <w:rFonts w:ascii="Times New Roman" w:hAnsi="Times New Roman" w:cs="Times New Roman"/>
          <w:bCs/>
          <w:sz w:val="24"/>
          <w:szCs w:val="24"/>
        </w:rPr>
        <w:t>,</w:t>
      </w:r>
      <w:r w:rsidRPr="00554FAF">
        <w:rPr>
          <w:rFonts w:ascii="Times New Roman" w:hAnsi="Times New Roman" w:cs="Times New Roman"/>
          <w:bCs/>
          <w:sz w:val="24"/>
          <w:szCs w:val="24"/>
        </w:rPr>
        <w:t xml:space="preserve"> disa nga aktivitetet nuk kan</w:t>
      </w:r>
      <w:r w:rsidR="00D7256A" w:rsidRPr="00554FAF">
        <w:rPr>
          <w:rFonts w:ascii="Times New Roman" w:hAnsi="Times New Roman" w:cs="Times New Roman"/>
          <w:bCs/>
          <w:sz w:val="24"/>
          <w:szCs w:val="24"/>
        </w:rPr>
        <w:t>ë</w:t>
      </w:r>
      <w:r w:rsidRPr="00554FAF">
        <w:rPr>
          <w:rFonts w:ascii="Times New Roman" w:hAnsi="Times New Roman" w:cs="Times New Roman"/>
          <w:bCs/>
          <w:sz w:val="24"/>
          <w:szCs w:val="24"/>
        </w:rPr>
        <w:t xml:space="preserve"> arritur të realizohen për shkak t</w:t>
      </w:r>
      <w:r w:rsidR="00D7256A" w:rsidRPr="00554FAF">
        <w:rPr>
          <w:rFonts w:ascii="Times New Roman" w:hAnsi="Times New Roman" w:cs="Times New Roman"/>
          <w:bCs/>
          <w:sz w:val="24"/>
          <w:szCs w:val="24"/>
        </w:rPr>
        <w:t>ë</w:t>
      </w:r>
      <w:r w:rsidRPr="00554FAF">
        <w:rPr>
          <w:rFonts w:ascii="Times New Roman" w:hAnsi="Times New Roman" w:cs="Times New Roman"/>
          <w:bCs/>
          <w:sz w:val="24"/>
          <w:szCs w:val="24"/>
        </w:rPr>
        <w:t xml:space="preserve"> situatës politike.</w:t>
      </w:r>
    </w:p>
    <w:p w14:paraId="084B13B6" w14:textId="77777777" w:rsidR="000702CB" w:rsidRPr="00554FAF" w:rsidRDefault="000702CB" w:rsidP="00730ACA">
      <w:pPr>
        <w:spacing w:after="60" w:line="240" w:lineRule="auto"/>
        <w:jc w:val="both"/>
        <w:rPr>
          <w:rFonts w:ascii="Times New Roman" w:hAnsi="Times New Roman" w:cs="Times New Roman"/>
          <w:b/>
          <w:bCs/>
          <w:sz w:val="24"/>
          <w:szCs w:val="24"/>
        </w:rPr>
      </w:pPr>
      <w:r w:rsidRPr="00554FAF">
        <w:rPr>
          <w:rFonts w:ascii="Times New Roman" w:hAnsi="Times New Roman" w:cs="Times New Roman"/>
          <w:b/>
          <w:bCs/>
          <w:sz w:val="24"/>
          <w:szCs w:val="24"/>
        </w:rPr>
        <w:t>a.  Aktivitetet e planifikuara për 2020:</w:t>
      </w:r>
    </w:p>
    <w:p w14:paraId="433FE816" w14:textId="04325E38" w:rsidR="000702CB" w:rsidRPr="00554FAF" w:rsidRDefault="000702CB" w:rsidP="00802FB3">
      <w:pPr>
        <w:pStyle w:val="Default"/>
        <w:numPr>
          <w:ilvl w:val="0"/>
          <w:numId w:val="67"/>
        </w:numPr>
        <w:spacing w:after="60"/>
        <w:jc w:val="both"/>
        <w:rPr>
          <w:bCs/>
          <w:color w:val="auto"/>
          <w:lang w:val="sq-AL"/>
        </w:rPr>
      </w:pPr>
      <w:r w:rsidRPr="00554FAF">
        <w:rPr>
          <w:bCs/>
          <w:color w:val="auto"/>
          <w:lang w:val="sq-AL"/>
        </w:rPr>
        <w:t>Hartimi i dokumentit të ri për Politika Tregtare</w:t>
      </w:r>
      <w:r w:rsidR="00D7256A" w:rsidRPr="00554FAF">
        <w:rPr>
          <w:bCs/>
          <w:color w:val="auto"/>
          <w:lang w:val="sq-AL"/>
        </w:rPr>
        <w:t>;</w:t>
      </w:r>
      <w:r w:rsidRPr="00554FAF">
        <w:rPr>
          <w:bCs/>
          <w:color w:val="auto"/>
          <w:lang w:val="sq-AL"/>
        </w:rPr>
        <w:t xml:space="preserve"> (MTI)</w:t>
      </w:r>
    </w:p>
    <w:p w14:paraId="05B76BF6" w14:textId="50A0F48A" w:rsidR="000702CB" w:rsidRPr="00554FAF" w:rsidRDefault="000702CB" w:rsidP="00802FB3">
      <w:pPr>
        <w:pStyle w:val="Default"/>
        <w:numPr>
          <w:ilvl w:val="0"/>
          <w:numId w:val="67"/>
        </w:numPr>
        <w:spacing w:after="60"/>
        <w:jc w:val="both"/>
        <w:rPr>
          <w:bCs/>
          <w:color w:val="auto"/>
          <w:lang w:val="sq-AL"/>
        </w:rPr>
      </w:pPr>
      <w:r w:rsidRPr="00554FAF">
        <w:rPr>
          <w:bCs/>
          <w:color w:val="auto"/>
          <w:lang w:val="sq-AL"/>
        </w:rPr>
        <w:t>Vazhdimi i plotësim</w:t>
      </w:r>
      <w:r w:rsidR="00D7256A" w:rsidRPr="00554FAF">
        <w:rPr>
          <w:bCs/>
          <w:color w:val="auto"/>
          <w:lang w:val="sq-AL"/>
        </w:rPr>
        <w:t xml:space="preserve">it dhe </w:t>
      </w:r>
      <w:r w:rsidRPr="00554FAF">
        <w:rPr>
          <w:bCs/>
          <w:color w:val="auto"/>
          <w:lang w:val="sq-AL"/>
        </w:rPr>
        <w:t>ndryshimit t</w:t>
      </w:r>
      <w:r w:rsidR="00D7256A" w:rsidRPr="00554FAF">
        <w:rPr>
          <w:bCs/>
          <w:color w:val="auto"/>
          <w:lang w:val="sq-AL"/>
        </w:rPr>
        <w:t>ë</w:t>
      </w:r>
      <w:r w:rsidRPr="00554FAF">
        <w:rPr>
          <w:bCs/>
          <w:color w:val="auto"/>
          <w:lang w:val="sq-AL"/>
        </w:rPr>
        <w:t xml:space="preserve"> Kodit Doganor dhe i Akcizave (KDA) dhe Udhëzimit Administrativ për zbatim  të KDA</w:t>
      </w:r>
      <w:r w:rsidR="00D7256A" w:rsidRPr="00554FAF">
        <w:rPr>
          <w:bCs/>
          <w:color w:val="auto"/>
          <w:lang w:val="sq-AL"/>
        </w:rPr>
        <w:t>;</w:t>
      </w:r>
      <w:r w:rsidRPr="00554FAF">
        <w:rPr>
          <w:bCs/>
          <w:color w:val="auto"/>
          <w:lang w:val="sq-AL"/>
        </w:rPr>
        <w:t xml:space="preserve"> (MF- Dogana)</w:t>
      </w:r>
    </w:p>
    <w:p w14:paraId="68B57948" w14:textId="49D2211B" w:rsidR="000702CB" w:rsidRPr="00554FAF" w:rsidRDefault="000702CB" w:rsidP="00802FB3">
      <w:pPr>
        <w:pStyle w:val="Default"/>
        <w:numPr>
          <w:ilvl w:val="0"/>
          <w:numId w:val="67"/>
        </w:numPr>
        <w:spacing w:after="60"/>
        <w:jc w:val="both"/>
        <w:rPr>
          <w:bCs/>
          <w:color w:val="auto"/>
          <w:lang w:val="sq-AL"/>
        </w:rPr>
      </w:pPr>
      <w:r w:rsidRPr="00554FAF">
        <w:rPr>
          <w:bCs/>
          <w:color w:val="auto"/>
          <w:lang w:val="sq-AL"/>
        </w:rPr>
        <w:t>Miratimi i Ligjit të ri për Tregti të Brendshme</w:t>
      </w:r>
      <w:r w:rsidR="00D7256A" w:rsidRPr="00554FAF">
        <w:rPr>
          <w:bCs/>
          <w:color w:val="auto"/>
          <w:lang w:val="sq-AL"/>
        </w:rPr>
        <w:t>;</w:t>
      </w:r>
      <w:r w:rsidRPr="00554FAF">
        <w:rPr>
          <w:bCs/>
          <w:color w:val="auto"/>
          <w:lang w:val="sq-AL"/>
        </w:rPr>
        <w:t xml:space="preserve"> (MTI)</w:t>
      </w:r>
    </w:p>
    <w:p w14:paraId="14FAB2D9" w14:textId="1D4CF3E2" w:rsidR="000702CB" w:rsidRPr="00554FAF" w:rsidRDefault="000702CB" w:rsidP="00802FB3">
      <w:pPr>
        <w:pStyle w:val="Default"/>
        <w:numPr>
          <w:ilvl w:val="0"/>
          <w:numId w:val="67"/>
        </w:numPr>
        <w:spacing w:after="60"/>
        <w:jc w:val="both"/>
        <w:rPr>
          <w:bCs/>
          <w:color w:val="auto"/>
          <w:lang w:val="sq-AL"/>
        </w:rPr>
      </w:pPr>
      <w:r w:rsidRPr="00554FAF">
        <w:rPr>
          <w:bCs/>
          <w:color w:val="auto"/>
          <w:lang w:val="sq-AL"/>
        </w:rPr>
        <w:t>Miratimi i Ligjit të ri për Tregti të Jashtme</w:t>
      </w:r>
      <w:r w:rsidR="00D7256A" w:rsidRPr="00554FAF">
        <w:rPr>
          <w:bCs/>
          <w:color w:val="auto"/>
          <w:lang w:val="sq-AL"/>
        </w:rPr>
        <w:t>;</w:t>
      </w:r>
      <w:r w:rsidRPr="00554FAF">
        <w:rPr>
          <w:bCs/>
          <w:color w:val="auto"/>
          <w:lang w:val="sq-AL"/>
        </w:rPr>
        <w:t xml:space="preserve"> (MTI)</w:t>
      </w:r>
    </w:p>
    <w:p w14:paraId="70ABF3B0" w14:textId="0721677B" w:rsidR="000702CB" w:rsidRPr="00554FAF" w:rsidRDefault="000702CB" w:rsidP="00802FB3">
      <w:pPr>
        <w:pStyle w:val="Default"/>
        <w:numPr>
          <w:ilvl w:val="0"/>
          <w:numId w:val="67"/>
        </w:numPr>
        <w:spacing w:after="60"/>
        <w:jc w:val="both"/>
        <w:rPr>
          <w:bCs/>
          <w:color w:val="auto"/>
          <w:lang w:val="sq-AL"/>
        </w:rPr>
      </w:pPr>
      <w:r w:rsidRPr="00554FAF">
        <w:rPr>
          <w:bCs/>
          <w:color w:val="auto"/>
          <w:lang w:val="sq-AL"/>
        </w:rPr>
        <w:t>Miratimi i Rregullores nga ana e Qeveris</w:t>
      </w:r>
      <w:r w:rsidR="00D7256A" w:rsidRPr="00554FAF">
        <w:rPr>
          <w:bCs/>
          <w:color w:val="auto"/>
          <w:lang w:val="sq-AL"/>
        </w:rPr>
        <w:t>ë</w:t>
      </w:r>
      <w:r w:rsidRPr="00554FAF">
        <w:rPr>
          <w:bCs/>
          <w:color w:val="auto"/>
          <w:lang w:val="sq-AL"/>
        </w:rPr>
        <w:t xml:space="preserve">, për themelimin e Qendrës </w:t>
      </w:r>
      <w:r w:rsidR="00D7256A" w:rsidRPr="00554FAF">
        <w:rPr>
          <w:bCs/>
          <w:color w:val="auto"/>
          <w:lang w:val="sq-AL"/>
        </w:rPr>
        <w:t>i</w:t>
      </w:r>
      <w:r w:rsidRPr="00554FAF">
        <w:rPr>
          <w:bCs/>
          <w:color w:val="auto"/>
          <w:lang w:val="sq-AL"/>
        </w:rPr>
        <w:t xml:space="preserve">nformative për </w:t>
      </w:r>
      <w:r w:rsidR="00D7256A" w:rsidRPr="00554FAF">
        <w:rPr>
          <w:bCs/>
          <w:color w:val="auto"/>
          <w:lang w:val="sq-AL"/>
        </w:rPr>
        <w:t>l</w:t>
      </w:r>
      <w:r w:rsidRPr="00554FAF">
        <w:rPr>
          <w:bCs/>
          <w:color w:val="auto"/>
          <w:lang w:val="sq-AL"/>
        </w:rPr>
        <w:t xml:space="preserve">ehtësira </w:t>
      </w:r>
    </w:p>
    <w:p w14:paraId="0FB0A45F" w14:textId="32AFCD2B" w:rsidR="000702CB" w:rsidRPr="00554FAF" w:rsidRDefault="00D7256A" w:rsidP="00802FB3">
      <w:pPr>
        <w:pStyle w:val="Default"/>
        <w:numPr>
          <w:ilvl w:val="0"/>
          <w:numId w:val="67"/>
        </w:numPr>
        <w:spacing w:after="60"/>
        <w:jc w:val="both"/>
        <w:rPr>
          <w:bCs/>
          <w:color w:val="auto"/>
          <w:lang w:val="sq-AL"/>
        </w:rPr>
      </w:pPr>
      <w:r w:rsidRPr="00554FAF">
        <w:rPr>
          <w:bCs/>
          <w:color w:val="auto"/>
          <w:lang w:val="sq-AL"/>
        </w:rPr>
        <w:t>t</w:t>
      </w:r>
      <w:r w:rsidR="000702CB" w:rsidRPr="00554FAF">
        <w:rPr>
          <w:bCs/>
          <w:color w:val="auto"/>
          <w:lang w:val="sq-AL"/>
        </w:rPr>
        <w:t>regtare</w:t>
      </w:r>
      <w:r w:rsidRPr="00554FAF">
        <w:rPr>
          <w:bCs/>
          <w:color w:val="auto"/>
          <w:lang w:val="sq-AL"/>
        </w:rPr>
        <w:t>;</w:t>
      </w:r>
      <w:r w:rsidR="000702CB" w:rsidRPr="00554FAF">
        <w:rPr>
          <w:bCs/>
          <w:color w:val="auto"/>
          <w:lang w:val="sq-AL"/>
        </w:rPr>
        <w:t xml:space="preserve"> (MTI-Dogana)</w:t>
      </w:r>
      <w:r w:rsidRPr="00554FAF">
        <w:rPr>
          <w:bCs/>
          <w:color w:val="auto"/>
          <w:lang w:val="sq-AL"/>
        </w:rPr>
        <w:t>.</w:t>
      </w:r>
      <w:r w:rsidR="000702CB" w:rsidRPr="00554FAF">
        <w:rPr>
          <w:bCs/>
          <w:color w:val="auto"/>
          <w:lang w:val="sq-AL"/>
        </w:rPr>
        <w:t xml:space="preserve"> </w:t>
      </w:r>
    </w:p>
    <w:p w14:paraId="0AA1CDEE" w14:textId="77777777" w:rsidR="000702CB" w:rsidRPr="00554FAF" w:rsidRDefault="000702CB" w:rsidP="00730ACA">
      <w:pPr>
        <w:spacing w:after="60" w:line="240" w:lineRule="auto"/>
        <w:jc w:val="both"/>
        <w:rPr>
          <w:rFonts w:ascii="Times New Roman" w:hAnsi="Times New Roman" w:cs="Times New Roman"/>
          <w:b/>
          <w:bCs/>
          <w:sz w:val="24"/>
          <w:szCs w:val="24"/>
        </w:rPr>
      </w:pPr>
      <w:r w:rsidRPr="00554FAF">
        <w:rPr>
          <w:rFonts w:ascii="Times New Roman" w:hAnsi="Times New Roman" w:cs="Times New Roman"/>
          <w:b/>
          <w:bCs/>
          <w:sz w:val="24"/>
          <w:szCs w:val="24"/>
        </w:rPr>
        <w:t>b.  Aktivitetet e planifikuara për 2021:</w:t>
      </w:r>
    </w:p>
    <w:p w14:paraId="7C65DB94" w14:textId="1D5EADFC" w:rsidR="000702CB" w:rsidRPr="00554FAF" w:rsidRDefault="000702CB" w:rsidP="00802FB3">
      <w:pPr>
        <w:pStyle w:val="ListParagraph"/>
        <w:numPr>
          <w:ilvl w:val="0"/>
          <w:numId w:val="68"/>
        </w:numPr>
        <w:spacing w:after="60" w:line="240" w:lineRule="auto"/>
        <w:contextualSpacing w:val="0"/>
        <w:jc w:val="both"/>
        <w:rPr>
          <w:rFonts w:ascii="Times New Roman" w:hAnsi="Times New Roman" w:cs="Times New Roman"/>
          <w:sz w:val="24"/>
          <w:szCs w:val="24"/>
        </w:rPr>
      </w:pPr>
      <w:r w:rsidRPr="00554FAF">
        <w:rPr>
          <w:rFonts w:ascii="Times New Roman" w:hAnsi="Times New Roman" w:cs="Times New Roman"/>
          <w:sz w:val="24"/>
          <w:szCs w:val="24"/>
        </w:rPr>
        <w:t>Fillimi i procesit të negocimit për marrëveshje me vendet e EFTAs</w:t>
      </w:r>
      <w:r w:rsidR="00D7256A" w:rsidRPr="00554FAF">
        <w:rPr>
          <w:rFonts w:ascii="Times New Roman" w:hAnsi="Times New Roman" w:cs="Times New Roman"/>
          <w:sz w:val="24"/>
          <w:szCs w:val="24"/>
        </w:rPr>
        <w:t>;</w:t>
      </w:r>
      <w:r w:rsidRPr="00554FAF">
        <w:rPr>
          <w:rFonts w:ascii="Times New Roman" w:hAnsi="Times New Roman" w:cs="Times New Roman"/>
          <w:sz w:val="24"/>
          <w:szCs w:val="24"/>
        </w:rPr>
        <w:t xml:space="preserve"> (MTI)</w:t>
      </w:r>
    </w:p>
    <w:p w14:paraId="6AA5BED7" w14:textId="54455B56" w:rsidR="000702CB" w:rsidRPr="00554FAF" w:rsidRDefault="000702CB" w:rsidP="00802FB3">
      <w:pPr>
        <w:pStyle w:val="ListParagraph"/>
        <w:numPr>
          <w:ilvl w:val="0"/>
          <w:numId w:val="68"/>
        </w:numPr>
        <w:spacing w:after="60" w:line="240" w:lineRule="auto"/>
        <w:contextualSpacing w:val="0"/>
        <w:jc w:val="both"/>
        <w:rPr>
          <w:rFonts w:ascii="Times New Roman" w:hAnsi="Times New Roman" w:cs="Times New Roman"/>
          <w:sz w:val="24"/>
          <w:szCs w:val="24"/>
        </w:rPr>
      </w:pPr>
      <w:r w:rsidRPr="00554FAF">
        <w:rPr>
          <w:rFonts w:ascii="Times New Roman" w:hAnsi="Times New Roman" w:cs="Times New Roman"/>
          <w:sz w:val="24"/>
          <w:szCs w:val="24"/>
        </w:rPr>
        <w:t>Studimi i fizibilitetit për platformën e projektit NCTS (New Computerized transit system)</w:t>
      </w:r>
      <w:r w:rsidR="00D7256A" w:rsidRPr="00554FAF">
        <w:rPr>
          <w:rFonts w:ascii="Times New Roman" w:hAnsi="Times New Roman" w:cs="Times New Roman"/>
          <w:sz w:val="24"/>
          <w:szCs w:val="24"/>
        </w:rPr>
        <w:t>;</w:t>
      </w:r>
      <w:r w:rsidRPr="00554FAF">
        <w:rPr>
          <w:rFonts w:ascii="Times New Roman" w:hAnsi="Times New Roman" w:cs="Times New Roman"/>
          <w:sz w:val="24"/>
          <w:szCs w:val="24"/>
        </w:rPr>
        <w:t xml:space="preserve"> (Dogana-MF)</w:t>
      </w:r>
    </w:p>
    <w:p w14:paraId="73972488" w14:textId="2BF81028" w:rsidR="000702CB" w:rsidRPr="00554FAF" w:rsidRDefault="000702CB" w:rsidP="00802FB3">
      <w:pPr>
        <w:pStyle w:val="ListParagraph"/>
        <w:numPr>
          <w:ilvl w:val="0"/>
          <w:numId w:val="68"/>
        </w:numPr>
        <w:spacing w:after="60" w:line="240" w:lineRule="auto"/>
        <w:contextualSpacing w:val="0"/>
        <w:jc w:val="both"/>
        <w:rPr>
          <w:rFonts w:ascii="Times New Roman" w:hAnsi="Times New Roman" w:cs="Times New Roman"/>
          <w:sz w:val="24"/>
          <w:szCs w:val="24"/>
        </w:rPr>
      </w:pPr>
      <w:r w:rsidRPr="00554FAF">
        <w:rPr>
          <w:rFonts w:ascii="Times New Roman" w:hAnsi="Times New Roman" w:cs="Times New Roman"/>
          <w:sz w:val="24"/>
          <w:szCs w:val="24"/>
        </w:rPr>
        <w:t xml:space="preserve">Hartimi i legjislacionit </w:t>
      </w:r>
      <w:r w:rsidR="00D7256A" w:rsidRPr="00554FAF">
        <w:rPr>
          <w:rFonts w:ascii="Times New Roman" w:hAnsi="Times New Roman" w:cs="Times New Roman"/>
          <w:sz w:val="24"/>
          <w:szCs w:val="24"/>
        </w:rPr>
        <w:t xml:space="preserve">dytësor </w:t>
      </w:r>
      <w:r w:rsidRPr="00554FAF">
        <w:rPr>
          <w:rFonts w:ascii="Times New Roman" w:hAnsi="Times New Roman" w:cs="Times New Roman"/>
          <w:sz w:val="24"/>
          <w:szCs w:val="24"/>
        </w:rPr>
        <w:t>për Ligjin për</w:t>
      </w:r>
      <w:r w:rsidR="00D7256A" w:rsidRPr="00554FAF">
        <w:rPr>
          <w:rFonts w:ascii="Times New Roman" w:hAnsi="Times New Roman" w:cs="Times New Roman"/>
          <w:sz w:val="24"/>
          <w:szCs w:val="24"/>
        </w:rPr>
        <w:t xml:space="preserve"> t</w:t>
      </w:r>
      <w:r w:rsidRPr="00554FAF">
        <w:rPr>
          <w:rFonts w:ascii="Times New Roman" w:hAnsi="Times New Roman" w:cs="Times New Roman"/>
          <w:sz w:val="24"/>
          <w:szCs w:val="24"/>
        </w:rPr>
        <w:t xml:space="preserve">regti të </w:t>
      </w:r>
      <w:r w:rsidR="00D7256A" w:rsidRPr="00554FAF">
        <w:rPr>
          <w:rFonts w:ascii="Times New Roman" w:hAnsi="Times New Roman" w:cs="Times New Roman"/>
          <w:sz w:val="24"/>
          <w:szCs w:val="24"/>
        </w:rPr>
        <w:t>b</w:t>
      </w:r>
      <w:r w:rsidRPr="00554FAF">
        <w:rPr>
          <w:rFonts w:ascii="Times New Roman" w:hAnsi="Times New Roman" w:cs="Times New Roman"/>
          <w:sz w:val="24"/>
          <w:szCs w:val="24"/>
        </w:rPr>
        <w:t xml:space="preserve">rendshme dhe Ligjin për </w:t>
      </w:r>
      <w:r w:rsidR="00D7256A" w:rsidRPr="00554FAF">
        <w:rPr>
          <w:rFonts w:ascii="Times New Roman" w:hAnsi="Times New Roman" w:cs="Times New Roman"/>
          <w:sz w:val="24"/>
          <w:szCs w:val="24"/>
        </w:rPr>
        <w:t>t</w:t>
      </w:r>
      <w:r w:rsidRPr="00554FAF">
        <w:rPr>
          <w:rFonts w:ascii="Times New Roman" w:hAnsi="Times New Roman" w:cs="Times New Roman"/>
          <w:sz w:val="24"/>
          <w:szCs w:val="24"/>
        </w:rPr>
        <w:t xml:space="preserve">regti të </w:t>
      </w:r>
      <w:r w:rsidR="00D7256A" w:rsidRPr="00554FAF">
        <w:rPr>
          <w:rFonts w:ascii="Times New Roman" w:hAnsi="Times New Roman" w:cs="Times New Roman"/>
          <w:sz w:val="24"/>
          <w:szCs w:val="24"/>
        </w:rPr>
        <w:t>j</w:t>
      </w:r>
      <w:r w:rsidRPr="00554FAF">
        <w:rPr>
          <w:rFonts w:ascii="Times New Roman" w:hAnsi="Times New Roman" w:cs="Times New Roman"/>
          <w:sz w:val="24"/>
          <w:szCs w:val="24"/>
        </w:rPr>
        <w:t>ashtme</w:t>
      </w:r>
      <w:r w:rsidR="00D7256A" w:rsidRPr="00554FAF">
        <w:rPr>
          <w:rFonts w:ascii="Times New Roman" w:hAnsi="Times New Roman" w:cs="Times New Roman"/>
          <w:sz w:val="24"/>
          <w:szCs w:val="24"/>
        </w:rPr>
        <w:t>;</w:t>
      </w:r>
      <w:r w:rsidRPr="00554FAF">
        <w:rPr>
          <w:rFonts w:ascii="Times New Roman" w:hAnsi="Times New Roman" w:cs="Times New Roman"/>
          <w:sz w:val="24"/>
          <w:szCs w:val="24"/>
        </w:rPr>
        <w:t xml:space="preserve"> (MTI)</w:t>
      </w:r>
    </w:p>
    <w:p w14:paraId="08615ADD" w14:textId="6CE19364" w:rsidR="000702CB" w:rsidRPr="00554FAF" w:rsidRDefault="000702CB" w:rsidP="00802FB3">
      <w:pPr>
        <w:pStyle w:val="ListParagraph"/>
        <w:numPr>
          <w:ilvl w:val="0"/>
          <w:numId w:val="68"/>
        </w:numPr>
        <w:spacing w:after="60" w:line="240" w:lineRule="auto"/>
        <w:contextualSpacing w:val="0"/>
        <w:jc w:val="both"/>
        <w:rPr>
          <w:rFonts w:ascii="Times New Roman" w:hAnsi="Times New Roman" w:cs="Times New Roman"/>
          <w:sz w:val="24"/>
          <w:szCs w:val="24"/>
        </w:rPr>
      </w:pPr>
      <w:r w:rsidRPr="00554FAF">
        <w:rPr>
          <w:rFonts w:ascii="Times New Roman" w:hAnsi="Times New Roman" w:cs="Times New Roman"/>
          <w:sz w:val="24"/>
          <w:szCs w:val="24"/>
        </w:rPr>
        <w:t xml:space="preserve">Krijimi i platformës </w:t>
      </w:r>
      <w:r w:rsidR="00D7256A" w:rsidRPr="00554FAF">
        <w:rPr>
          <w:rFonts w:ascii="Times New Roman" w:hAnsi="Times New Roman" w:cs="Times New Roman"/>
          <w:sz w:val="24"/>
          <w:szCs w:val="24"/>
        </w:rPr>
        <w:t>së</w:t>
      </w:r>
      <w:r w:rsidRPr="00554FAF">
        <w:rPr>
          <w:rFonts w:ascii="Times New Roman" w:hAnsi="Times New Roman" w:cs="Times New Roman"/>
          <w:sz w:val="24"/>
          <w:szCs w:val="24"/>
        </w:rPr>
        <w:t xml:space="preserve"> shkëmbimit të informatave në nivel rajonal SEED+</w:t>
      </w:r>
      <w:r w:rsidR="00D7256A" w:rsidRPr="00554FAF">
        <w:rPr>
          <w:rFonts w:ascii="Times New Roman" w:hAnsi="Times New Roman" w:cs="Times New Roman"/>
          <w:sz w:val="24"/>
          <w:szCs w:val="24"/>
        </w:rPr>
        <w:t xml:space="preserve">; </w:t>
      </w:r>
      <w:r w:rsidRPr="00554FAF">
        <w:rPr>
          <w:rFonts w:ascii="Times New Roman" w:hAnsi="Times New Roman" w:cs="Times New Roman"/>
          <w:sz w:val="24"/>
          <w:szCs w:val="24"/>
        </w:rPr>
        <w:t>(Dogana)</w:t>
      </w:r>
    </w:p>
    <w:p w14:paraId="61662522" w14:textId="77777777" w:rsidR="000702CB" w:rsidRPr="00554FAF" w:rsidRDefault="000702CB" w:rsidP="00730ACA">
      <w:pPr>
        <w:spacing w:after="60" w:line="240" w:lineRule="auto"/>
        <w:jc w:val="both"/>
        <w:rPr>
          <w:rFonts w:ascii="Times New Roman" w:hAnsi="Times New Roman" w:cs="Times New Roman"/>
          <w:b/>
          <w:bCs/>
          <w:sz w:val="24"/>
          <w:szCs w:val="24"/>
        </w:rPr>
      </w:pPr>
      <w:r w:rsidRPr="00554FAF">
        <w:rPr>
          <w:rFonts w:ascii="Times New Roman" w:hAnsi="Times New Roman" w:cs="Times New Roman"/>
          <w:b/>
          <w:bCs/>
          <w:sz w:val="24"/>
          <w:szCs w:val="24"/>
        </w:rPr>
        <w:t>c.  Aktivitetet e planifikuara për 2022:</w:t>
      </w:r>
    </w:p>
    <w:p w14:paraId="26AB630B" w14:textId="24E04F3A" w:rsidR="000702CB" w:rsidRPr="00554FAF" w:rsidRDefault="000702CB" w:rsidP="00802FB3">
      <w:pPr>
        <w:pStyle w:val="ListParagraph"/>
        <w:numPr>
          <w:ilvl w:val="0"/>
          <w:numId w:val="69"/>
        </w:numPr>
        <w:spacing w:after="60" w:line="240" w:lineRule="auto"/>
        <w:contextualSpacing w:val="0"/>
        <w:jc w:val="both"/>
        <w:rPr>
          <w:rFonts w:ascii="Times New Roman" w:hAnsi="Times New Roman" w:cs="Times New Roman"/>
          <w:bCs/>
          <w:sz w:val="24"/>
          <w:szCs w:val="24"/>
        </w:rPr>
      </w:pPr>
      <w:r w:rsidRPr="00554FAF">
        <w:rPr>
          <w:rFonts w:ascii="Times New Roman" w:hAnsi="Times New Roman" w:cs="Times New Roman"/>
          <w:bCs/>
          <w:sz w:val="24"/>
          <w:szCs w:val="24"/>
        </w:rPr>
        <w:t>Fillimi i procesit të negociatave për anëtarësim në OBT</w:t>
      </w:r>
      <w:r w:rsidR="00D7256A" w:rsidRPr="00554FAF">
        <w:rPr>
          <w:rFonts w:ascii="Times New Roman" w:hAnsi="Times New Roman" w:cs="Times New Roman"/>
          <w:bCs/>
          <w:sz w:val="24"/>
          <w:szCs w:val="24"/>
        </w:rPr>
        <w:t>;</w:t>
      </w:r>
      <w:r w:rsidRPr="00554FAF">
        <w:rPr>
          <w:rFonts w:ascii="Times New Roman" w:hAnsi="Times New Roman" w:cs="Times New Roman"/>
          <w:bCs/>
          <w:sz w:val="24"/>
          <w:szCs w:val="24"/>
        </w:rPr>
        <w:t xml:space="preserve"> (MTI)</w:t>
      </w:r>
    </w:p>
    <w:p w14:paraId="180360BC" w14:textId="4C4C2D20" w:rsidR="000702CB" w:rsidRPr="00554FAF" w:rsidRDefault="000702CB" w:rsidP="00802FB3">
      <w:pPr>
        <w:pStyle w:val="ListParagraph"/>
        <w:numPr>
          <w:ilvl w:val="0"/>
          <w:numId w:val="69"/>
        </w:numPr>
        <w:spacing w:after="60" w:line="240" w:lineRule="auto"/>
        <w:contextualSpacing w:val="0"/>
        <w:jc w:val="both"/>
        <w:rPr>
          <w:rFonts w:ascii="Times New Roman" w:hAnsi="Times New Roman" w:cs="Times New Roman"/>
          <w:bCs/>
          <w:sz w:val="24"/>
          <w:szCs w:val="24"/>
        </w:rPr>
      </w:pPr>
      <w:r w:rsidRPr="00554FAF">
        <w:rPr>
          <w:rFonts w:ascii="Times New Roman" w:hAnsi="Times New Roman" w:cs="Times New Roman"/>
          <w:bCs/>
          <w:sz w:val="24"/>
          <w:szCs w:val="24"/>
        </w:rPr>
        <w:t>Fillimi i implementimit të NCTS</w:t>
      </w:r>
      <w:r w:rsidR="00D7256A" w:rsidRPr="00554FAF">
        <w:rPr>
          <w:rFonts w:ascii="Times New Roman" w:hAnsi="Times New Roman" w:cs="Times New Roman"/>
          <w:bCs/>
          <w:sz w:val="24"/>
          <w:szCs w:val="24"/>
        </w:rPr>
        <w:t>;</w:t>
      </w:r>
      <w:r w:rsidRPr="00554FAF">
        <w:rPr>
          <w:rFonts w:ascii="Times New Roman" w:hAnsi="Times New Roman" w:cs="Times New Roman"/>
          <w:bCs/>
          <w:sz w:val="24"/>
          <w:szCs w:val="24"/>
        </w:rPr>
        <w:t xml:space="preserve"> (Dogana- MF)</w:t>
      </w:r>
    </w:p>
    <w:p w14:paraId="03CED328" w14:textId="77777777" w:rsidR="000702CB" w:rsidRPr="00554FAF" w:rsidRDefault="000702CB" w:rsidP="000702CB">
      <w:pPr>
        <w:spacing w:after="60" w:line="240" w:lineRule="auto"/>
        <w:jc w:val="both"/>
        <w:rPr>
          <w:rFonts w:ascii="Times New Roman" w:hAnsi="Times New Roman" w:cs="Times New Roman"/>
          <w:b/>
          <w:bCs/>
          <w:sz w:val="24"/>
          <w:szCs w:val="24"/>
        </w:rPr>
      </w:pPr>
      <w:r w:rsidRPr="00554FAF">
        <w:rPr>
          <w:rFonts w:ascii="Times New Roman" w:hAnsi="Times New Roman" w:cs="Times New Roman"/>
          <w:b/>
          <w:sz w:val="24"/>
          <w:szCs w:val="24"/>
        </w:rPr>
        <w:t>2.  Treguesit e rezultateve</w:t>
      </w:r>
      <w:r w:rsidRPr="00554FAF">
        <w:rPr>
          <w:rFonts w:ascii="Times New Roman" w:hAnsi="Times New Roman" w:cs="Times New Roman"/>
          <w:b/>
          <w:bCs/>
          <w:sz w:val="24"/>
          <w:szCs w:val="24"/>
        </w:rPr>
        <w:t xml:space="preserve">: </w:t>
      </w:r>
    </w:p>
    <w:tbl>
      <w:tblPr>
        <w:tblpPr w:leftFromText="180" w:rightFromText="180" w:vertAnchor="text" w:horzAnchor="margin" w:tblpY="168"/>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5"/>
        <w:gridCol w:w="1080"/>
        <w:gridCol w:w="2430"/>
        <w:gridCol w:w="990"/>
      </w:tblGrid>
      <w:tr w:rsidR="000702CB" w:rsidRPr="00554FAF" w14:paraId="15D4B2A6" w14:textId="77777777" w:rsidTr="003A7429">
        <w:trPr>
          <w:trHeight w:val="530"/>
        </w:trPr>
        <w:tc>
          <w:tcPr>
            <w:tcW w:w="4585" w:type="dxa"/>
            <w:shd w:val="clear" w:color="auto" w:fill="auto"/>
          </w:tcPr>
          <w:p w14:paraId="308751F7" w14:textId="77777777" w:rsidR="000702CB" w:rsidRPr="00554FAF" w:rsidRDefault="000702CB" w:rsidP="000702CB">
            <w:pPr>
              <w:pStyle w:val="Default"/>
              <w:spacing w:after="60"/>
              <w:jc w:val="both"/>
              <w:rPr>
                <w:color w:val="auto"/>
                <w:lang w:val="sq-AL"/>
              </w:rPr>
            </w:pPr>
            <w:r w:rsidRPr="00554FAF">
              <w:rPr>
                <w:color w:val="auto"/>
                <w:lang w:val="sq-AL"/>
              </w:rPr>
              <w:t>Treguesi</w:t>
            </w:r>
          </w:p>
        </w:tc>
        <w:tc>
          <w:tcPr>
            <w:tcW w:w="1080" w:type="dxa"/>
            <w:shd w:val="clear" w:color="auto" w:fill="auto"/>
          </w:tcPr>
          <w:p w14:paraId="52603F8E" w14:textId="77777777" w:rsidR="000702CB" w:rsidRPr="00554FAF" w:rsidRDefault="000702CB" w:rsidP="000702CB">
            <w:pPr>
              <w:pStyle w:val="Default"/>
              <w:spacing w:after="60"/>
              <w:jc w:val="center"/>
              <w:rPr>
                <w:color w:val="auto"/>
                <w:lang w:val="sq-AL"/>
              </w:rPr>
            </w:pPr>
            <w:r w:rsidRPr="00554FAF">
              <w:rPr>
                <w:color w:val="auto"/>
                <w:lang w:val="sq-AL"/>
              </w:rPr>
              <w:t>Baza 2018</w:t>
            </w:r>
          </w:p>
        </w:tc>
        <w:tc>
          <w:tcPr>
            <w:tcW w:w="2430" w:type="dxa"/>
            <w:shd w:val="clear" w:color="auto" w:fill="auto"/>
          </w:tcPr>
          <w:p w14:paraId="517307B9" w14:textId="216C024A" w:rsidR="000702CB" w:rsidRPr="00554FAF" w:rsidRDefault="00D7256A" w:rsidP="0068349C">
            <w:pPr>
              <w:pStyle w:val="Default"/>
              <w:spacing w:after="60"/>
              <w:jc w:val="center"/>
              <w:rPr>
                <w:color w:val="auto"/>
                <w:lang w:val="sq-AL"/>
              </w:rPr>
            </w:pPr>
            <w:r w:rsidRPr="00554FAF">
              <w:rPr>
                <w:color w:val="auto"/>
                <w:lang w:val="sq-AL"/>
              </w:rPr>
              <w:t xml:space="preserve">Synimi </w:t>
            </w:r>
            <w:r w:rsidR="000702CB" w:rsidRPr="00554FAF">
              <w:rPr>
                <w:color w:val="auto"/>
                <w:lang w:val="sq-AL"/>
              </w:rPr>
              <w:t>i ndërmjetëm   2020</w:t>
            </w:r>
          </w:p>
        </w:tc>
        <w:tc>
          <w:tcPr>
            <w:tcW w:w="990" w:type="dxa"/>
            <w:shd w:val="clear" w:color="auto" w:fill="auto"/>
          </w:tcPr>
          <w:p w14:paraId="44FC1594" w14:textId="77777777" w:rsidR="000702CB" w:rsidRPr="00554FAF" w:rsidRDefault="000702CB" w:rsidP="000702CB">
            <w:pPr>
              <w:pStyle w:val="Default"/>
              <w:spacing w:after="60"/>
              <w:jc w:val="center"/>
              <w:rPr>
                <w:color w:val="auto"/>
                <w:lang w:val="sq-AL"/>
              </w:rPr>
            </w:pPr>
            <w:r w:rsidRPr="00554FAF">
              <w:rPr>
                <w:color w:val="auto"/>
                <w:lang w:val="sq-AL"/>
              </w:rPr>
              <w:t>Synimi 2022</w:t>
            </w:r>
          </w:p>
        </w:tc>
      </w:tr>
      <w:tr w:rsidR="000702CB" w:rsidRPr="00554FAF" w14:paraId="18EEE5F7" w14:textId="77777777" w:rsidTr="003A7429">
        <w:trPr>
          <w:trHeight w:val="325"/>
        </w:trPr>
        <w:tc>
          <w:tcPr>
            <w:tcW w:w="4585" w:type="dxa"/>
            <w:shd w:val="clear" w:color="auto" w:fill="auto"/>
          </w:tcPr>
          <w:p w14:paraId="1BD642A7" w14:textId="77777777" w:rsidR="000702CB" w:rsidRPr="00554FAF" w:rsidRDefault="000702CB" w:rsidP="00802FB3">
            <w:pPr>
              <w:pStyle w:val="Default"/>
              <w:numPr>
                <w:ilvl w:val="0"/>
                <w:numId w:val="45"/>
              </w:numPr>
              <w:spacing w:after="60"/>
              <w:ind w:left="337"/>
              <w:jc w:val="both"/>
              <w:rPr>
                <w:color w:val="auto"/>
                <w:lang w:val="sq-AL"/>
              </w:rPr>
            </w:pPr>
            <w:r w:rsidRPr="00554FAF">
              <w:rPr>
                <w:color w:val="auto"/>
                <w:lang w:val="sq-AL"/>
              </w:rPr>
              <w:t>Koha e zhdoganimit në orë, Njësia / Orë</w:t>
            </w:r>
          </w:p>
        </w:tc>
        <w:tc>
          <w:tcPr>
            <w:tcW w:w="1080" w:type="dxa"/>
            <w:shd w:val="clear" w:color="auto" w:fill="auto"/>
          </w:tcPr>
          <w:p w14:paraId="05C7CAED" w14:textId="77777777" w:rsidR="000702CB" w:rsidRPr="00554FAF" w:rsidRDefault="000702CB" w:rsidP="000702CB">
            <w:pPr>
              <w:pStyle w:val="Default"/>
              <w:spacing w:after="60"/>
              <w:jc w:val="both"/>
              <w:rPr>
                <w:iCs/>
                <w:color w:val="auto"/>
                <w:lang w:val="sq-AL"/>
              </w:rPr>
            </w:pPr>
          </w:p>
        </w:tc>
        <w:tc>
          <w:tcPr>
            <w:tcW w:w="2430" w:type="dxa"/>
            <w:shd w:val="clear" w:color="auto" w:fill="auto"/>
          </w:tcPr>
          <w:p w14:paraId="5CC099CC" w14:textId="77777777" w:rsidR="000702CB" w:rsidRPr="00554FAF" w:rsidRDefault="000702CB" w:rsidP="000702CB">
            <w:pPr>
              <w:pStyle w:val="Default"/>
              <w:spacing w:after="60"/>
              <w:jc w:val="both"/>
              <w:rPr>
                <w:color w:val="auto"/>
                <w:lang w:val="sq-AL"/>
              </w:rPr>
            </w:pPr>
          </w:p>
        </w:tc>
        <w:tc>
          <w:tcPr>
            <w:tcW w:w="990" w:type="dxa"/>
            <w:shd w:val="clear" w:color="auto" w:fill="auto"/>
          </w:tcPr>
          <w:p w14:paraId="63D90DAF" w14:textId="77777777" w:rsidR="000702CB" w:rsidRPr="00554FAF" w:rsidRDefault="000702CB" w:rsidP="000702CB">
            <w:pPr>
              <w:pStyle w:val="Default"/>
              <w:spacing w:after="60"/>
              <w:jc w:val="both"/>
              <w:rPr>
                <w:iCs/>
                <w:color w:val="auto"/>
                <w:lang w:val="sq-AL"/>
              </w:rPr>
            </w:pPr>
          </w:p>
        </w:tc>
      </w:tr>
      <w:tr w:rsidR="000702CB" w:rsidRPr="00554FAF" w14:paraId="1AD02A3D" w14:textId="77777777" w:rsidTr="003A7429">
        <w:trPr>
          <w:trHeight w:val="350"/>
        </w:trPr>
        <w:tc>
          <w:tcPr>
            <w:tcW w:w="4585" w:type="dxa"/>
            <w:shd w:val="clear" w:color="auto" w:fill="auto"/>
          </w:tcPr>
          <w:p w14:paraId="1FF90415" w14:textId="77777777" w:rsidR="000702CB" w:rsidRPr="00554FAF" w:rsidRDefault="000702CB" w:rsidP="000702CB">
            <w:pPr>
              <w:pStyle w:val="Default"/>
              <w:spacing w:after="60"/>
              <w:ind w:left="360"/>
              <w:jc w:val="both"/>
              <w:rPr>
                <w:iCs/>
                <w:color w:val="auto"/>
                <w:lang w:val="sq-AL"/>
              </w:rPr>
            </w:pPr>
            <w:r w:rsidRPr="00554FAF">
              <w:rPr>
                <w:iCs/>
                <w:color w:val="auto"/>
                <w:lang w:val="sq-AL"/>
              </w:rPr>
              <w:t xml:space="preserve">Import </w:t>
            </w:r>
          </w:p>
        </w:tc>
        <w:tc>
          <w:tcPr>
            <w:tcW w:w="1080" w:type="dxa"/>
            <w:shd w:val="clear" w:color="auto" w:fill="auto"/>
          </w:tcPr>
          <w:p w14:paraId="2F1E5AD1" w14:textId="77777777" w:rsidR="000702CB" w:rsidRPr="00554FAF" w:rsidRDefault="000702CB" w:rsidP="000702CB">
            <w:pPr>
              <w:pStyle w:val="Default"/>
              <w:spacing w:after="60"/>
              <w:jc w:val="center"/>
              <w:rPr>
                <w:iCs/>
                <w:color w:val="auto"/>
                <w:lang w:val="sq-AL"/>
              </w:rPr>
            </w:pPr>
            <w:r w:rsidRPr="00554FAF">
              <w:rPr>
                <w:iCs/>
                <w:color w:val="auto"/>
                <w:lang w:val="sq-AL"/>
              </w:rPr>
              <w:t>130 min</w:t>
            </w:r>
          </w:p>
        </w:tc>
        <w:tc>
          <w:tcPr>
            <w:tcW w:w="2430" w:type="dxa"/>
            <w:shd w:val="clear" w:color="auto" w:fill="auto"/>
          </w:tcPr>
          <w:p w14:paraId="3A8EDED1" w14:textId="77777777" w:rsidR="000702CB" w:rsidRPr="00554FAF" w:rsidRDefault="000702CB" w:rsidP="000702CB">
            <w:pPr>
              <w:pStyle w:val="Default"/>
              <w:spacing w:after="60"/>
              <w:jc w:val="center"/>
              <w:rPr>
                <w:iCs/>
                <w:color w:val="auto"/>
                <w:lang w:val="sq-AL"/>
              </w:rPr>
            </w:pPr>
            <w:r w:rsidRPr="00554FAF">
              <w:rPr>
                <w:iCs/>
                <w:color w:val="auto"/>
                <w:lang w:val="sq-AL"/>
              </w:rPr>
              <w:t>110 min</w:t>
            </w:r>
          </w:p>
        </w:tc>
        <w:tc>
          <w:tcPr>
            <w:tcW w:w="990" w:type="dxa"/>
            <w:shd w:val="clear" w:color="auto" w:fill="auto"/>
          </w:tcPr>
          <w:p w14:paraId="1606B811" w14:textId="77777777" w:rsidR="000702CB" w:rsidRPr="00554FAF" w:rsidRDefault="000702CB" w:rsidP="000702CB">
            <w:pPr>
              <w:pStyle w:val="Default"/>
              <w:spacing w:after="60"/>
              <w:jc w:val="center"/>
              <w:rPr>
                <w:iCs/>
                <w:color w:val="auto"/>
                <w:lang w:val="sq-AL"/>
              </w:rPr>
            </w:pPr>
            <w:r w:rsidRPr="00554FAF">
              <w:rPr>
                <w:iCs/>
                <w:color w:val="auto"/>
                <w:lang w:val="sq-AL"/>
              </w:rPr>
              <w:t>100min</w:t>
            </w:r>
          </w:p>
        </w:tc>
      </w:tr>
      <w:tr w:rsidR="000702CB" w:rsidRPr="00554FAF" w14:paraId="1EF34F7C" w14:textId="77777777" w:rsidTr="003A7429">
        <w:trPr>
          <w:trHeight w:val="350"/>
        </w:trPr>
        <w:tc>
          <w:tcPr>
            <w:tcW w:w="4585" w:type="dxa"/>
            <w:shd w:val="clear" w:color="auto" w:fill="auto"/>
          </w:tcPr>
          <w:p w14:paraId="3EF11344" w14:textId="77777777" w:rsidR="000702CB" w:rsidRPr="00554FAF" w:rsidRDefault="000702CB" w:rsidP="000702CB">
            <w:pPr>
              <w:pStyle w:val="Default"/>
              <w:spacing w:after="60"/>
              <w:ind w:left="360"/>
              <w:jc w:val="both"/>
              <w:rPr>
                <w:iCs/>
                <w:color w:val="auto"/>
                <w:lang w:val="sq-AL"/>
              </w:rPr>
            </w:pPr>
            <w:r w:rsidRPr="00554FAF">
              <w:rPr>
                <w:iCs/>
                <w:color w:val="auto"/>
                <w:lang w:val="sq-AL"/>
              </w:rPr>
              <w:t>Eksport</w:t>
            </w:r>
          </w:p>
        </w:tc>
        <w:tc>
          <w:tcPr>
            <w:tcW w:w="1080" w:type="dxa"/>
            <w:shd w:val="clear" w:color="auto" w:fill="auto"/>
          </w:tcPr>
          <w:p w14:paraId="417CFEE1" w14:textId="77777777" w:rsidR="000702CB" w:rsidRPr="00554FAF" w:rsidRDefault="000702CB" w:rsidP="000702CB">
            <w:pPr>
              <w:pStyle w:val="Default"/>
              <w:spacing w:after="60"/>
              <w:jc w:val="center"/>
              <w:rPr>
                <w:iCs/>
                <w:color w:val="auto"/>
                <w:lang w:val="sq-AL"/>
              </w:rPr>
            </w:pPr>
            <w:r w:rsidRPr="00554FAF">
              <w:rPr>
                <w:iCs/>
                <w:color w:val="auto"/>
                <w:lang w:val="sq-AL"/>
              </w:rPr>
              <w:t>75 min</w:t>
            </w:r>
          </w:p>
        </w:tc>
        <w:tc>
          <w:tcPr>
            <w:tcW w:w="2430" w:type="dxa"/>
            <w:shd w:val="clear" w:color="auto" w:fill="auto"/>
          </w:tcPr>
          <w:p w14:paraId="734ADC25" w14:textId="77777777" w:rsidR="000702CB" w:rsidRPr="00554FAF" w:rsidRDefault="000702CB" w:rsidP="000702CB">
            <w:pPr>
              <w:pStyle w:val="Default"/>
              <w:spacing w:after="60"/>
              <w:jc w:val="center"/>
              <w:rPr>
                <w:iCs/>
                <w:color w:val="auto"/>
                <w:lang w:val="sq-AL"/>
              </w:rPr>
            </w:pPr>
            <w:r w:rsidRPr="00554FAF">
              <w:rPr>
                <w:iCs/>
                <w:color w:val="auto"/>
                <w:lang w:val="sq-AL"/>
              </w:rPr>
              <w:t>65 min</w:t>
            </w:r>
          </w:p>
        </w:tc>
        <w:tc>
          <w:tcPr>
            <w:tcW w:w="990" w:type="dxa"/>
            <w:shd w:val="clear" w:color="auto" w:fill="auto"/>
          </w:tcPr>
          <w:p w14:paraId="19EC728D" w14:textId="77777777" w:rsidR="000702CB" w:rsidRPr="00554FAF" w:rsidRDefault="000702CB" w:rsidP="000702CB">
            <w:pPr>
              <w:pStyle w:val="Default"/>
              <w:spacing w:after="60"/>
              <w:jc w:val="center"/>
              <w:rPr>
                <w:iCs/>
                <w:color w:val="auto"/>
                <w:lang w:val="sq-AL"/>
              </w:rPr>
            </w:pPr>
            <w:r w:rsidRPr="00554FAF">
              <w:rPr>
                <w:iCs/>
                <w:color w:val="auto"/>
                <w:lang w:val="sq-AL"/>
              </w:rPr>
              <w:t>55 min</w:t>
            </w:r>
          </w:p>
        </w:tc>
      </w:tr>
      <w:tr w:rsidR="000702CB" w:rsidRPr="00554FAF" w14:paraId="7F064998" w14:textId="77777777" w:rsidTr="003A7429">
        <w:trPr>
          <w:trHeight w:val="528"/>
        </w:trPr>
        <w:tc>
          <w:tcPr>
            <w:tcW w:w="4585" w:type="dxa"/>
            <w:shd w:val="clear" w:color="auto" w:fill="auto"/>
          </w:tcPr>
          <w:p w14:paraId="773D0DBA" w14:textId="77777777" w:rsidR="000702CB" w:rsidRPr="00554FAF" w:rsidRDefault="000702CB" w:rsidP="000702CB">
            <w:pPr>
              <w:keepNext/>
              <w:spacing w:after="60" w:line="240" w:lineRule="auto"/>
              <w:rPr>
                <w:rFonts w:ascii="Times New Roman" w:hAnsi="Times New Roman" w:cs="Times New Roman"/>
                <w:sz w:val="24"/>
                <w:szCs w:val="24"/>
              </w:rPr>
            </w:pPr>
            <w:r w:rsidRPr="00554FAF">
              <w:rPr>
                <w:rFonts w:ascii="Times New Roman" w:hAnsi="Times New Roman" w:cs="Times New Roman"/>
                <w:sz w:val="24"/>
                <w:szCs w:val="24"/>
              </w:rPr>
              <w:t>2. Rritja e përqindjes se deklarimeve elektronike doganore (paperless concept)</w:t>
            </w:r>
          </w:p>
        </w:tc>
        <w:tc>
          <w:tcPr>
            <w:tcW w:w="1080" w:type="dxa"/>
            <w:shd w:val="clear" w:color="auto" w:fill="auto"/>
          </w:tcPr>
          <w:p w14:paraId="7C4495EC" w14:textId="77777777" w:rsidR="000702CB" w:rsidRPr="00554FAF" w:rsidRDefault="000702CB" w:rsidP="000702CB">
            <w:pPr>
              <w:pStyle w:val="Default"/>
              <w:spacing w:after="60"/>
              <w:jc w:val="center"/>
              <w:rPr>
                <w:color w:val="auto"/>
                <w:lang w:val="sq-AL"/>
              </w:rPr>
            </w:pPr>
            <w:r w:rsidRPr="00554FAF">
              <w:rPr>
                <w:color w:val="auto"/>
                <w:lang w:val="sq-AL"/>
              </w:rPr>
              <w:t>70%</w:t>
            </w:r>
          </w:p>
        </w:tc>
        <w:tc>
          <w:tcPr>
            <w:tcW w:w="2430" w:type="dxa"/>
            <w:shd w:val="clear" w:color="auto" w:fill="auto"/>
          </w:tcPr>
          <w:p w14:paraId="6E387A97" w14:textId="77777777" w:rsidR="000702CB" w:rsidRPr="00554FAF" w:rsidRDefault="000702CB" w:rsidP="000702CB">
            <w:pPr>
              <w:pStyle w:val="Default"/>
              <w:spacing w:after="60"/>
              <w:jc w:val="center"/>
              <w:rPr>
                <w:color w:val="auto"/>
                <w:lang w:val="sq-AL"/>
              </w:rPr>
            </w:pPr>
            <w:r w:rsidRPr="00554FAF">
              <w:rPr>
                <w:color w:val="auto"/>
                <w:lang w:val="sq-AL"/>
              </w:rPr>
              <w:t>80%</w:t>
            </w:r>
          </w:p>
        </w:tc>
        <w:tc>
          <w:tcPr>
            <w:tcW w:w="990" w:type="dxa"/>
            <w:shd w:val="clear" w:color="auto" w:fill="auto"/>
          </w:tcPr>
          <w:p w14:paraId="07C3D670" w14:textId="77777777" w:rsidR="000702CB" w:rsidRPr="00554FAF" w:rsidRDefault="000702CB" w:rsidP="000702CB">
            <w:pPr>
              <w:pStyle w:val="Default"/>
              <w:spacing w:after="60"/>
              <w:jc w:val="center"/>
              <w:rPr>
                <w:color w:val="auto"/>
                <w:lang w:val="sq-AL"/>
              </w:rPr>
            </w:pPr>
            <w:r w:rsidRPr="00554FAF">
              <w:rPr>
                <w:color w:val="auto"/>
                <w:lang w:val="sq-AL"/>
              </w:rPr>
              <w:t>90%</w:t>
            </w:r>
          </w:p>
        </w:tc>
      </w:tr>
    </w:tbl>
    <w:p w14:paraId="2F42544A" w14:textId="77777777" w:rsidR="000702CB" w:rsidRPr="00554FAF" w:rsidRDefault="000702CB" w:rsidP="000702CB">
      <w:pPr>
        <w:widowControl w:val="0"/>
        <w:spacing w:after="60" w:line="240" w:lineRule="auto"/>
        <w:jc w:val="both"/>
        <w:rPr>
          <w:rFonts w:ascii="Times New Roman" w:hAnsi="Times New Roman" w:cs="Times New Roman"/>
          <w:b/>
          <w:bCs/>
          <w:sz w:val="24"/>
          <w:szCs w:val="24"/>
        </w:rPr>
      </w:pPr>
    </w:p>
    <w:p w14:paraId="1EA86F54" w14:textId="545F2644" w:rsidR="000702CB" w:rsidRPr="00554FAF" w:rsidRDefault="000702CB" w:rsidP="000702CB">
      <w:pPr>
        <w:widowControl w:val="0"/>
        <w:spacing w:after="60" w:line="240" w:lineRule="auto"/>
        <w:jc w:val="both"/>
        <w:rPr>
          <w:rFonts w:ascii="Times New Roman" w:hAnsi="Times New Roman" w:cs="Times New Roman"/>
          <w:b/>
          <w:bCs/>
          <w:sz w:val="24"/>
          <w:szCs w:val="24"/>
        </w:rPr>
      </w:pPr>
      <w:r w:rsidRPr="00554FAF">
        <w:rPr>
          <w:rFonts w:ascii="Times New Roman" w:hAnsi="Times New Roman" w:cs="Times New Roman"/>
          <w:b/>
          <w:bCs/>
          <w:sz w:val="24"/>
          <w:szCs w:val="24"/>
        </w:rPr>
        <w:t xml:space="preserve">3. Ndikimi i pritur në konkurrueshmëri: </w:t>
      </w:r>
      <w:r w:rsidRPr="00554FAF">
        <w:rPr>
          <w:rFonts w:ascii="Times New Roman" w:hAnsi="Times New Roman" w:cs="Times New Roman"/>
          <w:sz w:val="24"/>
          <w:szCs w:val="24"/>
        </w:rPr>
        <w:t>Sipas të dhënave të Organizatës Botërore të Tregtisë lehtësimi i tregtisë mund të ulë kostot tregtare me një mesatare prej 14.3%. Analizat tregojnë se në shumë vende, në nivelin makro</w:t>
      </w:r>
      <w:r w:rsidR="00D7256A" w:rsidRPr="00554FAF">
        <w:rPr>
          <w:rFonts w:ascii="Times New Roman" w:hAnsi="Times New Roman" w:cs="Times New Roman"/>
          <w:sz w:val="24"/>
          <w:szCs w:val="24"/>
        </w:rPr>
        <w:t xml:space="preserve">, </w:t>
      </w:r>
      <w:r w:rsidRPr="00554FAF">
        <w:rPr>
          <w:rFonts w:ascii="Times New Roman" w:hAnsi="Times New Roman" w:cs="Times New Roman"/>
          <w:sz w:val="24"/>
          <w:szCs w:val="24"/>
        </w:rPr>
        <w:t>reduktimi i kohës për tregti vetëm për një ditë mund të rri</w:t>
      </w:r>
      <w:r w:rsidR="00D7256A" w:rsidRPr="00554FAF">
        <w:rPr>
          <w:rFonts w:ascii="Times New Roman" w:hAnsi="Times New Roman" w:cs="Times New Roman"/>
          <w:sz w:val="24"/>
          <w:szCs w:val="24"/>
        </w:rPr>
        <w:t>s</w:t>
      </w:r>
      <w:r w:rsidRPr="00554FAF">
        <w:rPr>
          <w:rFonts w:ascii="Times New Roman" w:hAnsi="Times New Roman" w:cs="Times New Roman"/>
          <w:sz w:val="24"/>
          <w:szCs w:val="24"/>
        </w:rPr>
        <w:t xml:space="preserve"> aktivitetin tregtar në më shumë se 5%. Reformat në lehtësimin e tregtisë në Kosovë pritet që të reduktojnë kohën e </w:t>
      </w:r>
      <w:r w:rsidR="00D7256A" w:rsidRPr="00554FAF">
        <w:rPr>
          <w:rFonts w:ascii="Times New Roman" w:hAnsi="Times New Roman" w:cs="Times New Roman"/>
          <w:sz w:val="24"/>
          <w:szCs w:val="24"/>
        </w:rPr>
        <w:t>s</w:t>
      </w:r>
      <w:r w:rsidRPr="00554FAF">
        <w:rPr>
          <w:rFonts w:ascii="Times New Roman" w:hAnsi="Times New Roman" w:cs="Times New Roman"/>
          <w:sz w:val="24"/>
          <w:szCs w:val="24"/>
        </w:rPr>
        <w:t>hdoganimit në import dhe eksport</w:t>
      </w:r>
      <w:r w:rsidR="00D7256A" w:rsidRPr="00554FAF">
        <w:rPr>
          <w:rFonts w:ascii="Times New Roman" w:hAnsi="Times New Roman" w:cs="Times New Roman"/>
          <w:sz w:val="24"/>
          <w:szCs w:val="24"/>
        </w:rPr>
        <w:t>,</w:t>
      </w:r>
      <w:r w:rsidRPr="00554FAF">
        <w:rPr>
          <w:rFonts w:ascii="Times New Roman" w:hAnsi="Times New Roman" w:cs="Times New Roman"/>
          <w:sz w:val="24"/>
          <w:szCs w:val="24"/>
        </w:rPr>
        <w:t xml:space="preserve"> respektivisht nga 130 minuta sa është aktualisht për import të reduktohet në 100 minuta deri në vitin 2022</w:t>
      </w:r>
      <w:r w:rsidR="00D7256A" w:rsidRPr="00554FAF">
        <w:rPr>
          <w:rFonts w:ascii="Times New Roman" w:hAnsi="Times New Roman" w:cs="Times New Roman"/>
          <w:sz w:val="24"/>
          <w:szCs w:val="24"/>
        </w:rPr>
        <w:t>,</w:t>
      </w:r>
      <w:r w:rsidRPr="00554FAF">
        <w:rPr>
          <w:rFonts w:ascii="Times New Roman" w:hAnsi="Times New Roman" w:cs="Times New Roman"/>
          <w:sz w:val="24"/>
          <w:szCs w:val="24"/>
        </w:rPr>
        <w:t xml:space="preserve"> ndërsa për eksport nga 75 minuta sa është aktualisht të reduktohet në 55 minuta. </w:t>
      </w:r>
    </w:p>
    <w:p w14:paraId="3EC3B831" w14:textId="00B0C5EA" w:rsidR="000702CB" w:rsidRPr="00554FAF" w:rsidRDefault="000702CB" w:rsidP="000702CB">
      <w:pPr>
        <w:spacing w:after="60" w:line="240" w:lineRule="auto"/>
        <w:jc w:val="both"/>
        <w:rPr>
          <w:rFonts w:ascii="Times New Roman" w:hAnsi="Times New Roman" w:cs="Times New Roman"/>
          <w:bCs/>
          <w:sz w:val="24"/>
          <w:szCs w:val="24"/>
        </w:rPr>
      </w:pPr>
      <w:r w:rsidRPr="00554FAF">
        <w:rPr>
          <w:rFonts w:ascii="Times New Roman" w:hAnsi="Times New Roman" w:cs="Times New Roman"/>
          <w:b/>
          <w:bCs/>
          <w:sz w:val="24"/>
          <w:szCs w:val="24"/>
        </w:rPr>
        <w:t xml:space="preserve">4. Vlerësimi i kostos së aktiviteteve dhe </w:t>
      </w:r>
      <w:r w:rsidRPr="00554FAF">
        <w:rPr>
          <w:rFonts w:ascii="Times New Roman" w:hAnsi="Times New Roman" w:cs="Times New Roman"/>
          <w:b/>
          <w:sz w:val="24"/>
          <w:szCs w:val="24"/>
        </w:rPr>
        <w:t xml:space="preserve">burimet e financimit: </w:t>
      </w:r>
      <w:r w:rsidRPr="00554FAF">
        <w:rPr>
          <w:rFonts w:ascii="Times New Roman" w:hAnsi="Times New Roman" w:cs="Times New Roman"/>
          <w:bCs/>
          <w:sz w:val="24"/>
          <w:szCs w:val="24"/>
        </w:rPr>
        <w:t>Shuma e përgjithshme e buxhetit t</w:t>
      </w:r>
      <w:r w:rsidR="00D7256A" w:rsidRPr="00554FAF">
        <w:rPr>
          <w:rFonts w:ascii="Times New Roman" w:hAnsi="Times New Roman" w:cs="Times New Roman"/>
          <w:bCs/>
          <w:sz w:val="24"/>
          <w:szCs w:val="24"/>
        </w:rPr>
        <w:t>ë</w:t>
      </w:r>
      <w:r w:rsidRPr="00554FAF">
        <w:rPr>
          <w:rFonts w:ascii="Times New Roman" w:hAnsi="Times New Roman" w:cs="Times New Roman"/>
          <w:bCs/>
          <w:sz w:val="24"/>
          <w:szCs w:val="24"/>
        </w:rPr>
        <w:t xml:space="preserve"> planifikuar për këto aktivitete për tre vite është 76,000 euro. P</w:t>
      </w:r>
      <w:r w:rsidR="00D7256A" w:rsidRPr="00554FAF">
        <w:rPr>
          <w:rFonts w:ascii="Times New Roman" w:hAnsi="Times New Roman" w:cs="Times New Roman"/>
          <w:bCs/>
          <w:sz w:val="24"/>
          <w:szCs w:val="24"/>
        </w:rPr>
        <w:t>ë</w:t>
      </w:r>
      <w:r w:rsidRPr="00554FAF">
        <w:rPr>
          <w:rFonts w:ascii="Times New Roman" w:hAnsi="Times New Roman" w:cs="Times New Roman"/>
          <w:bCs/>
          <w:sz w:val="24"/>
          <w:szCs w:val="24"/>
        </w:rPr>
        <w:t>r vitin 2020</w:t>
      </w:r>
      <w:r w:rsidR="00D7256A" w:rsidRPr="00554FAF">
        <w:rPr>
          <w:rFonts w:ascii="Times New Roman" w:hAnsi="Times New Roman" w:cs="Times New Roman"/>
          <w:bCs/>
          <w:sz w:val="24"/>
          <w:szCs w:val="24"/>
        </w:rPr>
        <w:t>,</w:t>
      </w:r>
      <w:r w:rsidRPr="00554FAF">
        <w:rPr>
          <w:rFonts w:ascii="Times New Roman" w:hAnsi="Times New Roman" w:cs="Times New Roman"/>
          <w:bCs/>
          <w:sz w:val="24"/>
          <w:szCs w:val="24"/>
        </w:rPr>
        <w:t xml:space="preserve"> kosto e masave  vlerësohet t</w:t>
      </w:r>
      <w:r w:rsidR="00D7256A" w:rsidRPr="00554FAF">
        <w:rPr>
          <w:rFonts w:ascii="Times New Roman" w:hAnsi="Times New Roman" w:cs="Times New Roman"/>
          <w:bCs/>
          <w:sz w:val="24"/>
          <w:szCs w:val="24"/>
        </w:rPr>
        <w:t>ë</w:t>
      </w:r>
      <w:r w:rsidRPr="00554FAF">
        <w:rPr>
          <w:rFonts w:ascii="Times New Roman" w:hAnsi="Times New Roman" w:cs="Times New Roman"/>
          <w:bCs/>
          <w:sz w:val="24"/>
          <w:szCs w:val="24"/>
        </w:rPr>
        <w:t xml:space="preserve"> jete: 32,000 Euro nga t</w:t>
      </w:r>
      <w:r w:rsidR="00D7256A" w:rsidRPr="00554FAF">
        <w:rPr>
          <w:rFonts w:ascii="Times New Roman" w:hAnsi="Times New Roman" w:cs="Times New Roman"/>
          <w:bCs/>
          <w:sz w:val="24"/>
          <w:szCs w:val="24"/>
        </w:rPr>
        <w:t>ë</w:t>
      </w:r>
      <w:r w:rsidRPr="00554FAF">
        <w:rPr>
          <w:rFonts w:ascii="Times New Roman" w:hAnsi="Times New Roman" w:cs="Times New Roman"/>
          <w:bCs/>
          <w:sz w:val="24"/>
          <w:szCs w:val="24"/>
        </w:rPr>
        <w:t xml:space="preserve"> cilat 30,000 </w:t>
      </w:r>
      <w:r w:rsidR="00D7256A" w:rsidRPr="00554FAF">
        <w:rPr>
          <w:rFonts w:ascii="Times New Roman" w:hAnsi="Times New Roman" w:cs="Times New Roman"/>
          <w:bCs/>
          <w:sz w:val="24"/>
          <w:szCs w:val="24"/>
        </w:rPr>
        <w:t>e</w:t>
      </w:r>
      <w:r w:rsidRPr="00554FAF">
        <w:rPr>
          <w:rFonts w:ascii="Times New Roman" w:hAnsi="Times New Roman" w:cs="Times New Roman"/>
          <w:bCs/>
          <w:sz w:val="24"/>
          <w:szCs w:val="24"/>
        </w:rPr>
        <w:t>uro financohen nga Projekti i BE-s</w:t>
      </w:r>
      <w:r w:rsidR="00D7256A" w:rsidRPr="00554FAF">
        <w:rPr>
          <w:rFonts w:ascii="Times New Roman" w:hAnsi="Times New Roman" w:cs="Times New Roman"/>
          <w:bCs/>
          <w:sz w:val="24"/>
          <w:szCs w:val="24"/>
        </w:rPr>
        <w:t>ë</w:t>
      </w:r>
      <w:r w:rsidRPr="00554FAF">
        <w:rPr>
          <w:rFonts w:ascii="Times New Roman" w:hAnsi="Times New Roman" w:cs="Times New Roman"/>
          <w:bCs/>
          <w:sz w:val="24"/>
          <w:szCs w:val="24"/>
        </w:rPr>
        <w:t xml:space="preserve"> dhe </w:t>
      </w:r>
      <w:r w:rsidR="00D7256A" w:rsidRPr="00554FAF">
        <w:rPr>
          <w:rFonts w:ascii="Times New Roman" w:hAnsi="Times New Roman" w:cs="Times New Roman"/>
          <w:bCs/>
          <w:sz w:val="24"/>
          <w:szCs w:val="24"/>
        </w:rPr>
        <w:t>d</w:t>
      </w:r>
      <w:r w:rsidRPr="00554FAF">
        <w:rPr>
          <w:rFonts w:ascii="Times New Roman" w:hAnsi="Times New Roman" w:cs="Times New Roman"/>
          <w:bCs/>
          <w:sz w:val="24"/>
          <w:szCs w:val="24"/>
        </w:rPr>
        <w:t>onatoret tjerë, ndërsa pjesa tjetër nga Buxheti i Kosovës. P</w:t>
      </w:r>
      <w:r w:rsidR="00D7256A" w:rsidRPr="00554FAF">
        <w:rPr>
          <w:rFonts w:ascii="Times New Roman" w:hAnsi="Times New Roman" w:cs="Times New Roman"/>
          <w:bCs/>
          <w:sz w:val="24"/>
          <w:szCs w:val="24"/>
        </w:rPr>
        <w:t>ë</w:t>
      </w:r>
      <w:r w:rsidRPr="00554FAF">
        <w:rPr>
          <w:rFonts w:ascii="Times New Roman" w:hAnsi="Times New Roman" w:cs="Times New Roman"/>
          <w:bCs/>
          <w:sz w:val="24"/>
          <w:szCs w:val="24"/>
        </w:rPr>
        <w:t>r vitin 2021 kostoja vlerësohet t</w:t>
      </w:r>
      <w:r w:rsidR="00D7256A" w:rsidRPr="00554FAF">
        <w:rPr>
          <w:rFonts w:ascii="Times New Roman" w:hAnsi="Times New Roman" w:cs="Times New Roman"/>
          <w:bCs/>
          <w:sz w:val="24"/>
          <w:szCs w:val="24"/>
        </w:rPr>
        <w:t>ë</w:t>
      </w:r>
      <w:r w:rsidRPr="00554FAF">
        <w:rPr>
          <w:rFonts w:ascii="Times New Roman" w:hAnsi="Times New Roman" w:cs="Times New Roman"/>
          <w:bCs/>
          <w:sz w:val="24"/>
          <w:szCs w:val="24"/>
        </w:rPr>
        <w:t xml:space="preserve"> jet</w:t>
      </w:r>
      <w:r w:rsidR="00D7256A" w:rsidRPr="00554FAF">
        <w:rPr>
          <w:rFonts w:ascii="Times New Roman" w:hAnsi="Times New Roman" w:cs="Times New Roman"/>
          <w:bCs/>
          <w:sz w:val="24"/>
          <w:szCs w:val="24"/>
        </w:rPr>
        <w:t>ë</w:t>
      </w:r>
      <w:r w:rsidRPr="00554FAF">
        <w:rPr>
          <w:rFonts w:ascii="Times New Roman" w:hAnsi="Times New Roman" w:cs="Times New Roman"/>
          <w:bCs/>
          <w:sz w:val="24"/>
          <w:szCs w:val="24"/>
        </w:rPr>
        <w:t xml:space="preserve"> 22,000 dhe 2022  kostoja vlerësohet t</w:t>
      </w:r>
      <w:r w:rsidR="00D7256A" w:rsidRPr="00554FAF">
        <w:rPr>
          <w:rFonts w:ascii="Times New Roman" w:hAnsi="Times New Roman" w:cs="Times New Roman"/>
          <w:bCs/>
          <w:sz w:val="24"/>
          <w:szCs w:val="24"/>
        </w:rPr>
        <w:t>ë</w:t>
      </w:r>
      <w:r w:rsidRPr="00554FAF">
        <w:rPr>
          <w:rFonts w:ascii="Times New Roman" w:hAnsi="Times New Roman" w:cs="Times New Roman"/>
          <w:bCs/>
          <w:sz w:val="24"/>
          <w:szCs w:val="24"/>
        </w:rPr>
        <w:t xml:space="preserve"> jet</w:t>
      </w:r>
      <w:r w:rsidR="00D7256A" w:rsidRPr="00554FAF">
        <w:rPr>
          <w:rFonts w:ascii="Times New Roman" w:hAnsi="Times New Roman" w:cs="Times New Roman"/>
          <w:bCs/>
          <w:sz w:val="24"/>
          <w:szCs w:val="24"/>
        </w:rPr>
        <w:t>ë</w:t>
      </w:r>
      <w:r w:rsidRPr="00554FAF">
        <w:rPr>
          <w:rFonts w:ascii="Times New Roman" w:hAnsi="Times New Roman" w:cs="Times New Roman"/>
          <w:bCs/>
          <w:sz w:val="24"/>
          <w:szCs w:val="24"/>
        </w:rPr>
        <w:t xml:space="preserve"> nga 22,000 Euro. Financimi i tyre do t</w:t>
      </w:r>
      <w:r w:rsidR="00D7256A" w:rsidRPr="00554FAF">
        <w:rPr>
          <w:rFonts w:ascii="Times New Roman" w:hAnsi="Times New Roman" w:cs="Times New Roman"/>
          <w:bCs/>
          <w:sz w:val="24"/>
          <w:szCs w:val="24"/>
        </w:rPr>
        <w:t>ë</w:t>
      </w:r>
      <w:r w:rsidRPr="00554FAF">
        <w:rPr>
          <w:rFonts w:ascii="Times New Roman" w:hAnsi="Times New Roman" w:cs="Times New Roman"/>
          <w:bCs/>
          <w:sz w:val="24"/>
          <w:szCs w:val="24"/>
        </w:rPr>
        <w:t xml:space="preserve"> ndahet në mes t</w:t>
      </w:r>
      <w:r w:rsidR="00D7256A" w:rsidRPr="00554FAF">
        <w:rPr>
          <w:rFonts w:ascii="Times New Roman" w:hAnsi="Times New Roman" w:cs="Times New Roman"/>
          <w:bCs/>
          <w:sz w:val="24"/>
          <w:szCs w:val="24"/>
        </w:rPr>
        <w:t>ë</w:t>
      </w:r>
      <w:r w:rsidRPr="00554FAF">
        <w:rPr>
          <w:rFonts w:ascii="Times New Roman" w:hAnsi="Times New Roman" w:cs="Times New Roman"/>
          <w:bCs/>
          <w:sz w:val="24"/>
          <w:szCs w:val="24"/>
        </w:rPr>
        <w:t xml:space="preserve"> Buxhetit të Kosovës dhe granteve t</w:t>
      </w:r>
      <w:r w:rsidR="00D7256A" w:rsidRPr="00554FAF">
        <w:rPr>
          <w:rFonts w:ascii="Times New Roman" w:hAnsi="Times New Roman" w:cs="Times New Roman"/>
          <w:bCs/>
          <w:sz w:val="24"/>
          <w:szCs w:val="24"/>
        </w:rPr>
        <w:t>ë</w:t>
      </w:r>
      <w:r w:rsidRPr="00554FAF">
        <w:rPr>
          <w:rFonts w:ascii="Times New Roman" w:hAnsi="Times New Roman" w:cs="Times New Roman"/>
          <w:bCs/>
          <w:sz w:val="24"/>
          <w:szCs w:val="24"/>
        </w:rPr>
        <w:t xml:space="preserve"> donator</w:t>
      </w:r>
      <w:r w:rsidR="00D7256A" w:rsidRPr="00554FAF">
        <w:rPr>
          <w:rFonts w:ascii="Times New Roman" w:hAnsi="Times New Roman" w:cs="Times New Roman"/>
          <w:bCs/>
          <w:sz w:val="24"/>
          <w:szCs w:val="24"/>
        </w:rPr>
        <w:t>ë</w:t>
      </w:r>
      <w:r w:rsidRPr="00554FAF">
        <w:rPr>
          <w:rFonts w:ascii="Times New Roman" w:hAnsi="Times New Roman" w:cs="Times New Roman"/>
          <w:bCs/>
          <w:sz w:val="24"/>
          <w:szCs w:val="24"/>
        </w:rPr>
        <w:t xml:space="preserve">ve. </w:t>
      </w:r>
    </w:p>
    <w:p w14:paraId="757DFEFF" w14:textId="17E1BDD6" w:rsidR="000702CB" w:rsidRPr="00554FAF" w:rsidRDefault="000702CB"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b/>
          <w:bCs/>
          <w:sz w:val="24"/>
          <w:szCs w:val="24"/>
        </w:rPr>
        <w:t xml:space="preserve">5. Ndikimet e pritshme mbi rezultatet sociale, të tilla si punësimi, reduktimi i varfërisë, barazia gjinore: </w:t>
      </w:r>
      <w:r w:rsidRPr="00554FAF">
        <w:rPr>
          <w:rFonts w:ascii="Times New Roman" w:hAnsi="Times New Roman" w:cs="Times New Roman"/>
          <w:sz w:val="24"/>
          <w:szCs w:val="24"/>
        </w:rPr>
        <w:t>Në bazë të raportit të Organizatës Botërore të Tregtisë dhe Bankës Botërore “Trade and Poverty Reduction” të vitit 2018, theksohet se hapja e tregtisë ka ndikime të qarta dhe pozitive në uljen e varfërisë. Sipas hulumtimeve nga Qendra e Tregtisë Ndërkombëtare (ITC), bizneset në pronësi të grave që eksportojnë, punësojnë mesatarisht 42 persona, krahasuar me një mesatare prej vetëm 8 personave të punësuar nga bizneset të cilat nuk janë në pronësi të grave dhe të cilat biznese nuk eksportojnë. Prandaj implementimi i këtyre aktiviteteve synon që në një afat të mesëm të sjell një impakt pozitiv n</w:t>
      </w:r>
      <w:r w:rsidR="00D7256A" w:rsidRPr="00554FAF">
        <w:rPr>
          <w:rFonts w:ascii="Times New Roman" w:hAnsi="Times New Roman" w:cs="Times New Roman"/>
          <w:sz w:val="24"/>
          <w:szCs w:val="24"/>
        </w:rPr>
        <w:t>ë</w:t>
      </w:r>
      <w:r w:rsidRPr="00554FAF">
        <w:rPr>
          <w:rFonts w:ascii="Times New Roman" w:hAnsi="Times New Roman" w:cs="Times New Roman"/>
          <w:sz w:val="24"/>
          <w:szCs w:val="24"/>
        </w:rPr>
        <w:t xml:space="preserve"> rritjen e mirëqenies sociale në Kosovë.</w:t>
      </w:r>
    </w:p>
    <w:p w14:paraId="5D35762A" w14:textId="11CF5745" w:rsidR="000702CB" w:rsidRPr="00554FAF" w:rsidRDefault="000702CB" w:rsidP="000702CB">
      <w:pPr>
        <w:spacing w:after="60" w:line="240" w:lineRule="auto"/>
        <w:jc w:val="both"/>
        <w:rPr>
          <w:rFonts w:ascii="Times New Roman" w:hAnsi="Times New Roman" w:cs="Times New Roman"/>
          <w:bCs/>
          <w:iCs/>
          <w:sz w:val="24"/>
          <w:szCs w:val="24"/>
        </w:rPr>
      </w:pPr>
      <w:r w:rsidRPr="00554FAF">
        <w:rPr>
          <w:rFonts w:ascii="Times New Roman" w:hAnsi="Times New Roman" w:cs="Times New Roman"/>
          <w:b/>
          <w:bCs/>
          <w:sz w:val="24"/>
          <w:szCs w:val="24"/>
        </w:rPr>
        <w:t xml:space="preserve">6. Ndikimi i pritshëm në mjedis: </w:t>
      </w:r>
      <w:r w:rsidRPr="00554FAF">
        <w:rPr>
          <w:rFonts w:ascii="Times New Roman" w:hAnsi="Times New Roman" w:cs="Times New Roman"/>
          <w:bCs/>
          <w:iCs/>
          <w:sz w:val="24"/>
          <w:szCs w:val="24"/>
        </w:rPr>
        <w:t>Sipas OECD-së, rritja ekonomike që vjen nga zgjerimi i tregtisë mund të ketë një ndikim të drejtpërdrejtë në mjedis duke rritur ndotjen ose duke degraduar burimet natyrore. Sidoqoftë, rritja e tregtisë nga ana tjetër, duke mbështetur rritjen ekonomike, zhvillimin dhe mirëqenien sociale, mund të kontribuojë në një kapacitet më të madh për të menaxhuar mjedisin në mënyrë më efektive. Më e rëndësishmja, tregjet e hapura mund të përmirësojnë qasjen në teknologjitë e reja që i bëjnë proceset e prodhimit vendor më efikas duke</w:t>
      </w:r>
      <w:r w:rsidR="00D7256A" w:rsidRPr="00554FAF">
        <w:rPr>
          <w:rFonts w:ascii="Times New Roman" w:hAnsi="Times New Roman" w:cs="Times New Roman"/>
          <w:bCs/>
          <w:iCs/>
          <w:sz w:val="24"/>
          <w:szCs w:val="24"/>
        </w:rPr>
        <w:t xml:space="preserve"> e</w:t>
      </w:r>
      <w:r w:rsidRPr="00554FAF">
        <w:rPr>
          <w:rFonts w:ascii="Times New Roman" w:hAnsi="Times New Roman" w:cs="Times New Roman"/>
          <w:bCs/>
          <w:iCs/>
          <w:sz w:val="24"/>
          <w:szCs w:val="24"/>
        </w:rPr>
        <w:t xml:space="preserve"> zvogëluar përdorimin e inputeve siç janë energjia, uji dhe substancat e</w:t>
      </w:r>
      <w:r w:rsidR="00DF67AB">
        <w:rPr>
          <w:rFonts w:ascii="Times New Roman" w:hAnsi="Times New Roman" w:cs="Times New Roman"/>
          <w:bCs/>
          <w:iCs/>
          <w:sz w:val="24"/>
          <w:szCs w:val="24"/>
        </w:rPr>
        <w:t xml:space="preserve"> tjera të dëmshme për mjedisin.</w:t>
      </w:r>
    </w:p>
    <w:tbl>
      <w:tblPr>
        <w:tblpPr w:leftFromText="180" w:rightFromText="180" w:vertAnchor="text" w:horzAnchor="margin" w:tblpY="584"/>
        <w:tblOverlap w:val="neve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5"/>
        <w:gridCol w:w="1710"/>
        <w:gridCol w:w="4500"/>
      </w:tblGrid>
      <w:tr w:rsidR="000702CB" w:rsidRPr="00554FAF" w14:paraId="5C326004" w14:textId="77777777" w:rsidTr="003A7429">
        <w:trPr>
          <w:trHeight w:val="354"/>
        </w:trPr>
        <w:tc>
          <w:tcPr>
            <w:tcW w:w="3145" w:type="dxa"/>
            <w:shd w:val="clear" w:color="auto" w:fill="auto"/>
          </w:tcPr>
          <w:p w14:paraId="67030F15" w14:textId="77777777" w:rsidR="000702CB" w:rsidRPr="00554FAF" w:rsidRDefault="000702CB" w:rsidP="000702CB">
            <w:pPr>
              <w:pStyle w:val="Default"/>
              <w:spacing w:after="60"/>
              <w:jc w:val="both"/>
              <w:rPr>
                <w:color w:val="auto"/>
                <w:lang w:val="sq-AL"/>
              </w:rPr>
            </w:pPr>
            <w:r w:rsidRPr="00554FAF">
              <w:rPr>
                <w:b/>
                <w:bCs/>
                <w:color w:val="auto"/>
                <w:lang w:val="sq-AL"/>
              </w:rPr>
              <w:t xml:space="preserve">Rreziku </w:t>
            </w:r>
          </w:p>
          <w:p w14:paraId="7B66930F" w14:textId="77777777" w:rsidR="000702CB" w:rsidRPr="00554FAF" w:rsidRDefault="000702CB" w:rsidP="000702CB">
            <w:pPr>
              <w:pStyle w:val="Default"/>
              <w:spacing w:after="60"/>
              <w:jc w:val="both"/>
              <w:rPr>
                <w:color w:val="auto"/>
                <w:lang w:val="sq-AL"/>
              </w:rPr>
            </w:pPr>
          </w:p>
        </w:tc>
        <w:tc>
          <w:tcPr>
            <w:tcW w:w="1710" w:type="dxa"/>
            <w:shd w:val="clear" w:color="auto" w:fill="auto"/>
          </w:tcPr>
          <w:p w14:paraId="29249F03" w14:textId="77777777" w:rsidR="000702CB" w:rsidRPr="00554FAF" w:rsidRDefault="000702CB" w:rsidP="000702CB">
            <w:pPr>
              <w:pStyle w:val="Default"/>
              <w:spacing w:after="60"/>
              <w:jc w:val="both"/>
              <w:rPr>
                <w:color w:val="auto"/>
                <w:lang w:val="sq-AL"/>
              </w:rPr>
            </w:pPr>
            <w:r w:rsidRPr="00554FAF">
              <w:rPr>
                <w:b/>
                <w:bCs/>
                <w:color w:val="auto"/>
                <w:lang w:val="sq-AL"/>
              </w:rPr>
              <w:t>Probabiliteti (i ulët ose i lartë)</w:t>
            </w:r>
          </w:p>
        </w:tc>
        <w:tc>
          <w:tcPr>
            <w:tcW w:w="4500" w:type="dxa"/>
            <w:shd w:val="clear" w:color="auto" w:fill="auto"/>
          </w:tcPr>
          <w:p w14:paraId="7CF4F39A" w14:textId="77777777" w:rsidR="000702CB" w:rsidRPr="00554FAF" w:rsidRDefault="000702CB" w:rsidP="000702CB">
            <w:pPr>
              <w:pStyle w:val="Default"/>
              <w:spacing w:after="60"/>
              <w:jc w:val="both"/>
              <w:rPr>
                <w:color w:val="auto"/>
                <w:lang w:val="sq-AL"/>
              </w:rPr>
            </w:pPr>
            <w:r w:rsidRPr="00554FAF">
              <w:rPr>
                <w:b/>
                <w:bCs/>
                <w:color w:val="auto"/>
                <w:lang w:val="sq-AL"/>
              </w:rPr>
              <w:t xml:space="preserve">Veprimi lehtësues i planifikuar </w:t>
            </w:r>
          </w:p>
        </w:tc>
      </w:tr>
      <w:tr w:rsidR="000702CB" w:rsidRPr="00554FAF" w14:paraId="5EB3B1B4" w14:textId="77777777" w:rsidTr="003A7429">
        <w:trPr>
          <w:trHeight w:val="372"/>
        </w:trPr>
        <w:tc>
          <w:tcPr>
            <w:tcW w:w="3145" w:type="dxa"/>
            <w:shd w:val="clear" w:color="auto" w:fill="auto"/>
          </w:tcPr>
          <w:p w14:paraId="139A6A13" w14:textId="77777777" w:rsidR="000702CB" w:rsidRPr="00554FAF" w:rsidRDefault="000702CB" w:rsidP="00730ACA">
            <w:pPr>
              <w:pStyle w:val="Default"/>
              <w:numPr>
                <w:ilvl w:val="0"/>
                <w:numId w:val="15"/>
              </w:numPr>
              <w:spacing w:after="60"/>
              <w:jc w:val="both"/>
              <w:rPr>
                <w:color w:val="auto"/>
                <w:lang w:val="sq-AL"/>
              </w:rPr>
            </w:pPr>
            <w:r w:rsidRPr="00554FAF">
              <w:rPr>
                <w:color w:val="auto"/>
                <w:lang w:val="sq-AL"/>
              </w:rPr>
              <w:t>Vonesat në miratimin e legjislacionit</w:t>
            </w:r>
          </w:p>
        </w:tc>
        <w:tc>
          <w:tcPr>
            <w:tcW w:w="1710" w:type="dxa"/>
            <w:shd w:val="clear" w:color="auto" w:fill="auto"/>
          </w:tcPr>
          <w:p w14:paraId="25E40E9B" w14:textId="77777777" w:rsidR="000702CB" w:rsidRPr="00554FAF" w:rsidRDefault="000702CB" w:rsidP="000702CB">
            <w:pPr>
              <w:pStyle w:val="Default"/>
              <w:spacing w:after="60"/>
              <w:jc w:val="both"/>
              <w:rPr>
                <w:color w:val="auto"/>
                <w:lang w:val="sq-AL"/>
              </w:rPr>
            </w:pPr>
            <w:r w:rsidRPr="00554FAF">
              <w:rPr>
                <w:color w:val="auto"/>
                <w:lang w:val="sq-AL"/>
              </w:rPr>
              <w:t>I lartë</w:t>
            </w:r>
          </w:p>
        </w:tc>
        <w:tc>
          <w:tcPr>
            <w:tcW w:w="4500" w:type="dxa"/>
            <w:shd w:val="clear" w:color="auto" w:fill="auto"/>
          </w:tcPr>
          <w:p w14:paraId="39111086" w14:textId="77777777" w:rsidR="000702CB" w:rsidRPr="00554FAF" w:rsidRDefault="000702CB" w:rsidP="000702CB">
            <w:pPr>
              <w:pStyle w:val="Default"/>
              <w:spacing w:after="60"/>
              <w:jc w:val="both"/>
              <w:rPr>
                <w:color w:val="auto"/>
                <w:lang w:val="sq-AL"/>
              </w:rPr>
            </w:pPr>
            <w:r w:rsidRPr="00554FAF">
              <w:rPr>
                <w:color w:val="auto"/>
                <w:lang w:val="sq-AL"/>
              </w:rPr>
              <w:t>Rritja e bashkëpunimit koordinues me trupat relevant duke respektuar hierarkinë.</w:t>
            </w:r>
          </w:p>
        </w:tc>
      </w:tr>
      <w:tr w:rsidR="000702CB" w:rsidRPr="00554FAF" w14:paraId="606A8041" w14:textId="77777777" w:rsidTr="003A7429">
        <w:trPr>
          <w:trHeight w:val="606"/>
        </w:trPr>
        <w:tc>
          <w:tcPr>
            <w:tcW w:w="3145" w:type="dxa"/>
            <w:shd w:val="clear" w:color="auto" w:fill="auto"/>
          </w:tcPr>
          <w:p w14:paraId="2EB53C1B" w14:textId="77777777" w:rsidR="000702CB" w:rsidRPr="00554FAF" w:rsidRDefault="000702CB" w:rsidP="00730ACA">
            <w:pPr>
              <w:pStyle w:val="Default"/>
              <w:numPr>
                <w:ilvl w:val="0"/>
                <w:numId w:val="15"/>
              </w:numPr>
              <w:spacing w:after="60"/>
              <w:jc w:val="both"/>
              <w:rPr>
                <w:color w:val="auto"/>
                <w:lang w:val="sq-AL"/>
              </w:rPr>
            </w:pPr>
            <w:r w:rsidRPr="00554FAF">
              <w:rPr>
                <w:color w:val="auto"/>
                <w:lang w:val="sq-AL"/>
              </w:rPr>
              <w:t>Pengesat politike në lidhje me përfaqësimet rajonale dhe anëtarësimin në organizata ndërkombëtare</w:t>
            </w:r>
          </w:p>
        </w:tc>
        <w:tc>
          <w:tcPr>
            <w:tcW w:w="1710" w:type="dxa"/>
            <w:shd w:val="clear" w:color="auto" w:fill="auto"/>
          </w:tcPr>
          <w:p w14:paraId="79CF98FE" w14:textId="77777777" w:rsidR="000702CB" w:rsidRPr="00554FAF" w:rsidRDefault="000702CB" w:rsidP="000702CB">
            <w:pPr>
              <w:pStyle w:val="Default"/>
              <w:spacing w:after="60"/>
              <w:jc w:val="both"/>
              <w:rPr>
                <w:color w:val="auto"/>
                <w:lang w:val="sq-AL"/>
              </w:rPr>
            </w:pPr>
            <w:r w:rsidRPr="00554FAF">
              <w:rPr>
                <w:color w:val="auto"/>
                <w:lang w:val="sq-AL"/>
              </w:rPr>
              <w:t>I lartë</w:t>
            </w:r>
          </w:p>
        </w:tc>
        <w:tc>
          <w:tcPr>
            <w:tcW w:w="4500" w:type="dxa"/>
            <w:shd w:val="clear" w:color="auto" w:fill="auto"/>
          </w:tcPr>
          <w:p w14:paraId="2C2D4987" w14:textId="4A3C876E" w:rsidR="000702CB" w:rsidRPr="00554FAF" w:rsidRDefault="000702CB" w:rsidP="0068349C">
            <w:pPr>
              <w:pStyle w:val="Default"/>
              <w:spacing w:after="60"/>
              <w:jc w:val="both"/>
              <w:rPr>
                <w:color w:val="auto"/>
                <w:lang w:val="sq-AL"/>
              </w:rPr>
            </w:pPr>
            <w:r w:rsidRPr="00554FAF">
              <w:rPr>
                <w:color w:val="auto"/>
                <w:lang w:val="sq-AL"/>
              </w:rPr>
              <w:t xml:space="preserve">Ndërtimi i </w:t>
            </w:r>
            <w:r w:rsidR="00D7256A" w:rsidRPr="00554FAF">
              <w:rPr>
                <w:color w:val="auto"/>
                <w:lang w:val="sq-AL"/>
              </w:rPr>
              <w:t xml:space="preserve">programeve </w:t>
            </w:r>
            <w:r w:rsidRPr="00554FAF">
              <w:rPr>
                <w:color w:val="auto"/>
                <w:lang w:val="sq-AL"/>
              </w:rPr>
              <w:t xml:space="preserve">lobuese për anëtarësim në mekanizmat ndërkombëtar dhe adresimi i pengesave te akterët relevant vendor dhe ndërkombëtar. </w:t>
            </w:r>
          </w:p>
        </w:tc>
      </w:tr>
    </w:tbl>
    <w:p w14:paraId="70C73100" w14:textId="77777777" w:rsidR="000702CB" w:rsidRPr="00554FAF" w:rsidRDefault="000702CB"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b/>
          <w:bCs/>
          <w:sz w:val="24"/>
          <w:szCs w:val="24"/>
        </w:rPr>
        <w:t>7. Rreziqet potenciale:</w:t>
      </w:r>
    </w:p>
    <w:p w14:paraId="05CDA7BF" w14:textId="77777777" w:rsidR="000702CB" w:rsidRPr="00554FAF" w:rsidRDefault="000702CB" w:rsidP="000702CB">
      <w:pPr>
        <w:spacing w:after="60" w:line="240" w:lineRule="auto"/>
        <w:jc w:val="both"/>
        <w:rPr>
          <w:rFonts w:ascii="Times New Roman" w:hAnsi="Times New Roman" w:cs="Times New Roman"/>
          <w:bCs/>
          <w:sz w:val="24"/>
          <w:szCs w:val="24"/>
        </w:rPr>
      </w:pPr>
    </w:p>
    <w:tbl>
      <w:tblPr>
        <w:tblStyle w:val="TableGrid"/>
        <w:tblW w:w="0" w:type="auto"/>
        <w:tblLook w:val="04A0" w:firstRow="1" w:lastRow="0" w:firstColumn="1" w:lastColumn="0" w:noHBand="0" w:noVBand="1"/>
      </w:tblPr>
      <w:tblGrid>
        <w:gridCol w:w="9350"/>
      </w:tblGrid>
      <w:tr w:rsidR="000702CB" w:rsidRPr="00554FAF" w14:paraId="549BF6B3" w14:textId="77777777" w:rsidTr="003A7429">
        <w:tc>
          <w:tcPr>
            <w:tcW w:w="9350" w:type="dxa"/>
            <w:shd w:val="clear" w:color="auto" w:fill="5B9BD5" w:themeFill="accent1"/>
          </w:tcPr>
          <w:p w14:paraId="04693ED4" w14:textId="77777777" w:rsidR="000702CB" w:rsidRPr="00554FAF" w:rsidRDefault="000702CB" w:rsidP="000702CB">
            <w:pPr>
              <w:spacing w:after="60"/>
              <w:rPr>
                <w:rFonts w:ascii="Times New Roman" w:hAnsi="Times New Roman" w:cs="Times New Roman"/>
                <w:sz w:val="24"/>
                <w:szCs w:val="24"/>
              </w:rPr>
            </w:pPr>
            <w:r w:rsidRPr="00554FAF">
              <w:rPr>
                <w:rFonts w:ascii="Times New Roman" w:hAnsi="Times New Roman" w:cs="Times New Roman"/>
                <w:b/>
                <w:bCs/>
                <w:sz w:val="24"/>
                <w:szCs w:val="24"/>
              </w:rPr>
              <w:t xml:space="preserve">Masa e reformës # 15: </w:t>
            </w:r>
            <w:r w:rsidRPr="00554FAF">
              <w:rPr>
                <w:rFonts w:ascii="Times New Roman" w:eastAsia="Calibri" w:hAnsi="Times New Roman" w:cs="Times New Roman"/>
                <w:b/>
                <w:sz w:val="24"/>
                <w:szCs w:val="24"/>
              </w:rPr>
              <w:t>Zhvillimi i mëtutjeshëm i infrastrukturës së cilësisë dhe fuqizimi i rolit të autoriteteve për mbikëqyrjen e tregut</w:t>
            </w:r>
            <w:r w:rsidRPr="00554FAF">
              <w:rPr>
                <w:rFonts w:ascii="Times New Roman" w:eastAsia="Calibri" w:hAnsi="Times New Roman" w:cs="Times New Roman"/>
                <w:b/>
                <w:i/>
                <w:sz w:val="24"/>
                <w:szCs w:val="24"/>
              </w:rPr>
              <w:t xml:space="preserve"> </w:t>
            </w:r>
            <w:r w:rsidRPr="00554FAF">
              <w:rPr>
                <w:rFonts w:ascii="Times New Roman" w:eastAsia="Calibri" w:hAnsi="Times New Roman" w:cs="Times New Roman"/>
                <w:b/>
                <w:sz w:val="24"/>
                <w:szCs w:val="24"/>
              </w:rPr>
              <w:t>me fokus produktet e ndërtimit</w:t>
            </w:r>
          </w:p>
        </w:tc>
      </w:tr>
    </w:tbl>
    <w:p w14:paraId="7E5406E4" w14:textId="0810B4FA" w:rsidR="000702CB" w:rsidRPr="00554FAF" w:rsidRDefault="000702CB" w:rsidP="000702CB">
      <w:pPr>
        <w:spacing w:after="60" w:line="240" w:lineRule="auto"/>
        <w:jc w:val="both"/>
        <w:rPr>
          <w:rFonts w:ascii="Times New Roman" w:eastAsia="Calibri" w:hAnsi="Times New Roman" w:cs="Times New Roman"/>
          <w:color w:val="000000"/>
          <w:sz w:val="24"/>
          <w:szCs w:val="24"/>
        </w:rPr>
      </w:pPr>
      <w:r w:rsidRPr="00554FAF">
        <w:rPr>
          <w:rFonts w:ascii="Times New Roman" w:hAnsi="Times New Roman" w:cs="Times New Roman"/>
          <w:b/>
          <w:bCs/>
          <w:sz w:val="24"/>
          <w:szCs w:val="24"/>
        </w:rPr>
        <w:t>1. Përshkrimi i masës:</w:t>
      </w:r>
      <w:r w:rsidRPr="00554FAF">
        <w:rPr>
          <w:rFonts w:ascii="Times New Roman" w:hAnsi="Times New Roman" w:cs="Times New Roman"/>
          <w:bCs/>
          <w:sz w:val="24"/>
          <w:szCs w:val="24"/>
        </w:rPr>
        <w:t xml:space="preserve"> Kjo është një masë që bartet nga viti i kaluar, që synon </w:t>
      </w:r>
      <w:r w:rsidRPr="00554FAF">
        <w:rPr>
          <w:rFonts w:ascii="Times New Roman" w:eastAsia="Calibri" w:hAnsi="Times New Roman" w:cs="Times New Roman"/>
          <w:color w:val="000000"/>
          <w:sz w:val="24"/>
          <w:szCs w:val="24"/>
        </w:rPr>
        <w:t>përafrimin e mëtutjeshëm dhe implementimin e legjislacionit të BE-së me qëllim të rritjes së sigurisë dhe cilësisë së produkteve të ndërtimit, shërbimeve të ofruara në tregun vendor</w:t>
      </w:r>
      <w:r w:rsidR="001A7638" w:rsidRPr="00554FAF">
        <w:rPr>
          <w:rFonts w:ascii="Times New Roman" w:eastAsia="Calibri" w:hAnsi="Times New Roman" w:cs="Times New Roman"/>
          <w:color w:val="000000"/>
          <w:sz w:val="24"/>
          <w:szCs w:val="24"/>
        </w:rPr>
        <w:t xml:space="preserve">, </w:t>
      </w:r>
      <w:r w:rsidRPr="00554FAF">
        <w:rPr>
          <w:rFonts w:ascii="Times New Roman" w:eastAsia="Calibri" w:hAnsi="Times New Roman" w:cs="Times New Roman"/>
          <w:color w:val="000000"/>
          <w:sz w:val="24"/>
          <w:szCs w:val="24"/>
        </w:rPr>
        <w:t>integrimin në tregun e BE-së dhe vendeve tjera</w:t>
      </w:r>
      <w:r w:rsidR="00D600DE" w:rsidRPr="00554FAF">
        <w:rPr>
          <w:rFonts w:ascii="Times New Roman" w:eastAsia="Calibri" w:hAnsi="Times New Roman" w:cs="Times New Roman"/>
          <w:color w:val="000000"/>
          <w:sz w:val="24"/>
          <w:szCs w:val="24"/>
        </w:rPr>
        <w:t>,</w:t>
      </w:r>
      <w:r w:rsidRPr="00554FAF">
        <w:rPr>
          <w:rFonts w:ascii="Times New Roman" w:eastAsia="Calibri" w:hAnsi="Times New Roman" w:cs="Times New Roman"/>
          <w:color w:val="000000"/>
          <w:sz w:val="24"/>
          <w:szCs w:val="24"/>
        </w:rPr>
        <w:t xml:space="preserve"> eliminimin e barrierave teknike në tregti dhe mbikëqyrjen efektive të tregut nga autoritetet e mbikëqyrjes së tregut. Sektori i ndërtimit është një ndër kontribuuesit më të mëdhenj në GDP-në e Kosovës (7.8% në vitin 2018) dhe kontributi i këtij sektori ka shënuar rritje vazhdimisht ndër vite. </w:t>
      </w:r>
      <w:r w:rsidR="001A7638" w:rsidRPr="00554FAF">
        <w:rPr>
          <w:rFonts w:ascii="Times New Roman" w:eastAsia="Calibri" w:hAnsi="Times New Roman" w:cs="Times New Roman"/>
          <w:color w:val="000000"/>
          <w:sz w:val="24"/>
          <w:szCs w:val="24"/>
        </w:rPr>
        <w:t xml:space="preserve">Prandaj, </w:t>
      </w:r>
      <w:r w:rsidRPr="00554FAF">
        <w:rPr>
          <w:rFonts w:ascii="Times New Roman" w:eastAsia="Calibri" w:hAnsi="Times New Roman" w:cs="Times New Roman"/>
          <w:color w:val="000000"/>
          <w:sz w:val="24"/>
          <w:szCs w:val="24"/>
        </w:rPr>
        <w:t>produktet e ndërtimit të cilat tregtohen dhe përdoren n</w:t>
      </w:r>
      <w:r w:rsidR="001A7638" w:rsidRPr="00554FAF">
        <w:rPr>
          <w:rFonts w:ascii="Times New Roman" w:eastAsia="Calibri" w:hAnsi="Times New Roman" w:cs="Times New Roman"/>
          <w:color w:val="000000"/>
          <w:sz w:val="24"/>
          <w:szCs w:val="24"/>
        </w:rPr>
        <w:t>ë</w:t>
      </w:r>
      <w:r w:rsidRPr="00554FAF">
        <w:rPr>
          <w:rFonts w:ascii="Times New Roman" w:eastAsia="Calibri" w:hAnsi="Times New Roman" w:cs="Times New Roman"/>
          <w:color w:val="000000"/>
          <w:sz w:val="24"/>
          <w:szCs w:val="24"/>
        </w:rPr>
        <w:t xml:space="preserve"> punime ndërtimore duhet të jenë të sigurta </w:t>
      </w:r>
      <w:r w:rsidRPr="00554FAF">
        <w:rPr>
          <w:rFonts w:ascii="Times New Roman" w:eastAsia="Calibri" w:hAnsi="Times New Roman" w:cs="Times New Roman"/>
          <w:sz w:val="24"/>
          <w:szCs w:val="24"/>
        </w:rPr>
        <w:t>dhe cilësore</w:t>
      </w:r>
      <w:r w:rsidR="001A7638" w:rsidRPr="00554FAF">
        <w:rPr>
          <w:rFonts w:ascii="Times New Roman" w:eastAsia="Calibri" w:hAnsi="Times New Roman" w:cs="Times New Roman"/>
          <w:sz w:val="24"/>
          <w:szCs w:val="24"/>
        </w:rPr>
        <w:t xml:space="preserve">, </w:t>
      </w:r>
      <w:r w:rsidRPr="00554FAF">
        <w:rPr>
          <w:rFonts w:ascii="Times New Roman" w:eastAsia="Calibri" w:hAnsi="Times New Roman" w:cs="Times New Roman"/>
          <w:sz w:val="24"/>
          <w:szCs w:val="24"/>
        </w:rPr>
        <w:t>për të cilat është e detyrueshme t</w:t>
      </w:r>
      <w:r w:rsidR="001A7638" w:rsidRPr="00554FAF">
        <w:rPr>
          <w:rFonts w:ascii="Times New Roman" w:eastAsia="Calibri" w:hAnsi="Times New Roman" w:cs="Times New Roman"/>
          <w:sz w:val="24"/>
          <w:szCs w:val="24"/>
        </w:rPr>
        <w:t>ë</w:t>
      </w:r>
      <w:r w:rsidRPr="00554FAF">
        <w:rPr>
          <w:rFonts w:ascii="Times New Roman" w:eastAsia="Calibri" w:hAnsi="Times New Roman" w:cs="Times New Roman"/>
          <w:sz w:val="24"/>
          <w:szCs w:val="24"/>
        </w:rPr>
        <w:t xml:space="preserve"> zbatohen standardet e harmonizuara dhe të deklarohet performanca. </w:t>
      </w:r>
      <w:r w:rsidR="00554FAF" w:rsidRPr="00554FAF">
        <w:rPr>
          <w:rFonts w:ascii="Times New Roman" w:eastAsia="Calibri" w:hAnsi="Times New Roman" w:cs="Times New Roman"/>
          <w:sz w:val="24"/>
          <w:szCs w:val="24"/>
        </w:rPr>
        <w:t>Meqenëse</w:t>
      </w:r>
      <w:r w:rsidRPr="00554FAF">
        <w:rPr>
          <w:rFonts w:ascii="Times New Roman" w:eastAsia="Calibri" w:hAnsi="Times New Roman" w:cs="Times New Roman"/>
          <w:sz w:val="24"/>
          <w:szCs w:val="24"/>
        </w:rPr>
        <w:t xml:space="preserve"> gjatë vitit 2019 është miratuar baza legjislative horiz</w:t>
      </w:r>
      <w:r w:rsidR="00554FAF" w:rsidRPr="00554FAF">
        <w:rPr>
          <w:rFonts w:ascii="Times New Roman" w:eastAsia="Calibri" w:hAnsi="Times New Roman" w:cs="Times New Roman"/>
          <w:sz w:val="24"/>
          <w:szCs w:val="24"/>
        </w:rPr>
        <w:t xml:space="preserve">ontale dhe një numër i caktuar i </w:t>
      </w:r>
      <w:r w:rsidRPr="00554FAF">
        <w:rPr>
          <w:rFonts w:ascii="Times New Roman" w:eastAsia="Calibri" w:hAnsi="Times New Roman" w:cs="Times New Roman"/>
          <w:sz w:val="24"/>
          <w:szCs w:val="24"/>
        </w:rPr>
        <w:t xml:space="preserve">akteve vertikale </w:t>
      </w:r>
      <w:r w:rsidRPr="00554FAF">
        <w:rPr>
          <w:rFonts w:ascii="Times New Roman" w:eastAsia="Calibri" w:hAnsi="Times New Roman" w:cs="Times New Roman"/>
          <w:color w:val="000000"/>
          <w:sz w:val="24"/>
          <w:szCs w:val="24"/>
        </w:rPr>
        <w:t>për të gjitha shtyllat e infrastrukturës së cilësisë t</w:t>
      </w:r>
      <w:r w:rsidR="001A7638" w:rsidRPr="00554FAF">
        <w:rPr>
          <w:rFonts w:ascii="Times New Roman" w:eastAsia="Calibri" w:hAnsi="Times New Roman" w:cs="Times New Roman"/>
          <w:color w:val="000000"/>
          <w:sz w:val="24"/>
          <w:szCs w:val="24"/>
        </w:rPr>
        <w:t>ë</w:t>
      </w:r>
      <w:r w:rsidRPr="00554FAF">
        <w:rPr>
          <w:rFonts w:ascii="Times New Roman" w:eastAsia="Calibri" w:hAnsi="Times New Roman" w:cs="Times New Roman"/>
          <w:color w:val="000000"/>
          <w:sz w:val="24"/>
          <w:szCs w:val="24"/>
        </w:rPr>
        <w:t xml:space="preserve"> cilat do të sigurojnë mbështetje për sektorin e prodhimit, planifikohet që ky objektiv të arrihet duke identifikuar grupet e caktuara të produkteve ndërtimore, të cilat e mbulojnë tregun vendor e që mund të jenë konkurrente për eksport. Kjo masë ndërlidhet me PKZMSA, Programin e Qeverisë si dhe indirekt me SKZH-në te pjesa e standardizimit. </w:t>
      </w:r>
    </w:p>
    <w:p w14:paraId="78995F2C" w14:textId="5C71AFC4" w:rsidR="000702CB" w:rsidRPr="00554FAF" w:rsidRDefault="00730ACA" w:rsidP="00730ACA">
      <w:pPr>
        <w:spacing w:after="60" w:line="240" w:lineRule="auto"/>
        <w:ind w:left="180" w:hanging="180"/>
        <w:jc w:val="both"/>
        <w:rPr>
          <w:rFonts w:ascii="Times New Roman" w:hAnsi="Times New Roman" w:cs="Times New Roman"/>
          <w:b/>
          <w:bCs/>
          <w:sz w:val="24"/>
          <w:szCs w:val="24"/>
        </w:rPr>
      </w:pPr>
      <w:r>
        <w:rPr>
          <w:rFonts w:ascii="Times New Roman" w:hAnsi="Times New Roman" w:cs="Times New Roman"/>
          <w:b/>
          <w:bCs/>
          <w:sz w:val="24"/>
          <w:szCs w:val="24"/>
        </w:rPr>
        <w:t xml:space="preserve">a. </w:t>
      </w:r>
      <w:r w:rsidR="000702CB" w:rsidRPr="00554FAF">
        <w:rPr>
          <w:rFonts w:ascii="Times New Roman" w:hAnsi="Times New Roman" w:cs="Times New Roman"/>
          <w:b/>
          <w:bCs/>
          <w:sz w:val="24"/>
          <w:szCs w:val="24"/>
        </w:rPr>
        <w:t>Aktivitetet e planifikuara për 2020:</w:t>
      </w:r>
    </w:p>
    <w:p w14:paraId="2EE50F0D" w14:textId="118EEB1A" w:rsidR="000702CB" w:rsidRPr="00554FAF" w:rsidRDefault="000702CB" w:rsidP="00802FB3">
      <w:pPr>
        <w:pStyle w:val="Default"/>
        <w:numPr>
          <w:ilvl w:val="0"/>
          <w:numId w:val="70"/>
        </w:numPr>
        <w:spacing w:after="60"/>
        <w:ind w:left="720"/>
        <w:jc w:val="both"/>
        <w:rPr>
          <w:bCs/>
          <w:lang w:val="sq-AL"/>
        </w:rPr>
      </w:pPr>
      <w:r w:rsidRPr="00554FAF">
        <w:rPr>
          <w:bCs/>
          <w:lang w:val="sq-AL"/>
        </w:rPr>
        <w:t>Krijimi i skemës së akreditimit për trupa certifikues (EN ISO/IEC 17065 mbi vlerësimin e konformitetit</w:t>
      </w:r>
      <w:r w:rsidR="001A7638" w:rsidRPr="00554FAF">
        <w:rPr>
          <w:lang w:val="sq-AL"/>
        </w:rPr>
        <w:t xml:space="preserve">. </w:t>
      </w:r>
      <w:r w:rsidRPr="00554FAF">
        <w:rPr>
          <w:bCs/>
          <w:lang w:val="sq-AL"/>
        </w:rPr>
        <w:t>Kërkesat për trupat që certifikojnë produktet, proceset dhe shërbimet) duke përfshirë edhe kërkesat për rregulloret teknike</w:t>
      </w:r>
      <w:r w:rsidR="001A7638" w:rsidRPr="00554FAF">
        <w:rPr>
          <w:bCs/>
          <w:lang w:val="sq-AL"/>
        </w:rPr>
        <w:t>;</w:t>
      </w:r>
      <w:r w:rsidRPr="00554FAF">
        <w:rPr>
          <w:bCs/>
          <w:lang w:val="sq-AL"/>
        </w:rPr>
        <w:t xml:space="preserve"> (DAK)</w:t>
      </w:r>
    </w:p>
    <w:p w14:paraId="247F2723" w14:textId="0A4BB597" w:rsidR="000702CB" w:rsidRPr="00554FAF" w:rsidRDefault="000702CB" w:rsidP="00802FB3">
      <w:pPr>
        <w:pStyle w:val="Default"/>
        <w:numPr>
          <w:ilvl w:val="0"/>
          <w:numId w:val="70"/>
        </w:numPr>
        <w:spacing w:after="60"/>
        <w:ind w:left="720"/>
        <w:jc w:val="both"/>
        <w:rPr>
          <w:bCs/>
          <w:lang w:val="sq-AL"/>
        </w:rPr>
      </w:pPr>
      <w:r w:rsidRPr="00554FAF">
        <w:rPr>
          <w:bCs/>
          <w:lang w:val="sq-AL"/>
        </w:rPr>
        <w:t>Zgjerimi n</w:t>
      </w:r>
      <w:r w:rsidR="001A7638" w:rsidRPr="00554FAF">
        <w:rPr>
          <w:bCs/>
          <w:lang w:val="sq-AL"/>
        </w:rPr>
        <w:t>ë</w:t>
      </w:r>
      <w:r w:rsidRPr="00554FAF">
        <w:rPr>
          <w:bCs/>
          <w:lang w:val="sq-AL"/>
        </w:rPr>
        <w:t xml:space="preserve"> fushën e metrologjisë (themelimi i laboratorit të para paketimeve)</w:t>
      </w:r>
      <w:r w:rsidR="001A7638" w:rsidRPr="00554FAF">
        <w:rPr>
          <w:bCs/>
          <w:lang w:val="sq-AL"/>
        </w:rPr>
        <w:t>;</w:t>
      </w:r>
      <w:r w:rsidRPr="00554FAF">
        <w:rPr>
          <w:bCs/>
          <w:lang w:val="sq-AL"/>
        </w:rPr>
        <w:t xml:space="preserve"> (AMK)</w:t>
      </w:r>
    </w:p>
    <w:p w14:paraId="3D0D3325" w14:textId="38B5E3DB" w:rsidR="000702CB" w:rsidRPr="00554FAF" w:rsidRDefault="000702CB" w:rsidP="00802FB3">
      <w:pPr>
        <w:pStyle w:val="Default"/>
        <w:numPr>
          <w:ilvl w:val="0"/>
          <w:numId w:val="70"/>
        </w:numPr>
        <w:spacing w:after="60"/>
        <w:ind w:left="720"/>
        <w:jc w:val="both"/>
        <w:rPr>
          <w:bCs/>
          <w:lang w:val="sq-AL"/>
        </w:rPr>
      </w:pPr>
      <w:r w:rsidRPr="00554FAF">
        <w:rPr>
          <w:bCs/>
          <w:lang w:val="sq-AL"/>
        </w:rPr>
        <w:t xml:space="preserve">Akreditimi i dy laboratorëve testues/kalibrues të AMK-së (Laboratori i vëllimit dhe rrjedhjes, dhe </w:t>
      </w:r>
      <w:r w:rsidR="001A7638" w:rsidRPr="00554FAF">
        <w:rPr>
          <w:bCs/>
          <w:lang w:val="sq-AL"/>
        </w:rPr>
        <w:t>l</w:t>
      </w:r>
      <w:r w:rsidRPr="00554FAF">
        <w:rPr>
          <w:bCs/>
          <w:lang w:val="sq-AL"/>
        </w:rPr>
        <w:t>aboratori i masës)</w:t>
      </w:r>
      <w:r w:rsidR="001A7638" w:rsidRPr="00554FAF">
        <w:rPr>
          <w:bCs/>
          <w:lang w:val="sq-AL"/>
        </w:rPr>
        <w:t>;</w:t>
      </w:r>
      <w:r w:rsidRPr="00554FAF">
        <w:rPr>
          <w:bCs/>
          <w:lang w:val="sq-AL"/>
        </w:rPr>
        <w:t xml:space="preserve"> (AMK)</w:t>
      </w:r>
    </w:p>
    <w:p w14:paraId="3E6FEC95" w14:textId="34F31CC7" w:rsidR="000702CB" w:rsidRPr="00554FAF" w:rsidRDefault="000702CB" w:rsidP="00802FB3">
      <w:pPr>
        <w:pStyle w:val="Default"/>
        <w:numPr>
          <w:ilvl w:val="0"/>
          <w:numId w:val="70"/>
        </w:numPr>
        <w:spacing w:after="60"/>
        <w:ind w:left="720"/>
        <w:jc w:val="both"/>
        <w:rPr>
          <w:bCs/>
          <w:lang w:val="sq-AL"/>
        </w:rPr>
      </w:pPr>
      <w:r w:rsidRPr="00554FAF">
        <w:rPr>
          <w:bCs/>
          <w:lang w:val="sq-AL"/>
        </w:rPr>
        <w:t>Hartimi i planit kombëtar për plotësimin e obligimeve nga nenet 34-36 TFEU,  për pjesën e fushës se pa harmonizuar</w:t>
      </w:r>
      <w:r w:rsidR="001A7638" w:rsidRPr="00554FAF">
        <w:rPr>
          <w:bCs/>
          <w:lang w:val="sq-AL"/>
        </w:rPr>
        <w:t>;</w:t>
      </w:r>
      <w:r w:rsidRPr="00554FAF">
        <w:rPr>
          <w:bCs/>
          <w:lang w:val="sq-AL"/>
        </w:rPr>
        <w:t xml:space="preserve"> (DIC) </w:t>
      </w:r>
    </w:p>
    <w:p w14:paraId="66D3D74F" w14:textId="239D49F5" w:rsidR="000702CB" w:rsidRPr="00554FAF" w:rsidRDefault="000702CB" w:rsidP="00802FB3">
      <w:pPr>
        <w:pStyle w:val="Default"/>
        <w:numPr>
          <w:ilvl w:val="0"/>
          <w:numId w:val="70"/>
        </w:numPr>
        <w:spacing w:after="60"/>
        <w:ind w:left="720"/>
        <w:jc w:val="both"/>
        <w:rPr>
          <w:bCs/>
          <w:lang w:val="sq-AL"/>
        </w:rPr>
      </w:pPr>
      <w:r w:rsidRPr="00554FAF">
        <w:rPr>
          <w:bCs/>
          <w:lang w:val="sq-AL"/>
        </w:rPr>
        <w:t>Miratimi dhe publikimi n</w:t>
      </w:r>
      <w:r w:rsidR="001A7638" w:rsidRPr="00554FAF">
        <w:rPr>
          <w:bCs/>
          <w:lang w:val="sq-AL"/>
        </w:rPr>
        <w:t>ë</w:t>
      </w:r>
      <w:r w:rsidRPr="00554FAF">
        <w:rPr>
          <w:bCs/>
          <w:lang w:val="sq-AL"/>
        </w:rPr>
        <w:t xml:space="preserve"> Gazetën Zyrtare t</w:t>
      </w:r>
      <w:r w:rsidR="001A7638" w:rsidRPr="00554FAF">
        <w:rPr>
          <w:bCs/>
          <w:lang w:val="sq-AL"/>
        </w:rPr>
        <w:t>ë</w:t>
      </w:r>
      <w:r w:rsidRPr="00554FAF">
        <w:rPr>
          <w:bCs/>
          <w:lang w:val="sq-AL"/>
        </w:rPr>
        <w:t xml:space="preserve"> RKS</w:t>
      </w:r>
      <w:r w:rsidR="001A7638" w:rsidRPr="00554FAF">
        <w:rPr>
          <w:bCs/>
          <w:lang w:val="sq-AL"/>
        </w:rPr>
        <w:t>-së</w:t>
      </w:r>
      <w:r w:rsidRPr="00554FAF">
        <w:rPr>
          <w:bCs/>
          <w:lang w:val="sq-AL"/>
        </w:rPr>
        <w:t xml:space="preserve"> i një liste t</w:t>
      </w:r>
      <w:r w:rsidR="001A7638" w:rsidRPr="00554FAF">
        <w:rPr>
          <w:bCs/>
          <w:lang w:val="sq-AL"/>
        </w:rPr>
        <w:t>ë</w:t>
      </w:r>
      <w:r w:rsidRPr="00554FAF">
        <w:rPr>
          <w:bCs/>
          <w:lang w:val="sq-AL"/>
        </w:rPr>
        <w:t xml:space="preserve"> standardeve të harmonizuara (s</w:t>
      </w:r>
      <w:r w:rsidR="001A7638" w:rsidRPr="00554FAF">
        <w:rPr>
          <w:bCs/>
          <w:lang w:val="sq-AL"/>
        </w:rPr>
        <w:t>ë</w:t>
      </w:r>
      <w:r w:rsidRPr="00554FAF">
        <w:rPr>
          <w:bCs/>
          <w:lang w:val="sq-AL"/>
        </w:rPr>
        <w:t xml:space="preserve"> paku 40 standarde), për kategori t</w:t>
      </w:r>
      <w:r w:rsidR="001A7638" w:rsidRPr="00554FAF">
        <w:rPr>
          <w:bCs/>
          <w:lang w:val="sq-AL"/>
        </w:rPr>
        <w:t>ë</w:t>
      </w:r>
      <w:r w:rsidRPr="00554FAF">
        <w:rPr>
          <w:bCs/>
          <w:lang w:val="sq-AL"/>
        </w:rPr>
        <w:t xml:space="preserve"> caktuara t</w:t>
      </w:r>
      <w:r w:rsidR="001A7638" w:rsidRPr="00554FAF">
        <w:rPr>
          <w:bCs/>
          <w:lang w:val="sq-AL"/>
        </w:rPr>
        <w:t>ë</w:t>
      </w:r>
      <w:r w:rsidRPr="00554FAF">
        <w:rPr>
          <w:bCs/>
          <w:lang w:val="sq-AL"/>
        </w:rPr>
        <w:t xml:space="preserve"> produkteve ndërtimore t</w:t>
      </w:r>
      <w:r w:rsidR="001A7638" w:rsidRPr="00554FAF">
        <w:rPr>
          <w:bCs/>
          <w:lang w:val="sq-AL"/>
        </w:rPr>
        <w:t>ë</w:t>
      </w:r>
      <w:r w:rsidRPr="00554FAF">
        <w:rPr>
          <w:bCs/>
          <w:lang w:val="sq-AL"/>
        </w:rPr>
        <w:t xml:space="preserve"> cilat janë prezente n</w:t>
      </w:r>
      <w:r w:rsidR="001A7638" w:rsidRPr="00554FAF">
        <w:rPr>
          <w:bCs/>
          <w:lang w:val="sq-AL"/>
        </w:rPr>
        <w:t>ë</w:t>
      </w:r>
      <w:r w:rsidRPr="00554FAF">
        <w:rPr>
          <w:bCs/>
          <w:lang w:val="sq-AL"/>
        </w:rPr>
        <w:t xml:space="preserve"> tregun e Kosovës (AKS-MTI); </w:t>
      </w:r>
    </w:p>
    <w:p w14:paraId="67F7E0F7" w14:textId="626445F6" w:rsidR="000702CB" w:rsidRPr="00554FAF" w:rsidRDefault="000702CB" w:rsidP="00802FB3">
      <w:pPr>
        <w:pStyle w:val="Default"/>
        <w:numPr>
          <w:ilvl w:val="0"/>
          <w:numId w:val="70"/>
        </w:numPr>
        <w:spacing w:after="60"/>
        <w:ind w:left="720"/>
        <w:jc w:val="both"/>
        <w:rPr>
          <w:bCs/>
          <w:lang w:val="sq-AL"/>
        </w:rPr>
      </w:pPr>
      <w:r w:rsidRPr="00554FAF">
        <w:rPr>
          <w:bCs/>
          <w:lang w:val="sq-AL"/>
        </w:rPr>
        <w:t>Ofrimi i asistencës teknike për së paku tre (3) prodhues të produkteve ndërtimore, për të rishikuar dizajnin dhe për të përmirësuar produktet dhe procedurat e tyre t</w:t>
      </w:r>
      <w:r w:rsidR="001A7638" w:rsidRPr="00554FAF">
        <w:rPr>
          <w:bCs/>
          <w:lang w:val="sq-AL"/>
        </w:rPr>
        <w:t>ë</w:t>
      </w:r>
      <w:r w:rsidRPr="00554FAF">
        <w:rPr>
          <w:bCs/>
          <w:lang w:val="sq-AL"/>
        </w:rPr>
        <w:t xml:space="preserve"> punës, me q</w:t>
      </w:r>
      <w:r w:rsidR="001A7638" w:rsidRPr="00554FAF">
        <w:rPr>
          <w:bCs/>
          <w:lang w:val="sq-AL"/>
        </w:rPr>
        <w:t>ë</w:t>
      </w:r>
      <w:r w:rsidRPr="00554FAF">
        <w:rPr>
          <w:bCs/>
          <w:lang w:val="sq-AL"/>
        </w:rPr>
        <w:t>llim që t’i përmbushin të gjitha kërkesat për të qenë në gjendje të marrin shenj</w:t>
      </w:r>
      <w:r w:rsidR="001A7638" w:rsidRPr="00554FAF">
        <w:rPr>
          <w:bCs/>
          <w:lang w:val="sq-AL"/>
        </w:rPr>
        <w:t>ë</w:t>
      </w:r>
      <w:r w:rsidRPr="00554FAF">
        <w:rPr>
          <w:bCs/>
          <w:lang w:val="sq-AL"/>
        </w:rPr>
        <w:t>n e konformitetit në produktet e tyre në përputhje me Ligjin</w:t>
      </w:r>
      <w:r w:rsidR="001A7638" w:rsidRPr="00554FAF">
        <w:rPr>
          <w:bCs/>
          <w:lang w:val="sq-AL"/>
        </w:rPr>
        <w:t>;</w:t>
      </w:r>
      <w:r w:rsidRPr="00554FAF">
        <w:rPr>
          <w:bCs/>
          <w:lang w:val="sq-AL"/>
        </w:rPr>
        <w:t xml:space="preserve"> (DIC) </w:t>
      </w:r>
    </w:p>
    <w:p w14:paraId="2B7E59D2" w14:textId="20F37FAD" w:rsidR="000702CB" w:rsidRPr="00554FAF" w:rsidRDefault="000702CB" w:rsidP="00802FB3">
      <w:pPr>
        <w:pStyle w:val="Default"/>
        <w:numPr>
          <w:ilvl w:val="0"/>
          <w:numId w:val="70"/>
        </w:numPr>
        <w:spacing w:after="60"/>
        <w:ind w:left="720"/>
        <w:jc w:val="both"/>
        <w:rPr>
          <w:lang w:val="sq-AL"/>
        </w:rPr>
      </w:pPr>
      <w:r w:rsidRPr="00554FAF">
        <w:rPr>
          <w:bCs/>
          <w:lang w:val="sq-AL"/>
        </w:rPr>
        <w:t>Hartimi i akteve nënligjore për produktet e ndërtimit si: cement, beton i parafabrikuar i përzierë dhe agregatet për beton</w:t>
      </w:r>
      <w:r w:rsidR="001A7638" w:rsidRPr="00554FAF">
        <w:rPr>
          <w:bCs/>
          <w:lang w:val="sq-AL"/>
        </w:rPr>
        <w:t>;</w:t>
      </w:r>
      <w:r w:rsidRPr="00554FAF">
        <w:rPr>
          <w:bCs/>
          <w:lang w:val="sq-AL"/>
        </w:rPr>
        <w:t xml:space="preserve"> (DIC)</w:t>
      </w:r>
    </w:p>
    <w:p w14:paraId="5F079F49" w14:textId="3150EAD7" w:rsidR="000702CB" w:rsidRPr="00DF67AB" w:rsidRDefault="001A7638" w:rsidP="00802FB3">
      <w:pPr>
        <w:pStyle w:val="Default"/>
        <w:numPr>
          <w:ilvl w:val="0"/>
          <w:numId w:val="70"/>
        </w:numPr>
        <w:spacing w:after="60"/>
        <w:ind w:left="720"/>
        <w:jc w:val="both"/>
        <w:rPr>
          <w:lang w:val="sq-AL"/>
        </w:rPr>
      </w:pPr>
      <w:r w:rsidRPr="00554FAF">
        <w:rPr>
          <w:lang w:val="sq-AL"/>
        </w:rPr>
        <w:t xml:space="preserve">Hartimi </w:t>
      </w:r>
      <w:r w:rsidR="000702CB" w:rsidRPr="00554FAF">
        <w:rPr>
          <w:lang w:val="sq-AL"/>
        </w:rPr>
        <w:t xml:space="preserve">i koncept dokumentit për Ligjin </w:t>
      </w:r>
      <w:r w:rsidRPr="00554FAF">
        <w:rPr>
          <w:lang w:val="sq-AL"/>
        </w:rPr>
        <w:t>për</w:t>
      </w:r>
      <w:r w:rsidR="000702CB" w:rsidRPr="00554FAF">
        <w:rPr>
          <w:lang w:val="sq-AL"/>
        </w:rPr>
        <w:t xml:space="preserve"> Sigurinë e Përgjithshme t</w:t>
      </w:r>
      <w:r w:rsidRPr="00554FAF">
        <w:rPr>
          <w:lang w:val="sq-AL"/>
        </w:rPr>
        <w:t>ë</w:t>
      </w:r>
      <w:r w:rsidR="000702CB" w:rsidRPr="00554FAF">
        <w:rPr>
          <w:lang w:val="sq-AL"/>
        </w:rPr>
        <w:t xml:space="preserve"> Produkteve</w:t>
      </w:r>
      <w:r w:rsidRPr="00554FAF">
        <w:rPr>
          <w:lang w:val="sq-AL"/>
        </w:rPr>
        <w:t>.</w:t>
      </w:r>
    </w:p>
    <w:p w14:paraId="42769BE5" w14:textId="4BC658DE" w:rsidR="000702CB" w:rsidRPr="00730ACA" w:rsidRDefault="000702CB" w:rsidP="00802FB3">
      <w:pPr>
        <w:pStyle w:val="ListParagraph"/>
        <w:numPr>
          <w:ilvl w:val="2"/>
          <w:numId w:val="65"/>
        </w:numPr>
        <w:spacing w:after="60" w:line="240" w:lineRule="auto"/>
        <w:ind w:left="360"/>
        <w:rPr>
          <w:rFonts w:ascii="Times New Roman" w:hAnsi="Times New Roman" w:cs="Times New Roman"/>
          <w:b/>
          <w:bCs/>
          <w:sz w:val="24"/>
          <w:szCs w:val="24"/>
        </w:rPr>
      </w:pPr>
      <w:r w:rsidRPr="00730ACA">
        <w:rPr>
          <w:rFonts w:ascii="Times New Roman" w:hAnsi="Times New Roman" w:cs="Times New Roman"/>
          <w:b/>
          <w:bCs/>
          <w:sz w:val="24"/>
          <w:szCs w:val="24"/>
        </w:rPr>
        <w:t>Aktivitetet e planifikuara për 2021:</w:t>
      </w:r>
    </w:p>
    <w:p w14:paraId="5B477B01" w14:textId="7F7040DE" w:rsidR="000702CB" w:rsidRPr="00554FAF" w:rsidRDefault="000702CB" w:rsidP="00802FB3">
      <w:pPr>
        <w:pStyle w:val="ListParagraph"/>
        <w:numPr>
          <w:ilvl w:val="0"/>
          <w:numId w:val="71"/>
        </w:numPr>
        <w:spacing w:after="60" w:line="240" w:lineRule="auto"/>
        <w:contextualSpacing w:val="0"/>
        <w:jc w:val="both"/>
        <w:rPr>
          <w:rFonts w:ascii="Times New Roman" w:hAnsi="Times New Roman" w:cs="Times New Roman"/>
          <w:sz w:val="24"/>
          <w:szCs w:val="24"/>
        </w:rPr>
      </w:pPr>
      <w:r w:rsidRPr="00554FAF">
        <w:rPr>
          <w:rFonts w:ascii="Times New Roman" w:hAnsi="Times New Roman" w:cs="Times New Roman"/>
          <w:sz w:val="24"/>
          <w:szCs w:val="24"/>
        </w:rPr>
        <w:t>Miratimi dhe publikimi n</w:t>
      </w:r>
      <w:r w:rsidR="001A7638" w:rsidRPr="00554FAF">
        <w:rPr>
          <w:rFonts w:ascii="Times New Roman" w:hAnsi="Times New Roman" w:cs="Times New Roman"/>
          <w:sz w:val="24"/>
          <w:szCs w:val="24"/>
        </w:rPr>
        <w:t>ë</w:t>
      </w:r>
      <w:r w:rsidRPr="00554FAF">
        <w:rPr>
          <w:rFonts w:ascii="Times New Roman" w:hAnsi="Times New Roman" w:cs="Times New Roman"/>
          <w:sz w:val="24"/>
          <w:szCs w:val="24"/>
        </w:rPr>
        <w:t xml:space="preserve"> Gazete Zyrtare i një liste prej 69 standardeve t</w:t>
      </w:r>
      <w:r w:rsidR="001A7638" w:rsidRPr="00554FAF">
        <w:rPr>
          <w:rFonts w:ascii="Times New Roman" w:hAnsi="Times New Roman" w:cs="Times New Roman"/>
          <w:sz w:val="24"/>
          <w:szCs w:val="24"/>
        </w:rPr>
        <w:t>ë</w:t>
      </w:r>
      <w:r w:rsidRPr="00554FAF">
        <w:rPr>
          <w:rFonts w:ascii="Times New Roman" w:hAnsi="Times New Roman" w:cs="Times New Roman"/>
          <w:sz w:val="24"/>
          <w:szCs w:val="24"/>
        </w:rPr>
        <w:t xml:space="preserve"> harmonizuara</w:t>
      </w:r>
      <w:r w:rsidRPr="00554FAF">
        <w:rPr>
          <w:rFonts w:ascii="Times New Roman" w:eastAsia="Calibri" w:hAnsi="Times New Roman" w:cs="Times New Roman"/>
          <w:sz w:val="24"/>
          <w:szCs w:val="24"/>
        </w:rPr>
        <w:t>, sipas kërkesave t</w:t>
      </w:r>
      <w:r w:rsidR="001A7638" w:rsidRPr="00554FAF">
        <w:rPr>
          <w:rFonts w:ascii="Times New Roman" w:eastAsia="Calibri" w:hAnsi="Times New Roman" w:cs="Times New Roman"/>
          <w:sz w:val="24"/>
          <w:szCs w:val="24"/>
        </w:rPr>
        <w:t>ë</w:t>
      </w:r>
      <w:r w:rsidRPr="00554FAF">
        <w:rPr>
          <w:rFonts w:ascii="Times New Roman" w:eastAsia="Calibri" w:hAnsi="Times New Roman" w:cs="Times New Roman"/>
          <w:sz w:val="24"/>
          <w:szCs w:val="24"/>
        </w:rPr>
        <w:t xml:space="preserve"> Ligjit për Sigurinë e Përgjithshme t</w:t>
      </w:r>
      <w:r w:rsidR="001A7638" w:rsidRPr="00554FAF">
        <w:rPr>
          <w:rFonts w:ascii="Times New Roman" w:eastAsia="Calibri" w:hAnsi="Times New Roman" w:cs="Times New Roman"/>
          <w:sz w:val="24"/>
          <w:szCs w:val="24"/>
        </w:rPr>
        <w:t>ë</w:t>
      </w:r>
      <w:r w:rsidRPr="00554FAF">
        <w:rPr>
          <w:rFonts w:ascii="Times New Roman" w:eastAsia="Calibri" w:hAnsi="Times New Roman" w:cs="Times New Roman"/>
          <w:sz w:val="24"/>
          <w:szCs w:val="24"/>
        </w:rPr>
        <w:t xml:space="preserve"> Produkteve</w:t>
      </w:r>
      <w:r w:rsidR="001A7638" w:rsidRPr="00554FAF">
        <w:rPr>
          <w:rFonts w:ascii="Times New Roman" w:eastAsia="Calibri" w:hAnsi="Times New Roman" w:cs="Times New Roman"/>
          <w:sz w:val="24"/>
          <w:szCs w:val="24"/>
        </w:rPr>
        <w:t>;</w:t>
      </w:r>
      <w:r w:rsidRPr="00554FAF">
        <w:rPr>
          <w:rFonts w:ascii="Times New Roman" w:eastAsia="Calibri" w:hAnsi="Times New Roman" w:cs="Times New Roman"/>
          <w:sz w:val="24"/>
          <w:szCs w:val="24"/>
        </w:rPr>
        <w:t xml:space="preserve"> (AKS-MTI)</w:t>
      </w:r>
    </w:p>
    <w:p w14:paraId="6046B4E5" w14:textId="34C0CE9F" w:rsidR="000702CB" w:rsidRPr="00554FAF" w:rsidRDefault="000702CB" w:rsidP="00802FB3">
      <w:pPr>
        <w:pStyle w:val="ListParagraph"/>
        <w:numPr>
          <w:ilvl w:val="0"/>
          <w:numId w:val="71"/>
        </w:numPr>
        <w:spacing w:after="60" w:line="240" w:lineRule="auto"/>
        <w:contextualSpacing w:val="0"/>
        <w:jc w:val="both"/>
        <w:rPr>
          <w:rFonts w:ascii="Times New Roman" w:hAnsi="Times New Roman" w:cs="Times New Roman"/>
          <w:sz w:val="24"/>
          <w:szCs w:val="24"/>
        </w:rPr>
      </w:pPr>
      <w:r w:rsidRPr="00554FAF">
        <w:rPr>
          <w:rFonts w:ascii="Times New Roman" w:hAnsi="Times New Roman" w:cs="Times New Roman"/>
          <w:sz w:val="24"/>
          <w:szCs w:val="24"/>
        </w:rPr>
        <w:t>Hartimi i akteve nënligjore bazuar n</w:t>
      </w:r>
      <w:r w:rsidR="001A7638" w:rsidRPr="00554FAF">
        <w:rPr>
          <w:rFonts w:ascii="Times New Roman" w:hAnsi="Times New Roman" w:cs="Times New Roman"/>
          <w:sz w:val="24"/>
          <w:szCs w:val="24"/>
        </w:rPr>
        <w:t>ë</w:t>
      </w:r>
      <w:r w:rsidRPr="00554FAF">
        <w:rPr>
          <w:rFonts w:ascii="Times New Roman" w:hAnsi="Times New Roman" w:cs="Times New Roman"/>
          <w:sz w:val="24"/>
          <w:szCs w:val="24"/>
        </w:rPr>
        <w:t xml:space="preserve"> Ligjin për </w:t>
      </w:r>
      <w:r w:rsidR="001A7638" w:rsidRPr="00554FAF">
        <w:rPr>
          <w:rFonts w:ascii="Times New Roman" w:hAnsi="Times New Roman" w:cs="Times New Roman"/>
          <w:sz w:val="24"/>
          <w:szCs w:val="24"/>
        </w:rPr>
        <w:t>p</w:t>
      </w:r>
      <w:r w:rsidRPr="00554FAF">
        <w:rPr>
          <w:rFonts w:ascii="Times New Roman" w:hAnsi="Times New Roman" w:cs="Times New Roman"/>
          <w:sz w:val="24"/>
          <w:szCs w:val="24"/>
        </w:rPr>
        <w:t>roduktet ndërtimore, për produktet e ndërtimit si dyer dhe dritare</w:t>
      </w:r>
      <w:r w:rsidR="001A7638" w:rsidRPr="00554FAF">
        <w:rPr>
          <w:rFonts w:ascii="Times New Roman" w:hAnsi="Times New Roman" w:cs="Times New Roman"/>
          <w:sz w:val="24"/>
          <w:szCs w:val="24"/>
        </w:rPr>
        <w:t xml:space="preserve"> </w:t>
      </w:r>
      <w:r w:rsidRPr="00554FAF">
        <w:rPr>
          <w:rFonts w:ascii="Times New Roman" w:hAnsi="Times New Roman" w:cs="Times New Roman"/>
          <w:sz w:val="24"/>
          <w:szCs w:val="24"/>
        </w:rPr>
        <w:t>dhe produktet e betonit</w:t>
      </w:r>
      <w:r w:rsidR="001A7638" w:rsidRPr="00554FAF">
        <w:rPr>
          <w:rFonts w:ascii="Times New Roman" w:hAnsi="Times New Roman" w:cs="Times New Roman"/>
          <w:sz w:val="24"/>
          <w:szCs w:val="24"/>
        </w:rPr>
        <w:t>;</w:t>
      </w:r>
      <w:r w:rsidRPr="00554FAF">
        <w:rPr>
          <w:rFonts w:ascii="Times New Roman" w:hAnsi="Times New Roman" w:cs="Times New Roman"/>
          <w:sz w:val="24"/>
          <w:szCs w:val="24"/>
        </w:rPr>
        <w:t xml:space="preserve"> (DIC)</w:t>
      </w:r>
    </w:p>
    <w:p w14:paraId="1396A5BD" w14:textId="462FFD6E" w:rsidR="000702CB" w:rsidRPr="00554FAF" w:rsidRDefault="000702CB" w:rsidP="00802FB3">
      <w:pPr>
        <w:pStyle w:val="ListParagraph"/>
        <w:numPr>
          <w:ilvl w:val="0"/>
          <w:numId w:val="71"/>
        </w:numPr>
        <w:spacing w:after="60" w:line="240" w:lineRule="auto"/>
        <w:ind w:right="466"/>
        <w:contextualSpacing w:val="0"/>
        <w:jc w:val="both"/>
        <w:rPr>
          <w:rFonts w:ascii="Times New Roman" w:hAnsi="Times New Roman" w:cs="Times New Roman"/>
          <w:sz w:val="24"/>
          <w:szCs w:val="24"/>
        </w:rPr>
      </w:pPr>
      <w:r w:rsidRPr="00554FAF">
        <w:rPr>
          <w:rFonts w:ascii="Times New Roman" w:hAnsi="Times New Roman" w:cs="Times New Roman"/>
          <w:sz w:val="24"/>
          <w:szCs w:val="24"/>
        </w:rPr>
        <w:t>Miratimi dhe publikimi n</w:t>
      </w:r>
      <w:r w:rsidR="001A7638" w:rsidRPr="00554FAF">
        <w:rPr>
          <w:rFonts w:ascii="Times New Roman" w:hAnsi="Times New Roman" w:cs="Times New Roman"/>
          <w:sz w:val="24"/>
          <w:szCs w:val="24"/>
        </w:rPr>
        <w:t>ë</w:t>
      </w:r>
      <w:r w:rsidRPr="00554FAF">
        <w:rPr>
          <w:rFonts w:ascii="Times New Roman" w:hAnsi="Times New Roman" w:cs="Times New Roman"/>
          <w:sz w:val="24"/>
          <w:szCs w:val="24"/>
        </w:rPr>
        <w:t xml:space="preserve"> Gazetën Zyrtare t</w:t>
      </w:r>
      <w:r w:rsidR="001A7638" w:rsidRPr="00554FAF">
        <w:rPr>
          <w:rFonts w:ascii="Times New Roman" w:hAnsi="Times New Roman" w:cs="Times New Roman"/>
          <w:sz w:val="24"/>
          <w:szCs w:val="24"/>
        </w:rPr>
        <w:t>ë</w:t>
      </w:r>
      <w:r w:rsidRPr="00554FAF">
        <w:rPr>
          <w:rFonts w:ascii="Times New Roman" w:hAnsi="Times New Roman" w:cs="Times New Roman"/>
          <w:sz w:val="24"/>
          <w:szCs w:val="24"/>
        </w:rPr>
        <w:t xml:space="preserve"> RKS i një liste prej s</w:t>
      </w:r>
      <w:r w:rsidR="001A7638" w:rsidRPr="00554FAF">
        <w:rPr>
          <w:rFonts w:ascii="Times New Roman" w:hAnsi="Times New Roman" w:cs="Times New Roman"/>
          <w:sz w:val="24"/>
          <w:szCs w:val="24"/>
        </w:rPr>
        <w:t>ë</w:t>
      </w:r>
      <w:r w:rsidRPr="00554FAF">
        <w:rPr>
          <w:rFonts w:ascii="Times New Roman" w:hAnsi="Times New Roman" w:cs="Times New Roman"/>
          <w:sz w:val="24"/>
          <w:szCs w:val="24"/>
        </w:rPr>
        <w:t xml:space="preserve"> paku 50 standardeve të harmonizuara për kategori t</w:t>
      </w:r>
      <w:r w:rsidR="001A7638" w:rsidRPr="00554FAF">
        <w:rPr>
          <w:rFonts w:ascii="Times New Roman" w:hAnsi="Times New Roman" w:cs="Times New Roman"/>
          <w:sz w:val="24"/>
          <w:szCs w:val="24"/>
        </w:rPr>
        <w:t>ë</w:t>
      </w:r>
      <w:r w:rsidRPr="00554FAF">
        <w:rPr>
          <w:rFonts w:ascii="Times New Roman" w:hAnsi="Times New Roman" w:cs="Times New Roman"/>
          <w:sz w:val="24"/>
          <w:szCs w:val="24"/>
        </w:rPr>
        <w:t xml:space="preserve"> caktuara t</w:t>
      </w:r>
      <w:r w:rsidR="001A7638" w:rsidRPr="00554FAF">
        <w:rPr>
          <w:rFonts w:ascii="Times New Roman" w:hAnsi="Times New Roman" w:cs="Times New Roman"/>
          <w:sz w:val="24"/>
          <w:szCs w:val="24"/>
        </w:rPr>
        <w:t>ë</w:t>
      </w:r>
      <w:r w:rsidRPr="00554FAF">
        <w:rPr>
          <w:rFonts w:ascii="Times New Roman" w:hAnsi="Times New Roman" w:cs="Times New Roman"/>
          <w:sz w:val="24"/>
          <w:szCs w:val="24"/>
        </w:rPr>
        <w:t xml:space="preserve"> produkteve ndërtimore, t</w:t>
      </w:r>
      <w:r w:rsidR="001A7638" w:rsidRPr="00554FAF">
        <w:rPr>
          <w:rFonts w:ascii="Times New Roman" w:hAnsi="Times New Roman" w:cs="Times New Roman"/>
          <w:sz w:val="24"/>
          <w:szCs w:val="24"/>
        </w:rPr>
        <w:t>ë</w:t>
      </w:r>
      <w:r w:rsidRPr="00554FAF">
        <w:rPr>
          <w:rFonts w:ascii="Times New Roman" w:hAnsi="Times New Roman" w:cs="Times New Roman"/>
          <w:sz w:val="24"/>
          <w:szCs w:val="24"/>
        </w:rPr>
        <w:t xml:space="preserve"> cilat janë prezente n</w:t>
      </w:r>
      <w:r w:rsidR="001A7638" w:rsidRPr="00554FAF">
        <w:rPr>
          <w:rFonts w:ascii="Times New Roman" w:hAnsi="Times New Roman" w:cs="Times New Roman"/>
          <w:sz w:val="24"/>
          <w:szCs w:val="24"/>
        </w:rPr>
        <w:t>ë</w:t>
      </w:r>
      <w:r w:rsidRPr="00554FAF">
        <w:rPr>
          <w:rFonts w:ascii="Times New Roman" w:hAnsi="Times New Roman" w:cs="Times New Roman"/>
          <w:sz w:val="24"/>
          <w:szCs w:val="24"/>
        </w:rPr>
        <w:t xml:space="preserve"> tregun e Kosovës, veçmas</w:t>
      </w:r>
      <w:r w:rsidR="001A7638" w:rsidRPr="00554FAF">
        <w:rPr>
          <w:rFonts w:ascii="Times New Roman" w:hAnsi="Times New Roman" w:cs="Times New Roman"/>
          <w:sz w:val="24"/>
          <w:szCs w:val="24"/>
        </w:rPr>
        <w:t xml:space="preserve"> </w:t>
      </w:r>
      <w:r w:rsidRPr="00554FAF">
        <w:rPr>
          <w:rFonts w:ascii="Times New Roman" w:hAnsi="Times New Roman" w:cs="Times New Roman"/>
          <w:sz w:val="24"/>
          <w:szCs w:val="24"/>
        </w:rPr>
        <w:t xml:space="preserve">ato nga importi; (AKS-MTI). </w:t>
      </w:r>
    </w:p>
    <w:p w14:paraId="1560F065" w14:textId="21C2C417" w:rsidR="000702CB" w:rsidRPr="00554FAF" w:rsidRDefault="000702CB" w:rsidP="00802FB3">
      <w:pPr>
        <w:pStyle w:val="ListParagraph"/>
        <w:numPr>
          <w:ilvl w:val="0"/>
          <w:numId w:val="71"/>
        </w:numPr>
        <w:spacing w:after="60" w:line="240" w:lineRule="auto"/>
        <w:ind w:right="466"/>
        <w:contextualSpacing w:val="0"/>
        <w:jc w:val="both"/>
        <w:rPr>
          <w:rFonts w:ascii="Times New Roman" w:hAnsi="Times New Roman" w:cs="Times New Roman"/>
          <w:sz w:val="24"/>
          <w:szCs w:val="24"/>
        </w:rPr>
      </w:pPr>
      <w:r w:rsidRPr="00554FAF">
        <w:rPr>
          <w:rFonts w:ascii="Times New Roman" w:hAnsi="Times New Roman" w:cs="Times New Roman"/>
          <w:sz w:val="24"/>
          <w:szCs w:val="24"/>
        </w:rPr>
        <w:t>Hartimi i Ligjit t</w:t>
      </w:r>
      <w:r w:rsidR="001A7638" w:rsidRPr="00554FAF">
        <w:rPr>
          <w:rFonts w:ascii="Times New Roman" w:hAnsi="Times New Roman" w:cs="Times New Roman"/>
          <w:sz w:val="24"/>
          <w:szCs w:val="24"/>
        </w:rPr>
        <w:t>ë</w:t>
      </w:r>
      <w:r w:rsidRPr="00554FAF">
        <w:rPr>
          <w:rFonts w:ascii="Times New Roman" w:hAnsi="Times New Roman" w:cs="Times New Roman"/>
          <w:sz w:val="24"/>
          <w:szCs w:val="24"/>
        </w:rPr>
        <w:t xml:space="preserve"> ri për Sigurinë e </w:t>
      </w:r>
      <w:r w:rsidR="001A7638" w:rsidRPr="00554FAF">
        <w:rPr>
          <w:rFonts w:ascii="Times New Roman" w:hAnsi="Times New Roman" w:cs="Times New Roman"/>
          <w:sz w:val="24"/>
          <w:szCs w:val="24"/>
        </w:rPr>
        <w:t>p</w:t>
      </w:r>
      <w:r w:rsidRPr="00554FAF">
        <w:rPr>
          <w:rFonts w:ascii="Times New Roman" w:hAnsi="Times New Roman" w:cs="Times New Roman"/>
          <w:sz w:val="24"/>
          <w:szCs w:val="24"/>
        </w:rPr>
        <w:t>ërgjithshme t</w:t>
      </w:r>
      <w:r w:rsidR="001A7638" w:rsidRPr="00554FAF">
        <w:rPr>
          <w:rFonts w:ascii="Times New Roman" w:hAnsi="Times New Roman" w:cs="Times New Roman"/>
          <w:sz w:val="24"/>
          <w:szCs w:val="24"/>
        </w:rPr>
        <w:t>ë</w:t>
      </w:r>
      <w:r w:rsidRPr="00554FAF">
        <w:rPr>
          <w:rFonts w:ascii="Times New Roman" w:hAnsi="Times New Roman" w:cs="Times New Roman"/>
          <w:sz w:val="24"/>
          <w:szCs w:val="24"/>
        </w:rPr>
        <w:t xml:space="preserve"> </w:t>
      </w:r>
      <w:r w:rsidR="001A7638" w:rsidRPr="00554FAF">
        <w:rPr>
          <w:rFonts w:ascii="Times New Roman" w:hAnsi="Times New Roman" w:cs="Times New Roman"/>
          <w:sz w:val="24"/>
          <w:szCs w:val="24"/>
        </w:rPr>
        <w:t>p</w:t>
      </w:r>
      <w:r w:rsidRPr="00554FAF">
        <w:rPr>
          <w:rFonts w:ascii="Times New Roman" w:hAnsi="Times New Roman" w:cs="Times New Roman"/>
          <w:sz w:val="24"/>
          <w:szCs w:val="24"/>
        </w:rPr>
        <w:t>rodukteve. Ligji i ri do t</w:t>
      </w:r>
      <w:r w:rsidR="001A7638" w:rsidRPr="00554FAF">
        <w:rPr>
          <w:rFonts w:ascii="Times New Roman" w:hAnsi="Times New Roman" w:cs="Times New Roman"/>
          <w:sz w:val="24"/>
          <w:szCs w:val="24"/>
        </w:rPr>
        <w:t>ë</w:t>
      </w:r>
      <w:r w:rsidRPr="00554FAF">
        <w:rPr>
          <w:rFonts w:ascii="Times New Roman" w:hAnsi="Times New Roman" w:cs="Times New Roman"/>
          <w:sz w:val="24"/>
          <w:szCs w:val="24"/>
        </w:rPr>
        <w:t xml:space="preserve"> jet</w:t>
      </w:r>
      <w:r w:rsidR="001A7638" w:rsidRPr="00554FAF">
        <w:rPr>
          <w:rFonts w:ascii="Times New Roman" w:hAnsi="Times New Roman" w:cs="Times New Roman"/>
          <w:sz w:val="24"/>
          <w:szCs w:val="24"/>
        </w:rPr>
        <w:t>ë</w:t>
      </w:r>
      <w:r w:rsidRPr="00554FAF">
        <w:rPr>
          <w:rFonts w:ascii="Times New Roman" w:hAnsi="Times New Roman" w:cs="Times New Roman"/>
          <w:sz w:val="24"/>
          <w:szCs w:val="24"/>
        </w:rPr>
        <w:t xml:space="preserve"> i harmonizuar me Direktivën e BE-s</w:t>
      </w:r>
      <w:r w:rsidR="001A7638" w:rsidRPr="00554FAF">
        <w:rPr>
          <w:rFonts w:ascii="Times New Roman" w:hAnsi="Times New Roman" w:cs="Times New Roman"/>
          <w:sz w:val="24"/>
          <w:szCs w:val="24"/>
        </w:rPr>
        <w:t>ë</w:t>
      </w:r>
      <w:r w:rsidRPr="00554FAF">
        <w:rPr>
          <w:rFonts w:ascii="Times New Roman" w:hAnsi="Times New Roman" w:cs="Times New Roman"/>
          <w:sz w:val="24"/>
          <w:szCs w:val="24"/>
        </w:rPr>
        <w:t xml:space="preserve"> nr.2001/95, për Sigurinë e Përgjithshme t</w:t>
      </w:r>
      <w:r w:rsidR="001A7638" w:rsidRPr="00554FAF">
        <w:rPr>
          <w:rFonts w:ascii="Times New Roman" w:hAnsi="Times New Roman" w:cs="Times New Roman"/>
          <w:sz w:val="24"/>
          <w:szCs w:val="24"/>
        </w:rPr>
        <w:t>ë</w:t>
      </w:r>
      <w:r w:rsidRPr="00554FAF">
        <w:rPr>
          <w:rFonts w:ascii="Times New Roman" w:hAnsi="Times New Roman" w:cs="Times New Roman"/>
          <w:sz w:val="24"/>
          <w:szCs w:val="24"/>
        </w:rPr>
        <w:t xml:space="preserve"> Produkteve; (DIC)</w:t>
      </w:r>
    </w:p>
    <w:p w14:paraId="42F31707" w14:textId="77777777" w:rsidR="000702CB" w:rsidRPr="00554FAF" w:rsidRDefault="000702CB" w:rsidP="00802FB3">
      <w:pPr>
        <w:pStyle w:val="ListParagraph"/>
        <w:numPr>
          <w:ilvl w:val="0"/>
          <w:numId w:val="71"/>
        </w:numPr>
        <w:spacing w:after="60" w:line="240" w:lineRule="auto"/>
        <w:ind w:right="466"/>
        <w:contextualSpacing w:val="0"/>
        <w:jc w:val="both"/>
        <w:rPr>
          <w:rFonts w:ascii="Times New Roman" w:hAnsi="Times New Roman" w:cs="Times New Roman"/>
          <w:b/>
          <w:bCs/>
          <w:sz w:val="24"/>
          <w:szCs w:val="24"/>
        </w:rPr>
      </w:pPr>
      <w:r w:rsidRPr="00554FAF">
        <w:rPr>
          <w:rFonts w:ascii="Times New Roman" w:hAnsi="Times New Roman" w:cs="Times New Roman"/>
          <w:sz w:val="24"/>
          <w:szCs w:val="24"/>
        </w:rPr>
        <w:t>Akreditimi i dy Laboratorëve testues/kalibrues (Laboratori i forcës dhe presionit dhe Laboratori i temperaturës dhe lagështisë relative); (AMK)</w:t>
      </w:r>
    </w:p>
    <w:p w14:paraId="2F2A3509" w14:textId="77777777" w:rsidR="000702CB" w:rsidRPr="00554FAF" w:rsidRDefault="000702CB" w:rsidP="000702CB">
      <w:pPr>
        <w:spacing w:after="60" w:line="240" w:lineRule="auto"/>
        <w:rPr>
          <w:rFonts w:ascii="Times New Roman" w:hAnsi="Times New Roman" w:cs="Times New Roman"/>
          <w:b/>
          <w:bCs/>
          <w:sz w:val="24"/>
          <w:szCs w:val="24"/>
        </w:rPr>
      </w:pPr>
      <w:r w:rsidRPr="00554FAF">
        <w:rPr>
          <w:rFonts w:ascii="Times New Roman" w:hAnsi="Times New Roman" w:cs="Times New Roman"/>
          <w:b/>
          <w:sz w:val="24"/>
          <w:szCs w:val="24"/>
        </w:rPr>
        <w:t>2. Treguesit e rezultateve</w:t>
      </w:r>
      <w:r w:rsidRPr="00554FAF">
        <w:rPr>
          <w:rFonts w:ascii="Times New Roman" w:hAnsi="Times New Roman" w:cs="Times New Roman"/>
          <w:b/>
          <w:bCs/>
          <w:sz w:val="24"/>
          <w:szCs w:val="24"/>
        </w:rPr>
        <w:t xml:space="preserve">: </w:t>
      </w:r>
    </w:p>
    <w:tbl>
      <w:tblPr>
        <w:tblpPr w:leftFromText="180" w:rightFromText="180" w:vertAnchor="text" w:horzAnchor="margin" w:tblpY="168"/>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5"/>
        <w:gridCol w:w="2070"/>
        <w:gridCol w:w="2070"/>
        <w:gridCol w:w="1890"/>
      </w:tblGrid>
      <w:tr w:rsidR="000702CB" w:rsidRPr="00554FAF" w14:paraId="70F7C1F0" w14:textId="77777777" w:rsidTr="003A7429">
        <w:trPr>
          <w:trHeight w:val="260"/>
        </w:trPr>
        <w:tc>
          <w:tcPr>
            <w:tcW w:w="3595" w:type="dxa"/>
            <w:shd w:val="clear" w:color="auto" w:fill="auto"/>
          </w:tcPr>
          <w:p w14:paraId="01417012" w14:textId="77777777" w:rsidR="000702CB" w:rsidRPr="00554FAF" w:rsidRDefault="000702CB" w:rsidP="000702CB">
            <w:pPr>
              <w:pStyle w:val="Default"/>
              <w:spacing w:after="60"/>
              <w:jc w:val="center"/>
              <w:rPr>
                <w:color w:val="auto"/>
                <w:lang w:val="sq-AL"/>
              </w:rPr>
            </w:pPr>
            <w:r w:rsidRPr="00554FAF">
              <w:rPr>
                <w:color w:val="auto"/>
                <w:lang w:val="sq-AL"/>
              </w:rPr>
              <w:t>Treguesi</w:t>
            </w:r>
          </w:p>
        </w:tc>
        <w:tc>
          <w:tcPr>
            <w:tcW w:w="2070" w:type="dxa"/>
            <w:shd w:val="clear" w:color="auto" w:fill="auto"/>
          </w:tcPr>
          <w:p w14:paraId="467505D5" w14:textId="77777777" w:rsidR="000702CB" w:rsidRPr="00554FAF" w:rsidRDefault="000702CB" w:rsidP="000702CB">
            <w:pPr>
              <w:pStyle w:val="Default"/>
              <w:spacing w:after="60"/>
              <w:jc w:val="center"/>
              <w:rPr>
                <w:color w:val="auto"/>
                <w:lang w:val="sq-AL"/>
              </w:rPr>
            </w:pPr>
            <w:r w:rsidRPr="00554FAF">
              <w:rPr>
                <w:color w:val="auto"/>
                <w:lang w:val="sq-AL"/>
              </w:rPr>
              <w:t>Baza 2018</w:t>
            </w:r>
          </w:p>
          <w:p w14:paraId="126D8510" w14:textId="77777777" w:rsidR="000702CB" w:rsidRPr="00554FAF" w:rsidRDefault="000702CB" w:rsidP="000702CB">
            <w:pPr>
              <w:pStyle w:val="Default"/>
              <w:spacing w:after="60"/>
              <w:jc w:val="center"/>
              <w:rPr>
                <w:color w:val="auto"/>
                <w:lang w:val="sq-AL"/>
              </w:rPr>
            </w:pPr>
          </w:p>
        </w:tc>
        <w:tc>
          <w:tcPr>
            <w:tcW w:w="2070" w:type="dxa"/>
            <w:shd w:val="clear" w:color="auto" w:fill="auto"/>
          </w:tcPr>
          <w:p w14:paraId="0E967D19" w14:textId="47E9758E" w:rsidR="000702CB" w:rsidRPr="00554FAF" w:rsidRDefault="001A7638" w:rsidP="000702CB">
            <w:pPr>
              <w:pStyle w:val="Default"/>
              <w:spacing w:after="60"/>
              <w:jc w:val="center"/>
              <w:rPr>
                <w:color w:val="auto"/>
                <w:lang w:val="sq-AL"/>
              </w:rPr>
            </w:pPr>
            <w:r w:rsidRPr="00554FAF">
              <w:rPr>
                <w:color w:val="auto"/>
                <w:lang w:val="sq-AL"/>
              </w:rPr>
              <w:t xml:space="preserve">Synimi </w:t>
            </w:r>
            <w:r w:rsidR="000702CB" w:rsidRPr="00554FAF">
              <w:rPr>
                <w:color w:val="auto"/>
                <w:lang w:val="sq-AL"/>
              </w:rPr>
              <w:t>i ndërmjetëm   2020</w:t>
            </w:r>
          </w:p>
        </w:tc>
        <w:tc>
          <w:tcPr>
            <w:tcW w:w="1890" w:type="dxa"/>
            <w:shd w:val="clear" w:color="auto" w:fill="auto"/>
          </w:tcPr>
          <w:p w14:paraId="3E49EA18" w14:textId="77777777" w:rsidR="000702CB" w:rsidRPr="00554FAF" w:rsidRDefault="000702CB" w:rsidP="000702CB">
            <w:pPr>
              <w:pStyle w:val="Default"/>
              <w:spacing w:after="60"/>
              <w:jc w:val="center"/>
              <w:rPr>
                <w:color w:val="auto"/>
                <w:lang w:val="sq-AL"/>
              </w:rPr>
            </w:pPr>
            <w:r w:rsidRPr="00554FAF">
              <w:rPr>
                <w:color w:val="auto"/>
                <w:lang w:val="sq-AL"/>
              </w:rPr>
              <w:t>Synimi 2021</w:t>
            </w:r>
          </w:p>
          <w:p w14:paraId="34A67588" w14:textId="77777777" w:rsidR="000702CB" w:rsidRPr="00554FAF" w:rsidRDefault="000702CB" w:rsidP="000702CB">
            <w:pPr>
              <w:pStyle w:val="Default"/>
              <w:spacing w:after="60"/>
              <w:jc w:val="center"/>
              <w:rPr>
                <w:color w:val="auto"/>
                <w:lang w:val="sq-AL"/>
              </w:rPr>
            </w:pPr>
          </w:p>
        </w:tc>
      </w:tr>
      <w:tr w:rsidR="000702CB" w:rsidRPr="00554FAF" w14:paraId="46006684" w14:textId="77777777" w:rsidTr="003A7429">
        <w:trPr>
          <w:trHeight w:val="350"/>
        </w:trPr>
        <w:tc>
          <w:tcPr>
            <w:tcW w:w="3595" w:type="dxa"/>
            <w:shd w:val="clear" w:color="auto" w:fill="auto"/>
          </w:tcPr>
          <w:p w14:paraId="6BD804BA" w14:textId="77777777" w:rsidR="000702CB" w:rsidRPr="00554FAF" w:rsidRDefault="000702CB" w:rsidP="000702CB">
            <w:pPr>
              <w:pStyle w:val="Default"/>
              <w:spacing w:after="60"/>
              <w:jc w:val="both"/>
              <w:rPr>
                <w:iCs/>
                <w:lang w:val="sq-AL"/>
              </w:rPr>
            </w:pPr>
            <w:r w:rsidRPr="00554FAF">
              <w:rPr>
                <w:iCs/>
                <w:lang w:val="sq-AL"/>
              </w:rPr>
              <w:t>1.Eksporti i produkteve t</w:t>
            </w:r>
            <w:r w:rsidRPr="00554FAF">
              <w:rPr>
                <w:rFonts w:eastAsia="Calibri"/>
                <w:lang w:val="sq-AL"/>
              </w:rPr>
              <w:t>ë</w:t>
            </w:r>
            <w:r w:rsidRPr="00554FAF">
              <w:rPr>
                <w:iCs/>
                <w:lang w:val="sq-AL"/>
              </w:rPr>
              <w:t xml:space="preserve"> ndërtimit</w:t>
            </w:r>
          </w:p>
        </w:tc>
        <w:tc>
          <w:tcPr>
            <w:tcW w:w="2070" w:type="dxa"/>
            <w:shd w:val="clear" w:color="auto" w:fill="auto"/>
          </w:tcPr>
          <w:p w14:paraId="593A4D2D" w14:textId="77777777" w:rsidR="000702CB" w:rsidRPr="00554FAF" w:rsidRDefault="000702CB" w:rsidP="000702CB">
            <w:pPr>
              <w:pStyle w:val="Default"/>
              <w:spacing w:after="60"/>
              <w:jc w:val="center"/>
              <w:rPr>
                <w:iCs/>
                <w:lang w:val="sq-AL"/>
              </w:rPr>
            </w:pPr>
            <w:r w:rsidRPr="00554FAF">
              <w:rPr>
                <w:iCs/>
                <w:lang w:val="sq-AL"/>
              </w:rPr>
              <w:t>55,379,128.00</w:t>
            </w:r>
          </w:p>
        </w:tc>
        <w:tc>
          <w:tcPr>
            <w:tcW w:w="2070" w:type="dxa"/>
            <w:shd w:val="clear" w:color="auto" w:fill="auto"/>
            <w:vAlign w:val="center"/>
          </w:tcPr>
          <w:p w14:paraId="2CAFB00F" w14:textId="77777777" w:rsidR="000702CB" w:rsidRPr="00554FAF" w:rsidRDefault="000702CB" w:rsidP="000702CB">
            <w:pPr>
              <w:pStyle w:val="Default"/>
              <w:spacing w:after="60"/>
              <w:jc w:val="center"/>
              <w:rPr>
                <w:iCs/>
                <w:lang w:val="sq-AL"/>
              </w:rPr>
            </w:pPr>
            <w:r w:rsidRPr="00554FAF">
              <w:rPr>
                <w:rFonts w:eastAsia="Times New Roman"/>
                <w:lang w:val="sq-AL" w:eastAsia="zh-CN"/>
              </w:rPr>
              <w:t>60,000,000.00</w:t>
            </w:r>
          </w:p>
        </w:tc>
        <w:tc>
          <w:tcPr>
            <w:tcW w:w="1890" w:type="dxa"/>
            <w:shd w:val="clear" w:color="auto" w:fill="auto"/>
            <w:vAlign w:val="center"/>
          </w:tcPr>
          <w:p w14:paraId="6B01FAD3" w14:textId="77777777" w:rsidR="000702CB" w:rsidRPr="00554FAF" w:rsidRDefault="000702CB" w:rsidP="000702CB">
            <w:pPr>
              <w:pStyle w:val="Default"/>
              <w:spacing w:after="60"/>
              <w:jc w:val="center"/>
              <w:rPr>
                <w:iCs/>
                <w:lang w:val="sq-AL"/>
              </w:rPr>
            </w:pPr>
            <w:r w:rsidRPr="00554FAF">
              <w:rPr>
                <w:rFonts w:eastAsia="Times New Roman"/>
                <w:lang w:val="sq-AL" w:eastAsia="zh-CN"/>
              </w:rPr>
              <w:t>65,000,000.00</w:t>
            </w:r>
          </w:p>
        </w:tc>
      </w:tr>
      <w:tr w:rsidR="000702CB" w:rsidRPr="00554FAF" w14:paraId="4E000A2E" w14:textId="77777777" w:rsidTr="003A7429">
        <w:trPr>
          <w:trHeight w:val="350"/>
        </w:trPr>
        <w:tc>
          <w:tcPr>
            <w:tcW w:w="3595" w:type="dxa"/>
            <w:shd w:val="clear" w:color="auto" w:fill="auto"/>
          </w:tcPr>
          <w:p w14:paraId="1869A528" w14:textId="77777777" w:rsidR="000702CB" w:rsidRPr="00554FAF" w:rsidRDefault="000702CB" w:rsidP="000702CB">
            <w:pPr>
              <w:pStyle w:val="Default"/>
              <w:spacing w:after="60"/>
              <w:jc w:val="both"/>
              <w:rPr>
                <w:iCs/>
                <w:lang w:val="sq-AL"/>
              </w:rPr>
            </w:pPr>
            <w:r w:rsidRPr="00554FAF">
              <w:rPr>
                <w:iCs/>
                <w:lang w:val="sq-AL"/>
              </w:rPr>
              <w:t>2.Importi i produkteve t</w:t>
            </w:r>
            <w:r w:rsidRPr="00554FAF">
              <w:rPr>
                <w:rFonts w:eastAsia="Calibri"/>
                <w:lang w:val="sq-AL"/>
              </w:rPr>
              <w:t>ë</w:t>
            </w:r>
            <w:r w:rsidRPr="00554FAF">
              <w:rPr>
                <w:iCs/>
                <w:lang w:val="sq-AL"/>
              </w:rPr>
              <w:t xml:space="preserve"> ndërtimit</w:t>
            </w:r>
          </w:p>
        </w:tc>
        <w:tc>
          <w:tcPr>
            <w:tcW w:w="2070" w:type="dxa"/>
            <w:shd w:val="clear" w:color="auto" w:fill="auto"/>
          </w:tcPr>
          <w:p w14:paraId="27F1A2C9" w14:textId="77777777" w:rsidR="000702CB" w:rsidRPr="00554FAF" w:rsidRDefault="000702CB" w:rsidP="000702CB">
            <w:pPr>
              <w:pStyle w:val="Default"/>
              <w:spacing w:after="60"/>
              <w:jc w:val="center"/>
              <w:rPr>
                <w:iCs/>
                <w:lang w:val="sq-AL"/>
              </w:rPr>
            </w:pPr>
            <w:r w:rsidRPr="00554FAF">
              <w:rPr>
                <w:iCs/>
                <w:lang w:val="sq-AL"/>
              </w:rPr>
              <w:t>290,821,879.00</w:t>
            </w:r>
          </w:p>
        </w:tc>
        <w:tc>
          <w:tcPr>
            <w:tcW w:w="2070" w:type="dxa"/>
            <w:shd w:val="clear" w:color="auto" w:fill="auto"/>
            <w:vAlign w:val="center"/>
          </w:tcPr>
          <w:p w14:paraId="7BFEB5C8" w14:textId="77777777" w:rsidR="000702CB" w:rsidRPr="00554FAF" w:rsidRDefault="000702CB" w:rsidP="000702CB">
            <w:pPr>
              <w:pStyle w:val="Default"/>
              <w:spacing w:after="60"/>
              <w:jc w:val="center"/>
              <w:rPr>
                <w:iCs/>
                <w:lang w:val="sq-AL"/>
              </w:rPr>
            </w:pPr>
            <w:r w:rsidRPr="00554FAF">
              <w:rPr>
                <w:rFonts w:eastAsia="Times New Roman"/>
                <w:lang w:val="sq-AL" w:eastAsia="zh-CN"/>
              </w:rPr>
              <w:t>287,000,000.00</w:t>
            </w:r>
          </w:p>
        </w:tc>
        <w:tc>
          <w:tcPr>
            <w:tcW w:w="1890" w:type="dxa"/>
            <w:shd w:val="clear" w:color="auto" w:fill="auto"/>
            <w:vAlign w:val="center"/>
          </w:tcPr>
          <w:p w14:paraId="7590C5C5" w14:textId="77777777" w:rsidR="000702CB" w:rsidRPr="00554FAF" w:rsidRDefault="000702CB" w:rsidP="000702CB">
            <w:pPr>
              <w:pStyle w:val="Default"/>
              <w:spacing w:after="60"/>
              <w:jc w:val="center"/>
              <w:rPr>
                <w:iCs/>
                <w:lang w:val="sq-AL"/>
              </w:rPr>
            </w:pPr>
            <w:r w:rsidRPr="00554FAF">
              <w:rPr>
                <w:rFonts w:eastAsia="Times New Roman"/>
                <w:lang w:val="sq-AL" w:eastAsia="zh-CN"/>
              </w:rPr>
              <w:t>280,000,000.00</w:t>
            </w:r>
          </w:p>
        </w:tc>
      </w:tr>
      <w:tr w:rsidR="000702CB" w:rsidRPr="00554FAF" w14:paraId="03217841" w14:textId="77777777" w:rsidTr="003A7429">
        <w:trPr>
          <w:trHeight w:val="287"/>
        </w:trPr>
        <w:tc>
          <w:tcPr>
            <w:tcW w:w="3595" w:type="dxa"/>
            <w:shd w:val="clear" w:color="auto" w:fill="auto"/>
          </w:tcPr>
          <w:p w14:paraId="72936B0A" w14:textId="77777777" w:rsidR="000702CB" w:rsidRPr="00554FAF" w:rsidRDefault="000702CB" w:rsidP="000702CB">
            <w:pPr>
              <w:pStyle w:val="Default"/>
              <w:spacing w:after="60"/>
              <w:jc w:val="both"/>
              <w:rPr>
                <w:iCs/>
                <w:lang w:val="sq-AL"/>
              </w:rPr>
            </w:pPr>
            <w:r w:rsidRPr="00554FAF">
              <w:rPr>
                <w:iCs/>
                <w:lang w:val="sq-AL"/>
              </w:rPr>
              <w:t>3.Bilanci Tregtar</w:t>
            </w:r>
          </w:p>
        </w:tc>
        <w:tc>
          <w:tcPr>
            <w:tcW w:w="2070" w:type="dxa"/>
            <w:shd w:val="clear" w:color="auto" w:fill="auto"/>
          </w:tcPr>
          <w:p w14:paraId="1C7E40CB" w14:textId="77777777" w:rsidR="000702CB" w:rsidRPr="00554FAF" w:rsidRDefault="000702CB" w:rsidP="000702CB">
            <w:pPr>
              <w:pStyle w:val="Default"/>
              <w:spacing w:after="60"/>
              <w:jc w:val="center"/>
              <w:rPr>
                <w:iCs/>
                <w:lang w:val="sq-AL"/>
              </w:rPr>
            </w:pPr>
            <w:r w:rsidRPr="00554FAF">
              <w:rPr>
                <w:iCs/>
                <w:lang w:val="sq-AL"/>
              </w:rPr>
              <w:t>(235,442,751.00)</w:t>
            </w:r>
          </w:p>
        </w:tc>
        <w:tc>
          <w:tcPr>
            <w:tcW w:w="2070" w:type="dxa"/>
            <w:shd w:val="clear" w:color="auto" w:fill="auto"/>
            <w:vAlign w:val="center"/>
          </w:tcPr>
          <w:p w14:paraId="32885D6D" w14:textId="77777777" w:rsidR="000702CB" w:rsidRPr="00554FAF" w:rsidRDefault="000702CB" w:rsidP="000702CB">
            <w:pPr>
              <w:pStyle w:val="Default"/>
              <w:spacing w:after="60"/>
              <w:jc w:val="center"/>
              <w:rPr>
                <w:iCs/>
                <w:lang w:val="sq-AL"/>
              </w:rPr>
            </w:pPr>
            <w:r w:rsidRPr="00554FAF">
              <w:rPr>
                <w:rFonts w:eastAsia="Times New Roman"/>
                <w:lang w:val="sq-AL" w:eastAsia="zh-CN"/>
              </w:rPr>
              <w:t>(227,000,000.00)</w:t>
            </w:r>
          </w:p>
        </w:tc>
        <w:tc>
          <w:tcPr>
            <w:tcW w:w="1890" w:type="dxa"/>
            <w:shd w:val="clear" w:color="auto" w:fill="auto"/>
            <w:vAlign w:val="center"/>
          </w:tcPr>
          <w:p w14:paraId="3474E27C" w14:textId="77777777" w:rsidR="000702CB" w:rsidRPr="00554FAF" w:rsidRDefault="000702CB" w:rsidP="000702CB">
            <w:pPr>
              <w:pStyle w:val="Default"/>
              <w:spacing w:after="60"/>
              <w:jc w:val="center"/>
              <w:rPr>
                <w:iCs/>
                <w:lang w:val="sq-AL"/>
              </w:rPr>
            </w:pPr>
            <w:r w:rsidRPr="00554FAF">
              <w:rPr>
                <w:rFonts w:eastAsia="Times New Roman"/>
                <w:lang w:val="sq-AL" w:eastAsia="zh-CN"/>
              </w:rPr>
              <w:t>(215,000,000.00)</w:t>
            </w:r>
          </w:p>
        </w:tc>
      </w:tr>
    </w:tbl>
    <w:p w14:paraId="360F1AD9" w14:textId="77777777" w:rsidR="000702CB" w:rsidRPr="00554FAF" w:rsidRDefault="000702CB" w:rsidP="000702CB">
      <w:pPr>
        <w:spacing w:after="60" w:line="240" w:lineRule="auto"/>
        <w:rPr>
          <w:rFonts w:ascii="Times New Roman" w:hAnsi="Times New Roman" w:cs="Times New Roman"/>
          <w:b/>
          <w:bCs/>
          <w:sz w:val="24"/>
          <w:szCs w:val="24"/>
        </w:rPr>
      </w:pPr>
    </w:p>
    <w:p w14:paraId="7C85CA60" w14:textId="03FB90FF" w:rsidR="000702CB" w:rsidRPr="00554FAF" w:rsidRDefault="000702CB" w:rsidP="000702CB">
      <w:pPr>
        <w:widowControl w:val="0"/>
        <w:spacing w:after="60" w:line="240" w:lineRule="auto"/>
        <w:jc w:val="both"/>
        <w:rPr>
          <w:rFonts w:ascii="Times New Roman" w:hAnsi="Times New Roman" w:cs="Times New Roman"/>
          <w:sz w:val="24"/>
          <w:szCs w:val="24"/>
        </w:rPr>
      </w:pPr>
      <w:r w:rsidRPr="00554FAF">
        <w:rPr>
          <w:rFonts w:ascii="Times New Roman" w:hAnsi="Times New Roman" w:cs="Times New Roman"/>
          <w:b/>
          <w:bCs/>
          <w:sz w:val="24"/>
          <w:szCs w:val="24"/>
        </w:rPr>
        <w:t xml:space="preserve">3.  Ndikimi i pritur në konkurrueshmëri: </w:t>
      </w:r>
      <w:r w:rsidRPr="00554FAF">
        <w:rPr>
          <w:rFonts w:ascii="Times New Roman" w:hAnsi="Times New Roman" w:cs="Times New Roman"/>
          <w:sz w:val="24"/>
          <w:szCs w:val="24"/>
        </w:rPr>
        <w:t xml:space="preserve">Aktivitetet e lartpërmendura do të sigurojnë një sistem rregullator nacional që do t'i lejojë prodhuesit e Kosovës të vazhdojnë të shesin produkte në tregun e Kosovës, duke aplikuar kërkesat nacionale dhe të jenë në gjendje të konkurrojnë në mënyrë më efektive me produktet e importuara. Sistemi rregullator nacional do të rrisë aftësinë konkurruese të bizneseve duke </w:t>
      </w:r>
      <w:r w:rsidR="001A7638" w:rsidRPr="00554FAF">
        <w:rPr>
          <w:rFonts w:ascii="Times New Roman" w:hAnsi="Times New Roman" w:cs="Times New Roman"/>
          <w:sz w:val="24"/>
          <w:szCs w:val="24"/>
        </w:rPr>
        <w:t>i</w:t>
      </w:r>
      <w:r w:rsidRPr="00554FAF">
        <w:rPr>
          <w:rFonts w:ascii="Times New Roman" w:hAnsi="Times New Roman" w:cs="Times New Roman"/>
          <w:sz w:val="24"/>
          <w:szCs w:val="24"/>
        </w:rPr>
        <w:t xml:space="preserve">u mundësuar atyre të hyjnë në tregjet ndërkombëtare. Duke pasur parasysh bilancin shumë të madh negativ të tregtisë së produkteve të ndërtimit, së bashku me vështirësitë në zbatimin e Rregullores së </w:t>
      </w:r>
      <w:r w:rsidR="001A7638" w:rsidRPr="00554FAF">
        <w:rPr>
          <w:rFonts w:ascii="Times New Roman" w:hAnsi="Times New Roman" w:cs="Times New Roman"/>
          <w:sz w:val="24"/>
          <w:szCs w:val="24"/>
        </w:rPr>
        <w:t>p</w:t>
      </w:r>
      <w:r w:rsidRPr="00554FAF">
        <w:rPr>
          <w:rFonts w:ascii="Times New Roman" w:hAnsi="Times New Roman" w:cs="Times New Roman"/>
          <w:sz w:val="24"/>
          <w:szCs w:val="24"/>
        </w:rPr>
        <w:t xml:space="preserve">rodukteve të </w:t>
      </w:r>
      <w:r w:rsidR="001A7638" w:rsidRPr="00554FAF">
        <w:rPr>
          <w:rFonts w:ascii="Times New Roman" w:hAnsi="Times New Roman" w:cs="Times New Roman"/>
          <w:sz w:val="24"/>
          <w:szCs w:val="24"/>
        </w:rPr>
        <w:t>n</w:t>
      </w:r>
      <w:r w:rsidRPr="00554FAF">
        <w:rPr>
          <w:rFonts w:ascii="Times New Roman" w:hAnsi="Times New Roman" w:cs="Times New Roman"/>
          <w:sz w:val="24"/>
          <w:szCs w:val="24"/>
        </w:rPr>
        <w:t xml:space="preserve">dërtimit të BE-së (RPN) në një vend jo të BE-së, qëllimi kryesor i Ligjit të </w:t>
      </w:r>
      <w:r w:rsidR="001A7638" w:rsidRPr="00554FAF">
        <w:rPr>
          <w:rFonts w:ascii="Times New Roman" w:hAnsi="Times New Roman" w:cs="Times New Roman"/>
          <w:sz w:val="24"/>
          <w:szCs w:val="24"/>
        </w:rPr>
        <w:t>p</w:t>
      </w:r>
      <w:r w:rsidRPr="00554FAF">
        <w:rPr>
          <w:rFonts w:ascii="Times New Roman" w:hAnsi="Times New Roman" w:cs="Times New Roman"/>
          <w:sz w:val="24"/>
          <w:szCs w:val="24"/>
        </w:rPr>
        <w:t xml:space="preserve">rodukteve të </w:t>
      </w:r>
      <w:r w:rsidR="001A7638" w:rsidRPr="00554FAF">
        <w:rPr>
          <w:rFonts w:ascii="Times New Roman" w:hAnsi="Times New Roman" w:cs="Times New Roman"/>
          <w:sz w:val="24"/>
          <w:szCs w:val="24"/>
        </w:rPr>
        <w:t>n</w:t>
      </w:r>
      <w:r w:rsidRPr="00554FAF">
        <w:rPr>
          <w:rFonts w:ascii="Times New Roman" w:hAnsi="Times New Roman" w:cs="Times New Roman"/>
          <w:sz w:val="24"/>
          <w:szCs w:val="24"/>
        </w:rPr>
        <w:t>dërtimit do t</w:t>
      </w:r>
      <w:r w:rsidR="001A7638" w:rsidRPr="00554FAF">
        <w:rPr>
          <w:rFonts w:ascii="Times New Roman" w:hAnsi="Times New Roman" w:cs="Times New Roman"/>
          <w:sz w:val="24"/>
          <w:szCs w:val="24"/>
        </w:rPr>
        <w:t>’</w:t>
      </w:r>
      <w:r w:rsidRPr="00554FAF">
        <w:rPr>
          <w:rFonts w:ascii="Times New Roman" w:hAnsi="Times New Roman" w:cs="Times New Roman"/>
          <w:sz w:val="24"/>
          <w:szCs w:val="24"/>
        </w:rPr>
        <w:t>u mundësoj prodhuesve t</w:t>
      </w:r>
      <w:r w:rsidR="001A7638" w:rsidRPr="00554FAF">
        <w:rPr>
          <w:rFonts w:ascii="Times New Roman" w:hAnsi="Times New Roman" w:cs="Times New Roman"/>
          <w:sz w:val="24"/>
          <w:szCs w:val="24"/>
        </w:rPr>
        <w:t>ë</w:t>
      </w:r>
      <w:r w:rsidRPr="00554FAF">
        <w:rPr>
          <w:rFonts w:ascii="Times New Roman" w:hAnsi="Times New Roman" w:cs="Times New Roman"/>
          <w:sz w:val="24"/>
          <w:szCs w:val="24"/>
        </w:rPr>
        <w:t xml:space="preserve"> Kosovës të konkurrojnë më mirë në tregun nacional</w:t>
      </w:r>
      <w:r w:rsidR="001A7638" w:rsidRPr="00554FAF">
        <w:rPr>
          <w:rFonts w:ascii="Times New Roman" w:hAnsi="Times New Roman" w:cs="Times New Roman"/>
          <w:sz w:val="24"/>
          <w:szCs w:val="24"/>
        </w:rPr>
        <w:t xml:space="preserve">, </w:t>
      </w:r>
      <w:r w:rsidRPr="00554FAF">
        <w:rPr>
          <w:rFonts w:ascii="Times New Roman" w:hAnsi="Times New Roman" w:cs="Times New Roman"/>
          <w:sz w:val="24"/>
          <w:szCs w:val="24"/>
        </w:rPr>
        <w:t>për të zvogëluar deficitin tregtar për produktet e ndërtimit dhe për të rritur potencialin e tyre për eksport në përputhje me markën CE dhe rregulloren e produkteve të ndërtimit të BE-së. RPN-ja do të adresojë vlerën e performancës së të paktën 4 grupeve të produkteve të ndërtimit. Bizneset më konkurruese sigurojnë një mjedis më të mirë për rritjen e punësimit dhe kështu sigurojnë bazën për një zhvillim të qëndrueshëm. Sipas KIESA-s</w:t>
      </w:r>
      <w:r w:rsidR="001A7638" w:rsidRPr="00554FAF">
        <w:rPr>
          <w:rFonts w:ascii="Times New Roman" w:hAnsi="Times New Roman" w:cs="Times New Roman"/>
          <w:sz w:val="24"/>
          <w:szCs w:val="24"/>
        </w:rPr>
        <w:t>ë</w:t>
      </w:r>
      <w:r w:rsidRPr="00554FAF">
        <w:rPr>
          <w:rFonts w:ascii="Times New Roman" w:hAnsi="Times New Roman" w:cs="Times New Roman"/>
          <w:sz w:val="24"/>
          <w:szCs w:val="24"/>
        </w:rPr>
        <w:t xml:space="preserve">, në vitin 2019 agjencia ka mbështetur 4 prodhues në certifikimin e produkteve të ndërtimit. Në vitin 2020 pritet të certifikojë 10-15 prodhues të tjerë. </w:t>
      </w:r>
    </w:p>
    <w:p w14:paraId="1DDC2AB9" w14:textId="56C54FC8" w:rsidR="00DB221D" w:rsidRPr="00554FAF" w:rsidRDefault="000702CB"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b/>
          <w:bCs/>
          <w:sz w:val="24"/>
          <w:szCs w:val="24"/>
        </w:rPr>
        <w:t xml:space="preserve">4. Vlerësimi i kostos së aktiviteteve dhe </w:t>
      </w:r>
      <w:r w:rsidRPr="00554FAF">
        <w:rPr>
          <w:rFonts w:ascii="Times New Roman" w:hAnsi="Times New Roman" w:cs="Times New Roman"/>
          <w:b/>
          <w:sz w:val="24"/>
          <w:szCs w:val="24"/>
        </w:rPr>
        <w:t xml:space="preserve">burimet e financimit: </w:t>
      </w:r>
      <w:r w:rsidRPr="00554FAF">
        <w:rPr>
          <w:rFonts w:ascii="Times New Roman" w:hAnsi="Times New Roman" w:cs="Times New Roman"/>
          <w:sz w:val="24"/>
          <w:szCs w:val="24"/>
        </w:rPr>
        <w:t xml:space="preserve">Kostoja totale për zbatimin e masës për dy vitet e ardhshme (2020-2021) është 549,000 </w:t>
      </w:r>
      <w:r w:rsidR="001A7638" w:rsidRPr="00554FAF">
        <w:rPr>
          <w:rFonts w:ascii="Times New Roman" w:hAnsi="Times New Roman" w:cs="Times New Roman"/>
          <w:sz w:val="24"/>
          <w:szCs w:val="24"/>
        </w:rPr>
        <w:t>e</w:t>
      </w:r>
      <w:r w:rsidRPr="00554FAF">
        <w:rPr>
          <w:rFonts w:ascii="Times New Roman" w:hAnsi="Times New Roman" w:cs="Times New Roman"/>
          <w:sz w:val="24"/>
          <w:szCs w:val="24"/>
        </w:rPr>
        <w:t xml:space="preserve">uro përkatësisht 424,000 </w:t>
      </w:r>
      <w:r w:rsidR="001A7638" w:rsidRPr="00554FAF">
        <w:rPr>
          <w:rFonts w:ascii="Times New Roman" w:hAnsi="Times New Roman" w:cs="Times New Roman"/>
          <w:sz w:val="24"/>
          <w:szCs w:val="24"/>
        </w:rPr>
        <w:t>e</w:t>
      </w:r>
      <w:r w:rsidRPr="00554FAF">
        <w:rPr>
          <w:rFonts w:ascii="Times New Roman" w:hAnsi="Times New Roman" w:cs="Times New Roman"/>
          <w:sz w:val="24"/>
          <w:szCs w:val="24"/>
        </w:rPr>
        <w:t xml:space="preserve">uro për vitin 2020 dhe 125,000 </w:t>
      </w:r>
      <w:r w:rsidR="001A7638" w:rsidRPr="00554FAF">
        <w:rPr>
          <w:rFonts w:ascii="Times New Roman" w:hAnsi="Times New Roman" w:cs="Times New Roman"/>
          <w:sz w:val="24"/>
          <w:szCs w:val="24"/>
        </w:rPr>
        <w:t>e</w:t>
      </w:r>
      <w:r w:rsidRPr="00554FAF">
        <w:rPr>
          <w:rFonts w:ascii="Times New Roman" w:hAnsi="Times New Roman" w:cs="Times New Roman"/>
          <w:sz w:val="24"/>
          <w:szCs w:val="24"/>
        </w:rPr>
        <w:t xml:space="preserve">uro për vitin 2021. </w:t>
      </w:r>
      <w:r w:rsidR="00DB221D" w:rsidRPr="00554FAF">
        <w:rPr>
          <w:rFonts w:ascii="Times New Roman" w:hAnsi="Times New Roman" w:cs="Times New Roman"/>
          <w:sz w:val="24"/>
          <w:szCs w:val="24"/>
        </w:rPr>
        <w:t xml:space="preserve">Një pjesë e rëndësishme e buxhetit për vitin 2020 planifikohet për themelimin e laboratorit dhe akreditimin e dy laboratorëve testuese/kalibruese në KMA. Gjatë vitit 2021, akreditimi i dy laboratorëve testuese dhe kalibruese në KM pritet të krijohen përmes kredisë nga Banka Botërore me një shumë prej 60,000 eurove. </w:t>
      </w:r>
    </w:p>
    <w:p w14:paraId="46A0197A" w14:textId="46F5346D" w:rsidR="000702CB" w:rsidRPr="00554FAF" w:rsidRDefault="000702CB" w:rsidP="000702CB">
      <w:pPr>
        <w:spacing w:after="60" w:line="240" w:lineRule="auto"/>
        <w:jc w:val="both"/>
        <w:rPr>
          <w:rFonts w:ascii="Times New Roman" w:hAnsi="Times New Roman" w:cs="Times New Roman"/>
          <w:b/>
          <w:sz w:val="24"/>
          <w:szCs w:val="24"/>
        </w:rPr>
      </w:pPr>
      <w:r w:rsidRPr="00554FAF">
        <w:rPr>
          <w:rFonts w:ascii="Times New Roman" w:hAnsi="Times New Roman" w:cs="Times New Roman"/>
          <w:sz w:val="24"/>
          <w:szCs w:val="24"/>
        </w:rPr>
        <w:t xml:space="preserve">Nga këto fonde 232,000 </w:t>
      </w:r>
      <w:r w:rsidR="001A7638" w:rsidRPr="00554FAF">
        <w:rPr>
          <w:rFonts w:ascii="Times New Roman" w:hAnsi="Times New Roman" w:cs="Times New Roman"/>
          <w:sz w:val="24"/>
          <w:szCs w:val="24"/>
        </w:rPr>
        <w:t>e</w:t>
      </w:r>
      <w:r w:rsidRPr="00554FAF">
        <w:rPr>
          <w:rFonts w:ascii="Times New Roman" w:hAnsi="Times New Roman" w:cs="Times New Roman"/>
          <w:sz w:val="24"/>
          <w:szCs w:val="24"/>
        </w:rPr>
        <w:t xml:space="preserve">uro sigurohen nga buxheti qendror, 257,000 </w:t>
      </w:r>
      <w:r w:rsidR="001A7638" w:rsidRPr="00554FAF">
        <w:rPr>
          <w:rFonts w:ascii="Times New Roman" w:hAnsi="Times New Roman" w:cs="Times New Roman"/>
          <w:sz w:val="24"/>
          <w:szCs w:val="24"/>
        </w:rPr>
        <w:t>e</w:t>
      </w:r>
      <w:r w:rsidRPr="00554FAF">
        <w:rPr>
          <w:rFonts w:ascii="Times New Roman" w:hAnsi="Times New Roman" w:cs="Times New Roman"/>
          <w:sz w:val="24"/>
          <w:szCs w:val="24"/>
        </w:rPr>
        <w:t xml:space="preserve">uro nga Projekti FMG i financuar nga BE-ja dhe 60,000 </w:t>
      </w:r>
      <w:r w:rsidR="001A7638" w:rsidRPr="00554FAF">
        <w:rPr>
          <w:rFonts w:ascii="Times New Roman" w:hAnsi="Times New Roman" w:cs="Times New Roman"/>
          <w:sz w:val="24"/>
          <w:szCs w:val="24"/>
        </w:rPr>
        <w:t>e</w:t>
      </w:r>
      <w:r w:rsidRPr="00554FAF">
        <w:rPr>
          <w:rFonts w:ascii="Times New Roman" w:hAnsi="Times New Roman" w:cs="Times New Roman"/>
          <w:sz w:val="24"/>
          <w:szCs w:val="24"/>
        </w:rPr>
        <w:t xml:space="preserve">uro nga </w:t>
      </w:r>
      <w:r w:rsidR="001A7638" w:rsidRPr="00554FAF">
        <w:rPr>
          <w:rFonts w:ascii="Times New Roman" w:hAnsi="Times New Roman" w:cs="Times New Roman"/>
          <w:sz w:val="24"/>
          <w:szCs w:val="24"/>
        </w:rPr>
        <w:t>k</w:t>
      </w:r>
      <w:r w:rsidRPr="00554FAF">
        <w:rPr>
          <w:rFonts w:ascii="Times New Roman" w:hAnsi="Times New Roman" w:cs="Times New Roman"/>
          <w:sz w:val="24"/>
          <w:szCs w:val="24"/>
        </w:rPr>
        <w:t xml:space="preserve">redia e Bankës Botërore.  </w:t>
      </w:r>
    </w:p>
    <w:p w14:paraId="06FE3A3C" w14:textId="54FA3195" w:rsidR="000702CB" w:rsidRPr="00554FAF" w:rsidRDefault="000702CB"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b/>
          <w:bCs/>
          <w:sz w:val="24"/>
          <w:szCs w:val="24"/>
        </w:rPr>
        <w:t xml:space="preserve">5. Ndikimet e pritshme mbi rezultatet sociale, të tilla si punësimi, reduktimi i varfërisë, barazia gjinore: </w:t>
      </w:r>
      <w:r w:rsidRPr="00554FAF">
        <w:rPr>
          <w:rFonts w:ascii="Times New Roman" w:hAnsi="Times New Roman" w:cs="Times New Roman"/>
          <w:sz w:val="24"/>
          <w:szCs w:val="24"/>
        </w:rPr>
        <w:t>Zhvillimi i mëtutjeshëm i sistemit rregullator për produktet e ndërtimit pritet të ketë një ndikim më të gjerë në shoqëri përmes promovimit të investimeve të sektorit privat, hapjes së vendeve të reja të punës si dhe inkurajimit të bizneseve për të aplikuar standarde për të përmirësuar proceset e prodhimit dhe për të rritur cilësinë dhe sigurinë e produkteve dhe shërbimeve t</w:t>
      </w:r>
      <w:r w:rsidR="001A7638" w:rsidRPr="00554FAF">
        <w:rPr>
          <w:rFonts w:ascii="Times New Roman" w:hAnsi="Times New Roman" w:cs="Times New Roman"/>
          <w:sz w:val="24"/>
          <w:szCs w:val="24"/>
        </w:rPr>
        <w:t>ë</w:t>
      </w:r>
      <w:r w:rsidRPr="00554FAF">
        <w:rPr>
          <w:rFonts w:ascii="Times New Roman" w:hAnsi="Times New Roman" w:cs="Times New Roman"/>
          <w:sz w:val="24"/>
          <w:szCs w:val="24"/>
        </w:rPr>
        <w:t xml:space="preserve"> vëna në dispozicion në tregun e brendshëm. </w:t>
      </w:r>
      <w:r w:rsidR="001A7638" w:rsidRPr="00554FAF">
        <w:rPr>
          <w:rFonts w:ascii="Times New Roman" w:hAnsi="Times New Roman" w:cs="Times New Roman"/>
          <w:sz w:val="24"/>
          <w:szCs w:val="24"/>
        </w:rPr>
        <w:t xml:space="preserve">Gjithashtu, masa </w:t>
      </w:r>
      <w:r w:rsidRPr="00554FAF">
        <w:rPr>
          <w:rFonts w:ascii="Times New Roman" w:hAnsi="Times New Roman" w:cs="Times New Roman"/>
          <w:sz w:val="24"/>
          <w:szCs w:val="24"/>
        </w:rPr>
        <w:t xml:space="preserve">pritet të ketë një ndikim edhe më të madh në shoqëri duke promovuar investime të sektorit privat, krijimin e vendeve të punës dhe duke inkurajuar bizneset të zbatojnë standarde për të arritur sigurinë dhe vlerat e performancës së produkteve të ndërtimit dhe cilësinë dhe sigurinë e shërbimeve. </w:t>
      </w:r>
    </w:p>
    <w:p w14:paraId="620CCC43" w14:textId="2C985587" w:rsidR="000702CB" w:rsidRPr="00554FAF" w:rsidRDefault="000702CB" w:rsidP="000702CB">
      <w:pPr>
        <w:pStyle w:val="Default"/>
        <w:spacing w:after="60"/>
        <w:rPr>
          <w:lang w:val="sq-AL"/>
        </w:rPr>
      </w:pPr>
      <w:r w:rsidRPr="00554FAF">
        <w:rPr>
          <w:b/>
          <w:bCs/>
          <w:lang w:val="sq-AL"/>
        </w:rPr>
        <w:t xml:space="preserve">6. Ndikimi i pritshëm në mjedis: </w:t>
      </w:r>
      <w:r w:rsidRPr="00554FAF">
        <w:rPr>
          <w:lang w:val="sq-AL"/>
        </w:rPr>
        <w:t xml:space="preserve">Nuk pritet </w:t>
      </w:r>
      <w:r w:rsidR="001A7638" w:rsidRPr="00554FAF">
        <w:rPr>
          <w:lang w:val="sq-AL"/>
        </w:rPr>
        <w:t>të ketë</w:t>
      </w:r>
      <w:r w:rsidRPr="00554FAF">
        <w:rPr>
          <w:lang w:val="sq-AL"/>
        </w:rPr>
        <w:t xml:space="preserve"> efekte negative n</w:t>
      </w:r>
      <w:r w:rsidR="001A7638" w:rsidRPr="00554FAF">
        <w:rPr>
          <w:lang w:val="sq-AL"/>
        </w:rPr>
        <w:t>ë</w:t>
      </w:r>
      <w:r w:rsidRPr="00554FAF">
        <w:rPr>
          <w:lang w:val="sq-AL"/>
        </w:rPr>
        <w:t xml:space="preserve"> mjedis.</w:t>
      </w:r>
    </w:p>
    <w:p w14:paraId="20051696" w14:textId="77777777" w:rsidR="000702CB" w:rsidRPr="00554FAF" w:rsidRDefault="000702CB" w:rsidP="000702CB">
      <w:pPr>
        <w:spacing w:after="60" w:line="240" w:lineRule="auto"/>
        <w:jc w:val="both"/>
        <w:rPr>
          <w:rFonts w:ascii="Times New Roman" w:hAnsi="Times New Roman" w:cs="Times New Roman"/>
          <w:bCs/>
          <w:iCs/>
          <w:sz w:val="24"/>
          <w:szCs w:val="24"/>
        </w:rPr>
      </w:pPr>
    </w:p>
    <w:tbl>
      <w:tblPr>
        <w:tblpPr w:leftFromText="180" w:rightFromText="180" w:vertAnchor="text" w:horzAnchor="margin" w:tblpY="584"/>
        <w:tblOverlap w:val="neve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5"/>
        <w:gridCol w:w="1800"/>
        <w:gridCol w:w="2340"/>
      </w:tblGrid>
      <w:tr w:rsidR="000702CB" w:rsidRPr="00554FAF" w14:paraId="0AD5EC7E" w14:textId="77777777" w:rsidTr="003A7429">
        <w:trPr>
          <w:trHeight w:val="351"/>
        </w:trPr>
        <w:tc>
          <w:tcPr>
            <w:tcW w:w="5215" w:type="dxa"/>
            <w:shd w:val="clear" w:color="auto" w:fill="auto"/>
          </w:tcPr>
          <w:p w14:paraId="7E402FB6" w14:textId="77777777" w:rsidR="000702CB" w:rsidRPr="00554FAF" w:rsidRDefault="000702CB" w:rsidP="000702CB">
            <w:pPr>
              <w:pStyle w:val="Default"/>
              <w:spacing w:after="60"/>
              <w:jc w:val="both"/>
              <w:rPr>
                <w:lang w:val="sq-AL"/>
              </w:rPr>
            </w:pPr>
            <w:r w:rsidRPr="00554FAF">
              <w:rPr>
                <w:b/>
                <w:bCs/>
                <w:lang w:val="sq-AL"/>
              </w:rPr>
              <w:t xml:space="preserve">Rreziku </w:t>
            </w:r>
          </w:p>
          <w:p w14:paraId="7F73544C" w14:textId="77777777" w:rsidR="000702CB" w:rsidRPr="00554FAF" w:rsidRDefault="000702CB" w:rsidP="000702CB">
            <w:pPr>
              <w:pStyle w:val="Default"/>
              <w:spacing w:after="60"/>
              <w:jc w:val="both"/>
              <w:rPr>
                <w:lang w:val="sq-AL"/>
              </w:rPr>
            </w:pPr>
          </w:p>
        </w:tc>
        <w:tc>
          <w:tcPr>
            <w:tcW w:w="1800" w:type="dxa"/>
            <w:shd w:val="clear" w:color="auto" w:fill="auto"/>
          </w:tcPr>
          <w:p w14:paraId="0675D921" w14:textId="77777777" w:rsidR="000702CB" w:rsidRPr="00554FAF" w:rsidRDefault="000702CB" w:rsidP="000702CB">
            <w:pPr>
              <w:pStyle w:val="Default"/>
              <w:spacing w:after="60"/>
              <w:ind w:right="-122"/>
              <w:rPr>
                <w:lang w:val="sq-AL"/>
              </w:rPr>
            </w:pPr>
            <w:r w:rsidRPr="00554FAF">
              <w:rPr>
                <w:b/>
                <w:bCs/>
                <w:lang w:val="sq-AL"/>
              </w:rPr>
              <w:t xml:space="preserve">Probabiliteti (i ulët ose i lartë) </w:t>
            </w:r>
          </w:p>
        </w:tc>
        <w:tc>
          <w:tcPr>
            <w:tcW w:w="2340" w:type="dxa"/>
            <w:shd w:val="clear" w:color="auto" w:fill="auto"/>
          </w:tcPr>
          <w:p w14:paraId="721781A8" w14:textId="77777777" w:rsidR="000702CB" w:rsidRPr="00554FAF" w:rsidRDefault="000702CB" w:rsidP="000702CB">
            <w:pPr>
              <w:pStyle w:val="Default"/>
              <w:spacing w:after="60"/>
              <w:rPr>
                <w:lang w:val="sq-AL"/>
              </w:rPr>
            </w:pPr>
            <w:r w:rsidRPr="00554FAF">
              <w:rPr>
                <w:b/>
                <w:bCs/>
                <w:lang w:val="sq-AL"/>
              </w:rPr>
              <w:t xml:space="preserve">Veprimi lehtësues i planifikuar </w:t>
            </w:r>
          </w:p>
        </w:tc>
      </w:tr>
      <w:tr w:rsidR="000702CB" w:rsidRPr="00554FAF" w14:paraId="5BDB7098" w14:textId="77777777" w:rsidTr="003A7429">
        <w:trPr>
          <w:trHeight w:val="606"/>
        </w:trPr>
        <w:tc>
          <w:tcPr>
            <w:tcW w:w="5215" w:type="dxa"/>
          </w:tcPr>
          <w:p w14:paraId="4BDE44F6" w14:textId="77777777" w:rsidR="000702CB" w:rsidRPr="00554FAF" w:rsidRDefault="000702CB" w:rsidP="000702CB">
            <w:pPr>
              <w:pStyle w:val="Default"/>
              <w:spacing w:after="60"/>
              <w:jc w:val="both"/>
              <w:rPr>
                <w:lang w:val="sq-AL"/>
              </w:rPr>
            </w:pPr>
            <w:r w:rsidRPr="00554FAF">
              <w:rPr>
                <w:lang w:val="sq-AL"/>
              </w:rPr>
              <w:t>1. Vonesat në miratimin e legjislacionit si dhe mungesa e kapaciteteve teknike profesionale</w:t>
            </w:r>
            <w:r w:rsidRPr="00554FAF" w:rsidDel="00AD19C6">
              <w:rPr>
                <w:lang w:val="sq-AL"/>
              </w:rPr>
              <w:t xml:space="preserve"> </w:t>
            </w:r>
          </w:p>
        </w:tc>
        <w:tc>
          <w:tcPr>
            <w:tcW w:w="1800" w:type="dxa"/>
          </w:tcPr>
          <w:p w14:paraId="29086B22" w14:textId="77777777" w:rsidR="000702CB" w:rsidRPr="00554FAF" w:rsidRDefault="000702CB" w:rsidP="000702CB">
            <w:pPr>
              <w:pStyle w:val="Default"/>
              <w:spacing w:after="60"/>
              <w:jc w:val="both"/>
              <w:rPr>
                <w:lang w:val="sq-AL"/>
              </w:rPr>
            </w:pPr>
            <w:r w:rsidRPr="00554FAF">
              <w:rPr>
                <w:lang w:val="sq-AL"/>
              </w:rPr>
              <w:t>I mesëm</w:t>
            </w:r>
          </w:p>
        </w:tc>
        <w:tc>
          <w:tcPr>
            <w:tcW w:w="2340" w:type="dxa"/>
          </w:tcPr>
          <w:p w14:paraId="4302C20E" w14:textId="77777777" w:rsidR="000702CB" w:rsidRPr="00554FAF" w:rsidRDefault="000702CB" w:rsidP="000702CB">
            <w:pPr>
              <w:pStyle w:val="Default"/>
              <w:spacing w:after="60"/>
              <w:jc w:val="both"/>
              <w:rPr>
                <w:lang w:val="sq-AL"/>
              </w:rPr>
            </w:pPr>
            <w:r w:rsidRPr="00554FAF">
              <w:rPr>
                <w:lang w:val="sq-AL"/>
              </w:rPr>
              <w:t>Rritja e kapaciteteve njerëzore</w:t>
            </w:r>
          </w:p>
        </w:tc>
      </w:tr>
      <w:tr w:rsidR="000702CB" w:rsidRPr="00554FAF" w14:paraId="7834D057" w14:textId="77777777" w:rsidTr="003A7429">
        <w:trPr>
          <w:trHeight w:val="606"/>
        </w:trPr>
        <w:tc>
          <w:tcPr>
            <w:tcW w:w="5215" w:type="dxa"/>
          </w:tcPr>
          <w:p w14:paraId="0C7B6B70" w14:textId="3E3C0133" w:rsidR="000702CB" w:rsidRPr="00554FAF" w:rsidRDefault="000702CB" w:rsidP="0068349C">
            <w:pPr>
              <w:pStyle w:val="Default"/>
              <w:spacing w:after="60"/>
              <w:jc w:val="both"/>
              <w:rPr>
                <w:lang w:val="sq-AL"/>
              </w:rPr>
            </w:pPr>
            <w:r w:rsidRPr="00554FAF">
              <w:rPr>
                <w:lang w:val="sq-AL"/>
              </w:rPr>
              <w:t>2. Vonesat n</w:t>
            </w:r>
            <w:r w:rsidR="001A7638" w:rsidRPr="00554FAF">
              <w:rPr>
                <w:lang w:val="sq-AL"/>
              </w:rPr>
              <w:t>ë</w:t>
            </w:r>
            <w:r w:rsidRPr="00554FAF">
              <w:rPr>
                <w:lang w:val="sq-AL"/>
              </w:rPr>
              <w:t xml:space="preserve"> akreditimin dhe emërimin e TVK-ve sipas Ligjit t</w:t>
            </w:r>
            <w:r w:rsidR="001A7638" w:rsidRPr="00554FAF">
              <w:rPr>
                <w:lang w:val="sq-AL"/>
              </w:rPr>
              <w:t>ë</w:t>
            </w:r>
            <w:r w:rsidRPr="00554FAF">
              <w:rPr>
                <w:lang w:val="sq-AL"/>
              </w:rPr>
              <w:t xml:space="preserve"> </w:t>
            </w:r>
            <w:r w:rsidR="001A7638" w:rsidRPr="00554FAF">
              <w:rPr>
                <w:lang w:val="sq-AL"/>
              </w:rPr>
              <w:t>p</w:t>
            </w:r>
            <w:r w:rsidRPr="00554FAF">
              <w:rPr>
                <w:lang w:val="sq-AL"/>
              </w:rPr>
              <w:t>rodukteve t</w:t>
            </w:r>
            <w:r w:rsidR="001A7638" w:rsidRPr="00554FAF">
              <w:rPr>
                <w:lang w:val="sq-AL"/>
              </w:rPr>
              <w:t>ë</w:t>
            </w:r>
            <w:r w:rsidRPr="00554FAF">
              <w:rPr>
                <w:lang w:val="sq-AL"/>
              </w:rPr>
              <w:t xml:space="preserve"> </w:t>
            </w:r>
            <w:r w:rsidR="001A7638" w:rsidRPr="00554FAF">
              <w:rPr>
                <w:lang w:val="sq-AL"/>
              </w:rPr>
              <w:t>n</w:t>
            </w:r>
            <w:r w:rsidRPr="00554FAF">
              <w:rPr>
                <w:lang w:val="sq-AL"/>
              </w:rPr>
              <w:t>dërtimit.</w:t>
            </w:r>
          </w:p>
        </w:tc>
        <w:tc>
          <w:tcPr>
            <w:tcW w:w="1800" w:type="dxa"/>
          </w:tcPr>
          <w:p w14:paraId="75D55098" w14:textId="77777777" w:rsidR="000702CB" w:rsidRPr="00554FAF" w:rsidRDefault="000702CB" w:rsidP="000702CB">
            <w:pPr>
              <w:pStyle w:val="Default"/>
              <w:spacing w:after="60"/>
              <w:jc w:val="both"/>
              <w:rPr>
                <w:lang w:val="sq-AL"/>
              </w:rPr>
            </w:pPr>
            <w:r w:rsidRPr="00554FAF">
              <w:rPr>
                <w:lang w:val="sq-AL"/>
              </w:rPr>
              <w:t>I ulet</w:t>
            </w:r>
          </w:p>
        </w:tc>
        <w:tc>
          <w:tcPr>
            <w:tcW w:w="2340" w:type="dxa"/>
          </w:tcPr>
          <w:p w14:paraId="1381DE2B" w14:textId="77777777" w:rsidR="000702CB" w:rsidRPr="00554FAF" w:rsidRDefault="000702CB" w:rsidP="000702CB">
            <w:pPr>
              <w:pStyle w:val="Default"/>
              <w:spacing w:after="60"/>
              <w:jc w:val="both"/>
              <w:rPr>
                <w:lang w:val="sq-AL"/>
              </w:rPr>
            </w:pPr>
            <w:r w:rsidRPr="00554FAF">
              <w:rPr>
                <w:lang w:val="sq-AL"/>
              </w:rPr>
              <w:t xml:space="preserve">Trajnime specifike për stafin e TVK-ve. </w:t>
            </w:r>
          </w:p>
        </w:tc>
      </w:tr>
    </w:tbl>
    <w:p w14:paraId="1D2986B4" w14:textId="77777777" w:rsidR="000702CB" w:rsidRPr="00554FAF" w:rsidRDefault="000702CB" w:rsidP="000702CB">
      <w:pPr>
        <w:spacing w:after="60" w:line="240" w:lineRule="auto"/>
        <w:rPr>
          <w:rFonts w:ascii="Times New Roman" w:hAnsi="Times New Roman" w:cs="Times New Roman"/>
          <w:sz w:val="24"/>
          <w:szCs w:val="24"/>
        </w:rPr>
      </w:pPr>
      <w:r w:rsidRPr="00554FAF">
        <w:rPr>
          <w:rFonts w:ascii="Times New Roman" w:hAnsi="Times New Roman" w:cs="Times New Roman"/>
          <w:b/>
          <w:bCs/>
          <w:color w:val="000000"/>
          <w:sz w:val="24"/>
          <w:szCs w:val="24"/>
        </w:rPr>
        <w:t>7. Rreziqet potenciale:</w:t>
      </w:r>
    </w:p>
    <w:p w14:paraId="5D216CD9" w14:textId="77777777" w:rsidR="000702CB" w:rsidRPr="00554FAF" w:rsidRDefault="000702CB" w:rsidP="000702CB">
      <w:pPr>
        <w:spacing w:after="60" w:line="240" w:lineRule="auto"/>
        <w:jc w:val="both"/>
        <w:rPr>
          <w:rFonts w:ascii="Times New Roman" w:hAnsi="Times New Roman" w:cs="Times New Roman"/>
          <w:bCs/>
          <w:sz w:val="24"/>
          <w:szCs w:val="24"/>
        </w:rPr>
      </w:pPr>
    </w:p>
    <w:p w14:paraId="65CE1074" w14:textId="4C52B3FE" w:rsidR="006114F2" w:rsidRPr="00FC648F" w:rsidRDefault="006114F2" w:rsidP="00085F16">
      <w:pPr>
        <w:pStyle w:val="ERPL3"/>
        <w:rPr>
          <w:lang w:val="sq-AL"/>
        </w:rPr>
      </w:pPr>
      <w:bookmarkStart w:id="208" w:name="_Toc25533247"/>
      <w:bookmarkStart w:id="209" w:name="_Toc25873753"/>
      <w:r w:rsidRPr="00FC648F">
        <w:rPr>
          <w:lang w:val="sq-AL"/>
        </w:rPr>
        <w:t>4.3.6.  Arsimi dhe shkathtësitë</w:t>
      </w:r>
      <w:bookmarkEnd w:id="207"/>
      <w:bookmarkEnd w:id="208"/>
      <w:bookmarkEnd w:id="209"/>
      <w:r w:rsidRPr="00FC648F">
        <w:rPr>
          <w:lang w:val="sq-AL"/>
        </w:rPr>
        <w:t xml:space="preserve"> </w:t>
      </w:r>
    </w:p>
    <w:p w14:paraId="717AFB0E" w14:textId="77777777" w:rsidR="001A7638" w:rsidRPr="00554FAF" w:rsidRDefault="001A7638" w:rsidP="000702CB">
      <w:pPr>
        <w:spacing w:after="60" w:line="240" w:lineRule="auto"/>
        <w:jc w:val="both"/>
        <w:rPr>
          <w:rFonts w:ascii="Times New Roman" w:hAnsi="Times New Roman" w:cs="Times New Roman"/>
          <w:b/>
          <w:sz w:val="24"/>
          <w:szCs w:val="24"/>
        </w:rPr>
      </w:pPr>
      <w:r w:rsidRPr="00554FAF">
        <w:rPr>
          <w:rFonts w:ascii="Times New Roman" w:hAnsi="Times New Roman" w:cs="Times New Roman"/>
          <w:b/>
          <w:sz w:val="24"/>
          <w:szCs w:val="24"/>
        </w:rPr>
        <w:t xml:space="preserve">a. </w:t>
      </w:r>
      <w:r w:rsidR="000702CB" w:rsidRPr="00554FAF">
        <w:rPr>
          <w:rFonts w:ascii="Times New Roman" w:hAnsi="Times New Roman" w:cs="Times New Roman"/>
          <w:b/>
          <w:sz w:val="24"/>
          <w:szCs w:val="24"/>
        </w:rPr>
        <w:t xml:space="preserve">Analiza e pengesave strukturore: </w:t>
      </w:r>
    </w:p>
    <w:p w14:paraId="6CD2C1B7" w14:textId="3F68B33A" w:rsidR="000702CB" w:rsidRPr="00554FAF" w:rsidRDefault="001A7638"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b/>
          <w:sz w:val="24"/>
          <w:szCs w:val="24"/>
        </w:rPr>
        <w:t xml:space="preserve">Gjendja aktuale: </w:t>
      </w:r>
      <w:r w:rsidR="000702CB" w:rsidRPr="00554FAF">
        <w:rPr>
          <w:rFonts w:ascii="Times New Roman" w:hAnsi="Times New Roman" w:cs="Times New Roman"/>
          <w:sz w:val="24"/>
          <w:szCs w:val="24"/>
        </w:rPr>
        <w:t xml:space="preserve">Zhvillimi i arsimit në Kosovë vazhdon të përballet  me sfida të shumta. Kështu, gjatë vitit 2018-2019, </w:t>
      </w:r>
      <w:r w:rsidR="000702CB" w:rsidRPr="00554FAF">
        <w:rPr>
          <w:rFonts w:ascii="Times New Roman" w:hAnsi="Times New Roman" w:cs="Times New Roman"/>
          <w:bCs/>
          <w:sz w:val="24"/>
          <w:szCs w:val="24"/>
        </w:rPr>
        <w:t>shkalla bruto e regjistrimit</w:t>
      </w:r>
      <w:r w:rsidR="000702CB" w:rsidRPr="00554FAF">
        <w:rPr>
          <w:rFonts w:ascii="Times New Roman" w:hAnsi="Times New Roman" w:cs="Times New Roman"/>
          <w:sz w:val="24"/>
          <w:szCs w:val="24"/>
        </w:rPr>
        <w:t xml:space="preserve"> (SHBR)  në nivelin e arsimit parashkollor (mosha 0 -&lt;5 vjeç) është 6.20%</w:t>
      </w:r>
      <w:r w:rsidRPr="00554FAF">
        <w:rPr>
          <w:rFonts w:ascii="Times New Roman" w:hAnsi="Times New Roman" w:cs="Times New Roman"/>
          <w:sz w:val="24"/>
          <w:szCs w:val="24"/>
        </w:rPr>
        <w:t>,</w:t>
      </w:r>
      <w:r w:rsidR="000702CB" w:rsidRPr="00554FAF">
        <w:rPr>
          <w:rFonts w:ascii="Times New Roman" w:hAnsi="Times New Roman" w:cs="Times New Roman"/>
          <w:sz w:val="24"/>
          <w:szCs w:val="24"/>
        </w:rPr>
        <w:t xml:space="preserve"> niveli i arsimit parashkollor dhe parafillor  (0&lt;6 vjeç) 20.00%</w:t>
      </w:r>
      <w:r w:rsidRPr="00554FAF">
        <w:rPr>
          <w:rFonts w:ascii="Times New Roman" w:hAnsi="Times New Roman" w:cs="Times New Roman"/>
          <w:sz w:val="24"/>
          <w:szCs w:val="24"/>
        </w:rPr>
        <w:t>,</w:t>
      </w:r>
      <w:r w:rsidR="000702CB" w:rsidRPr="00554FAF">
        <w:rPr>
          <w:rFonts w:ascii="Times New Roman" w:hAnsi="Times New Roman" w:cs="Times New Roman"/>
          <w:sz w:val="24"/>
          <w:szCs w:val="24"/>
        </w:rPr>
        <w:t xml:space="preserve"> për moshën 3&lt;6 vjeç është 37.50%</w:t>
      </w:r>
      <w:r w:rsidRPr="00554FAF">
        <w:rPr>
          <w:rFonts w:ascii="Times New Roman" w:hAnsi="Times New Roman" w:cs="Times New Roman"/>
          <w:sz w:val="24"/>
          <w:szCs w:val="24"/>
        </w:rPr>
        <w:t>,</w:t>
      </w:r>
      <w:r w:rsidR="000702CB" w:rsidRPr="00554FAF">
        <w:rPr>
          <w:rFonts w:ascii="Times New Roman" w:hAnsi="Times New Roman" w:cs="Times New Roman"/>
          <w:sz w:val="24"/>
          <w:szCs w:val="24"/>
        </w:rPr>
        <w:t xml:space="preserve"> për nivelin para fillor (5 vjeç) është 92.50%</w:t>
      </w:r>
      <w:r w:rsidRPr="00554FAF">
        <w:rPr>
          <w:rFonts w:ascii="Times New Roman" w:hAnsi="Times New Roman" w:cs="Times New Roman"/>
          <w:sz w:val="24"/>
          <w:szCs w:val="24"/>
        </w:rPr>
        <w:t>,</w:t>
      </w:r>
      <w:r w:rsidR="000702CB" w:rsidRPr="00554FAF">
        <w:rPr>
          <w:rFonts w:ascii="Times New Roman" w:hAnsi="Times New Roman" w:cs="Times New Roman"/>
          <w:sz w:val="24"/>
          <w:szCs w:val="24"/>
        </w:rPr>
        <w:t xml:space="preserve">  niveli i  arsimit fillor - 100.30%</w:t>
      </w:r>
      <w:r w:rsidRPr="00554FAF">
        <w:rPr>
          <w:rFonts w:ascii="Times New Roman" w:hAnsi="Times New Roman" w:cs="Times New Roman"/>
          <w:sz w:val="24"/>
          <w:szCs w:val="24"/>
        </w:rPr>
        <w:t>,</w:t>
      </w:r>
      <w:r w:rsidR="000702CB" w:rsidRPr="00554FAF">
        <w:rPr>
          <w:rFonts w:ascii="Times New Roman" w:hAnsi="Times New Roman" w:cs="Times New Roman"/>
          <w:sz w:val="24"/>
          <w:szCs w:val="24"/>
        </w:rPr>
        <w:t xml:space="preserve">  arsimi i ulët është 90.50%</w:t>
      </w:r>
      <w:r w:rsidRPr="00554FAF">
        <w:rPr>
          <w:rFonts w:ascii="Times New Roman" w:hAnsi="Times New Roman" w:cs="Times New Roman"/>
          <w:sz w:val="24"/>
          <w:szCs w:val="24"/>
        </w:rPr>
        <w:t xml:space="preserve"> </w:t>
      </w:r>
      <w:r w:rsidR="000702CB" w:rsidRPr="00554FAF">
        <w:rPr>
          <w:rFonts w:ascii="Times New Roman" w:hAnsi="Times New Roman" w:cs="Times New Roman"/>
          <w:sz w:val="24"/>
          <w:szCs w:val="24"/>
        </w:rPr>
        <w:t xml:space="preserve">dhe niveli i arsimit të mesëm të lartë është 86.80%. </w:t>
      </w:r>
      <w:r w:rsidR="000702CB" w:rsidRPr="00554FAF">
        <w:rPr>
          <w:rFonts w:ascii="Times New Roman" w:hAnsi="Times New Roman" w:cs="Times New Roman"/>
          <w:bCs/>
          <w:sz w:val="24"/>
          <w:szCs w:val="24"/>
        </w:rPr>
        <w:t xml:space="preserve">Përfshirja e nxënësve në </w:t>
      </w:r>
      <w:r w:rsidR="000702CB" w:rsidRPr="00554FAF">
        <w:rPr>
          <w:rFonts w:ascii="Times New Roman" w:hAnsi="Times New Roman" w:cs="Times New Roman"/>
          <w:sz w:val="24"/>
          <w:szCs w:val="24"/>
        </w:rPr>
        <w:t>arsimin e mesëm të lartë profesional</w:t>
      </w:r>
      <w:r w:rsidR="000702CB" w:rsidRPr="00554FAF">
        <w:rPr>
          <w:rFonts w:ascii="Times New Roman" w:hAnsi="Times New Roman" w:cs="Times New Roman"/>
          <w:bCs/>
          <w:sz w:val="24"/>
          <w:szCs w:val="24"/>
        </w:rPr>
        <w:t xml:space="preserve"> në vitin 2018-2019 është 52%</w:t>
      </w:r>
      <w:r w:rsidRPr="00554FAF">
        <w:rPr>
          <w:rFonts w:ascii="Times New Roman" w:hAnsi="Times New Roman" w:cs="Times New Roman"/>
          <w:bCs/>
          <w:sz w:val="24"/>
          <w:szCs w:val="24"/>
        </w:rPr>
        <w:t>,</w:t>
      </w:r>
      <w:r w:rsidR="000702CB" w:rsidRPr="00554FAF">
        <w:rPr>
          <w:rFonts w:ascii="Times New Roman" w:hAnsi="Times New Roman" w:cs="Times New Roman"/>
          <w:bCs/>
          <w:sz w:val="24"/>
          <w:szCs w:val="24"/>
        </w:rPr>
        <w:t xml:space="preserve"> ndërsa gjatë 2017-2018 ishte 52.1%. Sipas Bankës Botërore, varfëria luan rol në </w:t>
      </w:r>
      <w:r w:rsidR="00554FAF" w:rsidRPr="00554FAF">
        <w:rPr>
          <w:rFonts w:ascii="Times New Roman" w:hAnsi="Times New Roman" w:cs="Times New Roman"/>
          <w:bCs/>
          <w:sz w:val="24"/>
          <w:szCs w:val="24"/>
        </w:rPr>
        <w:t>mos regjistrimin</w:t>
      </w:r>
      <w:r w:rsidR="000702CB" w:rsidRPr="00554FAF">
        <w:rPr>
          <w:rFonts w:ascii="Times New Roman" w:hAnsi="Times New Roman" w:cs="Times New Roman"/>
          <w:bCs/>
          <w:sz w:val="24"/>
          <w:szCs w:val="24"/>
        </w:rPr>
        <w:t xml:space="preserve"> e fëmijëve, sidomos në familjet në varfëri ekstreme. </w:t>
      </w:r>
      <w:r w:rsidR="000702CB" w:rsidRPr="00554FAF">
        <w:rPr>
          <w:rFonts w:ascii="Times New Roman" w:hAnsi="Times New Roman" w:cs="Times New Roman"/>
          <w:sz w:val="24"/>
          <w:szCs w:val="24"/>
        </w:rPr>
        <w:t xml:space="preserve">Në </w:t>
      </w:r>
      <w:r w:rsidR="000702CB" w:rsidRPr="00554FAF">
        <w:rPr>
          <w:rFonts w:ascii="Times New Roman" w:hAnsi="Times New Roman" w:cs="Times New Roman"/>
          <w:bCs/>
          <w:sz w:val="24"/>
          <w:szCs w:val="24"/>
        </w:rPr>
        <w:t xml:space="preserve">arsimin </w:t>
      </w:r>
      <w:r w:rsidR="00554FAF" w:rsidRPr="00554FAF">
        <w:rPr>
          <w:rFonts w:ascii="Times New Roman" w:hAnsi="Times New Roman" w:cs="Times New Roman"/>
          <w:bCs/>
          <w:sz w:val="24"/>
          <w:szCs w:val="24"/>
        </w:rPr>
        <w:t>para universitar</w:t>
      </w:r>
      <w:r w:rsidR="000702CB" w:rsidRPr="00554FAF">
        <w:rPr>
          <w:rFonts w:ascii="Times New Roman" w:hAnsi="Times New Roman" w:cs="Times New Roman"/>
          <w:sz w:val="24"/>
          <w:szCs w:val="24"/>
        </w:rPr>
        <w:t xml:space="preserve">, në testin e maturës në afatin e qershorit 2018, kalueshmëria ka qenë 73.3%, ndërsa në afatin e gushtit 2018, kalueshmëria ishte 62.7%. Rezultati në testin e arritshmërisë të klasës së 9-të ka qenë 61%. </w:t>
      </w:r>
    </w:p>
    <w:p w14:paraId="6C5E6EEE" w14:textId="663F54CF" w:rsidR="000702CB" w:rsidRPr="00554FAF" w:rsidRDefault="000702CB"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sz w:val="24"/>
          <w:szCs w:val="24"/>
        </w:rPr>
        <w:t xml:space="preserve">Sa i përket arsimit parashkollor, autoritetet komunale nuk kanë të dhëna për numrin e kopshteve private dhe institucioneve parashkollore private dhe nuk kanë autoritet mbi to, sepse  MASHT i licencon ato. Ka edhe kopshte private që operojnë pa licencë dhe regjistrohen zyrtarisht si biznes. Në përgjithësi, kopshtet private kanë qasje të kufizuar ose aspak në zhvillim të vazhdueshëm profesional për mësimdhënësit e tyre të cilat janë të organizuara nga MASHT. </w:t>
      </w:r>
    </w:p>
    <w:p w14:paraId="7DD29E90" w14:textId="02C3F644" w:rsidR="000702CB" w:rsidRPr="00554FAF" w:rsidRDefault="000702CB"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sz w:val="24"/>
          <w:szCs w:val="24"/>
        </w:rPr>
        <w:t xml:space="preserve">Pas pjesëmarrjes së Kosovës në testin ndërkombëtar PISA në vitin 2015 për herë të parë (pozita e 69 nga 72 vende), në vitin 2018 është mbajtur faza finale ku pritet përmirësim i rezultatit krahasuar </w:t>
      </w:r>
      <w:r w:rsidR="00E77A63" w:rsidRPr="00554FAF">
        <w:rPr>
          <w:rFonts w:ascii="Times New Roman" w:hAnsi="Times New Roman" w:cs="Times New Roman"/>
          <w:sz w:val="24"/>
          <w:szCs w:val="24"/>
        </w:rPr>
        <w:t xml:space="preserve">me </w:t>
      </w:r>
      <w:r w:rsidRPr="00554FAF">
        <w:rPr>
          <w:rFonts w:ascii="Times New Roman" w:hAnsi="Times New Roman" w:cs="Times New Roman"/>
          <w:sz w:val="24"/>
          <w:szCs w:val="24"/>
        </w:rPr>
        <w:t>vitin 2015. Që nga viti 2012 e deri në vitin 2018, janë licencuar me licencë të karrierës 95% e mësimdhënësve të kualifikuar. Raporti nxënës-mësimdhënës</w:t>
      </w:r>
      <w:r w:rsidRPr="00554FAF">
        <w:rPr>
          <w:rFonts w:ascii="Times New Roman" w:hAnsi="Times New Roman" w:cs="Times New Roman"/>
          <w:bCs/>
          <w:sz w:val="24"/>
          <w:szCs w:val="24"/>
        </w:rPr>
        <w:t xml:space="preserve"> dallon sipas nivelit të shkollimit. Në nivelin parafillor/çerdhe për çdo 9.5 fëmijë  të regjistruar ka një mësimdhënës. Vetëm në nivelin e arsimit parafillor, për çdo mësimdhënës janë mbi 20.5 fëmijë. Ndërkaq, në nivelin e arsimit fillor dhe të mesëm të ulët, për çdo mësimdhënës janë afërsisht 14.3 nxënës. Në arsimin e mesëm të lartë, është një mësimdhënës për çdo 15.4 nxënës. Ndërkaq, sipas MASHT, në nivelin e arsimit fillor e të mesëm të ulët, </w:t>
      </w:r>
      <w:r w:rsidRPr="00554FAF">
        <w:rPr>
          <w:rFonts w:ascii="Times New Roman" w:hAnsi="Times New Roman" w:cs="Times New Roman"/>
          <w:sz w:val="24"/>
          <w:szCs w:val="24"/>
        </w:rPr>
        <w:t>madhësia mesatare e klasës</w:t>
      </w:r>
      <w:r w:rsidRPr="00554FAF">
        <w:rPr>
          <w:rFonts w:ascii="Times New Roman" w:hAnsi="Times New Roman" w:cs="Times New Roman"/>
          <w:bCs/>
          <w:sz w:val="24"/>
          <w:szCs w:val="24"/>
        </w:rPr>
        <w:t xml:space="preserve">, apo raporti nxënës për paralele, është 18.8 nxënës, ndërkaq për arsimin e nivelit të mesëm të lartë, ky raport është 25. </w:t>
      </w:r>
      <w:r w:rsidRPr="00554FAF">
        <w:rPr>
          <w:rFonts w:ascii="Times New Roman" w:hAnsi="Times New Roman" w:cs="Times New Roman"/>
          <w:sz w:val="24"/>
          <w:szCs w:val="24"/>
        </w:rPr>
        <w:t xml:space="preserve">Sipas të dhënave të MASHT, përqindja e nxënësve që </w:t>
      </w:r>
      <w:r w:rsidRPr="00554FAF">
        <w:rPr>
          <w:rFonts w:ascii="Times New Roman" w:hAnsi="Times New Roman" w:cs="Times New Roman"/>
          <w:bCs/>
          <w:sz w:val="24"/>
          <w:szCs w:val="24"/>
        </w:rPr>
        <w:t>braktisën</w:t>
      </w:r>
      <w:r w:rsidRPr="00554FAF">
        <w:rPr>
          <w:rFonts w:ascii="Times New Roman" w:hAnsi="Times New Roman" w:cs="Times New Roman"/>
          <w:sz w:val="24"/>
          <w:szCs w:val="24"/>
        </w:rPr>
        <w:t xml:space="preserve"> shkollën në nivelin e arsimit të mesëm të lartë ishte 1.8% (2.8% në mesin e meshkujve e 0.8% në mesin e femrave). </w:t>
      </w:r>
    </w:p>
    <w:p w14:paraId="1419EF21" w14:textId="32CB2DF3" w:rsidR="000702CB" w:rsidRPr="00554FAF" w:rsidRDefault="000702CB" w:rsidP="000702CB">
      <w:pPr>
        <w:spacing w:after="60" w:line="240" w:lineRule="auto"/>
        <w:jc w:val="both"/>
        <w:rPr>
          <w:rFonts w:ascii="Times New Roman" w:hAnsi="Times New Roman" w:cs="Times New Roman"/>
          <w:bCs/>
          <w:sz w:val="24"/>
          <w:szCs w:val="24"/>
        </w:rPr>
      </w:pPr>
      <w:r w:rsidRPr="00554FAF">
        <w:rPr>
          <w:rFonts w:ascii="Times New Roman" w:hAnsi="Times New Roman" w:cs="Times New Roman"/>
          <w:bCs/>
          <w:sz w:val="24"/>
          <w:szCs w:val="24"/>
        </w:rPr>
        <w:t xml:space="preserve">Në nivelin e </w:t>
      </w:r>
      <w:r w:rsidRPr="00554FAF">
        <w:rPr>
          <w:rFonts w:ascii="Times New Roman" w:hAnsi="Times New Roman" w:cs="Times New Roman"/>
          <w:sz w:val="24"/>
          <w:szCs w:val="24"/>
        </w:rPr>
        <w:t>arsimit të lartë publik</w:t>
      </w:r>
      <w:r w:rsidRPr="00554FAF">
        <w:rPr>
          <w:rFonts w:ascii="Times New Roman" w:hAnsi="Times New Roman" w:cs="Times New Roman"/>
          <w:bCs/>
          <w:sz w:val="24"/>
          <w:szCs w:val="24"/>
        </w:rPr>
        <w:t xml:space="preserve"> (universitetet publike), </w:t>
      </w:r>
      <w:r w:rsidRPr="00554FAF">
        <w:rPr>
          <w:rFonts w:ascii="Times New Roman" w:hAnsi="Times New Roman" w:cs="Times New Roman"/>
          <w:sz w:val="24"/>
          <w:szCs w:val="24"/>
        </w:rPr>
        <w:t>raporti mesatar mësimdhënës-student</w:t>
      </w:r>
      <w:r w:rsidRPr="00554FAF">
        <w:rPr>
          <w:rFonts w:ascii="Times New Roman" w:hAnsi="Times New Roman" w:cs="Times New Roman"/>
          <w:bCs/>
          <w:sz w:val="24"/>
          <w:szCs w:val="24"/>
        </w:rPr>
        <w:t xml:space="preserve"> (përgjatë gjithë institucioneve të arsimit të lartë publik dhe niveleve baçelor dhe master) është </w:t>
      </w:r>
      <w:r w:rsidRPr="00554FAF">
        <w:rPr>
          <w:rFonts w:ascii="Times New Roman" w:hAnsi="Times New Roman" w:cs="Times New Roman"/>
          <w:sz w:val="24"/>
          <w:szCs w:val="24"/>
        </w:rPr>
        <w:t>15 studentë për një profesor</w:t>
      </w:r>
      <w:r w:rsidRPr="00554FAF">
        <w:rPr>
          <w:rFonts w:ascii="Times New Roman" w:hAnsi="Times New Roman" w:cs="Times New Roman"/>
          <w:bCs/>
          <w:sz w:val="24"/>
          <w:szCs w:val="24"/>
        </w:rPr>
        <w:t xml:space="preserve"> (që përfshin</w:t>
      </w:r>
      <w:r w:rsidR="00E77A63" w:rsidRPr="00554FAF">
        <w:rPr>
          <w:rFonts w:ascii="Times New Roman" w:hAnsi="Times New Roman" w:cs="Times New Roman"/>
          <w:bCs/>
          <w:sz w:val="24"/>
          <w:szCs w:val="24"/>
        </w:rPr>
        <w:t>ë</w:t>
      </w:r>
      <w:r w:rsidRPr="00554FAF">
        <w:rPr>
          <w:rFonts w:ascii="Times New Roman" w:hAnsi="Times New Roman" w:cs="Times New Roman"/>
          <w:bCs/>
          <w:sz w:val="24"/>
          <w:szCs w:val="24"/>
        </w:rPr>
        <w:t xml:space="preserve"> edhe stafin administrativ akademik). Ndërkaq, raporti mesatar mësimdhënës-student (përgjatë gjithë institucioneve private të arsimit të lartë që përfshinë edhe ato private dhe niveleve baçelor dhe master) është mbi </w:t>
      </w:r>
      <w:r w:rsidRPr="00554FAF">
        <w:rPr>
          <w:rFonts w:ascii="Times New Roman" w:hAnsi="Times New Roman" w:cs="Times New Roman"/>
          <w:sz w:val="24"/>
          <w:szCs w:val="24"/>
        </w:rPr>
        <w:t>6 studentë për një profesor</w:t>
      </w:r>
      <w:r w:rsidRPr="00554FAF">
        <w:rPr>
          <w:rFonts w:ascii="Times New Roman" w:hAnsi="Times New Roman" w:cs="Times New Roman"/>
          <w:bCs/>
          <w:sz w:val="24"/>
          <w:szCs w:val="24"/>
        </w:rPr>
        <w:t xml:space="preserve"> (që përfshin</w:t>
      </w:r>
      <w:r w:rsidR="00E77A63" w:rsidRPr="00554FAF">
        <w:rPr>
          <w:rFonts w:ascii="Times New Roman" w:hAnsi="Times New Roman" w:cs="Times New Roman"/>
          <w:bCs/>
          <w:sz w:val="24"/>
          <w:szCs w:val="24"/>
        </w:rPr>
        <w:t>ë</w:t>
      </w:r>
      <w:r w:rsidRPr="00554FAF">
        <w:rPr>
          <w:rFonts w:ascii="Times New Roman" w:hAnsi="Times New Roman" w:cs="Times New Roman"/>
          <w:bCs/>
          <w:sz w:val="24"/>
          <w:szCs w:val="24"/>
        </w:rPr>
        <w:t xml:space="preserve"> edhe stafin administrativ</w:t>
      </w:r>
      <w:r w:rsidR="00E77A63" w:rsidRPr="00554FAF">
        <w:rPr>
          <w:rFonts w:ascii="Times New Roman" w:hAnsi="Times New Roman" w:cs="Times New Roman"/>
          <w:bCs/>
          <w:sz w:val="24"/>
          <w:szCs w:val="24"/>
        </w:rPr>
        <w:t xml:space="preserve"> dhe</w:t>
      </w:r>
      <w:r w:rsidRPr="00554FAF">
        <w:rPr>
          <w:rFonts w:ascii="Times New Roman" w:hAnsi="Times New Roman" w:cs="Times New Roman"/>
          <w:bCs/>
          <w:sz w:val="24"/>
          <w:szCs w:val="24"/>
        </w:rPr>
        <w:t xml:space="preserve"> akademik).</w:t>
      </w:r>
    </w:p>
    <w:p w14:paraId="41F77F5C" w14:textId="37E31ACB" w:rsidR="000702CB" w:rsidRPr="00554FAF" w:rsidRDefault="000702CB" w:rsidP="000702CB">
      <w:pPr>
        <w:pStyle w:val="NoSpacing"/>
        <w:spacing w:after="60"/>
        <w:jc w:val="both"/>
        <w:rPr>
          <w:rFonts w:ascii="Times New Roman" w:hAnsi="Times New Roman"/>
          <w:sz w:val="24"/>
          <w:szCs w:val="24"/>
          <w:lang w:val="sq-AL"/>
        </w:rPr>
      </w:pPr>
      <w:r w:rsidRPr="00554FAF">
        <w:rPr>
          <w:rFonts w:ascii="Times New Roman" w:hAnsi="Times New Roman"/>
          <w:sz w:val="24"/>
          <w:szCs w:val="24"/>
          <w:lang w:val="sq-AL"/>
        </w:rPr>
        <w:t xml:space="preserve">Arritja arsimore luan rol të rëndësishëm në perspektivën e punësimit. </w:t>
      </w:r>
      <w:r w:rsidRPr="00554FAF">
        <w:rPr>
          <w:rFonts w:ascii="Times New Roman" w:hAnsi="Times New Roman"/>
          <w:bCs/>
          <w:sz w:val="24"/>
          <w:szCs w:val="24"/>
          <w:lang w:val="sq-AL"/>
        </w:rPr>
        <w:t xml:space="preserve">Më 2018, shkalla e papunësisë në mesin e personave që ishin </w:t>
      </w:r>
      <w:r w:rsidRPr="00554FAF">
        <w:rPr>
          <w:rFonts w:ascii="Times New Roman" w:hAnsi="Times New Roman"/>
          <w:sz w:val="24"/>
          <w:szCs w:val="24"/>
          <w:lang w:val="sq-AL"/>
        </w:rPr>
        <w:t>pa shkollë</w:t>
      </w:r>
      <w:r w:rsidRPr="00554FAF">
        <w:rPr>
          <w:rFonts w:ascii="Times New Roman" w:hAnsi="Times New Roman"/>
          <w:bCs/>
          <w:sz w:val="24"/>
          <w:szCs w:val="24"/>
          <w:lang w:val="sq-AL"/>
        </w:rPr>
        <w:t xml:space="preserve"> ishte 57.8%; 39.8% të papunësuar në mesin e atyre me arsimin fillor dhe të mesëm të ulët</w:t>
      </w:r>
      <w:r w:rsidR="00E77A63" w:rsidRPr="00554FAF">
        <w:rPr>
          <w:rFonts w:ascii="Times New Roman" w:hAnsi="Times New Roman"/>
          <w:bCs/>
          <w:sz w:val="24"/>
          <w:szCs w:val="24"/>
          <w:lang w:val="sq-AL"/>
        </w:rPr>
        <w:t xml:space="preserve">, </w:t>
      </w:r>
      <w:r w:rsidRPr="00554FAF">
        <w:rPr>
          <w:rFonts w:ascii="Times New Roman" w:hAnsi="Times New Roman"/>
          <w:bCs/>
          <w:sz w:val="24"/>
          <w:szCs w:val="24"/>
          <w:lang w:val="sq-AL"/>
        </w:rPr>
        <w:t>28.9% me arsimin e mesëm</w:t>
      </w:r>
      <w:r w:rsidR="00E77A63" w:rsidRPr="00554FAF">
        <w:rPr>
          <w:rFonts w:ascii="Times New Roman" w:hAnsi="Times New Roman"/>
          <w:bCs/>
          <w:sz w:val="24"/>
          <w:szCs w:val="24"/>
          <w:lang w:val="sq-AL"/>
        </w:rPr>
        <w:t>,</w:t>
      </w:r>
      <w:r w:rsidRPr="00554FAF">
        <w:rPr>
          <w:rFonts w:ascii="Times New Roman" w:hAnsi="Times New Roman"/>
          <w:bCs/>
          <w:sz w:val="24"/>
          <w:szCs w:val="24"/>
          <w:lang w:val="sq-AL"/>
        </w:rPr>
        <w:t xml:space="preserve"> 32.5% të papunësuar në arsimin e mesëm profesional dhe 19.2% në mesin e atyre që kishin arsimin terciar. Sipas statistikave të ILO-së nga viti 2016, vetëm 11.6% e personave mbi moshën 25 vjeçe kishin të përfunduar arsimin terciar. Ndërkohë, </w:t>
      </w:r>
      <w:r w:rsidRPr="00554FAF">
        <w:rPr>
          <w:rFonts w:ascii="Times New Roman" w:hAnsi="Times New Roman"/>
          <w:sz w:val="24"/>
          <w:szCs w:val="24"/>
          <w:lang w:val="sq-AL"/>
        </w:rPr>
        <w:t>shpenzimet publike në arsim</w:t>
      </w:r>
      <w:r w:rsidRPr="00554FAF">
        <w:rPr>
          <w:rFonts w:ascii="Times New Roman" w:hAnsi="Times New Roman"/>
          <w:bCs/>
          <w:sz w:val="24"/>
          <w:szCs w:val="24"/>
          <w:lang w:val="sq-AL"/>
        </w:rPr>
        <w:t>, si përqindje e  BPV  janë 4.25%</w:t>
      </w:r>
      <w:r w:rsidRPr="00554FAF">
        <w:rPr>
          <w:rStyle w:val="FootnoteReference"/>
          <w:rFonts w:ascii="Times New Roman" w:hAnsi="Times New Roman"/>
          <w:bCs/>
          <w:sz w:val="24"/>
          <w:szCs w:val="24"/>
          <w:lang w:val="sq-AL"/>
        </w:rPr>
        <w:footnoteReference w:id="35"/>
      </w:r>
      <w:r w:rsidRPr="00554FAF">
        <w:rPr>
          <w:rFonts w:ascii="Times New Roman" w:hAnsi="Times New Roman"/>
          <w:bCs/>
          <w:sz w:val="24"/>
          <w:szCs w:val="24"/>
          <w:lang w:val="sq-AL"/>
        </w:rPr>
        <w:t xml:space="preserve">. Shpenzimet publike në arsimin parashkollor në vitin 2017 ishin në 0,1% të BPV-së.  Ndërkaq, sipas MASHT, </w:t>
      </w:r>
      <w:r w:rsidRPr="00554FAF">
        <w:rPr>
          <w:rFonts w:ascii="Times New Roman" w:hAnsi="Times New Roman"/>
          <w:sz w:val="24"/>
          <w:szCs w:val="24"/>
          <w:lang w:val="sq-AL"/>
        </w:rPr>
        <w:t>paga mesatare bruto</w:t>
      </w:r>
      <w:r w:rsidRPr="00554FAF">
        <w:rPr>
          <w:rFonts w:ascii="Times New Roman" w:hAnsi="Times New Roman"/>
          <w:bCs/>
          <w:sz w:val="24"/>
          <w:szCs w:val="24"/>
          <w:lang w:val="sq-AL"/>
        </w:rPr>
        <w:t xml:space="preserve"> (mujore) e mësimdhënësve përgjatë të gjitha niveleve </w:t>
      </w:r>
      <w:r w:rsidR="00554FAF" w:rsidRPr="00554FAF">
        <w:rPr>
          <w:rFonts w:ascii="Times New Roman" w:hAnsi="Times New Roman"/>
          <w:bCs/>
          <w:sz w:val="24"/>
          <w:szCs w:val="24"/>
          <w:lang w:val="sq-AL"/>
        </w:rPr>
        <w:t>para universitare</w:t>
      </w:r>
      <w:r w:rsidRPr="00554FAF">
        <w:rPr>
          <w:rFonts w:ascii="Times New Roman" w:hAnsi="Times New Roman"/>
          <w:bCs/>
          <w:sz w:val="24"/>
          <w:szCs w:val="24"/>
          <w:lang w:val="sq-AL"/>
        </w:rPr>
        <w:t xml:space="preserve"> është afërsisht 80% e pagës mesatare në Kosovë dhe 77% e pagës mesatare vetëm të sektorit publik. Mospërputhja e shkathtësive</w:t>
      </w:r>
      <w:r w:rsidRPr="00554FAF">
        <w:rPr>
          <w:rFonts w:ascii="Times New Roman" w:hAnsi="Times New Roman"/>
          <w:sz w:val="24"/>
          <w:szCs w:val="24"/>
          <w:lang w:val="sq-AL"/>
        </w:rPr>
        <w:t xml:space="preserve"> me nevojat e tregut të punës vazhdon të jetë pengesë kryesore. Përqindja e të rinjve në kategorinë </w:t>
      </w:r>
      <w:r w:rsidRPr="00554FAF">
        <w:rPr>
          <w:rFonts w:ascii="Times New Roman" w:hAnsi="Times New Roman"/>
          <w:bCs/>
          <w:sz w:val="24"/>
          <w:szCs w:val="24"/>
          <w:lang w:val="sq-AL"/>
        </w:rPr>
        <w:t>NEET</w:t>
      </w:r>
      <w:r w:rsidRPr="00554FAF">
        <w:rPr>
          <w:rFonts w:ascii="Times New Roman" w:hAnsi="Times New Roman"/>
          <w:sz w:val="24"/>
          <w:szCs w:val="24"/>
          <w:lang w:val="sq-AL"/>
        </w:rPr>
        <w:t xml:space="preserve"> u ngrit për 2.7 pikë të përqindjes, nga 27.4% sa ishte në vitin 2017 në 30.1% në vitin 2018. Shkalla e NEET në TM1 2019, ishte 29%. Gjatë vitit 2019, janë </w:t>
      </w:r>
      <w:r w:rsidRPr="00554FAF">
        <w:rPr>
          <w:rFonts w:ascii="Times New Roman" w:hAnsi="Times New Roman"/>
          <w:bCs/>
          <w:sz w:val="24"/>
          <w:szCs w:val="24"/>
          <w:lang w:val="sq-AL"/>
        </w:rPr>
        <w:t>trajnuar</w:t>
      </w:r>
      <w:r w:rsidRPr="00554FAF">
        <w:rPr>
          <w:rFonts w:ascii="Times New Roman" w:hAnsi="Times New Roman"/>
          <w:sz w:val="24"/>
          <w:szCs w:val="24"/>
          <w:lang w:val="sq-AL"/>
        </w:rPr>
        <w:t xml:space="preserve"> gjithsej 2,500 mësimdhënës për </w:t>
      </w:r>
      <w:r w:rsidRPr="00554FAF">
        <w:rPr>
          <w:rFonts w:ascii="Times New Roman" w:hAnsi="Times New Roman"/>
          <w:bCs/>
          <w:sz w:val="24"/>
          <w:szCs w:val="24"/>
          <w:lang w:val="sq-AL"/>
        </w:rPr>
        <w:t>kurrikulen</w:t>
      </w:r>
      <w:r w:rsidRPr="00554FAF">
        <w:rPr>
          <w:rFonts w:ascii="Times New Roman" w:hAnsi="Times New Roman"/>
          <w:sz w:val="24"/>
          <w:szCs w:val="24"/>
          <w:lang w:val="sq-AL"/>
        </w:rPr>
        <w:t xml:space="preserve"> e re (mësimdhënësit e trajnuar janë të nivelit parafillor, për klasën 1 dhe 6, si dhe për klasën e 10  - gjimnaze). Procesi i licencimit ka vazhduar edhe në 2019. Mbështetur në ligjin për inspektoratin e arsimit (06/L-046) ka filluar vlerësimi i performancës së mësimdhënësve. MASHT ka pilotuar dhe ka filluar m</w:t>
      </w:r>
      <w:bookmarkStart w:id="210" w:name="_Hlk20325747"/>
      <w:r w:rsidRPr="00554FAF">
        <w:rPr>
          <w:rFonts w:ascii="Times New Roman" w:hAnsi="Times New Roman"/>
          <w:sz w:val="24"/>
          <w:szCs w:val="24"/>
          <w:lang w:val="sq-AL"/>
        </w:rPr>
        <w:t>ë</w:t>
      </w:r>
      <w:bookmarkEnd w:id="210"/>
      <w:r w:rsidRPr="00554FAF">
        <w:rPr>
          <w:rFonts w:ascii="Times New Roman" w:hAnsi="Times New Roman"/>
          <w:sz w:val="24"/>
          <w:szCs w:val="24"/>
          <w:lang w:val="sq-AL"/>
        </w:rPr>
        <w:t>simin në vendin e punës, me ç’rast</w:t>
      </w:r>
      <w:r w:rsidRPr="00554FAF">
        <w:rPr>
          <w:rFonts w:ascii="Times New Roman" w:hAnsi="Times New Roman"/>
          <w:b/>
          <w:bCs/>
          <w:sz w:val="24"/>
          <w:szCs w:val="24"/>
          <w:lang w:val="sq-AL"/>
        </w:rPr>
        <w:t xml:space="preserve"> </w:t>
      </w:r>
      <w:r w:rsidRPr="00554FAF">
        <w:rPr>
          <w:rFonts w:ascii="Times New Roman" w:hAnsi="Times New Roman"/>
          <w:sz w:val="24"/>
          <w:szCs w:val="24"/>
          <w:lang w:val="sq-AL"/>
        </w:rPr>
        <w:t xml:space="preserve">është arritur që shkollat të nënshkruajnë rreth 30 marrëveshje me biznese. Po ashtu, ky sistem është rregulluar edhe me udhëzim administrativ dhe rregulloren për sigurinë e nxënësve gjatë praktikës profesionale. Janë hartuar programe trajnimi për instruktorët në shkollë dhe instruktorët në ndërmarrje si dhe </w:t>
      </w:r>
      <w:r w:rsidR="00E77A63" w:rsidRPr="00554FAF">
        <w:rPr>
          <w:rFonts w:ascii="Times New Roman" w:hAnsi="Times New Roman"/>
          <w:sz w:val="24"/>
          <w:szCs w:val="24"/>
          <w:lang w:val="sq-AL"/>
        </w:rPr>
        <w:t>t</w:t>
      </w:r>
      <w:r w:rsidRPr="00554FAF">
        <w:rPr>
          <w:rFonts w:ascii="Times New Roman" w:hAnsi="Times New Roman"/>
          <w:sz w:val="24"/>
          <w:szCs w:val="24"/>
          <w:lang w:val="sq-AL"/>
        </w:rPr>
        <w:t xml:space="preserve">rajner të </w:t>
      </w:r>
      <w:r w:rsidR="00E77A63" w:rsidRPr="00554FAF">
        <w:rPr>
          <w:rFonts w:ascii="Times New Roman" w:hAnsi="Times New Roman"/>
          <w:sz w:val="24"/>
          <w:szCs w:val="24"/>
          <w:lang w:val="sq-AL"/>
        </w:rPr>
        <w:t>t</w:t>
      </w:r>
      <w:r w:rsidRPr="00554FAF">
        <w:rPr>
          <w:rFonts w:ascii="Times New Roman" w:hAnsi="Times New Roman"/>
          <w:sz w:val="24"/>
          <w:szCs w:val="24"/>
          <w:lang w:val="sq-AL"/>
        </w:rPr>
        <w:t xml:space="preserve">rajnerëve dhe janë certifikuar deri në 100 persona nga shkollat dhe bizneset që të jenë në dispozicion të shkollave dhe nxënësve gjatë praktikës profesionale. Me qëllim të funksionalizimit të </w:t>
      </w:r>
      <w:r w:rsidRPr="00554FAF">
        <w:rPr>
          <w:rFonts w:ascii="Times New Roman" w:hAnsi="Times New Roman"/>
          <w:bCs/>
          <w:sz w:val="24"/>
          <w:szCs w:val="24"/>
          <w:lang w:val="sq-AL"/>
        </w:rPr>
        <w:t>Agjencisë së Kosovës për Akreditim</w:t>
      </w:r>
      <w:r w:rsidRPr="00554FAF">
        <w:rPr>
          <w:rFonts w:ascii="Times New Roman" w:hAnsi="Times New Roman"/>
          <w:sz w:val="24"/>
          <w:szCs w:val="24"/>
          <w:lang w:val="sq-AL"/>
        </w:rPr>
        <w:t xml:space="preserve"> dhe pavarësinë e plotë operacionale të saj, MASHT ka hartuar koncept dokumentin dhe në prill 2019 është themeluar grupi punues për hartimin e projektligjit për AKA. </w:t>
      </w:r>
      <w:r w:rsidRPr="00554FAF">
        <w:rPr>
          <w:rFonts w:ascii="Times New Roman" w:hAnsi="Times New Roman"/>
          <w:bCs/>
          <w:sz w:val="24"/>
          <w:szCs w:val="24"/>
          <w:lang w:val="sq-AL"/>
        </w:rPr>
        <w:t>Këshilli Shtetëror i Cilësisë</w:t>
      </w:r>
      <w:r w:rsidRPr="00554FAF">
        <w:rPr>
          <w:rFonts w:ascii="Times New Roman" w:hAnsi="Times New Roman"/>
          <w:sz w:val="24"/>
          <w:szCs w:val="24"/>
          <w:lang w:val="sq-AL"/>
        </w:rPr>
        <w:t xml:space="preserve"> ka miratuar standardet e reja ESG dhe të njëjtat janë aplikuar gjatë vitit 2019 për vlerësim për </w:t>
      </w:r>
      <w:r w:rsidRPr="00554FAF">
        <w:rPr>
          <w:rFonts w:ascii="Times New Roman" w:hAnsi="Times New Roman"/>
          <w:bCs/>
          <w:sz w:val="24"/>
          <w:szCs w:val="24"/>
          <w:lang w:val="sq-AL"/>
        </w:rPr>
        <w:t>akreditim/ri-akreditim institucional dhe atë të programeve</w:t>
      </w:r>
      <w:r w:rsidRPr="00554FAF">
        <w:rPr>
          <w:rFonts w:ascii="Times New Roman" w:hAnsi="Times New Roman"/>
          <w:sz w:val="24"/>
          <w:szCs w:val="24"/>
          <w:lang w:val="sq-AL"/>
        </w:rPr>
        <w:t xml:space="preserve">. Plani aktual Strategjik i Arsimit të Kosovës do të skadojë në fund të vitit 2021, ndërsa MASHT do të iniciojë hartimin e strategjisë së re më 2021. </w:t>
      </w:r>
    </w:p>
    <w:p w14:paraId="26B4DA63" w14:textId="2796D420" w:rsidR="00E77A63" w:rsidRPr="00554FAF" w:rsidRDefault="000702CB" w:rsidP="0068349C">
      <w:pPr>
        <w:spacing w:after="60" w:line="240" w:lineRule="auto"/>
        <w:jc w:val="both"/>
        <w:rPr>
          <w:rFonts w:ascii="Times New Roman" w:hAnsi="Times New Roman" w:cs="Times New Roman"/>
          <w:sz w:val="24"/>
          <w:szCs w:val="24"/>
        </w:rPr>
      </w:pPr>
      <w:r w:rsidRPr="00554FAF">
        <w:rPr>
          <w:rFonts w:ascii="Times New Roman" w:hAnsi="Times New Roman" w:cs="Times New Roman"/>
          <w:b/>
          <w:sz w:val="24"/>
          <w:szCs w:val="24"/>
        </w:rPr>
        <w:t xml:space="preserve">Pengesat strukturore: </w:t>
      </w:r>
      <w:r w:rsidRPr="00554FAF">
        <w:rPr>
          <w:rFonts w:ascii="Times New Roman" w:hAnsi="Times New Roman" w:cs="Times New Roman"/>
          <w:sz w:val="24"/>
          <w:szCs w:val="24"/>
        </w:rPr>
        <w:t xml:space="preserve">Arritshmëria në arsim </w:t>
      </w:r>
      <w:r w:rsidRPr="00554FAF">
        <w:rPr>
          <w:rFonts w:ascii="Times New Roman" w:hAnsi="Times New Roman" w:cs="Times New Roman"/>
          <w:bCs/>
          <w:sz w:val="24"/>
          <w:szCs w:val="24"/>
        </w:rPr>
        <w:t xml:space="preserve">në Kosovë është e ulët. Sipas ILO-së (2016), vetëm 11.6% e personave mbi moshën 25 vjeçe kishin të përfunduar arsimin terciar. Arritshmëria e ulët lidhet edhe me përfshirjen e ulët të fëmijëve në arsimin parashkollor (shkaqet kryesore janë: mungesa e infrastrukturës fizike, </w:t>
      </w:r>
      <w:r w:rsidR="00554FAF" w:rsidRPr="00554FAF">
        <w:rPr>
          <w:rFonts w:ascii="Times New Roman" w:hAnsi="Times New Roman" w:cs="Times New Roman"/>
          <w:bCs/>
          <w:sz w:val="24"/>
          <w:szCs w:val="24"/>
        </w:rPr>
        <w:t>mos financimi</w:t>
      </w:r>
      <w:r w:rsidRPr="00554FAF">
        <w:rPr>
          <w:rFonts w:ascii="Times New Roman" w:hAnsi="Times New Roman" w:cs="Times New Roman"/>
          <w:bCs/>
          <w:sz w:val="24"/>
          <w:szCs w:val="24"/>
        </w:rPr>
        <w:t xml:space="preserve"> i duhur, </w:t>
      </w:r>
      <w:r w:rsidR="00554FAF" w:rsidRPr="00554FAF">
        <w:rPr>
          <w:rFonts w:ascii="Times New Roman" w:hAnsi="Times New Roman" w:cs="Times New Roman"/>
          <w:bCs/>
          <w:sz w:val="24"/>
          <w:szCs w:val="24"/>
        </w:rPr>
        <w:t>mos rregullimi</w:t>
      </w:r>
      <w:r w:rsidRPr="00554FAF">
        <w:rPr>
          <w:rFonts w:ascii="Times New Roman" w:hAnsi="Times New Roman" w:cs="Times New Roman"/>
          <w:bCs/>
          <w:sz w:val="24"/>
          <w:szCs w:val="24"/>
        </w:rPr>
        <w:t xml:space="preserve"> dhe </w:t>
      </w:r>
      <w:r w:rsidR="00554FAF" w:rsidRPr="00554FAF">
        <w:rPr>
          <w:rFonts w:ascii="Times New Roman" w:hAnsi="Times New Roman" w:cs="Times New Roman"/>
          <w:bCs/>
          <w:sz w:val="24"/>
          <w:szCs w:val="24"/>
        </w:rPr>
        <w:t>mos licencimi</w:t>
      </w:r>
      <w:r w:rsidRPr="00554FAF">
        <w:rPr>
          <w:rFonts w:ascii="Times New Roman" w:hAnsi="Times New Roman" w:cs="Times New Roman"/>
          <w:bCs/>
          <w:sz w:val="24"/>
          <w:szCs w:val="24"/>
        </w:rPr>
        <w:t xml:space="preserve"> i institucioneve private, zhvillimin joadekuat profesional i edukatorëve dhe mungesa e instrumenteve kombëtare për përcaktimin e cilësisë së arsimit parashkollor). </w:t>
      </w:r>
      <w:r w:rsidRPr="00554FAF">
        <w:rPr>
          <w:rFonts w:ascii="Times New Roman" w:hAnsi="Times New Roman" w:cs="Times New Roman"/>
          <w:sz w:val="24"/>
          <w:szCs w:val="24"/>
        </w:rPr>
        <w:t>Arritshmëria e ulët arsimore ndikon në uljen e produktivitetit</w:t>
      </w:r>
      <w:r w:rsidR="00E77A63" w:rsidRPr="00554FAF">
        <w:rPr>
          <w:rFonts w:ascii="Times New Roman" w:hAnsi="Times New Roman" w:cs="Times New Roman"/>
          <w:sz w:val="24"/>
          <w:szCs w:val="24"/>
        </w:rPr>
        <w:t>,</w:t>
      </w:r>
      <w:r w:rsidRPr="00554FAF">
        <w:rPr>
          <w:rFonts w:ascii="Times New Roman" w:hAnsi="Times New Roman" w:cs="Times New Roman"/>
          <w:sz w:val="24"/>
          <w:szCs w:val="24"/>
        </w:rPr>
        <w:t xml:space="preserve">  reduktimin e aktiviteteve ekonomike me vlerë të shtuar</w:t>
      </w:r>
      <w:r w:rsidR="00E77A63" w:rsidRPr="00554FAF">
        <w:rPr>
          <w:rFonts w:ascii="Times New Roman" w:hAnsi="Times New Roman" w:cs="Times New Roman"/>
          <w:sz w:val="24"/>
          <w:szCs w:val="24"/>
        </w:rPr>
        <w:t>,</w:t>
      </w:r>
      <w:r w:rsidRPr="00554FAF">
        <w:rPr>
          <w:rFonts w:ascii="Times New Roman" w:hAnsi="Times New Roman" w:cs="Times New Roman"/>
          <w:sz w:val="24"/>
          <w:szCs w:val="24"/>
        </w:rPr>
        <w:t xml:space="preserve"> uljen e inovacionit dhe progresit teknologjik</w:t>
      </w:r>
      <w:r w:rsidR="00E77A63" w:rsidRPr="00554FAF">
        <w:rPr>
          <w:rFonts w:ascii="Times New Roman" w:hAnsi="Times New Roman" w:cs="Times New Roman"/>
          <w:sz w:val="24"/>
          <w:szCs w:val="24"/>
        </w:rPr>
        <w:t>,</w:t>
      </w:r>
      <w:r w:rsidRPr="00554FAF">
        <w:rPr>
          <w:rFonts w:ascii="Times New Roman" w:hAnsi="Times New Roman" w:cs="Times New Roman"/>
          <w:sz w:val="24"/>
          <w:szCs w:val="24"/>
        </w:rPr>
        <w:t xml:space="preserve"> uljen e të ardhurave dhe kufizimin e konsumit dhe manifestimin e varfërisë. Në </w:t>
      </w:r>
      <w:r w:rsidRPr="00554FAF">
        <w:rPr>
          <w:rFonts w:ascii="Times New Roman" w:hAnsi="Times New Roman" w:cs="Times New Roman"/>
          <w:bCs/>
          <w:sz w:val="24"/>
          <w:szCs w:val="24"/>
        </w:rPr>
        <w:t>arsimin e obliguar</w:t>
      </w:r>
      <w:r w:rsidRPr="00554FAF">
        <w:rPr>
          <w:rFonts w:ascii="Times New Roman" w:hAnsi="Times New Roman" w:cs="Times New Roman"/>
          <w:sz w:val="24"/>
          <w:szCs w:val="24"/>
        </w:rPr>
        <w:t xml:space="preserve"> pengesat lidhen me përfshirjen e nxënësve</w:t>
      </w:r>
      <w:r w:rsidR="00E77A63" w:rsidRPr="00554FAF">
        <w:rPr>
          <w:rFonts w:ascii="Times New Roman" w:hAnsi="Times New Roman" w:cs="Times New Roman"/>
          <w:sz w:val="24"/>
          <w:szCs w:val="24"/>
        </w:rPr>
        <w:t xml:space="preserve"> dhe</w:t>
      </w:r>
      <w:r w:rsidRPr="00554FAF">
        <w:rPr>
          <w:rFonts w:ascii="Times New Roman" w:hAnsi="Times New Roman" w:cs="Times New Roman"/>
          <w:sz w:val="24"/>
          <w:szCs w:val="24"/>
        </w:rPr>
        <w:t xml:space="preserve"> cilësinë e arsimit e cila është evidente tek grupet e margjinalizuara. </w:t>
      </w:r>
      <w:r w:rsidR="00E77A63" w:rsidRPr="00554FAF">
        <w:rPr>
          <w:rFonts w:ascii="Times New Roman" w:hAnsi="Times New Roman" w:cs="Times New Roman"/>
          <w:sz w:val="24"/>
          <w:szCs w:val="24"/>
        </w:rPr>
        <w:t>Sipas hulumtimeve, z</w:t>
      </w:r>
      <w:r w:rsidRPr="00554FAF">
        <w:rPr>
          <w:rFonts w:ascii="Times New Roman" w:hAnsi="Times New Roman" w:cs="Times New Roman"/>
          <w:sz w:val="24"/>
          <w:szCs w:val="24"/>
        </w:rPr>
        <w:t xml:space="preserve">hvillimi i shkathtësive për shumicën e fushave përkatëse profesionale, nuk përputhet  me kërkesat e tregut dhe këto shkaktojnë efekte negative në zhvillim. </w:t>
      </w:r>
      <w:r w:rsidR="00E77A63" w:rsidRPr="00554FAF">
        <w:rPr>
          <w:rFonts w:ascii="Times New Roman" w:hAnsi="Times New Roman" w:cs="Times New Roman"/>
          <w:sz w:val="24"/>
          <w:szCs w:val="24"/>
        </w:rPr>
        <w:t>Ndonëse</w:t>
      </w:r>
      <w:r w:rsidRPr="00554FAF">
        <w:rPr>
          <w:rFonts w:ascii="Times New Roman" w:hAnsi="Times New Roman" w:cs="Times New Roman"/>
          <w:sz w:val="24"/>
          <w:szCs w:val="24"/>
        </w:rPr>
        <w:t xml:space="preserve"> është krijuar Agjencia për Arsimin Profesional dhe Arsimin e të Rriturve, </w:t>
      </w:r>
      <w:r w:rsidR="00E77A63" w:rsidRPr="00554FAF">
        <w:rPr>
          <w:rFonts w:ascii="Times New Roman" w:hAnsi="Times New Roman" w:cs="Times New Roman"/>
          <w:sz w:val="24"/>
          <w:szCs w:val="24"/>
        </w:rPr>
        <w:t>ende</w:t>
      </w:r>
      <w:r w:rsidRPr="00554FAF">
        <w:rPr>
          <w:rFonts w:ascii="Times New Roman" w:hAnsi="Times New Roman" w:cs="Times New Roman"/>
          <w:sz w:val="24"/>
          <w:szCs w:val="24"/>
        </w:rPr>
        <w:t xml:space="preserve"> ka numër relativisht të kufizuar të programeve dhe pjesëmarrja është e ulët. </w:t>
      </w:r>
      <w:r w:rsidR="00E77A63" w:rsidRPr="00554FAF">
        <w:rPr>
          <w:rFonts w:ascii="Times New Roman" w:hAnsi="Times New Roman" w:cs="Times New Roman"/>
          <w:sz w:val="24"/>
          <w:szCs w:val="24"/>
        </w:rPr>
        <w:t>Po ashtu, m</w:t>
      </w:r>
      <w:r w:rsidRPr="00554FAF">
        <w:rPr>
          <w:rFonts w:ascii="Times New Roman" w:hAnsi="Times New Roman" w:cs="Times New Roman"/>
          <w:sz w:val="24"/>
          <w:szCs w:val="24"/>
        </w:rPr>
        <w:t xml:space="preserve">undësitë e kufizuara të të mësuarit gjatë gjithë jetës janë evidente nga mospërshtatja e profileve të Qendrave të Aftësimit Profesional me kërkesat e tregut të punës. Pengesë tjetër mbetet </w:t>
      </w:r>
      <w:r w:rsidRPr="00554FAF">
        <w:rPr>
          <w:rFonts w:ascii="Times New Roman" w:hAnsi="Times New Roman" w:cs="Times New Roman"/>
          <w:bCs/>
          <w:sz w:val="24"/>
          <w:szCs w:val="24"/>
        </w:rPr>
        <w:t>buxheti i kufizuar publik</w:t>
      </w:r>
      <w:r w:rsidRPr="00554FAF">
        <w:rPr>
          <w:rFonts w:ascii="Times New Roman" w:hAnsi="Times New Roman" w:cs="Times New Roman"/>
          <w:sz w:val="24"/>
          <w:szCs w:val="24"/>
        </w:rPr>
        <w:t xml:space="preserve"> i alokuar për sektorin e arsimit. Shpenzimet e kufizuara publike në arsim ndikojnë në konkurrueshmëri përmes uljes  së cilësisë së sistemit arsimor duke mos angazhuar numrin e duhur të mësimdhënësve (siç shihet nga raporti i lartë nxënës-mësimdhënës), duke ndikuar tek cilësia e ulët e mësimdhënësve dhe metodave joadekuate të mësimdhënies. Pengesë tjetër është </w:t>
      </w:r>
      <w:r w:rsidRPr="00554FAF">
        <w:rPr>
          <w:rFonts w:ascii="Times New Roman" w:hAnsi="Times New Roman" w:cs="Times New Roman"/>
          <w:bCs/>
          <w:sz w:val="24"/>
          <w:szCs w:val="24"/>
        </w:rPr>
        <w:t>mospërputhja e sistemit të arsimit me nevojat e tregut të punës</w:t>
      </w:r>
      <w:r w:rsidRPr="00554FAF">
        <w:rPr>
          <w:rFonts w:ascii="Times New Roman" w:hAnsi="Times New Roman" w:cs="Times New Roman"/>
          <w:sz w:val="24"/>
          <w:szCs w:val="24"/>
        </w:rPr>
        <w:t>. Një e katërta e kompanive kosovare kanë identifikuar “fuqinë punëtore me shkathtësi joadekuate” si pengesë serioze në bërje të biznesit. Mekanizmat dhe praktika e sigurimit të cilësisë ende mbeten të pazhvilluara</w:t>
      </w:r>
      <w:r w:rsidR="00E77A63" w:rsidRPr="00554FAF">
        <w:rPr>
          <w:rFonts w:ascii="Times New Roman" w:hAnsi="Times New Roman" w:cs="Times New Roman"/>
          <w:sz w:val="24"/>
          <w:szCs w:val="24"/>
        </w:rPr>
        <w:t>,</w:t>
      </w:r>
      <w:r w:rsidRPr="00554FAF">
        <w:rPr>
          <w:rFonts w:ascii="Times New Roman" w:hAnsi="Times New Roman" w:cs="Times New Roman"/>
          <w:sz w:val="24"/>
          <w:szCs w:val="24"/>
        </w:rPr>
        <w:t xml:space="preserve"> zhvillimi i mësimdhënësve sipas kritereve dhe standardeve të kornizës strategjike për ZHPM dhe lidhja e gradave me sistem të pagesave mungon. Në përgjithësi, mospërputhja e arsimit dhe aftësimit profesional me tregun e punës ndikon në zvogëlimin e investimeve dhe pengon zhvillimin ekonomik të vendit, si dhe në rritjen e papunësisë dhe të varfërisë.</w:t>
      </w:r>
    </w:p>
    <w:p w14:paraId="58C036D9" w14:textId="09C763CC" w:rsidR="00E77A63" w:rsidRPr="00554FAF" w:rsidRDefault="00554FAF" w:rsidP="0068349C">
      <w:pPr>
        <w:spacing w:after="60" w:line="240" w:lineRule="auto"/>
        <w:jc w:val="both"/>
        <w:rPr>
          <w:rFonts w:ascii="Times New Roman" w:hAnsi="Times New Roman" w:cs="Times New Roman"/>
          <w:b/>
          <w:sz w:val="24"/>
          <w:szCs w:val="24"/>
        </w:rPr>
      </w:pPr>
      <w:r w:rsidRPr="00554FAF">
        <w:rPr>
          <w:rFonts w:ascii="Times New Roman" w:hAnsi="Times New Roman" w:cs="Times New Roman"/>
          <w:b/>
          <w:sz w:val="24"/>
          <w:szCs w:val="24"/>
        </w:rPr>
        <w:t>b. Prioritetet</w:t>
      </w:r>
      <w:r w:rsidR="00E77A63" w:rsidRPr="00554FAF">
        <w:rPr>
          <w:rFonts w:ascii="Times New Roman" w:hAnsi="Times New Roman" w:cs="Times New Roman"/>
          <w:b/>
          <w:sz w:val="24"/>
          <w:szCs w:val="24"/>
        </w:rPr>
        <w:t xml:space="preserve"> e reformave strukturore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0702CB" w:rsidRPr="00554FAF" w14:paraId="03A16095" w14:textId="77777777" w:rsidTr="003A7429">
        <w:tc>
          <w:tcPr>
            <w:tcW w:w="9350" w:type="dxa"/>
            <w:shd w:val="clear" w:color="auto" w:fill="5B9BD5"/>
          </w:tcPr>
          <w:p w14:paraId="2A290B40" w14:textId="665CE865" w:rsidR="000702CB" w:rsidRPr="00554FAF" w:rsidRDefault="000702CB" w:rsidP="000702CB">
            <w:pPr>
              <w:spacing w:after="60" w:line="240" w:lineRule="auto"/>
              <w:jc w:val="both"/>
              <w:rPr>
                <w:rFonts w:ascii="Times New Roman" w:hAnsi="Times New Roman" w:cs="Times New Roman"/>
                <w:b/>
                <w:sz w:val="24"/>
                <w:szCs w:val="24"/>
              </w:rPr>
            </w:pPr>
            <w:r w:rsidRPr="00554FAF">
              <w:rPr>
                <w:rFonts w:ascii="Times New Roman" w:hAnsi="Times New Roman" w:cs="Times New Roman"/>
                <w:b/>
                <w:bCs/>
                <w:sz w:val="24"/>
                <w:szCs w:val="24"/>
              </w:rPr>
              <w:t xml:space="preserve">Masa e reformës #16: </w:t>
            </w:r>
            <w:r w:rsidR="00E77A63" w:rsidRPr="00554FAF">
              <w:rPr>
                <w:rFonts w:ascii="Times New Roman" w:hAnsi="Times New Roman" w:cs="Times New Roman"/>
                <w:b/>
                <w:bCs/>
                <w:sz w:val="24"/>
                <w:szCs w:val="24"/>
              </w:rPr>
              <w:t>Zhvillimi i edukimit në fëmijërinë e hershme me qasje gjithëpërfshirëse përmes plotësimit të infrastrukturës ligjore dhe fizike dhe kurrikulës reformuese</w:t>
            </w:r>
            <w:r w:rsidRPr="00554FAF">
              <w:rPr>
                <w:rFonts w:ascii="Times New Roman" w:hAnsi="Times New Roman" w:cs="Times New Roman"/>
                <w:b/>
                <w:sz w:val="24"/>
                <w:szCs w:val="24"/>
              </w:rPr>
              <w:t xml:space="preserve">  </w:t>
            </w:r>
          </w:p>
        </w:tc>
      </w:tr>
    </w:tbl>
    <w:p w14:paraId="488FEA91" w14:textId="7B8A2FE4" w:rsidR="000702CB" w:rsidRPr="00DF67AB" w:rsidRDefault="000702CB" w:rsidP="000702CB">
      <w:pPr>
        <w:spacing w:after="60" w:line="240" w:lineRule="auto"/>
        <w:jc w:val="both"/>
        <w:rPr>
          <w:rFonts w:ascii="Times New Roman" w:hAnsi="Times New Roman" w:cs="Times New Roman"/>
          <w:bCs/>
          <w:sz w:val="24"/>
          <w:szCs w:val="24"/>
        </w:rPr>
      </w:pPr>
      <w:r w:rsidRPr="00554FAF">
        <w:rPr>
          <w:rFonts w:ascii="Times New Roman" w:hAnsi="Times New Roman" w:cs="Times New Roman"/>
          <w:b/>
          <w:sz w:val="24"/>
          <w:szCs w:val="24"/>
        </w:rPr>
        <w:t xml:space="preserve">1. Përshkrimi i masës: </w:t>
      </w:r>
      <w:r w:rsidRPr="00554FAF">
        <w:rPr>
          <w:rFonts w:ascii="Times New Roman" w:hAnsi="Times New Roman" w:cs="Times New Roman"/>
          <w:iCs/>
          <w:sz w:val="24"/>
          <w:szCs w:val="24"/>
        </w:rPr>
        <w:t xml:space="preserve">Masa synon ngritjen e vijueshmërisë së fëmijëve në edukimin e hershëm, duke përfshirë zbatimin e qasjes gjithëpërfshirëse për fëmijët nga grupet e </w:t>
      </w:r>
      <w:r w:rsidR="00554FAF" w:rsidRPr="00554FAF">
        <w:rPr>
          <w:rFonts w:ascii="Times New Roman" w:hAnsi="Times New Roman" w:cs="Times New Roman"/>
          <w:iCs/>
          <w:sz w:val="24"/>
          <w:szCs w:val="24"/>
        </w:rPr>
        <w:t>cenuara</w:t>
      </w:r>
      <w:r w:rsidRPr="00554FAF">
        <w:rPr>
          <w:rFonts w:ascii="Times New Roman" w:hAnsi="Times New Roman" w:cs="Times New Roman"/>
          <w:iCs/>
          <w:sz w:val="24"/>
          <w:szCs w:val="24"/>
        </w:rPr>
        <w:t xml:space="preserve">. Realizimi i masës bazohet në </w:t>
      </w:r>
      <w:r w:rsidRPr="00554FAF">
        <w:rPr>
          <w:rFonts w:ascii="Times New Roman" w:hAnsi="Times New Roman" w:cs="Times New Roman"/>
          <w:bCs/>
          <w:sz w:val="24"/>
          <w:szCs w:val="24"/>
        </w:rPr>
        <w:t>hartimin e ligjit të ri p</w:t>
      </w:r>
      <w:r w:rsidRPr="00554FAF">
        <w:rPr>
          <w:rFonts w:ascii="Times New Roman" w:hAnsi="Times New Roman" w:cs="Times New Roman"/>
          <w:iCs/>
          <w:sz w:val="24"/>
          <w:szCs w:val="24"/>
        </w:rPr>
        <w:t>ër edukimin në fëmijërinë e hershme</w:t>
      </w:r>
      <w:r w:rsidRPr="00554FAF">
        <w:rPr>
          <w:rFonts w:ascii="Times New Roman" w:hAnsi="Times New Roman" w:cs="Times New Roman"/>
          <w:bCs/>
          <w:sz w:val="24"/>
          <w:szCs w:val="24"/>
        </w:rPr>
        <w:t>, ngritjen e cilësisë së shërbimeve përmes miratimit të kurrikulës bërthamë për edukim në fëmijërinë e hershme, zhvillimin e pakove t</w:t>
      </w:r>
      <w:r w:rsidRPr="00554FAF">
        <w:rPr>
          <w:rFonts w:ascii="Times New Roman" w:hAnsi="Times New Roman" w:cs="Times New Roman"/>
          <w:iCs/>
          <w:sz w:val="24"/>
          <w:szCs w:val="24"/>
        </w:rPr>
        <w:t xml:space="preserve">ë materialeve mësimore për fëmijët me nevoja të veçanta, rritjen e vijueshmërisë së fëmijëve nga komunitetet e cenuara, </w:t>
      </w:r>
      <w:r w:rsidRPr="00554FAF">
        <w:rPr>
          <w:rFonts w:ascii="Times New Roman" w:hAnsi="Times New Roman" w:cs="Times New Roman"/>
          <w:bCs/>
          <w:sz w:val="24"/>
          <w:szCs w:val="24"/>
        </w:rPr>
        <w:t>krijimin e hapësirave për përfshirjen më të madhe të fëmijëve përmes ndërtimit të institucioneve parashkollore publike, duke përfshirë trajnimin e edukatorëve. Masa mb</w:t>
      </w:r>
      <w:r w:rsidRPr="00554FAF">
        <w:rPr>
          <w:rFonts w:ascii="Times New Roman" w:hAnsi="Times New Roman" w:cs="Times New Roman"/>
          <w:iCs/>
          <w:sz w:val="24"/>
          <w:szCs w:val="24"/>
        </w:rPr>
        <w:t>ështetet në Strategjinë Kombëtare për Zhvillim (SKZH) dhe Planin Strategjik të Arsimit në Kosovë (PSAK). Masa është formuluar si përgjigje ndaj pengesave strukturore në fushën e arsimit dhe shkathtësive, sipas t</w:t>
      </w:r>
      <w:r w:rsidRPr="00554FAF">
        <w:rPr>
          <w:rFonts w:ascii="Times New Roman" w:hAnsi="Times New Roman" w:cs="Times New Roman"/>
          <w:bCs/>
          <w:sz w:val="24"/>
          <w:szCs w:val="24"/>
        </w:rPr>
        <w:t xml:space="preserve">ë cilave shkalla e regjistrimit në nivelin parashkollor për moshat 0-4 vjeç është vetëm 6.2%, e cila lidhet por nuk kufizohet, me  mungesën e infrastrukturës fizike. Në këtë drejtim, </w:t>
      </w:r>
      <w:r w:rsidRPr="00554FAF">
        <w:rPr>
          <w:rFonts w:ascii="Times New Roman" w:hAnsi="Times New Roman" w:cs="Times New Roman"/>
          <w:sz w:val="24"/>
          <w:szCs w:val="24"/>
        </w:rPr>
        <w:t>aktualisht</w:t>
      </w:r>
      <w:r w:rsidR="004B0FCD" w:rsidRPr="00554FAF">
        <w:rPr>
          <w:rFonts w:ascii="Times New Roman" w:hAnsi="Times New Roman" w:cs="Times New Roman"/>
          <w:sz w:val="24"/>
          <w:szCs w:val="24"/>
        </w:rPr>
        <w:t xml:space="preserve"> </w:t>
      </w:r>
      <w:r w:rsidRPr="00554FAF">
        <w:rPr>
          <w:rFonts w:ascii="Times New Roman" w:hAnsi="Times New Roman" w:cs="Times New Roman"/>
          <w:sz w:val="24"/>
          <w:szCs w:val="24"/>
        </w:rPr>
        <w:t>16 kopshte janë në proces të ndërtimit (2 më 2019; 5 më 2020</w:t>
      </w:r>
      <w:r w:rsidR="00E77A63" w:rsidRPr="00554FAF">
        <w:rPr>
          <w:rFonts w:ascii="Times New Roman" w:hAnsi="Times New Roman" w:cs="Times New Roman"/>
          <w:sz w:val="24"/>
          <w:szCs w:val="24"/>
        </w:rPr>
        <w:t xml:space="preserve"> </w:t>
      </w:r>
      <w:r w:rsidRPr="00554FAF">
        <w:rPr>
          <w:rFonts w:ascii="Times New Roman" w:hAnsi="Times New Roman" w:cs="Times New Roman"/>
          <w:sz w:val="24"/>
          <w:szCs w:val="24"/>
        </w:rPr>
        <w:t xml:space="preserve">dhe 9 më 2021). </w:t>
      </w:r>
      <w:r w:rsidRPr="00554FAF">
        <w:rPr>
          <w:rFonts w:ascii="Times New Roman" w:hAnsi="Times New Roman" w:cs="Times New Roman"/>
          <w:bCs/>
          <w:sz w:val="24"/>
          <w:szCs w:val="24"/>
        </w:rPr>
        <w:t xml:space="preserve">Masa vijon nga cikli i mëhershëm, gjatë së cilës është themeluar grupi punues i cili ka hartuar draftin e Ligjit për Edukimin në Fëmijërinë e Hershme. Miratimi i ligjit është  thelbësor për shkak të sfidave që paraqiten nga ekzistenca e ofruesve privat të arsimit, aktivitetet e të cilëve janë kryesisht të parregulluara. </w:t>
      </w:r>
      <w:r w:rsidR="00E77A63" w:rsidRPr="00554FAF">
        <w:rPr>
          <w:rFonts w:ascii="Times New Roman" w:hAnsi="Times New Roman" w:cs="Times New Roman"/>
          <w:bCs/>
          <w:sz w:val="24"/>
          <w:szCs w:val="24"/>
        </w:rPr>
        <w:t>Gjithashtu, l</w:t>
      </w:r>
      <w:r w:rsidRPr="00554FAF">
        <w:rPr>
          <w:rFonts w:ascii="Times New Roman" w:hAnsi="Times New Roman" w:cs="Times New Roman"/>
          <w:bCs/>
          <w:sz w:val="24"/>
          <w:szCs w:val="24"/>
        </w:rPr>
        <w:t>igji i ri është i nevojshëm urgjentisht për të vendosur standarde për cilësinë e duhur të shërbimeve si për ofruesit publik ashtu edhe ata privat të arsi</w:t>
      </w:r>
      <w:r w:rsidR="00DF67AB">
        <w:rPr>
          <w:rFonts w:ascii="Times New Roman" w:hAnsi="Times New Roman" w:cs="Times New Roman"/>
          <w:bCs/>
          <w:sz w:val="24"/>
          <w:szCs w:val="24"/>
        </w:rPr>
        <w:t xml:space="preserve">mit parashkollor. </w:t>
      </w:r>
    </w:p>
    <w:p w14:paraId="54268A13" w14:textId="77777777" w:rsidR="000702CB" w:rsidRPr="00554FAF" w:rsidRDefault="000702CB" w:rsidP="00730ACA">
      <w:pPr>
        <w:pStyle w:val="Default"/>
        <w:spacing w:after="60"/>
        <w:jc w:val="both"/>
        <w:rPr>
          <w:b/>
          <w:lang w:val="sq-AL"/>
        </w:rPr>
      </w:pPr>
      <w:r w:rsidRPr="00554FAF">
        <w:rPr>
          <w:b/>
          <w:lang w:val="sq-AL"/>
        </w:rPr>
        <w:t xml:space="preserve">a. Aktivitetet e planifikuara për 2020: </w:t>
      </w:r>
    </w:p>
    <w:p w14:paraId="658BED17" w14:textId="73EFB55C" w:rsidR="000702CB" w:rsidRPr="00554FAF" w:rsidRDefault="000702CB" w:rsidP="00802FB3">
      <w:pPr>
        <w:pStyle w:val="Default"/>
        <w:numPr>
          <w:ilvl w:val="0"/>
          <w:numId w:val="72"/>
        </w:numPr>
        <w:spacing w:after="60"/>
        <w:jc w:val="both"/>
        <w:rPr>
          <w:bCs/>
          <w:iCs/>
          <w:lang w:val="sq-AL"/>
        </w:rPr>
      </w:pPr>
      <w:r w:rsidRPr="00554FAF">
        <w:rPr>
          <w:bCs/>
          <w:iCs/>
          <w:lang w:val="sq-AL"/>
        </w:rPr>
        <w:t xml:space="preserve">Miratimi i Ligjit për </w:t>
      </w:r>
      <w:r w:rsidR="00E77A63" w:rsidRPr="00554FAF">
        <w:rPr>
          <w:bCs/>
          <w:iCs/>
          <w:lang w:val="sq-AL"/>
        </w:rPr>
        <w:t>e</w:t>
      </w:r>
      <w:r w:rsidRPr="00554FAF">
        <w:rPr>
          <w:bCs/>
          <w:iCs/>
          <w:lang w:val="sq-AL"/>
        </w:rPr>
        <w:t xml:space="preserve">dukim në </w:t>
      </w:r>
      <w:r w:rsidR="00E77A63" w:rsidRPr="00554FAF">
        <w:rPr>
          <w:bCs/>
          <w:iCs/>
          <w:lang w:val="sq-AL"/>
        </w:rPr>
        <w:t>f</w:t>
      </w:r>
      <w:r w:rsidRPr="00554FAF">
        <w:rPr>
          <w:bCs/>
          <w:iCs/>
          <w:lang w:val="sq-AL"/>
        </w:rPr>
        <w:t xml:space="preserve">ëmijërinë e </w:t>
      </w:r>
      <w:r w:rsidR="00E77A63" w:rsidRPr="00554FAF">
        <w:rPr>
          <w:bCs/>
          <w:iCs/>
          <w:lang w:val="sq-AL"/>
        </w:rPr>
        <w:t>h</w:t>
      </w:r>
      <w:r w:rsidRPr="00554FAF">
        <w:rPr>
          <w:bCs/>
          <w:iCs/>
          <w:lang w:val="sq-AL"/>
        </w:rPr>
        <w:t>ershme, i cili trajton gjithëpërfshirjen në fëmijërinë e hershme</w:t>
      </w:r>
      <w:r w:rsidR="00E77A63" w:rsidRPr="00554FAF">
        <w:rPr>
          <w:bCs/>
          <w:iCs/>
          <w:lang w:val="sq-AL"/>
        </w:rPr>
        <w:t>;</w:t>
      </w:r>
      <w:r w:rsidRPr="00554FAF">
        <w:rPr>
          <w:bCs/>
          <w:iCs/>
          <w:lang w:val="sq-AL"/>
        </w:rPr>
        <w:t xml:space="preserve"> (MASHT)</w:t>
      </w:r>
    </w:p>
    <w:p w14:paraId="441384AA" w14:textId="4A848E26" w:rsidR="000702CB" w:rsidRPr="00554FAF" w:rsidRDefault="000702CB" w:rsidP="00802FB3">
      <w:pPr>
        <w:pStyle w:val="Default"/>
        <w:numPr>
          <w:ilvl w:val="0"/>
          <w:numId w:val="72"/>
        </w:numPr>
        <w:spacing w:after="60"/>
        <w:jc w:val="both"/>
        <w:rPr>
          <w:bCs/>
          <w:iCs/>
          <w:lang w:val="sq-AL"/>
        </w:rPr>
      </w:pPr>
      <w:r w:rsidRPr="00554FAF">
        <w:rPr>
          <w:bCs/>
          <w:iCs/>
          <w:lang w:val="sq-AL"/>
        </w:rPr>
        <w:t xml:space="preserve">Finalizimi dhe miratimi i kurrikulës bërthamë </w:t>
      </w:r>
      <w:r w:rsidR="00E77A63" w:rsidRPr="00554FAF">
        <w:rPr>
          <w:bCs/>
          <w:iCs/>
          <w:lang w:val="sq-AL"/>
        </w:rPr>
        <w:t>që</w:t>
      </w:r>
      <w:r w:rsidRPr="00554FAF">
        <w:rPr>
          <w:bCs/>
          <w:iCs/>
          <w:lang w:val="sq-AL"/>
        </w:rPr>
        <w:t xml:space="preserve"> përmban 5 fusha</w:t>
      </w:r>
      <w:r w:rsidR="00EB5A0E" w:rsidRPr="00554FAF">
        <w:rPr>
          <w:rStyle w:val="FootnoteReference"/>
          <w:bCs/>
          <w:iCs/>
          <w:lang w:val="sq-AL"/>
        </w:rPr>
        <w:footnoteReference w:id="36"/>
      </w:r>
      <w:r w:rsidRPr="00554FAF">
        <w:rPr>
          <w:bCs/>
          <w:iCs/>
          <w:lang w:val="sq-AL"/>
        </w:rPr>
        <w:t xml:space="preserve"> (zhvillimin e gjuhës dhe komunikimit</w:t>
      </w:r>
      <w:r w:rsidR="00E77A63" w:rsidRPr="00554FAF">
        <w:rPr>
          <w:bCs/>
          <w:iCs/>
          <w:lang w:val="sq-AL"/>
        </w:rPr>
        <w:t xml:space="preserve">, </w:t>
      </w:r>
      <w:r w:rsidRPr="00554FAF">
        <w:rPr>
          <w:bCs/>
          <w:iCs/>
          <w:lang w:val="sq-AL"/>
        </w:rPr>
        <w:t>shëndetin fizik dhe zhvillimin lëvizor</w:t>
      </w:r>
      <w:r w:rsidR="00E77A63" w:rsidRPr="00554FAF">
        <w:rPr>
          <w:bCs/>
          <w:iCs/>
          <w:lang w:val="sq-AL"/>
        </w:rPr>
        <w:t>,</w:t>
      </w:r>
      <w:r w:rsidRPr="00554FAF">
        <w:rPr>
          <w:bCs/>
          <w:iCs/>
          <w:lang w:val="sq-AL"/>
        </w:rPr>
        <w:t xml:space="preserve"> zhvillimin e njohjes dhe njohuritë e përgjithshme</w:t>
      </w:r>
      <w:r w:rsidR="00E77A63" w:rsidRPr="00554FAF">
        <w:rPr>
          <w:bCs/>
          <w:iCs/>
          <w:lang w:val="sq-AL"/>
        </w:rPr>
        <w:t>,</w:t>
      </w:r>
      <w:r w:rsidRPr="00554FAF">
        <w:rPr>
          <w:bCs/>
          <w:iCs/>
          <w:lang w:val="sq-AL"/>
        </w:rPr>
        <w:t xml:space="preserve"> zhvillimi i qasjes ndaj të mësuarit dhe zhvillimi socio emocional) të zhvillimit të fëmijëve në moshën e hershme</w:t>
      </w:r>
      <w:r w:rsidR="00E77A63" w:rsidRPr="00554FAF">
        <w:rPr>
          <w:bCs/>
          <w:iCs/>
          <w:lang w:val="sq-AL"/>
        </w:rPr>
        <w:t>;</w:t>
      </w:r>
      <w:r w:rsidRPr="00554FAF">
        <w:rPr>
          <w:bCs/>
          <w:iCs/>
          <w:lang w:val="sq-AL"/>
        </w:rPr>
        <w:t xml:space="preserve"> (MASHT)</w:t>
      </w:r>
    </w:p>
    <w:p w14:paraId="3BD54A85" w14:textId="5A4E1AF9" w:rsidR="000702CB" w:rsidRPr="00554FAF" w:rsidRDefault="000702CB" w:rsidP="00802FB3">
      <w:pPr>
        <w:pStyle w:val="Default"/>
        <w:numPr>
          <w:ilvl w:val="0"/>
          <w:numId w:val="72"/>
        </w:numPr>
        <w:spacing w:after="60"/>
        <w:jc w:val="both"/>
        <w:rPr>
          <w:bCs/>
          <w:iCs/>
          <w:lang w:val="sq-AL"/>
        </w:rPr>
      </w:pPr>
      <w:r w:rsidRPr="00554FAF">
        <w:rPr>
          <w:bCs/>
          <w:iCs/>
          <w:lang w:val="sq-AL"/>
        </w:rPr>
        <w:t>Hartimi i 5 udh</w:t>
      </w:r>
      <w:r w:rsidRPr="00554FAF">
        <w:rPr>
          <w:lang w:val="sq-AL"/>
        </w:rPr>
        <w:t>ëzuesve praktikë për pilotimin e kurrikulës bërthamë</w:t>
      </w:r>
      <w:r w:rsidR="00E77A63" w:rsidRPr="00554FAF">
        <w:rPr>
          <w:lang w:val="sq-AL"/>
        </w:rPr>
        <w:t>;</w:t>
      </w:r>
      <w:r w:rsidRPr="00554FAF">
        <w:rPr>
          <w:lang w:val="sq-AL"/>
        </w:rPr>
        <w:t xml:space="preserve"> (MASHT)</w:t>
      </w:r>
    </w:p>
    <w:p w14:paraId="0098A537" w14:textId="016DB421" w:rsidR="000702CB" w:rsidRPr="00554FAF" w:rsidRDefault="000702CB" w:rsidP="00802FB3">
      <w:pPr>
        <w:pStyle w:val="Default"/>
        <w:numPr>
          <w:ilvl w:val="0"/>
          <w:numId w:val="72"/>
        </w:numPr>
        <w:spacing w:after="60"/>
        <w:jc w:val="both"/>
        <w:rPr>
          <w:bCs/>
          <w:iCs/>
          <w:lang w:val="sq-AL"/>
        </w:rPr>
      </w:pPr>
      <w:r w:rsidRPr="00554FAF">
        <w:rPr>
          <w:bCs/>
          <w:iCs/>
          <w:lang w:val="sq-AL"/>
        </w:rPr>
        <w:t>Angazhimi i 5 master-trajnerëve për trajnimin e edukatorëve të kopshteve në fazën e pilotimit</w:t>
      </w:r>
      <w:r w:rsidR="00E77A63" w:rsidRPr="00554FAF">
        <w:rPr>
          <w:bCs/>
          <w:iCs/>
          <w:lang w:val="sq-AL"/>
        </w:rPr>
        <w:t>;</w:t>
      </w:r>
      <w:r w:rsidRPr="00554FAF">
        <w:rPr>
          <w:bCs/>
          <w:iCs/>
          <w:lang w:val="sq-AL"/>
        </w:rPr>
        <w:t xml:space="preserve"> (MASHT)</w:t>
      </w:r>
    </w:p>
    <w:p w14:paraId="7B06DABC" w14:textId="7573E9C6" w:rsidR="000702CB" w:rsidRPr="00554FAF" w:rsidRDefault="000702CB" w:rsidP="00802FB3">
      <w:pPr>
        <w:pStyle w:val="Default"/>
        <w:numPr>
          <w:ilvl w:val="0"/>
          <w:numId w:val="72"/>
        </w:numPr>
        <w:spacing w:after="60"/>
        <w:jc w:val="both"/>
        <w:rPr>
          <w:bCs/>
          <w:iCs/>
          <w:lang w:val="sq-AL"/>
        </w:rPr>
      </w:pPr>
      <w:r w:rsidRPr="00554FAF">
        <w:rPr>
          <w:bCs/>
          <w:iCs/>
          <w:lang w:val="sq-AL"/>
        </w:rPr>
        <w:t>Trajnimi i deri 100 edukatorëve deri në 10 kopshte në fazën e pilotimit</w:t>
      </w:r>
      <w:r w:rsidR="00E77A63" w:rsidRPr="00554FAF">
        <w:rPr>
          <w:bCs/>
          <w:iCs/>
          <w:lang w:val="sq-AL"/>
        </w:rPr>
        <w:t>;</w:t>
      </w:r>
      <w:r w:rsidRPr="00554FAF">
        <w:rPr>
          <w:bCs/>
          <w:iCs/>
          <w:lang w:val="sq-AL"/>
        </w:rPr>
        <w:t xml:space="preserve"> (MASHT)</w:t>
      </w:r>
    </w:p>
    <w:p w14:paraId="5102617F" w14:textId="7ADC5506" w:rsidR="000702CB" w:rsidRPr="00554FAF" w:rsidRDefault="000702CB" w:rsidP="00802FB3">
      <w:pPr>
        <w:pStyle w:val="Default"/>
        <w:numPr>
          <w:ilvl w:val="0"/>
          <w:numId w:val="72"/>
        </w:numPr>
        <w:spacing w:after="60"/>
        <w:jc w:val="both"/>
        <w:rPr>
          <w:bCs/>
          <w:iCs/>
          <w:lang w:val="sq-AL"/>
        </w:rPr>
      </w:pPr>
      <w:r w:rsidRPr="00554FAF">
        <w:rPr>
          <w:bCs/>
          <w:iCs/>
          <w:lang w:val="sq-AL"/>
        </w:rPr>
        <w:t>Pilotimi i kurrikulës bërthamë deri në 10 institucione parashkollore duke filluar nga shtator 2020</w:t>
      </w:r>
      <w:r w:rsidR="0068349C" w:rsidRPr="00554FAF">
        <w:rPr>
          <w:bCs/>
          <w:iCs/>
          <w:lang w:val="sq-AL"/>
        </w:rPr>
        <w:t>;</w:t>
      </w:r>
      <w:r w:rsidRPr="00554FAF">
        <w:rPr>
          <w:bCs/>
          <w:iCs/>
          <w:lang w:val="sq-AL"/>
        </w:rPr>
        <w:t xml:space="preserve"> (MASHT) </w:t>
      </w:r>
    </w:p>
    <w:p w14:paraId="63632C9C" w14:textId="71B6D05F" w:rsidR="000702CB" w:rsidRPr="00554FAF" w:rsidRDefault="000702CB" w:rsidP="00802FB3">
      <w:pPr>
        <w:pStyle w:val="Default"/>
        <w:numPr>
          <w:ilvl w:val="0"/>
          <w:numId w:val="72"/>
        </w:numPr>
        <w:spacing w:after="60"/>
        <w:jc w:val="both"/>
        <w:rPr>
          <w:bCs/>
          <w:iCs/>
          <w:lang w:val="sq-AL"/>
        </w:rPr>
      </w:pPr>
      <w:r w:rsidRPr="00554FAF">
        <w:rPr>
          <w:bCs/>
          <w:iCs/>
          <w:lang w:val="sq-AL"/>
        </w:rPr>
        <w:t>Përpilimi i pakos së materialeve për edukimin në institucionet parashkollore të fëmijëve me nevoja të veçanta të moshës 0-6 vjeç</w:t>
      </w:r>
      <w:r w:rsidR="0068349C" w:rsidRPr="00554FAF">
        <w:rPr>
          <w:bCs/>
          <w:iCs/>
          <w:lang w:val="sq-AL"/>
        </w:rPr>
        <w:t>;</w:t>
      </w:r>
      <w:r w:rsidRPr="00554FAF">
        <w:rPr>
          <w:bCs/>
          <w:iCs/>
          <w:lang w:val="sq-AL"/>
        </w:rPr>
        <w:t xml:space="preserve"> (MASHT)</w:t>
      </w:r>
    </w:p>
    <w:p w14:paraId="6EB356F4" w14:textId="0D64BCD5" w:rsidR="000702CB" w:rsidRPr="00554FAF" w:rsidRDefault="000702CB" w:rsidP="00802FB3">
      <w:pPr>
        <w:pStyle w:val="Default"/>
        <w:numPr>
          <w:ilvl w:val="0"/>
          <w:numId w:val="72"/>
        </w:numPr>
        <w:spacing w:after="60"/>
        <w:jc w:val="both"/>
        <w:rPr>
          <w:bCs/>
          <w:iCs/>
          <w:lang w:val="sq-AL"/>
        </w:rPr>
      </w:pPr>
      <w:r w:rsidRPr="00554FAF">
        <w:rPr>
          <w:bCs/>
          <w:iCs/>
          <w:lang w:val="sq-AL"/>
        </w:rPr>
        <w:t>Hartimi i rregullores për lehtësimin e kushteve për regjistrimin dhe vijimin e fëmijëve nga komuniteti rom, ashkali dhe egjiptian në institucionet parashkollore</w:t>
      </w:r>
      <w:r w:rsidR="0068349C" w:rsidRPr="00554FAF">
        <w:rPr>
          <w:bCs/>
          <w:iCs/>
          <w:lang w:val="sq-AL"/>
        </w:rPr>
        <w:t>;</w:t>
      </w:r>
      <w:r w:rsidRPr="00554FAF">
        <w:rPr>
          <w:bCs/>
          <w:iCs/>
          <w:lang w:val="sq-AL"/>
        </w:rPr>
        <w:t xml:space="preserve"> (MASHT)</w:t>
      </w:r>
    </w:p>
    <w:p w14:paraId="711BB943" w14:textId="77777777" w:rsidR="000702CB" w:rsidRPr="00554FAF" w:rsidRDefault="000702CB" w:rsidP="00730ACA">
      <w:pPr>
        <w:pStyle w:val="Default"/>
        <w:spacing w:after="60"/>
        <w:jc w:val="both"/>
        <w:rPr>
          <w:b/>
          <w:lang w:val="sq-AL"/>
        </w:rPr>
      </w:pPr>
      <w:r w:rsidRPr="00554FAF">
        <w:rPr>
          <w:b/>
          <w:lang w:val="sq-AL"/>
        </w:rPr>
        <w:t>b. Aktivitetet e planifikuara për 2021:</w:t>
      </w:r>
    </w:p>
    <w:p w14:paraId="4F9F2B76" w14:textId="4258929C" w:rsidR="000702CB" w:rsidRPr="00554FAF" w:rsidRDefault="000702CB" w:rsidP="00802FB3">
      <w:pPr>
        <w:pStyle w:val="Default"/>
        <w:numPr>
          <w:ilvl w:val="0"/>
          <w:numId w:val="73"/>
        </w:numPr>
        <w:spacing w:after="60"/>
        <w:jc w:val="both"/>
        <w:rPr>
          <w:bCs/>
          <w:iCs/>
          <w:lang w:val="sq-AL"/>
        </w:rPr>
      </w:pPr>
      <w:r w:rsidRPr="00554FAF">
        <w:rPr>
          <w:bCs/>
          <w:iCs/>
          <w:lang w:val="sq-AL"/>
        </w:rPr>
        <w:t xml:space="preserve">Hartimi i të gjitha udhëzimeve administrative që dalin nga </w:t>
      </w:r>
      <w:r w:rsidR="0068349C" w:rsidRPr="00554FAF">
        <w:rPr>
          <w:bCs/>
          <w:iCs/>
          <w:lang w:val="sq-AL"/>
        </w:rPr>
        <w:t>l</w:t>
      </w:r>
      <w:r w:rsidRPr="00554FAF">
        <w:rPr>
          <w:bCs/>
          <w:iCs/>
          <w:lang w:val="sq-AL"/>
        </w:rPr>
        <w:t>igji i ri</w:t>
      </w:r>
      <w:r w:rsidR="0068349C" w:rsidRPr="00554FAF">
        <w:rPr>
          <w:bCs/>
          <w:iCs/>
          <w:lang w:val="sq-AL"/>
        </w:rPr>
        <w:t>;</w:t>
      </w:r>
      <w:r w:rsidRPr="00554FAF">
        <w:rPr>
          <w:bCs/>
          <w:iCs/>
          <w:lang w:val="sq-AL"/>
        </w:rPr>
        <w:t xml:space="preserve"> (MASHT)</w:t>
      </w:r>
    </w:p>
    <w:p w14:paraId="28532BE7" w14:textId="3E7CC6D1" w:rsidR="000702CB" w:rsidRPr="00554FAF" w:rsidRDefault="000702CB" w:rsidP="00802FB3">
      <w:pPr>
        <w:pStyle w:val="Default"/>
        <w:numPr>
          <w:ilvl w:val="0"/>
          <w:numId w:val="73"/>
        </w:numPr>
        <w:spacing w:after="60"/>
        <w:jc w:val="both"/>
        <w:rPr>
          <w:bCs/>
          <w:iCs/>
          <w:lang w:val="sq-AL"/>
        </w:rPr>
      </w:pPr>
      <w:r w:rsidRPr="00554FAF">
        <w:rPr>
          <w:bCs/>
          <w:iCs/>
          <w:lang w:val="sq-AL"/>
        </w:rPr>
        <w:t xml:space="preserve">Përpilimi i Raportit </w:t>
      </w:r>
      <w:r w:rsidR="0068349C" w:rsidRPr="00554FAF">
        <w:rPr>
          <w:bCs/>
          <w:iCs/>
          <w:lang w:val="sq-AL"/>
        </w:rPr>
        <w:t>v</w:t>
      </w:r>
      <w:r w:rsidRPr="00554FAF">
        <w:rPr>
          <w:bCs/>
          <w:iCs/>
          <w:lang w:val="sq-AL"/>
        </w:rPr>
        <w:t>lerësues për fazën e pilotimit të kurrikulës bërthamë dhe plotësimi i kurrikulës bërthamë bazuar në gjetjet e vlerësimit</w:t>
      </w:r>
      <w:r w:rsidR="0068349C" w:rsidRPr="00554FAF">
        <w:rPr>
          <w:bCs/>
          <w:iCs/>
          <w:lang w:val="sq-AL"/>
        </w:rPr>
        <w:t>;</w:t>
      </w:r>
      <w:r w:rsidRPr="00554FAF">
        <w:rPr>
          <w:bCs/>
          <w:iCs/>
          <w:lang w:val="sq-AL"/>
        </w:rPr>
        <w:t xml:space="preserve"> (MASHT)</w:t>
      </w:r>
    </w:p>
    <w:p w14:paraId="19C81530" w14:textId="2EB2343D" w:rsidR="000702CB" w:rsidRPr="00554FAF" w:rsidRDefault="000702CB" w:rsidP="00802FB3">
      <w:pPr>
        <w:pStyle w:val="Default"/>
        <w:numPr>
          <w:ilvl w:val="0"/>
          <w:numId w:val="73"/>
        </w:numPr>
        <w:spacing w:after="60"/>
        <w:jc w:val="both"/>
        <w:rPr>
          <w:bCs/>
          <w:iCs/>
          <w:lang w:val="sq-AL"/>
        </w:rPr>
      </w:pPr>
      <w:r w:rsidRPr="00554FAF">
        <w:rPr>
          <w:bCs/>
          <w:iCs/>
          <w:lang w:val="sq-AL"/>
        </w:rPr>
        <w:t>Miratimi i  kurrikulës bërthamë finale pas rezultateve të vlerësimit nga faza  e pilotimit</w:t>
      </w:r>
      <w:r w:rsidR="0068349C" w:rsidRPr="00554FAF">
        <w:rPr>
          <w:bCs/>
          <w:iCs/>
          <w:lang w:val="sq-AL"/>
        </w:rPr>
        <w:t>;</w:t>
      </w:r>
      <w:r w:rsidRPr="00554FAF">
        <w:rPr>
          <w:bCs/>
          <w:iCs/>
          <w:lang w:val="sq-AL"/>
        </w:rPr>
        <w:t xml:space="preserve"> (MASHT)</w:t>
      </w:r>
    </w:p>
    <w:p w14:paraId="2BE184DE" w14:textId="183CAC9D" w:rsidR="000702CB" w:rsidRPr="00554FAF" w:rsidRDefault="000702CB" w:rsidP="00802FB3">
      <w:pPr>
        <w:pStyle w:val="Default"/>
        <w:numPr>
          <w:ilvl w:val="0"/>
          <w:numId w:val="73"/>
        </w:numPr>
        <w:spacing w:after="60"/>
        <w:jc w:val="both"/>
        <w:rPr>
          <w:bCs/>
          <w:iCs/>
          <w:lang w:val="sq-AL"/>
        </w:rPr>
      </w:pPr>
      <w:r w:rsidRPr="00554FAF">
        <w:rPr>
          <w:bCs/>
          <w:iCs/>
          <w:lang w:val="sq-AL"/>
        </w:rPr>
        <w:t>Trajnimi i deri 270 edukatoreve në 42 kopshte publike për zbatimin e kurrikulës së re bërthamë</w:t>
      </w:r>
      <w:r w:rsidR="0068349C" w:rsidRPr="00554FAF">
        <w:rPr>
          <w:bCs/>
          <w:iCs/>
          <w:lang w:val="sq-AL"/>
        </w:rPr>
        <w:t>;</w:t>
      </w:r>
      <w:r w:rsidRPr="00554FAF">
        <w:rPr>
          <w:bCs/>
          <w:iCs/>
          <w:lang w:val="sq-AL"/>
        </w:rPr>
        <w:t xml:space="preserve"> (MASHT)</w:t>
      </w:r>
    </w:p>
    <w:p w14:paraId="05B2F57E" w14:textId="6AB6D12F" w:rsidR="000702CB" w:rsidRPr="00554FAF" w:rsidRDefault="000702CB" w:rsidP="00802FB3">
      <w:pPr>
        <w:pStyle w:val="Default"/>
        <w:numPr>
          <w:ilvl w:val="0"/>
          <w:numId w:val="73"/>
        </w:numPr>
        <w:spacing w:after="60"/>
        <w:jc w:val="both"/>
        <w:rPr>
          <w:bCs/>
          <w:iCs/>
          <w:lang w:val="sq-AL"/>
        </w:rPr>
      </w:pPr>
      <w:r w:rsidRPr="00554FAF">
        <w:rPr>
          <w:bCs/>
          <w:iCs/>
          <w:lang w:val="sq-AL"/>
        </w:rPr>
        <w:t>Zbatimi i kurrikulës së re bërthamë në të paktën 20 kopshte publike</w:t>
      </w:r>
      <w:r w:rsidR="0068349C" w:rsidRPr="00554FAF">
        <w:rPr>
          <w:bCs/>
          <w:iCs/>
          <w:lang w:val="sq-AL"/>
        </w:rPr>
        <w:t>;</w:t>
      </w:r>
      <w:r w:rsidRPr="00554FAF">
        <w:rPr>
          <w:bCs/>
          <w:iCs/>
          <w:lang w:val="sq-AL"/>
        </w:rPr>
        <w:t xml:space="preserve"> (MASHT)</w:t>
      </w:r>
    </w:p>
    <w:p w14:paraId="3D80A922" w14:textId="0283E33A" w:rsidR="000702CB" w:rsidRPr="00554FAF" w:rsidRDefault="000702CB" w:rsidP="00802FB3">
      <w:pPr>
        <w:pStyle w:val="Default"/>
        <w:numPr>
          <w:ilvl w:val="0"/>
          <w:numId w:val="73"/>
        </w:numPr>
        <w:spacing w:after="60"/>
        <w:jc w:val="both"/>
        <w:rPr>
          <w:bCs/>
          <w:iCs/>
          <w:lang w:val="sq-AL"/>
        </w:rPr>
      </w:pPr>
      <w:r w:rsidRPr="00554FAF">
        <w:rPr>
          <w:bCs/>
          <w:iCs/>
          <w:lang w:val="sq-AL"/>
        </w:rPr>
        <w:t>Trajnimi i deri në 100 edukatoreve të kopshteve publike në përdorimin e pakos së materialeve për fëmijët me nevoja të veçanta</w:t>
      </w:r>
      <w:r w:rsidR="0068349C" w:rsidRPr="00554FAF">
        <w:rPr>
          <w:bCs/>
          <w:iCs/>
          <w:lang w:val="sq-AL"/>
        </w:rPr>
        <w:t>;</w:t>
      </w:r>
      <w:r w:rsidRPr="00554FAF">
        <w:rPr>
          <w:bCs/>
          <w:iCs/>
          <w:lang w:val="sq-AL"/>
        </w:rPr>
        <w:t xml:space="preserve"> (MASHT)</w:t>
      </w:r>
    </w:p>
    <w:p w14:paraId="0BE54656" w14:textId="77777777" w:rsidR="000702CB" w:rsidRPr="00554FAF" w:rsidRDefault="000702CB" w:rsidP="00730ACA">
      <w:pPr>
        <w:pStyle w:val="Default"/>
        <w:spacing w:after="60"/>
        <w:jc w:val="both"/>
        <w:rPr>
          <w:b/>
          <w:lang w:val="sq-AL"/>
        </w:rPr>
      </w:pPr>
      <w:r w:rsidRPr="00554FAF">
        <w:rPr>
          <w:b/>
          <w:lang w:val="sq-AL"/>
        </w:rPr>
        <w:t xml:space="preserve">c. Aktivitetet e planifikuara për 2022: </w:t>
      </w:r>
    </w:p>
    <w:p w14:paraId="75C80191" w14:textId="18B0D1CF" w:rsidR="000702CB" w:rsidRPr="00554FAF" w:rsidRDefault="000702CB" w:rsidP="00802FB3">
      <w:pPr>
        <w:pStyle w:val="Default"/>
        <w:numPr>
          <w:ilvl w:val="0"/>
          <w:numId w:val="74"/>
        </w:numPr>
        <w:spacing w:after="60"/>
        <w:jc w:val="both"/>
        <w:rPr>
          <w:bCs/>
          <w:iCs/>
          <w:lang w:val="sq-AL"/>
        </w:rPr>
      </w:pPr>
      <w:r w:rsidRPr="00554FAF">
        <w:rPr>
          <w:bCs/>
          <w:iCs/>
          <w:lang w:val="sq-AL"/>
        </w:rPr>
        <w:t>Trajnimi i deri 160 edukatoreve në kopshtet private dhe fillimi i zbatimit të kurrikulës së re bërthamë në të paktën 10 kopshte private</w:t>
      </w:r>
      <w:r w:rsidR="0068349C" w:rsidRPr="00554FAF">
        <w:rPr>
          <w:bCs/>
          <w:iCs/>
          <w:lang w:val="sq-AL"/>
        </w:rPr>
        <w:t>;</w:t>
      </w:r>
      <w:r w:rsidRPr="00554FAF">
        <w:rPr>
          <w:bCs/>
          <w:iCs/>
          <w:lang w:val="sq-AL"/>
        </w:rPr>
        <w:t xml:space="preserve"> (MASHT) </w:t>
      </w:r>
    </w:p>
    <w:p w14:paraId="14F11DF3" w14:textId="526DAC58" w:rsidR="000702CB" w:rsidRPr="00554FAF" w:rsidRDefault="000702CB" w:rsidP="00802FB3">
      <w:pPr>
        <w:pStyle w:val="Default"/>
        <w:numPr>
          <w:ilvl w:val="0"/>
          <w:numId w:val="74"/>
        </w:numPr>
        <w:spacing w:after="60"/>
        <w:jc w:val="both"/>
        <w:rPr>
          <w:bCs/>
          <w:iCs/>
          <w:lang w:val="sq-AL"/>
        </w:rPr>
      </w:pPr>
      <w:r w:rsidRPr="00554FAF">
        <w:rPr>
          <w:bCs/>
          <w:iCs/>
          <w:lang w:val="sq-AL"/>
        </w:rPr>
        <w:t>Zbatimi i kurrikulës së re bërthamë në të gjitha 43 kopshtet publike në Kosovë</w:t>
      </w:r>
      <w:r w:rsidR="0068349C" w:rsidRPr="00554FAF">
        <w:rPr>
          <w:bCs/>
          <w:iCs/>
          <w:lang w:val="sq-AL"/>
        </w:rPr>
        <w:t>;</w:t>
      </w:r>
      <w:r w:rsidRPr="00554FAF">
        <w:rPr>
          <w:bCs/>
          <w:iCs/>
          <w:color w:val="auto"/>
          <w:lang w:val="sq-AL"/>
        </w:rPr>
        <w:t xml:space="preserve"> </w:t>
      </w:r>
      <w:r w:rsidRPr="00554FAF">
        <w:rPr>
          <w:bCs/>
          <w:iCs/>
          <w:lang w:val="sq-AL"/>
        </w:rPr>
        <w:t xml:space="preserve"> (MASHT)</w:t>
      </w:r>
    </w:p>
    <w:p w14:paraId="0116B9F0" w14:textId="54799B03" w:rsidR="000702CB" w:rsidRPr="00554FAF" w:rsidRDefault="000702CB" w:rsidP="00802FB3">
      <w:pPr>
        <w:pStyle w:val="Default"/>
        <w:numPr>
          <w:ilvl w:val="0"/>
          <w:numId w:val="74"/>
        </w:numPr>
        <w:spacing w:after="60"/>
        <w:jc w:val="both"/>
        <w:rPr>
          <w:bCs/>
          <w:iCs/>
          <w:lang w:val="sq-AL"/>
        </w:rPr>
      </w:pPr>
      <w:r w:rsidRPr="00554FAF">
        <w:rPr>
          <w:bCs/>
          <w:iCs/>
          <w:lang w:val="sq-AL"/>
        </w:rPr>
        <w:t>Trajnimi i deri në 100 edukatoreve shtesë në kopshtet publike në përdorimin e pakos së materialeve për fëmijët me nevoja të veçanta</w:t>
      </w:r>
      <w:r w:rsidR="0068349C" w:rsidRPr="00554FAF">
        <w:rPr>
          <w:bCs/>
          <w:iCs/>
          <w:lang w:val="sq-AL"/>
        </w:rPr>
        <w:t>;</w:t>
      </w:r>
      <w:r w:rsidRPr="00554FAF">
        <w:rPr>
          <w:bCs/>
          <w:iCs/>
          <w:lang w:val="sq-AL"/>
        </w:rPr>
        <w:t xml:space="preserve"> (MASHT)</w:t>
      </w:r>
    </w:p>
    <w:p w14:paraId="5FE7EAAD" w14:textId="30E4B52C" w:rsidR="000702CB" w:rsidRPr="00554FAF" w:rsidRDefault="000702CB" w:rsidP="00802FB3">
      <w:pPr>
        <w:pStyle w:val="Default"/>
        <w:numPr>
          <w:ilvl w:val="0"/>
          <w:numId w:val="74"/>
        </w:numPr>
        <w:spacing w:after="60"/>
        <w:jc w:val="both"/>
        <w:rPr>
          <w:bCs/>
          <w:iCs/>
          <w:lang w:val="sq-AL"/>
        </w:rPr>
      </w:pPr>
      <w:r w:rsidRPr="00554FAF">
        <w:rPr>
          <w:bCs/>
          <w:iCs/>
          <w:lang w:val="sq-AL"/>
        </w:rPr>
        <w:t xml:space="preserve">Hartimi i </w:t>
      </w:r>
      <w:r w:rsidR="0068349C" w:rsidRPr="00554FAF">
        <w:rPr>
          <w:bCs/>
          <w:iCs/>
          <w:lang w:val="sq-AL"/>
        </w:rPr>
        <w:t>p</w:t>
      </w:r>
      <w:r w:rsidRPr="00554FAF">
        <w:rPr>
          <w:bCs/>
          <w:iCs/>
          <w:lang w:val="sq-AL"/>
        </w:rPr>
        <w:t xml:space="preserve">lanit </w:t>
      </w:r>
      <w:r w:rsidR="0068349C" w:rsidRPr="00554FAF">
        <w:rPr>
          <w:bCs/>
          <w:iCs/>
          <w:lang w:val="sq-AL"/>
        </w:rPr>
        <w:t>k</w:t>
      </w:r>
      <w:r w:rsidRPr="00554FAF">
        <w:rPr>
          <w:bCs/>
          <w:iCs/>
          <w:lang w:val="sq-AL"/>
        </w:rPr>
        <w:t xml:space="preserve">ombëtar për </w:t>
      </w:r>
      <w:r w:rsidR="0068349C" w:rsidRPr="00554FAF">
        <w:rPr>
          <w:bCs/>
          <w:iCs/>
          <w:lang w:val="sq-AL"/>
        </w:rPr>
        <w:t>z</w:t>
      </w:r>
      <w:r w:rsidRPr="00554FAF">
        <w:rPr>
          <w:bCs/>
          <w:iCs/>
          <w:lang w:val="sq-AL"/>
        </w:rPr>
        <w:t xml:space="preserve">hvillimin në </w:t>
      </w:r>
      <w:r w:rsidR="0068349C" w:rsidRPr="00554FAF">
        <w:rPr>
          <w:bCs/>
          <w:iCs/>
          <w:lang w:val="sq-AL"/>
        </w:rPr>
        <w:t>f</w:t>
      </w:r>
      <w:r w:rsidRPr="00554FAF">
        <w:rPr>
          <w:bCs/>
          <w:iCs/>
          <w:lang w:val="sq-AL"/>
        </w:rPr>
        <w:t xml:space="preserve">ëmijëri të </w:t>
      </w:r>
      <w:r w:rsidR="0068349C" w:rsidRPr="00554FAF">
        <w:rPr>
          <w:bCs/>
          <w:iCs/>
          <w:lang w:val="sq-AL"/>
        </w:rPr>
        <w:t>h</w:t>
      </w:r>
      <w:r w:rsidRPr="00554FAF">
        <w:rPr>
          <w:bCs/>
          <w:iCs/>
          <w:lang w:val="sq-AL"/>
        </w:rPr>
        <w:t>ershme</w:t>
      </w:r>
      <w:r w:rsidR="0068349C" w:rsidRPr="00554FAF">
        <w:rPr>
          <w:bCs/>
          <w:iCs/>
          <w:lang w:val="sq-AL"/>
        </w:rPr>
        <w:t>;</w:t>
      </w:r>
      <w:r w:rsidRPr="00554FAF">
        <w:rPr>
          <w:bCs/>
          <w:iCs/>
          <w:lang w:val="sq-AL"/>
        </w:rPr>
        <w:t xml:space="preserve"> (MASHT).</w:t>
      </w:r>
    </w:p>
    <w:p w14:paraId="5F22DB6B" w14:textId="77777777" w:rsidR="000702CB" w:rsidRPr="00554FAF" w:rsidRDefault="000702CB" w:rsidP="000702CB">
      <w:pPr>
        <w:spacing w:after="60" w:line="240" w:lineRule="auto"/>
        <w:jc w:val="both"/>
        <w:rPr>
          <w:rFonts w:ascii="Times New Roman" w:hAnsi="Times New Roman" w:cs="Times New Roman"/>
          <w:b/>
          <w:sz w:val="24"/>
          <w:szCs w:val="24"/>
        </w:rPr>
      </w:pPr>
      <w:r w:rsidRPr="00554FAF">
        <w:rPr>
          <w:rFonts w:ascii="Times New Roman" w:hAnsi="Times New Roman" w:cs="Times New Roman"/>
          <w:b/>
          <w:sz w:val="24"/>
          <w:szCs w:val="24"/>
        </w:rPr>
        <w:t xml:space="preserve">2. Treguesit e rezultateve </w:t>
      </w:r>
    </w:p>
    <w:tbl>
      <w:tblPr>
        <w:tblpPr w:leftFromText="180" w:rightFromText="180" w:vertAnchor="text" w:horzAnchor="margin" w:tblpY="175"/>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5"/>
        <w:gridCol w:w="1260"/>
        <w:gridCol w:w="2340"/>
        <w:gridCol w:w="1620"/>
      </w:tblGrid>
      <w:tr w:rsidR="000702CB" w:rsidRPr="00554FAF" w14:paraId="341944BC" w14:textId="77777777" w:rsidTr="003A7429">
        <w:tc>
          <w:tcPr>
            <w:tcW w:w="4315" w:type="dxa"/>
            <w:shd w:val="clear" w:color="auto" w:fill="auto"/>
          </w:tcPr>
          <w:p w14:paraId="574884BE" w14:textId="77777777" w:rsidR="000702CB" w:rsidRPr="00554FAF" w:rsidRDefault="000702CB" w:rsidP="000702CB">
            <w:pPr>
              <w:pStyle w:val="Default"/>
              <w:spacing w:after="60"/>
              <w:jc w:val="both"/>
              <w:rPr>
                <w:lang w:val="sq-AL"/>
              </w:rPr>
            </w:pPr>
            <w:r w:rsidRPr="00554FAF">
              <w:rPr>
                <w:lang w:val="sq-AL"/>
              </w:rPr>
              <w:t xml:space="preserve">Treguesi </w:t>
            </w:r>
          </w:p>
          <w:p w14:paraId="141943F1" w14:textId="77777777" w:rsidR="000702CB" w:rsidRPr="00554FAF" w:rsidRDefault="000702CB" w:rsidP="000702CB">
            <w:pPr>
              <w:pStyle w:val="Default"/>
              <w:spacing w:after="60"/>
              <w:jc w:val="both"/>
              <w:rPr>
                <w:i/>
                <w:iCs/>
                <w:lang w:val="sq-AL"/>
              </w:rPr>
            </w:pPr>
          </w:p>
        </w:tc>
        <w:tc>
          <w:tcPr>
            <w:tcW w:w="1260" w:type="dxa"/>
            <w:shd w:val="clear" w:color="auto" w:fill="auto"/>
          </w:tcPr>
          <w:p w14:paraId="28504301" w14:textId="1C079C65" w:rsidR="000702CB" w:rsidRPr="00554FAF" w:rsidRDefault="0068349C" w:rsidP="00754A76">
            <w:pPr>
              <w:pStyle w:val="Default"/>
              <w:spacing w:after="60"/>
              <w:jc w:val="both"/>
              <w:rPr>
                <w:lang w:val="sq-AL"/>
              </w:rPr>
            </w:pPr>
            <w:r w:rsidRPr="00554FAF">
              <w:rPr>
                <w:lang w:val="sq-AL"/>
              </w:rPr>
              <w:t>B</w:t>
            </w:r>
            <w:r w:rsidR="000702CB" w:rsidRPr="00554FAF">
              <w:rPr>
                <w:lang w:val="sq-AL"/>
              </w:rPr>
              <w:t>az</w:t>
            </w:r>
            <w:r w:rsidRPr="00554FAF">
              <w:rPr>
                <w:lang w:val="sq-AL"/>
              </w:rPr>
              <w:t>a</w:t>
            </w:r>
            <w:r w:rsidR="000702CB" w:rsidRPr="00554FAF">
              <w:rPr>
                <w:lang w:val="sq-AL"/>
              </w:rPr>
              <w:t xml:space="preserve">    2019</w:t>
            </w:r>
          </w:p>
        </w:tc>
        <w:tc>
          <w:tcPr>
            <w:tcW w:w="2340" w:type="dxa"/>
            <w:shd w:val="clear" w:color="auto" w:fill="auto"/>
          </w:tcPr>
          <w:p w14:paraId="2A2737A9" w14:textId="6B079D4A" w:rsidR="000702CB" w:rsidRPr="00554FAF" w:rsidRDefault="0068349C" w:rsidP="000702CB">
            <w:pPr>
              <w:pStyle w:val="Default"/>
              <w:spacing w:after="60"/>
              <w:jc w:val="both"/>
              <w:rPr>
                <w:lang w:val="sq-AL"/>
              </w:rPr>
            </w:pPr>
            <w:r w:rsidRPr="00554FAF">
              <w:rPr>
                <w:lang w:val="sq-AL"/>
              </w:rPr>
              <w:t xml:space="preserve">Synimi </w:t>
            </w:r>
            <w:r w:rsidR="000702CB" w:rsidRPr="00554FAF">
              <w:rPr>
                <w:lang w:val="sq-AL"/>
              </w:rPr>
              <w:t>i ndërmjetëm 2020</w:t>
            </w:r>
          </w:p>
        </w:tc>
        <w:tc>
          <w:tcPr>
            <w:tcW w:w="1620" w:type="dxa"/>
            <w:shd w:val="clear" w:color="auto" w:fill="auto"/>
          </w:tcPr>
          <w:p w14:paraId="3D8F0E02" w14:textId="1E2A0E7B" w:rsidR="000702CB" w:rsidRPr="00554FAF" w:rsidRDefault="0068349C" w:rsidP="000702CB">
            <w:pPr>
              <w:pStyle w:val="Default"/>
              <w:spacing w:after="60"/>
              <w:jc w:val="both"/>
              <w:rPr>
                <w:lang w:val="sq-AL"/>
              </w:rPr>
            </w:pPr>
            <w:r w:rsidRPr="00554FAF">
              <w:rPr>
                <w:lang w:val="sq-AL"/>
              </w:rPr>
              <w:t xml:space="preserve">Synimi </w:t>
            </w:r>
            <w:r w:rsidR="000702CB" w:rsidRPr="00554FAF">
              <w:rPr>
                <w:lang w:val="sq-AL"/>
              </w:rPr>
              <w:t>2022</w:t>
            </w:r>
          </w:p>
        </w:tc>
      </w:tr>
      <w:tr w:rsidR="000702CB" w:rsidRPr="00554FAF" w14:paraId="704C000B" w14:textId="77777777" w:rsidTr="003A7429">
        <w:tc>
          <w:tcPr>
            <w:tcW w:w="4315" w:type="dxa"/>
            <w:shd w:val="clear" w:color="auto" w:fill="auto"/>
          </w:tcPr>
          <w:p w14:paraId="486EAA40" w14:textId="77777777" w:rsidR="000702CB" w:rsidRPr="00554FAF" w:rsidRDefault="000702CB" w:rsidP="00730ACA">
            <w:pPr>
              <w:pStyle w:val="Default"/>
              <w:numPr>
                <w:ilvl w:val="0"/>
                <w:numId w:val="16"/>
              </w:numPr>
              <w:spacing w:after="60"/>
              <w:jc w:val="both"/>
              <w:rPr>
                <w:i/>
                <w:iCs/>
                <w:lang w:val="sq-AL"/>
              </w:rPr>
            </w:pPr>
            <w:r w:rsidRPr="00554FAF">
              <w:rPr>
                <w:lang w:val="sq-AL"/>
              </w:rPr>
              <w:t xml:space="preserve">Numri i institucioneve parashkollore që zbatojnë kurrikulën bërthamë </w:t>
            </w:r>
          </w:p>
        </w:tc>
        <w:tc>
          <w:tcPr>
            <w:tcW w:w="1260" w:type="dxa"/>
            <w:shd w:val="clear" w:color="auto" w:fill="auto"/>
          </w:tcPr>
          <w:p w14:paraId="58863DCD" w14:textId="77777777" w:rsidR="000702CB" w:rsidRPr="00554FAF" w:rsidRDefault="000702CB" w:rsidP="000702CB">
            <w:pPr>
              <w:pStyle w:val="Default"/>
              <w:spacing w:after="60"/>
              <w:jc w:val="both"/>
              <w:rPr>
                <w:lang w:val="sq-AL"/>
              </w:rPr>
            </w:pPr>
            <w:r w:rsidRPr="00554FAF">
              <w:rPr>
                <w:lang w:val="sq-AL"/>
              </w:rPr>
              <w:t>10</w:t>
            </w:r>
          </w:p>
        </w:tc>
        <w:tc>
          <w:tcPr>
            <w:tcW w:w="2340" w:type="dxa"/>
            <w:shd w:val="clear" w:color="auto" w:fill="auto"/>
          </w:tcPr>
          <w:p w14:paraId="30FDD889" w14:textId="77777777" w:rsidR="000702CB" w:rsidRPr="00554FAF" w:rsidRDefault="000702CB" w:rsidP="000702CB">
            <w:pPr>
              <w:pStyle w:val="Default"/>
              <w:spacing w:after="60"/>
              <w:jc w:val="both"/>
              <w:rPr>
                <w:lang w:val="sq-AL"/>
              </w:rPr>
            </w:pPr>
            <w:r w:rsidRPr="00554FAF">
              <w:rPr>
                <w:lang w:val="sq-AL"/>
              </w:rPr>
              <w:t>20</w:t>
            </w:r>
          </w:p>
        </w:tc>
        <w:tc>
          <w:tcPr>
            <w:tcW w:w="1620" w:type="dxa"/>
            <w:shd w:val="clear" w:color="auto" w:fill="auto"/>
          </w:tcPr>
          <w:p w14:paraId="1568CB4D" w14:textId="77777777" w:rsidR="000702CB" w:rsidRPr="00554FAF" w:rsidRDefault="000702CB" w:rsidP="000702CB">
            <w:pPr>
              <w:pStyle w:val="Default"/>
              <w:spacing w:after="60"/>
              <w:jc w:val="both"/>
              <w:rPr>
                <w:lang w:val="sq-AL"/>
              </w:rPr>
            </w:pPr>
            <w:r w:rsidRPr="00554FAF">
              <w:rPr>
                <w:lang w:val="sq-AL"/>
              </w:rPr>
              <w:t>43</w:t>
            </w:r>
          </w:p>
        </w:tc>
      </w:tr>
      <w:tr w:rsidR="000702CB" w:rsidRPr="00554FAF" w14:paraId="04084B77" w14:textId="77777777" w:rsidTr="003A7429">
        <w:trPr>
          <w:trHeight w:val="426"/>
        </w:trPr>
        <w:tc>
          <w:tcPr>
            <w:tcW w:w="4315" w:type="dxa"/>
            <w:shd w:val="clear" w:color="auto" w:fill="auto"/>
          </w:tcPr>
          <w:p w14:paraId="2EAA933E" w14:textId="77777777" w:rsidR="000702CB" w:rsidRPr="00554FAF" w:rsidRDefault="000702CB" w:rsidP="00730ACA">
            <w:pPr>
              <w:pStyle w:val="Default"/>
              <w:numPr>
                <w:ilvl w:val="0"/>
                <w:numId w:val="16"/>
              </w:numPr>
              <w:spacing w:after="60"/>
              <w:jc w:val="both"/>
              <w:rPr>
                <w:lang w:val="sq-AL"/>
              </w:rPr>
            </w:pPr>
            <w:r w:rsidRPr="00554FAF">
              <w:rPr>
                <w:lang w:val="sq-AL"/>
              </w:rPr>
              <w:t>Numri i fëmijëve të moshës 0-6 vjeç në institucionet parashkollore</w:t>
            </w:r>
          </w:p>
        </w:tc>
        <w:tc>
          <w:tcPr>
            <w:tcW w:w="1260" w:type="dxa"/>
            <w:shd w:val="clear" w:color="auto" w:fill="auto"/>
          </w:tcPr>
          <w:p w14:paraId="60DF8511" w14:textId="77777777" w:rsidR="000702CB" w:rsidRPr="00554FAF" w:rsidRDefault="000702CB" w:rsidP="000702CB">
            <w:pPr>
              <w:pStyle w:val="Default"/>
              <w:spacing w:after="60"/>
              <w:jc w:val="both"/>
              <w:rPr>
                <w:lang w:val="sq-AL"/>
              </w:rPr>
            </w:pPr>
            <w:r w:rsidRPr="00554FAF">
              <w:rPr>
                <w:color w:val="auto"/>
                <w:lang w:val="sq-AL"/>
              </w:rPr>
              <w:t>10878</w:t>
            </w:r>
            <w:r w:rsidRPr="00554FAF">
              <w:rPr>
                <w:rStyle w:val="FootnoteReference"/>
                <w:color w:val="auto"/>
                <w:lang w:val="sq-AL"/>
              </w:rPr>
              <w:footnoteReference w:id="37"/>
            </w:r>
          </w:p>
        </w:tc>
        <w:tc>
          <w:tcPr>
            <w:tcW w:w="2340" w:type="dxa"/>
            <w:shd w:val="clear" w:color="auto" w:fill="auto"/>
          </w:tcPr>
          <w:p w14:paraId="7A00CB51" w14:textId="77777777" w:rsidR="000702CB" w:rsidRPr="00554FAF" w:rsidRDefault="000702CB" w:rsidP="000702CB">
            <w:pPr>
              <w:pStyle w:val="Default"/>
              <w:spacing w:after="60"/>
              <w:jc w:val="both"/>
              <w:rPr>
                <w:lang w:val="sq-AL"/>
              </w:rPr>
            </w:pPr>
            <w:r w:rsidRPr="00554FAF">
              <w:rPr>
                <w:lang w:val="sq-AL"/>
              </w:rPr>
              <w:t>11,878</w:t>
            </w:r>
          </w:p>
        </w:tc>
        <w:tc>
          <w:tcPr>
            <w:tcW w:w="1620" w:type="dxa"/>
            <w:shd w:val="clear" w:color="auto" w:fill="auto"/>
          </w:tcPr>
          <w:p w14:paraId="0B84E315" w14:textId="77777777" w:rsidR="000702CB" w:rsidRPr="00554FAF" w:rsidRDefault="000702CB" w:rsidP="000702CB">
            <w:pPr>
              <w:pStyle w:val="Default"/>
              <w:spacing w:after="60"/>
              <w:jc w:val="both"/>
              <w:rPr>
                <w:lang w:val="sq-AL"/>
              </w:rPr>
            </w:pPr>
            <w:r w:rsidRPr="00554FAF">
              <w:rPr>
                <w:lang w:val="sq-AL"/>
              </w:rPr>
              <w:t xml:space="preserve">12798 </w:t>
            </w:r>
          </w:p>
        </w:tc>
      </w:tr>
    </w:tbl>
    <w:p w14:paraId="4D43B580" w14:textId="745BCD8E" w:rsidR="000702CB" w:rsidRPr="00554FAF" w:rsidRDefault="000702CB"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b/>
          <w:sz w:val="24"/>
          <w:szCs w:val="24"/>
        </w:rPr>
        <w:t xml:space="preserve">3. Ndikimi i pritur në konkurrueshmëri: </w:t>
      </w:r>
      <w:r w:rsidRPr="00554FAF">
        <w:rPr>
          <w:rFonts w:ascii="Times New Roman" w:hAnsi="Times New Roman" w:cs="Times New Roman"/>
          <w:color w:val="000000"/>
          <w:sz w:val="24"/>
          <w:szCs w:val="24"/>
        </w:rPr>
        <w:t xml:space="preserve">Kjo masë pritet të ndikojë në përmirësimin dhe rritjen e përfshirjes së fëmijëve në arsimin parashkollor, i cili është tejet i ulët në Kosovë. Ngritja e shkallës së regjistrimit të fëmijëve dhe cilësisë së arsimit parashkollor krijon kushtet për ndërtimin e një fuqie punëtore konkurrente në Kosovë. Më e rëndësishmja, arsimimi adekuat i fëmijëve mund të ndihmojë në përmirësimin e pjesëmarrjes së fuqisë punëtore tek gratë. Suksesi i politikave të arsimit parashkollor varet nga shkalla e përfshirjes së fëmijëve nga grupet e </w:t>
      </w:r>
      <w:r w:rsidR="00554FAF" w:rsidRPr="00554FAF">
        <w:rPr>
          <w:rFonts w:ascii="Times New Roman" w:hAnsi="Times New Roman" w:cs="Times New Roman"/>
          <w:color w:val="000000"/>
          <w:sz w:val="24"/>
          <w:szCs w:val="24"/>
        </w:rPr>
        <w:t>cenuara</w:t>
      </w:r>
      <w:r w:rsidRPr="00554FAF">
        <w:rPr>
          <w:rFonts w:ascii="Times New Roman" w:hAnsi="Times New Roman" w:cs="Times New Roman"/>
          <w:color w:val="000000"/>
          <w:sz w:val="24"/>
          <w:szCs w:val="24"/>
        </w:rPr>
        <w:t xml:space="preserve">, përmes së cilës luftohet diskriminimi, margjinalizimi dhe përjashtimi social. Ndikimi i pritur në konkurrueshmëri pritet në afat të gjatë përmes ngritjes së normës së pjesëmarrjes në tregun e punës, sidomos për fëmijët nga grupet e </w:t>
      </w:r>
      <w:r w:rsidR="00554FAF" w:rsidRPr="00554FAF">
        <w:rPr>
          <w:rFonts w:ascii="Times New Roman" w:hAnsi="Times New Roman" w:cs="Times New Roman"/>
          <w:color w:val="000000"/>
          <w:sz w:val="24"/>
          <w:szCs w:val="24"/>
        </w:rPr>
        <w:t>cenuara</w:t>
      </w:r>
      <w:r w:rsidRPr="00554FAF">
        <w:rPr>
          <w:rFonts w:ascii="Times New Roman" w:hAnsi="Times New Roman" w:cs="Times New Roman"/>
          <w:color w:val="000000"/>
          <w:sz w:val="24"/>
          <w:szCs w:val="24"/>
        </w:rPr>
        <w:t xml:space="preserve"> kur ata të kenë hyrë në moshë</w:t>
      </w:r>
      <w:r w:rsidR="0068349C" w:rsidRPr="00554FAF">
        <w:rPr>
          <w:rFonts w:ascii="Times New Roman" w:hAnsi="Times New Roman" w:cs="Times New Roman"/>
          <w:color w:val="000000"/>
          <w:sz w:val="24"/>
          <w:szCs w:val="24"/>
        </w:rPr>
        <w:t>n e</w:t>
      </w:r>
      <w:r w:rsidRPr="00554FAF">
        <w:rPr>
          <w:rFonts w:ascii="Times New Roman" w:hAnsi="Times New Roman" w:cs="Times New Roman"/>
          <w:color w:val="000000"/>
          <w:sz w:val="24"/>
          <w:szCs w:val="24"/>
        </w:rPr>
        <w:t xml:space="preserve"> pun</w:t>
      </w:r>
      <w:r w:rsidR="0068349C" w:rsidRPr="00554FAF">
        <w:rPr>
          <w:rFonts w:ascii="Times New Roman" w:hAnsi="Times New Roman" w:cs="Times New Roman"/>
          <w:color w:val="000000"/>
          <w:sz w:val="24"/>
          <w:szCs w:val="24"/>
        </w:rPr>
        <w:t>ës</w:t>
      </w:r>
      <w:r w:rsidRPr="00554FAF">
        <w:rPr>
          <w:rFonts w:ascii="Times New Roman" w:hAnsi="Times New Roman" w:cs="Times New Roman"/>
          <w:color w:val="000000"/>
          <w:sz w:val="24"/>
          <w:szCs w:val="24"/>
        </w:rPr>
        <w:t>.</w:t>
      </w:r>
      <w:r w:rsidRPr="00554FAF">
        <w:rPr>
          <w:rFonts w:ascii="Times New Roman" w:hAnsi="Times New Roman" w:cs="Times New Roman"/>
          <w:sz w:val="24"/>
          <w:szCs w:val="24"/>
        </w:rPr>
        <w:t xml:space="preserve"> </w:t>
      </w:r>
    </w:p>
    <w:p w14:paraId="3996BBDA" w14:textId="65FA8FC5" w:rsidR="000702CB" w:rsidRPr="00554FAF" w:rsidRDefault="000702CB" w:rsidP="000702CB">
      <w:pPr>
        <w:pStyle w:val="Default"/>
        <w:spacing w:after="60"/>
        <w:jc w:val="both"/>
        <w:rPr>
          <w:lang w:val="sq-AL"/>
        </w:rPr>
      </w:pPr>
      <w:r w:rsidRPr="00554FAF">
        <w:rPr>
          <w:b/>
          <w:bCs/>
          <w:iCs/>
          <w:lang w:val="sq-AL"/>
        </w:rPr>
        <w:t xml:space="preserve">4. Vlerësimi i kostos së aktiviteteve dhe burimet të financimit: </w:t>
      </w:r>
      <w:r w:rsidRPr="00554FAF">
        <w:rPr>
          <w:lang w:val="sq-AL"/>
        </w:rPr>
        <w:t>Kosto e përgjithshme për zbatim të kësaj mase gjatë viteve 2020-2022 vlerësohet të jetë rreth 200,000 EUR. Nga kjo vlerë:  49,000 EUR vlerësohet të jet</w:t>
      </w:r>
      <w:r w:rsidR="0068349C" w:rsidRPr="00554FAF">
        <w:rPr>
          <w:lang w:val="sq-AL"/>
        </w:rPr>
        <w:t>ë</w:t>
      </w:r>
      <w:r w:rsidRPr="00554FAF">
        <w:rPr>
          <w:lang w:val="sq-AL"/>
        </w:rPr>
        <w:t xml:space="preserve"> kosto për vitin 2020, e cila do të financohet nga buxheti i Kosovës. </w:t>
      </w:r>
      <w:r w:rsidR="00DB221D" w:rsidRPr="00554FAF">
        <w:rPr>
          <w:lang w:val="sq-AL"/>
        </w:rPr>
        <w:t xml:space="preserve">Nj♪7 pjesë e madhe e kësaj kostoje pritet të financojë aktivitetet që kanë të bëjnë me finalizimin e miratimit të kurrikulës bërthamë dhe trajnime të mësimdh♪7nësve. </w:t>
      </w:r>
      <w:r w:rsidRPr="00554FAF">
        <w:rPr>
          <w:lang w:val="sq-AL"/>
        </w:rPr>
        <w:t>Për vitin 2021, kosto vlerësohet të jetë 55,000 EUR dhe për vitin 2022 është 91,000 EUR,  ku kjo kosto do të financohet nga Buxheti i Kosovës.</w:t>
      </w:r>
    </w:p>
    <w:p w14:paraId="66B1778E" w14:textId="77777777" w:rsidR="000702CB" w:rsidRPr="00554FAF" w:rsidRDefault="000702CB" w:rsidP="000702CB">
      <w:pPr>
        <w:pStyle w:val="Default"/>
        <w:spacing w:after="60"/>
        <w:jc w:val="both"/>
        <w:rPr>
          <w:lang w:val="sq-AL"/>
        </w:rPr>
      </w:pPr>
      <w:r w:rsidRPr="00554FAF">
        <w:rPr>
          <w:b/>
          <w:bCs/>
          <w:lang w:val="sq-AL"/>
        </w:rPr>
        <w:t xml:space="preserve">5. Ndikimet e pritshme mbi rezultatet sociale, të tilla si punësimi, reduktimi i varfërisë, barazia gjinore:  </w:t>
      </w:r>
      <w:r w:rsidRPr="00554FAF">
        <w:rPr>
          <w:lang w:val="sq-AL"/>
        </w:rPr>
        <w:t xml:space="preserve">Ngritja e përfshirjes së fëmijëve në edukimin e hershëm krijon mundësinë që intervenimet e hershme të shtojnë gjasat e edukimit të mëtutjeshëm dhe ngritjen e sasisë dhe cilësisë së kapitalit njerëzor në Kosovë. Edukimi përgjithësisht lidhet ngushtë me gjasat e punësimit: personat që kanë përfunduar arsimin terciar mesatarisht kanë normë më të ulët të papunësisë. Fëmijët me edukim të hershëm kanë gjasë më të madhe t’i ikin kurthit të varfërisë duke krijuar bazamentin për ngritjen e shkathtësive të cilat sigurojnë angazhimin në ekonomi kur ata arrijnë moshën e punës. </w:t>
      </w:r>
    </w:p>
    <w:p w14:paraId="414468DD" w14:textId="77777777" w:rsidR="000702CB" w:rsidRPr="00554FAF" w:rsidRDefault="000702CB" w:rsidP="000702CB">
      <w:pPr>
        <w:pStyle w:val="Default"/>
        <w:spacing w:after="60"/>
        <w:jc w:val="both"/>
        <w:rPr>
          <w:iCs/>
          <w:lang w:val="sq-AL"/>
        </w:rPr>
      </w:pPr>
      <w:r w:rsidRPr="00554FAF">
        <w:rPr>
          <w:b/>
          <w:bCs/>
          <w:lang w:val="sq-AL"/>
        </w:rPr>
        <w:t xml:space="preserve">6. Ndikimi i pritshëm në mjedis: </w:t>
      </w:r>
      <w:r w:rsidRPr="00554FAF">
        <w:rPr>
          <w:iCs/>
          <w:lang w:val="sq-AL"/>
        </w:rPr>
        <w:t>Masa nuk ka ndikim në mjedis.</w:t>
      </w:r>
    </w:p>
    <w:p w14:paraId="7877BDCC" w14:textId="77777777" w:rsidR="000702CB" w:rsidRPr="00554FAF" w:rsidRDefault="000702CB" w:rsidP="000702CB">
      <w:pPr>
        <w:spacing w:after="60" w:line="240" w:lineRule="auto"/>
        <w:jc w:val="both"/>
        <w:rPr>
          <w:rFonts w:ascii="Times New Roman" w:hAnsi="Times New Roman" w:cs="Times New Roman"/>
          <w:b/>
          <w:sz w:val="24"/>
          <w:szCs w:val="24"/>
        </w:rPr>
      </w:pPr>
      <w:r w:rsidRPr="00554FAF">
        <w:rPr>
          <w:rFonts w:ascii="Times New Roman" w:hAnsi="Times New Roman" w:cs="Times New Roman"/>
          <w:b/>
          <w:sz w:val="24"/>
          <w:szCs w:val="24"/>
        </w:rPr>
        <w:t xml:space="preserve">7. Rreziqet potenciale </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5"/>
        <w:gridCol w:w="1530"/>
        <w:gridCol w:w="4410"/>
      </w:tblGrid>
      <w:tr w:rsidR="000702CB" w:rsidRPr="00554FAF" w14:paraId="4A004879" w14:textId="77777777" w:rsidTr="003A7429">
        <w:tc>
          <w:tcPr>
            <w:tcW w:w="3415" w:type="dxa"/>
            <w:shd w:val="clear" w:color="auto" w:fill="auto"/>
          </w:tcPr>
          <w:p w14:paraId="24B9414F" w14:textId="77777777" w:rsidR="000702CB" w:rsidRPr="00554FAF" w:rsidRDefault="000702CB" w:rsidP="000702CB">
            <w:pPr>
              <w:pStyle w:val="Default"/>
              <w:spacing w:after="60"/>
              <w:jc w:val="both"/>
              <w:rPr>
                <w:lang w:val="sq-AL"/>
              </w:rPr>
            </w:pPr>
            <w:r w:rsidRPr="00554FAF">
              <w:rPr>
                <w:b/>
                <w:bCs/>
                <w:lang w:val="sq-AL"/>
              </w:rPr>
              <w:t xml:space="preserve">Rreziku </w:t>
            </w:r>
          </w:p>
          <w:p w14:paraId="720B3376" w14:textId="77777777" w:rsidR="000702CB" w:rsidRPr="00554FAF" w:rsidRDefault="000702CB" w:rsidP="000702CB">
            <w:pPr>
              <w:pStyle w:val="Default"/>
              <w:spacing w:after="60"/>
              <w:jc w:val="both"/>
              <w:rPr>
                <w:lang w:val="sq-AL"/>
              </w:rPr>
            </w:pPr>
          </w:p>
        </w:tc>
        <w:tc>
          <w:tcPr>
            <w:tcW w:w="1530" w:type="dxa"/>
            <w:shd w:val="clear" w:color="auto" w:fill="auto"/>
          </w:tcPr>
          <w:p w14:paraId="32C225D0" w14:textId="77777777" w:rsidR="000702CB" w:rsidRPr="00554FAF" w:rsidRDefault="000702CB" w:rsidP="000702CB">
            <w:pPr>
              <w:pStyle w:val="Default"/>
              <w:spacing w:after="60"/>
              <w:ind w:right="-122"/>
              <w:jc w:val="both"/>
              <w:rPr>
                <w:lang w:val="sq-AL"/>
              </w:rPr>
            </w:pPr>
            <w:r w:rsidRPr="00554FAF">
              <w:rPr>
                <w:b/>
                <w:bCs/>
                <w:lang w:val="sq-AL"/>
              </w:rPr>
              <w:t xml:space="preserve">Probabiliteti (i ulët ose i lartë) </w:t>
            </w:r>
          </w:p>
        </w:tc>
        <w:tc>
          <w:tcPr>
            <w:tcW w:w="4410" w:type="dxa"/>
            <w:shd w:val="clear" w:color="auto" w:fill="auto"/>
          </w:tcPr>
          <w:p w14:paraId="5D315E6C" w14:textId="77777777" w:rsidR="000702CB" w:rsidRPr="00554FAF" w:rsidRDefault="000702CB" w:rsidP="000702CB">
            <w:pPr>
              <w:pStyle w:val="Default"/>
              <w:spacing w:after="60"/>
              <w:jc w:val="both"/>
              <w:rPr>
                <w:lang w:val="sq-AL"/>
              </w:rPr>
            </w:pPr>
            <w:r w:rsidRPr="00554FAF">
              <w:rPr>
                <w:b/>
                <w:bCs/>
                <w:lang w:val="sq-AL"/>
              </w:rPr>
              <w:t xml:space="preserve">Veprimi lehtësues i planifikuar </w:t>
            </w:r>
          </w:p>
        </w:tc>
      </w:tr>
      <w:tr w:rsidR="000702CB" w:rsidRPr="00554FAF" w14:paraId="1848944D" w14:textId="77777777" w:rsidTr="003A7429">
        <w:tc>
          <w:tcPr>
            <w:tcW w:w="3415" w:type="dxa"/>
            <w:shd w:val="clear" w:color="auto" w:fill="auto"/>
          </w:tcPr>
          <w:p w14:paraId="07E931BD" w14:textId="77777777" w:rsidR="000702CB" w:rsidRPr="00554FAF" w:rsidRDefault="000702CB" w:rsidP="000702CB">
            <w:pPr>
              <w:pStyle w:val="Default"/>
              <w:spacing w:after="60"/>
              <w:jc w:val="both"/>
              <w:rPr>
                <w:lang w:val="sq-AL"/>
              </w:rPr>
            </w:pPr>
            <w:r w:rsidRPr="00554FAF">
              <w:rPr>
                <w:lang w:val="sq-AL"/>
              </w:rPr>
              <w:t xml:space="preserve">Moszbatimi i kurrikulës bërthamë në nivel nacional </w:t>
            </w:r>
          </w:p>
        </w:tc>
        <w:tc>
          <w:tcPr>
            <w:tcW w:w="1530" w:type="dxa"/>
            <w:shd w:val="clear" w:color="auto" w:fill="auto"/>
          </w:tcPr>
          <w:p w14:paraId="1825C2BB" w14:textId="77777777" w:rsidR="000702CB" w:rsidRPr="00554FAF" w:rsidRDefault="000702CB" w:rsidP="000702CB">
            <w:pPr>
              <w:pStyle w:val="Default"/>
              <w:spacing w:after="60"/>
              <w:jc w:val="both"/>
              <w:rPr>
                <w:lang w:val="sq-AL"/>
              </w:rPr>
            </w:pPr>
            <w:r w:rsidRPr="00554FAF">
              <w:rPr>
                <w:lang w:val="sq-AL"/>
              </w:rPr>
              <w:t>I ulët</w:t>
            </w:r>
          </w:p>
        </w:tc>
        <w:tc>
          <w:tcPr>
            <w:tcW w:w="4410" w:type="dxa"/>
            <w:shd w:val="clear" w:color="auto" w:fill="auto"/>
          </w:tcPr>
          <w:p w14:paraId="7BAC33B5" w14:textId="034CA16C" w:rsidR="000702CB" w:rsidRPr="00554FAF" w:rsidRDefault="000702CB" w:rsidP="000702CB">
            <w:pPr>
              <w:pStyle w:val="Default"/>
              <w:spacing w:after="60"/>
              <w:jc w:val="both"/>
              <w:rPr>
                <w:color w:val="auto"/>
                <w:lang w:val="sq-AL"/>
              </w:rPr>
            </w:pPr>
            <w:r w:rsidRPr="00554FAF">
              <w:rPr>
                <w:color w:val="auto"/>
                <w:lang w:val="sq-AL"/>
              </w:rPr>
              <w:t>MASHT duhet t</w:t>
            </w:r>
            <w:r w:rsidRPr="00554FAF">
              <w:rPr>
                <w:lang w:val="sq-AL"/>
              </w:rPr>
              <w:t xml:space="preserve">ë sigurohet se do të veprojë shpejtë pas fazës së pilotimit të kurrikulës bërthamë, duke e angazhuar ekipin përkatës për vlerësimin e fazës së pilotimit dhe nxjerrjen e shpejtë të gjetjeve dhe konkluzave. </w:t>
            </w:r>
            <w:r w:rsidRPr="00554FAF">
              <w:rPr>
                <w:color w:val="auto"/>
                <w:lang w:val="sq-AL"/>
              </w:rPr>
              <w:t>Për më tepër, MASHT duhet të sigurojë</w:t>
            </w:r>
            <w:r w:rsidR="0068349C" w:rsidRPr="00554FAF">
              <w:rPr>
                <w:color w:val="auto"/>
                <w:lang w:val="sq-AL"/>
              </w:rPr>
              <w:t xml:space="preserve"> </w:t>
            </w:r>
            <w:r w:rsidRPr="00554FAF">
              <w:rPr>
                <w:color w:val="auto"/>
                <w:lang w:val="sq-AL"/>
              </w:rPr>
              <w:t>bashkëpunim ndërmjet mësimdhënësve gjatë zbatimit të kurrikulave bërthamë  në mënyrë që të maksimizojë suksesin</w:t>
            </w:r>
            <w:r w:rsidR="0068349C" w:rsidRPr="00554FAF">
              <w:rPr>
                <w:color w:val="auto"/>
                <w:lang w:val="sq-AL"/>
              </w:rPr>
              <w:t>.</w:t>
            </w:r>
            <w:r w:rsidRPr="00554FAF">
              <w:rPr>
                <w:color w:val="auto"/>
                <w:lang w:val="sq-AL"/>
              </w:rPr>
              <w:t xml:space="preserve"> </w:t>
            </w:r>
          </w:p>
        </w:tc>
      </w:tr>
      <w:tr w:rsidR="000702CB" w:rsidRPr="00554FAF" w14:paraId="1418553F" w14:textId="77777777" w:rsidTr="003A7429">
        <w:tc>
          <w:tcPr>
            <w:tcW w:w="3415" w:type="dxa"/>
            <w:shd w:val="clear" w:color="auto" w:fill="auto"/>
          </w:tcPr>
          <w:p w14:paraId="336E1707" w14:textId="77777777" w:rsidR="000702CB" w:rsidRPr="00554FAF" w:rsidRDefault="000702CB" w:rsidP="000702CB">
            <w:pPr>
              <w:pStyle w:val="Default"/>
              <w:spacing w:after="60"/>
              <w:jc w:val="both"/>
              <w:rPr>
                <w:lang w:val="sq-AL"/>
              </w:rPr>
            </w:pPr>
            <w:r w:rsidRPr="00554FAF">
              <w:rPr>
                <w:lang w:val="sq-AL"/>
              </w:rPr>
              <w:t xml:space="preserve">Mosrealizimi i investimeve infrastrukturore </w:t>
            </w:r>
          </w:p>
        </w:tc>
        <w:tc>
          <w:tcPr>
            <w:tcW w:w="1530" w:type="dxa"/>
            <w:shd w:val="clear" w:color="auto" w:fill="auto"/>
          </w:tcPr>
          <w:p w14:paraId="21764535" w14:textId="77777777" w:rsidR="000702CB" w:rsidRPr="00554FAF" w:rsidRDefault="000702CB" w:rsidP="000702CB">
            <w:pPr>
              <w:pStyle w:val="Default"/>
              <w:spacing w:after="60"/>
              <w:jc w:val="both"/>
              <w:rPr>
                <w:lang w:val="sq-AL"/>
              </w:rPr>
            </w:pPr>
            <w:r w:rsidRPr="00554FAF">
              <w:rPr>
                <w:lang w:val="sq-AL"/>
              </w:rPr>
              <w:t>I lartë</w:t>
            </w:r>
          </w:p>
        </w:tc>
        <w:tc>
          <w:tcPr>
            <w:tcW w:w="4410" w:type="dxa"/>
            <w:shd w:val="clear" w:color="auto" w:fill="auto"/>
          </w:tcPr>
          <w:p w14:paraId="5149B7AD" w14:textId="77777777" w:rsidR="000702CB" w:rsidRPr="00554FAF" w:rsidRDefault="000702CB" w:rsidP="000702CB">
            <w:pPr>
              <w:pStyle w:val="Default"/>
              <w:spacing w:after="60"/>
              <w:jc w:val="both"/>
              <w:rPr>
                <w:color w:val="auto"/>
                <w:lang w:val="sq-AL"/>
              </w:rPr>
            </w:pPr>
            <w:r w:rsidRPr="00554FAF">
              <w:rPr>
                <w:color w:val="auto"/>
                <w:lang w:val="sq-AL"/>
              </w:rPr>
              <w:t>MASHT t</w:t>
            </w:r>
            <w:r w:rsidRPr="00554FAF">
              <w:rPr>
                <w:lang w:val="sq-AL"/>
              </w:rPr>
              <w:t>ë sigurojë se procesi i pranimit teknik të kryhet pa vonesa.</w:t>
            </w:r>
          </w:p>
        </w:tc>
      </w:tr>
    </w:tbl>
    <w:p w14:paraId="048B0CDC" w14:textId="77777777" w:rsidR="000702CB" w:rsidRPr="00554FAF" w:rsidRDefault="000702CB" w:rsidP="000702CB">
      <w:pPr>
        <w:spacing w:after="60" w:line="240" w:lineRule="auto"/>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0702CB" w:rsidRPr="00554FAF" w14:paraId="6ED5C8F5" w14:textId="77777777" w:rsidTr="003A7429">
        <w:tc>
          <w:tcPr>
            <w:tcW w:w="9350" w:type="dxa"/>
            <w:shd w:val="clear" w:color="auto" w:fill="5B9BD5"/>
          </w:tcPr>
          <w:p w14:paraId="65790586" w14:textId="2DD952F9" w:rsidR="000702CB" w:rsidRPr="00554FAF" w:rsidRDefault="000702CB" w:rsidP="000702CB">
            <w:pPr>
              <w:spacing w:after="60" w:line="240" w:lineRule="auto"/>
              <w:jc w:val="both"/>
              <w:rPr>
                <w:rFonts w:ascii="Times New Roman" w:hAnsi="Times New Roman" w:cs="Times New Roman"/>
                <w:b/>
                <w:sz w:val="24"/>
                <w:szCs w:val="24"/>
              </w:rPr>
            </w:pPr>
            <w:r w:rsidRPr="00554FAF">
              <w:rPr>
                <w:rFonts w:ascii="Times New Roman" w:hAnsi="Times New Roman" w:cs="Times New Roman"/>
                <w:b/>
                <w:bCs/>
                <w:sz w:val="24"/>
                <w:szCs w:val="24"/>
              </w:rPr>
              <w:t xml:space="preserve">Masa e reformës #17: </w:t>
            </w:r>
            <w:r w:rsidR="0068349C" w:rsidRPr="00554FAF">
              <w:rPr>
                <w:rFonts w:ascii="Times New Roman" w:hAnsi="Times New Roman" w:cs="Times New Roman"/>
                <w:b/>
                <w:bCs/>
                <w:sz w:val="24"/>
                <w:szCs w:val="24"/>
              </w:rPr>
              <w:t>Zbatimi i kornizës së re kurrikulare në sistemin e edukimit dhe aftësimit profesional</w:t>
            </w:r>
            <w:r w:rsidRPr="00554FAF">
              <w:rPr>
                <w:rFonts w:ascii="Times New Roman" w:hAnsi="Times New Roman" w:cs="Times New Roman"/>
                <w:b/>
                <w:sz w:val="24"/>
                <w:szCs w:val="24"/>
              </w:rPr>
              <w:t xml:space="preserve"> </w:t>
            </w:r>
            <w:r w:rsidR="0068349C" w:rsidRPr="00554FAF">
              <w:rPr>
                <w:rFonts w:ascii="Times New Roman" w:hAnsi="Times New Roman" w:cs="Times New Roman"/>
                <w:b/>
                <w:sz w:val="24"/>
                <w:szCs w:val="24"/>
              </w:rPr>
              <w:t xml:space="preserve"> </w:t>
            </w:r>
          </w:p>
        </w:tc>
      </w:tr>
    </w:tbl>
    <w:p w14:paraId="1A8B52B2" w14:textId="2A4354D6" w:rsidR="000702CB" w:rsidRPr="00554FAF" w:rsidRDefault="000702CB"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b/>
          <w:sz w:val="24"/>
          <w:szCs w:val="24"/>
        </w:rPr>
        <w:t xml:space="preserve">1. Përshkrimi i masës: </w:t>
      </w:r>
      <w:r w:rsidRPr="00554FAF">
        <w:rPr>
          <w:rFonts w:ascii="Times New Roman" w:hAnsi="Times New Roman" w:cs="Times New Roman"/>
          <w:sz w:val="24"/>
          <w:szCs w:val="24"/>
        </w:rPr>
        <w:t>Masa synon ngritjen e përputhshmërisë së arsimit dhe aftësimit profesional me kërkesat e tregut të punës. Realizimi i masës bazohet në miratimin e kurrikulës bazë në fushën e arsimit dhe aftësimit profesional (AAP)</w:t>
      </w:r>
      <w:r w:rsidR="0068349C" w:rsidRPr="00554FAF">
        <w:rPr>
          <w:rFonts w:ascii="Times New Roman" w:hAnsi="Times New Roman" w:cs="Times New Roman"/>
          <w:sz w:val="24"/>
          <w:szCs w:val="24"/>
        </w:rPr>
        <w:t xml:space="preserve">, </w:t>
      </w:r>
      <w:r w:rsidRPr="00554FAF">
        <w:rPr>
          <w:rFonts w:ascii="Times New Roman" w:hAnsi="Times New Roman" w:cs="Times New Roman"/>
          <w:sz w:val="24"/>
          <w:szCs w:val="24"/>
        </w:rPr>
        <w:t>revidimin e formulës së financimit të AAP dhe fillimin e pilotimit të kurrikulës së re nga institucionet e AAP-së. Masa mbështetet në Strategjinë Kombëtare të Zhvillimit (SKZH) dhe Planin Strategjik të Arsimit në Kosovë (PSAK). Kjo masë është formuluar si përgjigje ndaj pengesave strukturore në fushën e arsimit dhe shkathtësive, të cilat lidhen me mospërputhshmërinë e sistemit të arsimit me nevojat e tregut të punës. Sipas sondazhit STEP (Skills To</w:t>
      </w:r>
      <w:r w:rsidR="0068349C" w:rsidRPr="00554FAF">
        <w:rPr>
          <w:rFonts w:ascii="Times New Roman" w:hAnsi="Times New Roman" w:cs="Times New Roman"/>
          <w:sz w:val="24"/>
          <w:szCs w:val="24"/>
        </w:rPr>
        <w:t>w</w:t>
      </w:r>
      <w:r w:rsidRPr="00554FAF">
        <w:rPr>
          <w:rFonts w:ascii="Times New Roman" w:hAnsi="Times New Roman" w:cs="Times New Roman"/>
          <w:sz w:val="24"/>
          <w:szCs w:val="24"/>
        </w:rPr>
        <w:t>ard Employment and Productivity) i Banka Botërore, 2015</w:t>
      </w:r>
      <w:r w:rsidR="0068349C" w:rsidRPr="00554FAF">
        <w:rPr>
          <w:rFonts w:ascii="Times New Roman" w:hAnsi="Times New Roman" w:cs="Times New Roman"/>
          <w:sz w:val="24"/>
          <w:szCs w:val="24"/>
        </w:rPr>
        <w:t>-</w:t>
      </w:r>
      <w:r w:rsidRPr="00554FAF">
        <w:rPr>
          <w:rFonts w:ascii="Times New Roman" w:hAnsi="Times New Roman" w:cs="Times New Roman"/>
          <w:sz w:val="24"/>
          <w:szCs w:val="24"/>
        </w:rPr>
        <w:t>2016, tre të katërtat e kompanive në Kosovë hasin në vështirësi në punësimin e menaxherëve, profesionistëve</w:t>
      </w:r>
      <w:r w:rsidR="0068349C" w:rsidRPr="00554FAF">
        <w:rPr>
          <w:rFonts w:ascii="Times New Roman" w:hAnsi="Times New Roman" w:cs="Times New Roman"/>
          <w:sz w:val="24"/>
          <w:szCs w:val="24"/>
        </w:rPr>
        <w:t xml:space="preserve"> </w:t>
      </w:r>
      <w:r w:rsidRPr="00554FAF">
        <w:rPr>
          <w:rFonts w:ascii="Times New Roman" w:hAnsi="Times New Roman" w:cs="Times New Roman"/>
          <w:sz w:val="24"/>
          <w:szCs w:val="24"/>
        </w:rPr>
        <w:t>dhe teknikëve. Ndaras, Raporti “Job Diagnostic” 2017 i BB nënvizon se 43% e ndërmarrjeve  të mëdha e shohin arsimin joadekuat si pengesë serioze. Mospërputhja e lartë e shkathtësive me nevojat e ekonomisë posaçërisht minon aktivitetet ekonomike me vlerë të shtuar. Masa vijon nga cikli i mëhershëm, gjatë së cilës janë miratuar 7 nga 25 standarde të profesionit nga Autoriteti Kombëtar i Kualifikimeve (AKK). Në procesin paraprijës të definimit të formulës së financimit për institucionet e AAP-së, janë definuar kostot lidhur me mbi 20 profile. Duhet theksuar se formula aktuale e financimit të  AAP bazohet në financimin e institucioneve të AAP-së përmes një alokimi paushall, pa bërë dallimin midis ndryshimeve në kostot sa i përket drejtimit të profileve të ndryshme të AAP-së. Përpilimi i materialeve mësimore varet nga finalizimi dhe miratimi i kornizës së re në fushën e AAP-së. MASHT ka identifikuar shkollat profesionale për sigurimin e pajisjeve adekuate për profilet prioritare, ndërkaq donatorët kanë pajisur 14 profile të institucioneve publike të AAP-së. MASHT po ashtu ka nënshkruar mbi 50 marrëveshje me shkollat dhe bizneset për zbatimin e mësimit në vendin e punës</w:t>
      </w:r>
      <w:r w:rsidR="0068349C" w:rsidRPr="00554FAF">
        <w:rPr>
          <w:rFonts w:ascii="Times New Roman" w:hAnsi="Times New Roman" w:cs="Times New Roman"/>
          <w:sz w:val="24"/>
          <w:szCs w:val="24"/>
        </w:rPr>
        <w:t>,</w:t>
      </w:r>
      <w:r w:rsidRPr="00554FAF">
        <w:rPr>
          <w:rFonts w:ascii="Times New Roman" w:hAnsi="Times New Roman" w:cs="Times New Roman"/>
          <w:sz w:val="24"/>
          <w:szCs w:val="24"/>
        </w:rPr>
        <w:t xml:space="preserve"> një nismë e re e filluar së fundmi me Open Data Kosova, e financuar nga Millennium Challenge Corporation në bashkëpunim me Odën Ekonomike të Kosovës (Platforma digjitale “Vendi i Punës i së Ardhmes”, e cila fokusohet në TIK dhe synon të mbledhë dhe ofrojë të dhëna për  politikëbërësit dhe palët e interesit lidhur me kërkesat e tregut dhe rëndësinë e profileve të trajnimit të TIK-ut. Prandaj</w:t>
      </w:r>
      <w:r w:rsidR="0068349C" w:rsidRPr="00554FAF">
        <w:rPr>
          <w:rFonts w:ascii="Times New Roman" w:hAnsi="Times New Roman" w:cs="Times New Roman"/>
          <w:sz w:val="24"/>
          <w:szCs w:val="24"/>
        </w:rPr>
        <w:t>,</w:t>
      </w:r>
      <w:r w:rsidRPr="00554FAF">
        <w:rPr>
          <w:rFonts w:ascii="Times New Roman" w:hAnsi="Times New Roman" w:cs="Times New Roman"/>
          <w:sz w:val="24"/>
          <w:szCs w:val="24"/>
        </w:rPr>
        <w:t xml:space="preserve"> edhe aktiviteti përkatës është planifikuar në këtë drejtim.</w:t>
      </w:r>
    </w:p>
    <w:p w14:paraId="6DF03B85" w14:textId="77777777" w:rsidR="000702CB" w:rsidRPr="00554FAF" w:rsidRDefault="000702CB" w:rsidP="000702CB">
      <w:pPr>
        <w:autoSpaceDE w:val="0"/>
        <w:autoSpaceDN w:val="0"/>
        <w:adjustRightInd w:val="0"/>
        <w:spacing w:after="60" w:line="240" w:lineRule="auto"/>
        <w:jc w:val="both"/>
        <w:rPr>
          <w:rFonts w:ascii="Times New Roman" w:hAnsi="Times New Roman" w:cs="Times New Roman"/>
          <w:b/>
          <w:color w:val="000000"/>
          <w:sz w:val="24"/>
          <w:szCs w:val="24"/>
        </w:rPr>
      </w:pPr>
      <w:r w:rsidRPr="00554FAF">
        <w:rPr>
          <w:rFonts w:ascii="Times New Roman" w:hAnsi="Times New Roman" w:cs="Times New Roman"/>
          <w:b/>
          <w:color w:val="000000"/>
          <w:sz w:val="24"/>
          <w:szCs w:val="24"/>
        </w:rPr>
        <w:t>a. Aktivitetet e planifikuara për 2020:</w:t>
      </w:r>
    </w:p>
    <w:p w14:paraId="34285ABF" w14:textId="741A671D" w:rsidR="000702CB" w:rsidRPr="00554FAF" w:rsidRDefault="000702CB" w:rsidP="00730ACA">
      <w:pPr>
        <w:pStyle w:val="ListParagraph"/>
        <w:numPr>
          <w:ilvl w:val="0"/>
          <w:numId w:val="17"/>
        </w:numPr>
        <w:autoSpaceDE w:val="0"/>
        <w:autoSpaceDN w:val="0"/>
        <w:adjustRightInd w:val="0"/>
        <w:spacing w:after="60" w:line="240" w:lineRule="auto"/>
        <w:contextualSpacing w:val="0"/>
        <w:jc w:val="both"/>
        <w:rPr>
          <w:rFonts w:ascii="Times New Roman" w:hAnsi="Times New Roman" w:cs="Times New Roman"/>
          <w:bCs/>
          <w:iCs/>
          <w:color w:val="000000"/>
          <w:sz w:val="24"/>
          <w:szCs w:val="24"/>
        </w:rPr>
      </w:pPr>
      <w:r w:rsidRPr="00554FAF">
        <w:rPr>
          <w:rFonts w:ascii="Times New Roman" w:hAnsi="Times New Roman" w:cs="Times New Roman"/>
          <w:bCs/>
          <w:iCs/>
          <w:color w:val="000000"/>
          <w:sz w:val="24"/>
          <w:szCs w:val="24"/>
        </w:rPr>
        <w:t>Miratimi i Kornizës së Kurrikulës për sistemin e AAP-së</w:t>
      </w:r>
      <w:r w:rsidR="0068349C" w:rsidRPr="00554FAF">
        <w:rPr>
          <w:rFonts w:ascii="Times New Roman" w:hAnsi="Times New Roman" w:cs="Times New Roman"/>
          <w:bCs/>
          <w:iCs/>
          <w:color w:val="000000"/>
          <w:sz w:val="24"/>
          <w:szCs w:val="24"/>
        </w:rPr>
        <w:t>;</w:t>
      </w:r>
      <w:r w:rsidRPr="00554FAF">
        <w:rPr>
          <w:rFonts w:ascii="Times New Roman" w:hAnsi="Times New Roman" w:cs="Times New Roman"/>
          <w:bCs/>
          <w:iCs/>
          <w:color w:val="000000"/>
          <w:sz w:val="24"/>
          <w:szCs w:val="24"/>
        </w:rPr>
        <w:t xml:space="preserve"> (MASHT)</w:t>
      </w:r>
    </w:p>
    <w:p w14:paraId="0B2E2DED" w14:textId="33F2A76A" w:rsidR="000702CB" w:rsidRPr="00554FAF" w:rsidRDefault="000702CB" w:rsidP="00730ACA">
      <w:pPr>
        <w:pStyle w:val="ListParagraph"/>
        <w:numPr>
          <w:ilvl w:val="0"/>
          <w:numId w:val="17"/>
        </w:numPr>
        <w:autoSpaceDE w:val="0"/>
        <w:autoSpaceDN w:val="0"/>
        <w:adjustRightInd w:val="0"/>
        <w:spacing w:after="60" w:line="240" w:lineRule="auto"/>
        <w:contextualSpacing w:val="0"/>
        <w:jc w:val="both"/>
        <w:rPr>
          <w:rFonts w:ascii="Times New Roman" w:hAnsi="Times New Roman" w:cs="Times New Roman"/>
          <w:bCs/>
          <w:iCs/>
          <w:color w:val="000000"/>
          <w:sz w:val="24"/>
          <w:szCs w:val="24"/>
        </w:rPr>
      </w:pPr>
      <w:r w:rsidRPr="00554FAF">
        <w:rPr>
          <w:rFonts w:ascii="Times New Roman" w:hAnsi="Times New Roman" w:cs="Times New Roman"/>
          <w:bCs/>
          <w:iCs/>
          <w:color w:val="000000"/>
          <w:sz w:val="24"/>
          <w:szCs w:val="24"/>
        </w:rPr>
        <w:t>Trajnimi i 70 mësimdhënësve si pjesë e programit Trajnimi i Trajnerëve (TiT) dhe përpilimi i udhëzuesve për zbatim të kurrikulës bërthamë</w:t>
      </w:r>
      <w:r w:rsidR="0068349C" w:rsidRPr="00554FAF">
        <w:rPr>
          <w:rFonts w:ascii="Times New Roman" w:hAnsi="Times New Roman" w:cs="Times New Roman"/>
          <w:bCs/>
          <w:iCs/>
          <w:color w:val="000000"/>
          <w:sz w:val="24"/>
          <w:szCs w:val="24"/>
        </w:rPr>
        <w:t>;</w:t>
      </w:r>
      <w:r w:rsidRPr="00554FAF">
        <w:rPr>
          <w:rFonts w:ascii="Times New Roman" w:hAnsi="Times New Roman" w:cs="Times New Roman"/>
          <w:bCs/>
          <w:iCs/>
          <w:color w:val="000000"/>
          <w:sz w:val="24"/>
          <w:szCs w:val="24"/>
        </w:rPr>
        <w:t xml:space="preserve"> (MASHT)</w:t>
      </w:r>
    </w:p>
    <w:p w14:paraId="05A49D17" w14:textId="7F0D6C4A" w:rsidR="000702CB" w:rsidRPr="00554FAF" w:rsidRDefault="000702CB" w:rsidP="00730ACA">
      <w:pPr>
        <w:pStyle w:val="ListParagraph"/>
        <w:numPr>
          <w:ilvl w:val="0"/>
          <w:numId w:val="17"/>
        </w:numPr>
        <w:autoSpaceDE w:val="0"/>
        <w:autoSpaceDN w:val="0"/>
        <w:adjustRightInd w:val="0"/>
        <w:spacing w:after="60" w:line="240" w:lineRule="auto"/>
        <w:contextualSpacing w:val="0"/>
        <w:jc w:val="both"/>
        <w:rPr>
          <w:rFonts w:ascii="Times New Roman" w:hAnsi="Times New Roman" w:cs="Times New Roman"/>
          <w:bCs/>
          <w:iCs/>
          <w:color w:val="000000"/>
          <w:sz w:val="24"/>
          <w:szCs w:val="24"/>
        </w:rPr>
      </w:pPr>
      <w:r w:rsidRPr="00554FAF">
        <w:rPr>
          <w:rFonts w:ascii="Times New Roman" w:hAnsi="Times New Roman" w:cs="Times New Roman"/>
          <w:bCs/>
          <w:iCs/>
          <w:color w:val="000000"/>
          <w:sz w:val="24"/>
          <w:szCs w:val="24"/>
        </w:rPr>
        <w:t>Zhvillimi i materialeve mësimore bazuar në kurrikulën e re bërthamë të AAP-së për klasën 10</w:t>
      </w:r>
      <w:r w:rsidR="0068349C" w:rsidRPr="00554FAF">
        <w:rPr>
          <w:rFonts w:ascii="Times New Roman" w:hAnsi="Times New Roman" w:cs="Times New Roman"/>
          <w:bCs/>
          <w:iCs/>
          <w:color w:val="000000"/>
          <w:sz w:val="24"/>
          <w:szCs w:val="24"/>
        </w:rPr>
        <w:t>;</w:t>
      </w:r>
      <w:r w:rsidRPr="00554FAF">
        <w:rPr>
          <w:rFonts w:ascii="Times New Roman" w:hAnsi="Times New Roman" w:cs="Times New Roman"/>
          <w:bCs/>
          <w:iCs/>
          <w:color w:val="000000"/>
          <w:sz w:val="24"/>
          <w:szCs w:val="24"/>
        </w:rPr>
        <w:t xml:space="preserve"> (MASHT)</w:t>
      </w:r>
    </w:p>
    <w:p w14:paraId="172B337B" w14:textId="41004A78" w:rsidR="000702CB" w:rsidRPr="00554FAF" w:rsidRDefault="000702CB" w:rsidP="00730ACA">
      <w:pPr>
        <w:pStyle w:val="ListParagraph"/>
        <w:numPr>
          <w:ilvl w:val="0"/>
          <w:numId w:val="17"/>
        </w:numPr>
        <w:autoSpaceDE w:val="0"/>
        <w:autoSpaceDN w:val="0"/>
        <w:adjustRightInd w:val="0"/>
        <w:spacing w:after="60" w:line="240" w:lineRule="auto"/>
        <w:contextualSpacing w:val="0"/>
        <w:jc w:val="both"/>
        <w:rPr>
          <w:rFonts w:ascii="Times New Roman" w:hAnsi="Times New Roman" w:cs="Times New Roman"/>
          <w:bCs/>
          <w:iCs/>
          <w:color w:val="000000"/>
          <w:sz w:val="24"/>
          <w:szCs w:val="24"/>
        </w:rPr>
      </w:pPr>
      <w:r w:rsidRPr="00554FAF">
        <w:rPr>
          <w:rFonts w:ascii="Times New Roman" w:hAnsi="Times New Roman" w:cs="Times New Roman"/>
          <w:bCs/>
          <w:iCs/>
          <w:color w:val="000000"/>
          <w:sz w:val="24"/>
          <w:szCs w:val="24"/>
        </w:rPr>
        <w:t>Pilotimi i kurrikulës së re bërthamë (në të gjitha profilet e AAP-së) në 18 shkolla të klasës së 10-të</w:t>
      </w:r>
      <w:r w:rsidR="0068349C" w:rsidRPr="00554FAF">
        <w:rPr>
          <w:rFonts w:ascii="Times New Roman" w:hAnsi="Times New Roman" w:cs="Times New Roman"/>
          <w:bCs/>
          <w:iCs/>
          <w:color w:val="000000"/>
          <w:sz w:val="24"/>
          <w:szCs w:val="24"/>
        </w:rPr>
        <w:t>;</w:t>
      </w:r>
      <w:r w:rsidRPr="00554FAF">
        <w:rPr>
          <w:rFonts w:ascii="Times New Roman" w:hAnsi="Times New Roman" w:cs="Times New Roman"/>
          <w:bCs/>
          <w:iCs/>
          <w:color w:val="000000"/>
          <w:sz w:val="24"/>
          <w:szCs w:val="24"/>
        </w:rPr>
        <w:t xml:space="preserve"> (MASHT)</w:t>
      </w:r>
    </w:p>
    <w:p w14:paraId="6F62AB08" w14:textId="4335B389" w:rsidR="000702CB" w:rsidRPr="00554FAF" w:rsidRDefault="000702CB" w:rsidP="00730ACA">
      <w:pPr>
        <w:pStyle w:val="ListParagraph"/>
        <w:numPr>
          <w:ilvl w:val="0"/>
          <w:numId w:val="17"/>
        </w:numPr>
        <w:autoSpaceDE w:val="0"/>
        <w:autoSpaceDN w:val="0"/>
        <w:adjustRightInd w:val="0"/>
        <w:spacing w:after="60" w:line="240" w:lineRule="auto"/>
        <w:contextualSpacing w:val="0"/>
        <w:jc w:val="both"/>
        <w:rPr>
          <w:rFonts w:ascii="Times New Roman" w:hAnsi="Times New Roman" w:cs="Times New Roman"/>
          <w:bCs/>
          <w:iCs/>
          <w:color w:val="000000"/>
          <w:sz w:val="24"/>
          <w:szCs w:val="24"/>
        </w:rPr>
      </w:pPr>
      <w:r w:rsidRPr="00554FAF">
        <w:rPr>
          <w:rFonts w:ascii="Times New Roman" w:hAnsi="Times New Roman" w:cs="Times New Roman"/>
          <w:bCs/>
          <w:iCs/>
          <w:color w:val="000000"/>
          <w:sz w:val="24"/>
          <w:szCs w:val="24"/>
        </w:rPr>
        <w:t>Rishikimi i formulës së financimit për AAP duke përcaktuar kriteret e financimit të cilat bëhen përmes grantit specifik për arsim</w:t>
      </w:r>
      <w:r w:rsidR="0068349C" w:rsidRPr="00554FAF">
        <w:rPr>
          <w:rFonts w:ascii="Times New Roman" w:hAnsi="Times New Roman" w:cs="Times New Roman"/>
          <w:bCs/>
          <w:iCs/>
          <w:color w:val="000000"/>
          <w:sz w:val="24"/>
          <w:szCs w:val="24"/>
        </w:rPr>
        <w:t>;</w:t>
      </w:r>
      <w:r w:rsidRPr="00554FAF">
        <w:rPr>
          <w:rFonts w:ascii="Times New Roman" w:hAnsi="Times New Roman" w:cs="Times New Roman"/>
          <w:bCs/>
          <w:iCs/>
          <w:color w:val="000000"/>
          <w:sz w:val="24"/>
          <w:szCs w:val="24"/>
        </w:rPr>
        <w:t xml:space="preserve"> (MASHT)</w:t>
      </w:r>
    </w:p>
    <w:p w14:paraId="37483856" w14:textId="24DC6A42" w:rsidR="000702CB" w:rsidRPr="00554FAF" w:rsidRDefault="000702CB" w:rsidP="00730ACA">
      <w:pPr>
        <w:pStyle w:val="ListParagraph"/>
        <w:numPr>
          <w:ilvl w:val="0"/>
          <w:numId w:val="17"/>
        </w:numPr>
        <w:autoSpaceDE w:val="0"/>
        <w:autoSpaceDN w:val="0"/>
        <w:adjustRightInd w:val="0"/>
        <w:spacing w:after="60" w:line="240" w:lineRule="auto"/>
        <w:contextualSpacing w:val="0"/>
        <w:jc w:val="both"/>
        <w:rPr>
          <w:rFonts w:ascii="Times New Roman" w:hAnsi="Times New Roman" w:cs="Times New Roman"/>
          <w:bCs/>
          <w:iCs/>
          <w:color w:val="000000"/>
          <w:sz w:val="24"/>
          <w:szCs w:val="24"/>
        </w:rPr>
      </w:pPr>
      <w:r w:rsidRPr="00554FAF">
        <w:rPr>
          <w:rFonts w:ascii="Times New Roman" w:hAnsi="Times New Roman" w:cs="Times New Roman"/>
          <w:bCs/>
          <w:iCs/>
          <w:color w:val="000000"/>
          <w:sz w:val="24"/>
          <w:szCs w:val="24"/>
        </w:rPr>
        <w:t xml:space="preserve">Hartimi dhe miratimi i udhëzimit administrativ për themelimin, funksionalizimin dhe përcaktimin e përgjegjësive të Zyrës për </w:t>
      </w:r>
      <w:r w:rsidR="0068349C" w:rsidRPr="00554FAF">
        <w:rPr>
          <w:rFonts w:ascii="Times New Roman" w:hAnsi="Times New Roman" w:cs="Times New Roman"/>
          <w:bCs/>
          <w:iCs/>
          <w:color w:val="000000"/>
          <w:sz w:val="24"/>
          <w:szCs w:val="24"/>
        </w:rPr>
        <w:t>b</w:t>
      </w:r>
      <w:r w:rsidRPr="00554FAF">
        <w:rPr>
          <w:rFonts w:ascii="Times New Roman" w:hAnsi="Times New Roman" w:cs="Times New Roman"/>
          <w:bCs/>
          <w:iCs/>
          <w:color w:val="000000"/>
          <w:sz w:val="24"/>
          <w:szCs w:val="24"/>
        </w:rPr>
        <w:t xml:space="preserve">ashkëpunim të </w:t>
      </w:r>
      <w:r w:rsidR="0068349C" w:rsidRPr="00554FAF">
        <w:rPr>
          <w:rFonts w:ascii="Times New Roman" w:hAnsi="Times New Roman" w:cs="Times New Roman"/>
          <w:bCs/>
          <w:iCs/>
          <w:color w:val="000000"/>
          <w:sz w:val="24"/>
          <w:szCs w:val="24"/>
        </w:rPr>
        <w:t>e</w:t>
      </w:r>
      <w:r w:rsidRPr="00554FAF">
        <w:rPr>
          <w:rFonts w:ascii="Times New Roman" w:hAnsi="Times New Roman" w:cs="Times New Roman"/>
          <w:bCs/>
          <w:iCs/>
          <w:color w:val="000000"/>
          <w:sz w:val="24"/>
          <w:szCs w:val="24"/>
        </w:rPr>
        <w:t xml:space="preserve">konomisë me </w:t>
      </w:r>
      <w:r w:rsidR="0068349C" w:rsidRPr="00554FAF">
        <w:rPr>
          <w:rFonts w:ascii="Times New Roman" w:hAnsi="Times New Roman" w:cs="Times New Roman"/>
          <w:bCs/>
          <w:iCs/>
          <w:color w:val="000000"/>
          <w:sz w:val="24"/>
          <w:szCs w:val="24"/>
        </w:rPr>
        <w:t>a</w:t>
      </w:r>
      <w:r w:rsidRPr="00554FAF">
        <w:rPr>
          <w:rFonts w:ascii="Times New Roman" w:hAnsi="Times New Roman" w:cs="Times New Roman"/>
          <w:bCs/>
          <w:iCs/>
          <w:color w:val="000000"/>
          <w:sz w:val="24"/>
          <w:szCs w:val="24"/>
        </w:rPr>
        <w:t xml:space="preserve">rsimin dhe </w:t>
      </w:r>
      <w:r w:rsidR="0068349C" w:rsidRPr="00554FAF">
        <w:rPr>
          <w:rFonts w:ascii="Times New Roman" w:hAnsi="Times New Roman" w:cs="Times New Roman"/>
          <w:bCs/>
          <w:iCs/>
          <w:color w:val="000000"/>
          <w:sz w:val="24"/>
          <w:szCs w:val="24"/>
        </w:rPr>
        <w:t>a</w:t>
      </w:r>
      <w:r w:rsidRPr="00554FAF">
        <w:rPr>
          <w:rFonts w:ascii="Times New Roman" w:hAnsi="Times New Roman" w:cs="Times New Roman"/>
          <w:bCs/>
          <w:iCs/>
          <w:color w:val="000000"/>
          <w:sz w:val="24"/>
          <w:szCs w:val="24"/>
        </w:rPr>
        <w:t xml:space="preserve">ftësimin </w:t>
      </w:r>
      <w:r w:rsidR="0068349C" w:rsidRPr="00554FAF">
        <w:rPr>
          <w:rFonts w:ascii="Times New Roman" w:hAnsi="Times New Roman" w:cs="Times New Roman"/>
          <w:bCs/>
          <w:iCs/>
          <w:color w:val="000000"/>
          <w:sz w:val="24"/>
          <w:szCs w:val="24"/>
        </w:rPr>
        <w:t>p</w:t>
      </w:r>
      <w:r w:rsidRPr="00554FAF">
        <w:rPr>
          <w:rFonts w:ascii="Times New Roman" w:hAnsi="Times New Roman" w:cs="Times New Roman"/>
          <w:bCs/>
          <w:iCs/>
          <w:color w:val="000000"/>
          <w:sz w:val="24"/>
          <w:szCs w:val="24"/>
        </w:rPr>
        <w:t>rofesional</w:t>
      </w:r>
      <w:r w:rsidR="0068349C" w:rsidRPr="00554FAF">
        <w:rPr>
          <w:rFonts w:ascii="Times New Roman" w:hAnsi="Times New Roman" w:cs="Times New Roman"/>
          <w:bCs/>
          <w:iCs/>
          <w:color w:val="000000"/>
          <w:sz w:val="24"/>
          <w:szCs w:val="24"/>
        </w:rPr>
        <w:t>;</w:t>
      </w:r>
      <w:r w:rsidRPr="00554FAF">
        <w:rPr>
          <w:rFonts w:ascii="Times New Roman" w:hAnsi="Times New Roman" w:cs="Times New Roman"/>
          <w:bCs/>
          <w:iCs/>
          <w:color w:val="000000"/>
          <w:sz w:val="24"/>
          <w:szCs w:val="24"/>
        </w:rPr>
        <w:t xml:space="preserve"> (ZBEAAP) (MASHT)</w:t>
      </w:r>
    </w:p>
    <w:p w14:paraId="68A5FA68" w14:textId="00E9C417" w:rsidR="000702CB" w:rsidRPr="00554FAF" w:rsidRDefault="000702CB" w:rsidP="00730ACA">
      <w:pPr>
        <w:pStyle w:val="ListParagraph"/>
        <w:numPr>
          <w:ilvl w:val="0"/>
          <w:numId w:val="17"/>
        </w:numPr>
        <w:autoSpaceDE w:val="0"/>
        <w:autoSpaceDN w:val="0"/>
        <w:adjustRightInd w:val="0"/>
        <w:spacing w:after="60" w:line="240" w:lineRule="auto"/>
        <w:contextualSpacing w:val="0"/>
        <w:jc w:val="both"/>
        <w:rPr>
          <w:rFonts w:ascii="Times New Roman" w:hAnsi="Times New Roman" w:cs="Times New Roman"/>
          <w:bCs/>
          <w:iCs/>
          <w:color w:val="000000"/>
          <w:sz w:val="24"/>
          <w:szCs w:val="24"/>
        </w:rPr>
      </w:pPr>
      <w:r w:rsidRPr="00554FAF">
        <w:rPr>
          <w:rFonts w:ascii="Times New Roman" w:hAnsi="Times New Roman" w:cs="Times New Roman"/>
          <w:bCs/>
          <w:iCs/>
          <w:color w:val="000000"/>
          <w:sz w:val="24"/>
          <w:szCs w:val="24"/>
        </w:rPr>
        <w:t>Hartimi dhe miratimi i udhëzimit administrativ për vlerësimin e studentëve të AAP-së, përmes inkuadrimit të përfaqësuesve të punëdhënësve</w:t>
      </w:r>
      <w:r w:rsidR="0068349C" w:rsidRPr="00554FAF">
        <w:rPr>
          <w:rFonts w:ascii="Times New Roman" w:hAnsi="Times New Roman" w:cs="Times New Roman"/>
          <w:bCs/>
          <w:iCs/>
          <w:color w:val="000000"/>
          <w:sz w:val="24"/>
          <w:szCs w:val="24"/>
        </w:rPr>
        <w:t>;</w:t>
      </w:r>
      <w:r w:rsidRPr="00554FAF">
        <w:rPr>
          <w:rFonts w:ascii="Times New Roman" w:hAnsi="Times New Roman" w:cs="Times New Roman"/>
          <w:bCs/>
          <w:iCs/>
          <w:color w:val="000000"/>
          <w:sz w:val="24"/>
          <w:szCs w:val="24"/>
        </w:rPr>
        <w:t xml:space="preserve"> (MASHT)</w:t>
      </w:r>
    </w:p>
    <w:p w14:paraId="42844657" w14:textId="42B7054F" w:rsidR="000702CB" w:rsidRPr="00554FAF" w:rsidRDefault="000702CB" w:rsidP="00730ACA">
      <w:pPr>
        <w:pStyle w:val="ListParagraph"/>
        <w:numPr>
          <w:ilvl w:val="0"/>
          <w:numId w:val="17"/>
        </w:numPr>
        <w:autoSpaceDE w:val="0"/>
        <w:autoSpaceDN w:val="0"/>
        <w:adjustRightInd w:val="0"/>
        <w:spacing w:after="60" w:line="240" w:lineRule="auto"/>
        <w:contextualSpacing w:val="0"/>
        <w:jc w:val="both"/>
        <w:rPr>
          <w:rFonts w:ascii="Times New Roman" w:hAnsi="Times New Roman" w:cs="Times New Roman"/>
          <w:bCs/>
          <w:iCs/>
          <w:color w:val="000000"/>
          <w:sz w:val="24"/>
          <w:szCs w:val="24"/>
        </w:rPr>
      </w:pPr>
      <w:r w:rsidRPr="00554FAF">
        <w:rPr>
          <w:rFonts w:ascii="Times New Roman" w:hAnsi="Times New Roman" w:cs="Times New Roman"/>
          <w:bCs/>
          <w:iCs/>
          <w:color w:val="000000"/>
          <w:sz w:val="24"/>
          <w:szCs w:val="24"/>
        </w:rPr>
        <w:t>Pilotimi i platformës digjitale në fushën e TIK dhe dy fusha tjera</w:t>
      </w:r>
      <w:r w:rsidR="0068349C" w:rsidRPr="00554FAF">
        <w:rPr>
          <w:rFonts w:ascii="Times New Roman" w:hAnsi="Times New Roman" w:cs="Times New Roman"/>
          <w:bCs/>
          <w:iCs/>
          <w:color w:val="000000"/>
          <w:sz w:val="24"/>
          <w:szCs w:val="24"/>
        </w:rPr>
        <w:t>;</w:t>
      </w:r>
      <w:r w:rsidRPr="00554FAF">
        <w:rPr>
          <w:rFonts w:ascii="Times New Roman" w:hAnsi="Times New Roman" w:cs="Times New Roman"/>
          <w:bCs/>
          <w:iCs/>
          <w:color w:val="000000"/>
          <w:sz w:val="24"/>
          <w:szCs w:val="24"/>
        </w:rPr>
        <w:t xml:space="preserve"> (MASHT/MTI/ATK)</w:t>
      </w:r>
    </w:p>
    <w:p w14:paraId="678B5A49" w14:textId="77777777" w:rsidR="000702CB" w:rsidRPr="00554FAF" w:rsidRDefault="000702CB" w:rsidP="000702CB">
      <w:pPr>
        <w:autoSpaceDE w:val="0"/>
        <w:autoSpaceDN w:val="0"/>
        <w:adjustRightInd w:val="0"/>
        <w:spacing w:after="60" w:line="240" w:lineRule="auto"/>
        <w:jc w:val="both"/>
        <w:rPr>
          <w:rFonts w:ascii="Times New Roman" w:hAnsi="Times New Roman" w:cs="Times New Roman"/>
          <w:b/>
          <w:color w:val="000000"/>
          <w:sz w:val="24"/>
          <w:szCs w:val="24"/>
        </w:rPr>
      </w:pPr>
      <w:r w:rsidRPr="00554FAF">
        <w:rPr>
          <w:rFonts w:ascii="Times New Roman" w:hAnsi="Times New Roman" w:cs="Times New Roman"/>
          <w:b/>
          <w:color w:val="000000"/>
          <w:sz w:val="24"/>
          <w:szCs w:val="24"/>
        </w:rPr>
        <w:t xml:space="preserve">b. Aktivitetet e planifikuara për 2021: </w:t>
      </w:r>
    </w:p>
    <w:p w14:paraId="681384D3" w14:textId="02537CF9" w:rsidR="000702CB" w:rsidRPr="00554FAF" w:rsidRDefault="000702CB" w:rsidP="00730ACA">
      <w:pPr>
        <w:pStyle w:val="ListParagraph"/>
        <w:numPr>
          <w:ilvl w:val="0"/>
          <w:numId w:val="18"/>
        </w:numPr>
        <w:autoSpaceDE w:val="0"/>
        <w:autoSpaceDN w:val="0"/>
        <w:adjustRightInd w:val="0"/>
        <w:spacing w:after="60" w:line="240" w:lineRule="auto"/>
        <w:contextualSpacing w:val="0"/>
        <w:jc w:val="both"/>
        <w:rPr>
          <w:rFonts w:ascii="Times New Roman" w:hAnsi="Times New Roman" w:cs="Times New Roman"/>
          <w:bCs/>
          <w:iCs/>
          <w:color w:val="000000"/>
          <w:sz w:val="24"/>
          <w:szCs w:val="24"/>
        </w:rPr>
      </w:pPr>
      <w:r w:rsidRPr="00554FAF">
        <w:rPr>
          <w:rFonts w:ascii="Times New Roman" w:hAnsi="Times New Roman" w:cs="Times New Roman"/>
          <w:bCs/>
          <w:iCs/>
          <w:color w:val="000000"/>
          <w:sz w:val="24"/>
          <w:szCs w:val="24"/>
        </w:rPr>
        <w:t>Rishikimi i kurrikulës bërthamë të pilotuar të klasës 10</w:t>
      </w:r>
      <w:r w:rsidR="0068349C" w:rsidRPr="00554FAF">
        <w:rPr>
          <w:rFonts w:ascii="Times New Roman" w:hAnsi="Times New Roman" w:cs="Times New Roman"/>
          <w:bCs/>
          <w:iCs/>
          <w:color w:val="000000"/>
          <w:sz w:val="24"/>
          <w:szCs w:val="24"/>
        </w:rPr>
        <w:t>;</w:t>
      </w:r>
      <w:r w:rsidRPr="00554FAF">
        <w:rPr>
          <w:rFonts w:ascii="Times New Roman" w:hAnsi="Times New Roman" w:cs="Times New Roman"/>
          <w:bCs/>
          <w:iCs/>
          <w:color w:val="000000"/>
          <w:sz w:val="24"/>
          <w:szCs w:val="24"/>
        </w:rPr>
        <w:t xml:space="preserve"> (MASHT)</w:t>
      </w:r>
    </w:p>
    <w:p w14:paraId="4FDB787B" w14:textId="57EE04B1" w:rsidR="000702CB" w:rsidRPr="00554FAF" w:rsidRDefault="000702CB" w:rsidP="00730ACA">
      <w:pPr>
        <w:pStyle w:val="ListParagraph"/>
        <w:numPr>
          <w:ilvl w:val="0"/>
          <w:numId w:val="18"/>
        </w:numPr>
        <w:autoSpaceDE w:val="0"/>
        <w:autoSpaceDN w:val="0"/>
        <w:adjustRightInd w:val="0"/>
        <w:spacing w:after="60" w:line="240" w:lineRule="auto"/>
        <w:contextualSpacing w:val="0"/>
        <w:jc w:val="both"/>
        <w:rPr>
          <w:rFonts w:ascii="Times New Roman" w:hAnsi="Times New Roman" w:cs="Times New Roman"/>
          <w:bCs/>
          <w:iCs/>
          <w:color w:val="000000"/>
          <w:sz w:val="24"/>
          <w:szCs w:val="24"/>
        </w:rPr>
      </w:pPr>
      <w:r w:rsidRPr="00554FAF">
        <w:rPr>
          <w:rFonts w:ascii="Times New Roman" w:hAnsi="Times New Roman" w:cs="Times New Roman"/>
          <w:bCs/>
          <w:iCs/>
          <w:color w:val="000000"/>
          <w:sz w:val="24"/>
          <w:szCs w:val="24"/>
        </w:rPr>
        <w:t>Trajnimi i 1,500 mësimdhënësve për zbatimin e kurrikulës bërthamë për klasën 10</w:t>
      </w:r>
      <w:r w:rsidR="0068349C" w:rsidRPr="00554FAF">
        <w:rPr>
          <w:rFonts w:ascii="Times New Roman" w:hAnsi="Times New Roman" w:cs="Times New Roman"/>
          <w:bCs/>
          <w:iCs/>
          <w:color w:val="000000"/>
          <w:sz w:val="24"/>
          <w:szCs w:val="24"/>
        </w:rPr>
        <w:t>;</w:t>
      </w:r>
      <w:r w:rsidRPr="00554FAF">
        <w:rPr>
          <w:rFonts w:ascii="Times New Roman" w:hAnsi="Times New Roman" w:cs="Times New Roman"/>
          <w:bCs/>
          <w:iCs/>
          <w:color w:val="000000"/>
          <w:sz w:val="24"/>
          <w:szCs w:val="24"/>
        </w:rPr>
        <w:t xml:space="preserve"> (MASHT)</w:t>
      </w:r>
    </w:p>
    <w:p w14:paraId="31A9DAC1" w14:textId="6A7255C1" w:rsidR="000702CB" w:rsidRPr="00554FAF" w:rsidRDefault="000702CB" w:rsidP="00730ACA">
      <w:pPr>
        <w:pStyle w:val="ListParagraph"/>
        <w:numPr>
          <w:ilvl w:val="0"/>
          <w:numId w:val="18"/>
        </w:numPr>
        <w:autoSpaceDE w:val="0"/>
        <w:autoSpaceDN w:val="0"/>
        <w:adjustRightInd w:val="0"/>
        <w:spacing w:after="60" w:line="240" w:lineRule="auto"/>
        <w:contextualSpacing w:val="0"/>
        <w:jc w:val="both"/>
        <w:rPr>
          <w:rFonts w:ascii="Times New Roman" w:hAnsi="Times New Roman" w:cs="Times New Roman"/>
          <w:bCs/>
          <w:iCs/>
          <w:color w:val="000000"/>
          <w:sz w:val="24"/>
          <w:szCs w:val="24"/>
        </w:rPr>
      </w:pPr>
      <w:r w:rsidRPr="00554FAF">
        <w:rPr>
          <w:rFonts w:ascii="Times New Roman" w:hAnsi="Times New Roman" w:cs="Times New Roman"/>
          <w:bCs/>
          <w:iCs/>
          <w:color w:val="000000"/>
          <w:sz w:val="24"/>
          <w:szCs w:val="24"/>
        </w:rPr>
        <w:t>Zbatimi i kurrikulës bërthamë të klasës 10 në të gjitha 70 institucione të aftësimit dhe arsimit profesionalë</w:t>
      </w:r>
      <w:r w:rsidR="0068349C" w:rsidRPr="00554FAF">
        <w:rPr>
          <w:rFonts w:ascii="Times New Roman" w:hAnsi="Times New Roman" w:cs="Times New Roman"/>
          <w:bCs/>
          <w:iCs/>
          <w:color w:val="000000"/>
          <w:sz w:val="24"/>
          <w:szCs w:val="24"/>
        </w:rPr>
        <w:t>;</w:t>
      </w:r>
      <w:r w:rsidRPr="00554FAF">
        <w:rPr>
          <w:rFonts w:ascii="Times New Roman" w:hAnsi="Times New Roman" w:cs="Times New Roman"/>
          <w:bCs/>
          <w:iCs/>
          <w:color w:val="000000"/>
          <w:sz w:val="24"/>
          <w:szCs w:val="24"/>
        </w:rPr>
        <w:t xml:space="preserve"> (IAAP) (MASHT)</w:t>
      </w:r>
    </w:p>
    <w:p w14:paraId="5C39F04F" w14:textId="6136E8E5" w:rsidR="000702CB" w:rsidRPr="00554FAF" w:rsidRDefault="000702CB" w:rsidP="00730ACA">
      <w:pPr>
        <w:pStyle w:val="ListParagraph"/>
        <w:numPr>
          <w:ilvl w:val="0"/>
          <w:numId w:val="18"/>
        </w:numPr>
        <w:autoSpaceDE w:val="0"/>
        <w:autoSpaceDN w:val="0"/>
        <w:adjustRightInd w:val="0"/>
        <w:spacing w:after="60" w:line="240" w:lineRule="auto"/>
        <w:contextualSpacing w:val="0"/>
        <w:jc w:val="both"/>
        <w:rPr>
          <w:rFonts w:ascii="Times New Roman" w:hAnsi="Times New Roman" w:cs="Times New Roman"/>
          <w:bCs/>
          <w:iCs/>
          <w:color w:val="000000"/>
          <w:sz w:val="24"/>
          <w:szCs w:val="24"/>
        </w:rPr>
      </w:pPr>
      <w:r w:rsidRPr="00554FAF">
        <w:rPr>
          <w:rFonts w:ascii="Times New Roman" w:hAnsi="Times New Roman" w:cs="Times New Roman"/>
          <w:bCs/>
          <w:iCs/>
          <w:color w:val="000000"/>
          <w:sz w:val="24"/>
          <w:szCs w:val="24"/>
        </w:rPr>
        <w:t>Zhvillimi i materialeve mësimore bazuar në kurrikulën e re bërthamë të AAP-së për klasën 11</w:t>
      </w:r>
      <w:r w:rsidR="0068349C" w:rsidRPr="00554FAF">
        <w:rPr>
          <w:rFonts w:ascii="Times New Roman" w:hAnsi="Times New Roman" w:cs="Times New Roman"/>
          <w:bCs/>
          <w:iCs/>
          <w:color w:val="000000"/>
          <w:sz w:val="24"/>
          <w:szCs w:val="24"/>
        </w:rPr>
        <w:t>;</w:t>
      </w:r>
      <w:r w:rsidRPr="00554FAF">
        <w:rPr>
          <w:rFonts w:ascii="Times New Roman" w:hAnsi="Times New Roman" w:cs="Times New Roman"/>
          <w:bCs/>
          <w:iCs/>
          <w:color w:val="000000"/>
          <w:sz w:val="24"/>
          <w:szCs w:val="24"/>
        </w:rPr>
        <w:t xml:space="preserve"> (MASHT)</w:t>
      </w:r>
    </w:p>
    <w:p w14:paraId="35C4EA81" w14:textId="12918DEF" w:rsidR="000702CB" w:rsidRPr="00554FAF" w:rsidRDefault="000702CB" w:rsidP="00730ACA">
      <w:pPr>
        <w:pStyle w:val="ListParagraph"/>
        <w:numPr>
          <w:ilvl w:val="0"/>
          <w:numId w:val="18"/>
        </w:numPr>
        <w:autoSpaceDE w:val="0"/>
        <w:autoSpaceDN w:val="0"/>
        <w:adjustRightInd w:val="0"/>
        <w:spacing w:after="60" w:line="240" w:lineRule="auto"/>
        <w:contextualSpacing w:val="0"/>
        <w:jc w:val="both"/>
        <w:rPr>
          <w:rFonts w:ascii="Times New Roman" w:hAnsi="Times New Roman" w:cs="Times New Roman"/>
          <w:bCs/>
          <w:iCs/>
          <w:color w:val="000000"/>
          <w:sz w:val="24"/>
          <w:szCs w:val="24"/>
        </w:rPr>
      </w:pPr>
      <w:r w:rsidRPr="00554FAF">
        <w:rPr>
          <w:rFonts w:ascii="Times New Roman" w:hAnsi="Times New Roman" w:cs="Times New Roman"/>
          <w:bCs/>
          <w:iCs/>
          <w:color w:val="000000"/>
          <w:sz w:val="24"/>
          <w:szCs w:val="24"/>
        </w:rPr>
        <w:t>Pilotimi i kurrikulës së re bërthamë (në të gjitha profilet e AAP-së) në 18 shkolla të klasës së 11-të</w:t>
      </w:r>
      <w:r w:rsidR="0068349C" w:rsidRPr="00554FAF">
        <w:rPr>
          <w:rFonts w:ascii="Times New Roman" w:hAnsi="Times New Roman" w:cs="Times New Roman"/>
          <w:bCs/>
          <w:iCs/>
          <w:color w:val="000000"/>
          <w:sz w:val="24"/>
          <w:szCs w:val="24"/>
        </w:rPr>
        <w:t>;</w:t>
      </w:r>
      <w:r w:rsidRPr="00554FAF">
        <w:rPr>
          <w:rFonts w:ascii="Times New Roman" w:hAnsi="Times New Roman" w:cs="Times New Roman"/>
          <w:bCs/>
          <w:iCs/>
          <w:color w:val="000000"/>
          <w:sz w:val="24"/>
          <w:szCs w:val="24"/>
        </w:rPr>
        <w:t xml:space="preserve"> (MASHT)</w:t>
      </w:r>
    </w:p>
    <w:p w14:paraId="5E652E9A" w14:textId="74FEBD26" w:rsidR="000702CB" w:rsidRPr="00554FAF" w:rsidRDefault="000702CB" w:rsidP="00730ACA">
      <w:pPr>
        <w:pStyle w:val="ListParagraph"/>
        <w:numPr>
          <w:ilvl w:val="0"/>
          <w:numId w:val="18"/>
        </w:numPr>
        <w:autoSpaceDE w:val="0"/>
        <w:autoSpaceDN w:val="0"/>
        <w:adjustRightInd w:val="0"/>
        <w:spacing w:after="60" w:line="240" w:lineRule="auto"/>
        <w:contextualSpacing w:val="0"/>
        <w:jc w:val="both"/>
        <w:rPr>
          <w:rFonts w:ascii="Times New Roman" w:hAnsi="Times New Roman" w:cs="Times New Roman"/>
          <w:bCs/>
          <w:iCs/>
          <w:color w:val="000000"/>
          <w:sz w:val="24"/>
          <w:szCs w:val="24"/>
        </w:rPr>
      </w:pPr>
      <w:r w:rsidRPr="00554FAF">
        <w:rPr>
          <w:rFonts w:ascii="Times New Roman" w:hAnsi="Times New Roman" w:cs="Times New Roman"/>
          <w:bCs/>
          <w:iCs/>
          <w:color w:val="000000"/>
          <w:sz w:val="24"/>
          <w:szCs w:val="24"/>
        </w:rPr>
        <w:t>Themelimi i ZBEAAP-së dhe rekrutimi i udhëheqësit të saj</w:t>
      </w:r>
      <w:r w:rsidR="00F251A2" w:rsidRPr="00554FAF">
        <w:rPr>
          <w:rFonts w:ascii="Times New Roman" w:hAnsi="Times New Roman" w:cs="Times New Roman"/>
          <w:bCs/>
          <w:iCs/>
          <w:color w:val="000000"/>
          <w:sz w:val="24"/>
          <w:szCs w:val="24"/>
        </w:rPr>
        <w:t>;</w:t>
      </w:r>
      <w:r w:rsidRPr="00554FAF">
        <w:rPr>
          <w:rFonts w:ascii="Times New Roman" w:hAnsi="Times New Roman" w:cs="Times New Roman"/>
          <w:bCs/>
          <w:iCs/>
          <w:color w:val="000000"/>
          <w:sz w:val="24"/>
          <w:szCs w:val="24"/>
        </w:rPr>
        <w:t xml:space="preserve"> (MASHT)</w:t>
      </w:r>
    </w:p>
    <w:p w14:paraId="6AB9BEAE" w14:textId="6BAB44E7" w:rsidR="000702CB" w:rsidRPr="00554FAF" w:rsidRDefault="000702CB" w:rsidP="00730ACA">
      <w:pPr>
        <w:pStyle w:val="ListParagraph"/>
        <w:numPr>
          <w:ilvl w:val="0"/>
          <w:numId w:val="18"/>
        </w:numPr>
        <w:autoSpaceDE w:val="0"/>
        <w:autoSpaceDN w:val="0"/>
        <w:adjustRightInd w:val="0"/>
        <w:spacing w:after="60" w:line="240" w:lineRule="auto"/>
        <w:contextualSpacing w:val="0"/>
        <w:jc w:val="both"/>
        <w:rPr>
          <w:rFonts w:ascii="Times New Roman" w:hAnsi="Times New Roman" w:cs="Times New Roman"/>
          <w:bCs/>
          <w:iCs/>
          <w:color w:val="000000"/>
          <w:sz w:val="24"/>
          <w:szCs w:val="24"/>
        </w:rPr>
      </w:pPr>
      <w:r w:rsidRPr="00554FAF">
        <w:rPr>
          <w:rFonts w:ascii="Times New Roman" w:hAnsi="Times New Roman" w:cs="Times New Roman"/>
          <w:bCs/>
          <w:iCs/>
          <w:color w:val="000000"/>
          <w:sz w:val="24"/>
          <w:szCs w:val="24"/>
        </w:rPr>
        <w:t>Funksionalizimi i platformës digjitale për planifikimin e shkathtësive për tregun e punës në fushën e TIK përmes zgjerimit të të dhënave të bizneseve të TIK-ut</w:t>
      </w:r>
      <w:r w:rsidR="00F251A2" w:rsidRPr="00554FAF">
        <w:rPr>
          <w:rFonts w:ascii="Times New Roman" w:hAnsi="Times New Roman" w:cs="Times New Roman"/>
          <w:bCs/>
          <w:iCs/>
          <w:color w:val="000000"/>
          <w:sz w:val="24"/>
          <w:szCs w:val="24"/>
        </w:rPr>
        <w:t>;</w:t>
      </w:r>
      <w:r w:rsidRPr="00554FAF">
        <w:rPr>
          <w:rFonts w:ascii="Times New Roman" w:hAnsi="Times New Roman" w:cs="Times New Roman"/>
          <w:bCs/>
          <w:iCs/>
          <w:color w:val="000000"/>
          <w:sz w:val="24"/>
          <w:szCs w:val="24"/>
        </w:rPr>
        <w:t xml:space="preserve"> (MASHT/MTI/ATK)</w:t>
      </w:r>
    </w:p>
    <w:p w14:paraId="72D51943" w14:textId="3EE975C6" w:rsidR="000702CB" w:rsidRPr="00554FAF" w:rsidRDefault="000702CB" w:rsidP="00730ACA">
      <w:pPr>
        <w:pStyle w:val="ListParagraph"/>
        <w:numPr>
          <w:ilvl w:val="0"/>
          <w:numId w:val="18"/>
        </w:numPr>
        <w:autoSpaceDE w:val="0"/>
        <w:autoSpaceDN w:val="0"/>
        <w:adjustRightInd w:val="0"/>
        <w:spacing w:after="60" w:line="240" w:lineRule="auto"/>
        <w:contextualSpacing w:val="0"/>
        <w:jc w:val="both"/>
        <w:rPr>
          <w:rFonts w:ascii="Times New Roman" w:hAnsi="Times New Roman" w:cs="Times New Roman"/>
          <w:bCs/>
          <w:iCs/>
          <w:color w:val="000000"/>
          <w:sz w:val="24"/>
          <w:szCs w:val="24"/>
        </w:rPr>
      </w:pPr>
      <w:r w:rsidRPr="00554FAF">
        <w:rPr>
          <w:rFonts w:ascii="Times New Roman" w:hAnsi="Times New Roman" w:cs="Times New Roman"/>
          <w:bCs/>
          <w:iCs/>
          <w:color w:val="000000"/>
          <w:sz w:val="24"/>
          <w:szCs w:val="24"/>
        </w:rPr>
        <w:t xml:space="preserve">Hapja e Qendrës së </w:t>
      </w:r>
      <w:r w:rsidR="00F251A2" w:rsidRPr="00554FAF">
        <w:rPr>
          <w:rFonts w:ascii="Times New Roman" w:hAnsi="Times New Roman" w:cs="Times New Roman"/>
          <w:bCs/>
          <w:iCs/>
          <w:color w:val="000000"/>
          <w:sz w:val="24"/>
          <w:szCs w:val="24"/>
        </w:rPr>
        <w:t>k</w:t>
      </w:r>
      <w:r w:rsidRPr="00554FAF">
        <w:rPr>
          <w:rFonts w:ascii="Times New Roman" w:hAnsi="Times New Roman" w:cs="Times New Roman"/>
          <w:bCs/>
          <w:iCs/>
          <w:color w:val="000000"/>
          <w:sz w:val="24"/>
          <w:szCs w:val="24"/>
        </w:rPr>
        <w:t>ompetencës në Prishtinë në fushën e TIK-ut</w:t>
      </w:r>
      <w:r w:rsidR="00F251A2" w:rsidRPr="00554FAF">
        <w:rPr>
          <w:rFonts w:ascii="Times New Roman" w:hAnsi="Times New Roman" w:cs="Times New Roman"/>
          <w:bCs/>
          <w:iCs/>
          <w:color w:val="000000"/>
          <w:sz w:val="24"/>
          <w:szCs w:val="24"/>
        </w:rPr>
        <w:t>;</w:t>
      </w:r>
      <w:r w:rsidRPr="00554FAF">
        <w:rPr>
          <w:rFonts w:ascii="Times New Roman" w:hAnsi="Times New Roman" w:cs="Times New Roman"/>
          <w:bCs/>
          <w:iCs/>
          <w:color w:val="000000"/>
          <w:sz w:val="24"/>
          <w:szCs w:val="24"/>
        </w:rPr>
        <w:t xml:space="preserve"> (MASHT)</w:t>
      </w:r>
    </w:p>
    <w:p w14:paraId="7437096F" w14:textId="25FAD88B" w:rsidR="000702CB" w:rsidRPr="00554FAF" w:rsidRDefault="000702CB" w:rsidP="00730ACA">
      <w:pPr>
        <w:pStyle w:val="ListParagraph"/>
        <w:numPr>
          <w:ilvl w:val="0"/>
          <w:numId w:val="18"/>
        </w:numPr>
        <w:autoSpaceDE w:val="0"/>
        <w:autoSpaceDN w:val="0"/>
        <w:adjustRightInd w:val="0"/>
        <w:spacing w:after="60" w:line="240" w:lineRule="auto"/>
        <w:contextualSpacing w:val="0"/>
        <w:jc w:val="both"/>
        <w:rPr>
          <w:rFonts w:ascii="Times New Roman" w:hAnsi="Times New Roman" w:cs="Times New Roman"/>
          <w:bCs/>
          <w:iCs/>
          <w:color w:val="000000"/>
          <w:sz w:val="24"/>
          <w:szCs w:val="24"/>
        </w:rPr>
      </w:pPr>
      <w:r w:rsidRPr="00554FAF">
        <w:rPr>
          <w:rFonts w:ascii="Times New Roman" w:hAnsi="Times New Roman" w:cs="Times New Roman"/>
          <w:bCs/>
          <w:iCs/>
          <w:color w:val="000000"/>
          <w:sz w:val="24"/>
          <w:szCs w:val="24"/>
        </w:rPr>
        <w:t>Miratimi dhe zbatimi i rregullores për sigurinë në punë</w:t>
      </w:r>
      <w:r w:rsidR="00F251A2" w:rsidRPr="00554FAF">
        <w:rPr>
          <w:rFonts w:ascii="Times New Roman" w:hAnsi="Times New Roman" w:cs="Times New Roman"/>
          <w:bCs/>
          <w:iCs/>
          <w:color w:val="000000"/>
          <w:sz w:val="24"/>
          <w:szCs w:val="24"/>
        </w:rPr>
        <w:t>;</w:t>
      </w:r>
      <w:r w:rsidRPr="00554FAF">
        <w:rPr>
          <w:rFonts w:ascii="Times New Roman" w:hAnsi="Times New Roman" w:cs="Times New Roman"/>
          <w:bCs/>
          <w:iCs/>
          <w:color w:val="000000"/>
          <w:sz w:val="24"/>
          <w:szCs w:val="24"/>
        </w:rPr>
        <w:t xml:space="preserve"> (MASHT/MPMS). </w:t>
      </w:r>
    </w:p>
    <w:p w14:paraId="7E71EF51" w14:textId="77777777" w:rsidR="000702CB" w:rsidRPr="00554FAF" w:rsidRDefault="000702CB" w:rsidP="000702CB">
      <w:pPr>
        <w:autoSpaceDE w:val="0"/>
        <w:autoSpaceDN w:val="0"/>
        <w:adjustRightInd w:val="0"/>
        <w:spacing w:after="60" w:line="240" w:lineRule="auto"/>
        <w:jc w:val="both"/>
        <w:rPr>
          <w:rFonts w:ascii="Times New Roman" w:hAnsi="Times New Roman" w:cs="Times New Roman"/>
          <w:b/>
          <w:color w:val="000000"/>
          <w:sz w:val="24"/>
          <w:szCs w:val="24"/>
        </w:rPr>
      </w:pPr>
      <w:r w:rsidRPr="00554FAF">
        <w:rPr>
          <w:rFonts w:ascii="Times New Roman" w:hAnsi="Times New Roman" w:cs="Times New Roman"/>
          <w:b/>
          <w:color w:val="000000"/>
          <w:sz w:val="24"/>
          <w:szCs w:val="24"/>
        </w:rPr>
        <w:t xml:space="preserve">c. Aktivitetet e planifikuara për 2022: </w:t>
      </w:r>
    </w:p>
    <w:p w14:paraId="73F6EA56" w14:textId="1D5806B2" w:rsidR="000702CB" w:rsidRPr="00554FAF" w:rsidRDefault="000702CB" w:rsidP="00730ACA">
      <w:pPr>
        <w:pStyle w:val="ListParagraph"/>
        <w:numPr>
          <w:ilvl w:val="0"/>
          <w:numId w:val="19"/>
        </w:numPr>
        <w:autoSpaceDE w:val="0"/>
        <w:autoSpaceDN w:val="0"/>
        <w:adjustRightInd w:val="0"/>
        <w:spacing w:after="60" w:line="240" w:lineRule="auto"/>
        <w:contextualSpacing w:val="0"/>
        <w:jc w:val="both"/>
        <w:rPr>
          <w:rFonts w:ascii="Times New Roman" w:hAnsi="Times New Roman" w:cs="Times New Roman"/>
          <w:bCs/>
          <w:iCs/>
          <w:color w:val="000000"/>
          <w:sz w:val="24"/>
          <w:szCs w:val="24"/>
        </w:rPr>
      </w:pPr>
      <w:r w:rsidRPr="00554FAF">
        <w:rPr>
          <w:rFonts w:ascii="Times New Roman" w:hAnsi="Times New Roman" w:cs="Times New Roman"/>
          <w:bCs/>
          <w:iCs/>
          <w:color w:val="000000"/>
          <w:sz w:val="24"/>
          <w:szCs w:val="24"/>
        </w:rPr>
        <w:t>Rishikimi i kurrikulës bërthamë të pilotuar të klasës 11</w:t>
      </w:r>
      <w:r w:rsidR="00F251A2" w:rsidRPr="00554FAF">
        <w:rPr>
          <w:rFonts w:ascii="Times New Roman" w:hAnsi="Times New Roman" w:cs="Times New Roman"/>
          <w:bCs/>
          <w:iCs/>
          <w:color w:val="000000"/>
          <w:sz w:val="24"/>
          <w:szCs w:val="24"/>
        </w:rPr>
        <w:t>;</w:t>
      </w:r>
      <w:r w:rsidRPr="00554FAF">
        <w:rPr>
          <w:rFonts w:ascii="Times New Roman" w:hAnsi="Times New Roman" w:cs="Times New Roman"/>
          <w:bCs/>
          <w:iCs/>
          <w:color w:val="000000"/>
          <w:sz w:val="24"/>
          <w:szCs w:val="24"/>
        </w:rPr>
        <w:t xml:space="preserve"> (MASHT)</w:t>
      </w:r>
    </w:p>
    <w:p w14:paraId="6288E571" w14:textId="5505A55E" w:rsidR="000702CB" w:rsidRPr="00554FAF" w:rsidRDefault="000702CB" w:rsidP="00730ACA">
      <w:pPr>
        <w:pStyle w:val="ListParagraph"/>
        <w:numPr>
          <w:ilvl w:val="0"/>
          <w:numId w:val="19"/>
        </w:numPr>
        <w:autoSpaceDE w:val="0"/>
        <w:autoSpaceDN w:val="0"/>
        <w:adjustRightInd w:val="0"/>
        <w:spacing w:after="60" w:line="240" w:lineRule="auto"/>
        <w:contextualSpacing w:val="0"/>
        <w:jc w:val="both"/>
        <w:rPr>
          <w:rFonts w:ascii="Times New Roman" w:hAnsi="Times New Roman" w:cs="Times New Roman"/>
          <w:bCs/>
          <w:iCs/>
          <w:color w:val="000000"/>
          <w:sz w:val="24"/>
          <w:szCs w:val="24"/>
        </w:rPr>
      </w:pPr>
      <w:r w:rsidRPr="00554FAF">
        <w:rPr>
          <w:rFonts w:ascii="Times New Roman" w:hAnsi="Times New Roman" w:cs="Times New Roman"/>
          <w:bCs/>
          <w:iCs/>
          <w:color w:val="000000"/>
          <w:sz w:val="24"/>
          <w:szCs w:val="24"/>
        </w:rPr>
        <w:t>Trajnimi i 1,500 mësimdhënësve për zbatimin e kurrikulës bërthamë për klasën 11</w:t>
      </w:r>
      <w:r w:rsidR="00F251A2" w:rsidRPr="00554FAF">
        <w:rPr>
          <w:rFonts w:ascii="Times New Roman" w:hAnsi="Times New Roman" w:cs="Times New Roman"/>
          <w:bCs/>
          <w:iCs/>
          <w:color w:val="000000"/>
          <w:sz w:val="24"/>
          <w:szCs w:val="24"/>
        </w:rPr>
        <w:t>;</w:t>
      </w:r>
      <w:r w:rsidRPr="00554FAF">
        <w:rPr>
          <w:rFonts w:ascii="Times New Roman" w:hAnsi="Times New Roman" w:cs="Times New Roman"/>
          <w:bCs/>
          <w:iCs/>
          <w:color w:val="000000"/>
          <w:sz w:val="24"/>
          <w:szCs w:val="24"/>
        </w:rPr>
        <w:t xml:space="preserve"> (MASHT)</w:t>
      </w:r>
    </w:p>
    <w:p w14:paraId="38D71829" w14:textId="54A5E4A8" w:rsidR="000702CB" w:rsidRPr="00554FAF" w:rsidRDefault="000702CB" w:rsidP="00730ACA">
      <w:pPr>
        <w:pStyle w:val="ListParagraph"/>
        <w:numPr>
          <w:ilvl w:val="0"/>
          <w:numId w:val="19"/>
        </w:numPr>
        <w:autoSpaceDE w:val="0"/>
        <w:autoSpaceDN w:val="0"/>
        <w:adjustRightInd w:val="0"/>
        <w:spacing w:after="60" w:line="240" w:lineRule="auto"/>
        <w:contextualSpacing w:val="0"/>
        <w:jc w:val="both"/>
        <w:rPr>
          <w:rFonts w:ascii="Times New Roman" w:hAnsi="Times New Roman" w:cs="Times New Roman"/>
          <w:bCs/>
          <w:iCs/>
          <w:color w:val="000000"/>
          <w:sz w:val="24"/>
          <w:szCs w:val="24"/>
        </w:rPr>
      </w:pPr>
      <w:r w:rsidRPr="00554FAF">
        <w:rPr>
          <w:rFonts w:ascii="Times New Roman" w:hAnsi="Times New Roman" w:cs="Times New Roman"/>
          <w:bCs/>
          <w:iCs/>
          <w:color w:val="000000"/>
          <w:sz w:val="24"/>
          <w:szCs w:val="24"/>
        </w:rPr>
        <w:t>Zbatimi i kurrikulës bërthamë të klasës 11 në të gjitha 70 institucione të aftësimit dhe arsimit profesionalë</w:t>
      </w:r>
      <w:r w:rsidR="00F251A2" w:rsidRPr="00554FAF">
        <w:rPr>
          <w:rFonts w:ascii="Times New Roman" w:hAnsi="Times New Roman" w:cs="Times New Roman"/>
          <w:bCs/>
          <w:iCs/>
          <w:color w:val="000000"/>
          <w:sz w:val="24"/>
          <w:szCs w:val="24"/>
        </w:rPr>
        <w:t>;</w:t>
      </w:r>
      <w:r w:rsidRPr="00554FAF">
        <w:rPr>
          <w:rFonts w:ascii="Times New Roman" w:hAnsi="Times New Roman" w:cs="Times New Roman"/>
          <w:bCs/>
          <w:iCs/>
          <w:color w:val="000000"/>
          <w:sz w:val="24"/>
          <w:szCs w:val="24"/>
        </w:rPr>
        <w:t xml:space="preserve"> (IAAP) (MASHT)</w:t>
      </w:r>
    </w:p>
    <w:p w14:paraId="2EC6BD41" w14:textId="7B41F53E" w:rsidR="000702CB" w:rsidRPr="00554FAF" w:rsidRDefault="000702CB" w:rsidP="00730ACA">
      <w:pPr>
        <w:pStyle w:val="ListParagraph"/>
        <w:numPr>
          <w:ilvl w:val="0"/>
          <w:numId w:val="19"/>
        </w:numPr>
        <w:autoSpaceDE w:val="0"/>
        <w:autoSpaceDN w:val="0"/>
        <w:adjustRightInd w:val="0"/>
        <w:spacing w:after="60" w:line="240" w:lineRule="auto"/>
        <w:contextualSpacing w:val="0"/>
        <w:jc w:val="both"/>
        <w:rPr>
          <w:rFonts w:ascii="Times New Roman" w:hAnsi="Times New Roman" w:cs="Times New Roman"/>
          <w:bCs/>
          <w:iCs/>
          <w:color w:val="000000"/>
          <w:sz w:val="24"/>
          <w:szCs w:val="24"/>
        </w:rPr>
      </w:pPr>
      <w:r w:rsidRPr="00554FAF">
        <w:rPr>
          <w:rFonts w:ascii="Times New Roman" w:hAnsi="Times New Roman" w:cs="Times New Roman"/>
          <w:bCs/>
          <w:iCs/>
          <w:color w:val="000000"/>
          <w:sz w:val="24"/>
          <w:szCs w:val="24"/>
        </w:rPr>
        <w:t>Zhvillimi i materialeve mësimore bazuar në kurrikulën e re bërthamë të AAP-së për klasën 12</w:t>
      </w:r>
      <w:r w:rsidR="00F251A2" w:rsidRPr="00554FAF">
        <w:rPr>
          <w:rFonts w:ascii="Times New Roman" w:hAnsi="Times New Roman" w:cs="Times New Roman"/>
          <w:bCs/>
          <w:iCs/>
          <w:color w:val="000000"/>
          <w:sz w:val="24"/>
          <w:szCs w:val="24"/>
        </w:rPr>
        <w:t>;</w:t>
      </w:r>
      <w:r w:rsidRPr="00554FAF">
        <w:rPr>
          <w:rFonts w:ascii="Times New Roman" w:hAnsi="Times New Roman" w:cs="Times New Roman"/>
          <w:bCs/>
          <w:iCs/>
          <w:color w:val="000000"/>
          <w:sz w:val="24"/>
          <w:szCs w:val="24"/>
        </w:rPr>
        <w:t xml:space="preserve"> (MASHT)</w:t>
      </w:r>
    </w:p>
    <w:p w14:paraId="195730B8" w14:textId="1D35555E" w:rsidR="000702CB" w:rsidRPr="00554FAF" w:rsidRDefault="000702CB" w:rsidP="00730ACA">
      <w:pPr>
        <w:pStyle w:val="ListParagraph"/>
        <w:numPr>
          <w:ilvl w:val="0"/>
          <w:numId w:val="19"/>
        </w:numPr>
        <w:autoSpaceDE w:val="0"/>
        <w:autoSpaceDN w:val="0"/>
        <w:adjustRightInd w:val="0"/>
        <w:spacing w:after="60" w:line="240" w:lineRule="auto"/>
        <w:contextualSpacing w:val="0"/>
        <w:jc w:val="both"/>
        <w:rPr>
          <w:rFonts w:ascii="Times New Roman" w:hAnsi="Times New Roman" w:cs="Times New Roman"/>
          <w:bCs/>
          <w:iCs/>
          <w:color w:val="000000"/>
          <w:sz w:val="24"/>
          <w:szCs w:val="24"/>
        </w:rPr>
      </w:pPr>
      <w:r w:rsidRPr="00554FAF">
        <w:rPr>
          <w:rFonts w:ascii="Times New Roman" w:hAnsi="Times New Roman" w:cs="Times New Roman"/>
          <w:bCs/>
          <w:iCs/>
          <w:color w:val="000000"/>
          <w:sz w:val="24"/>
          <w:szCs w:val="24"/>
        </w:rPr>
        <w:t>Pilotimi i kurrikulës së re bërthamë (në të gjitha profilet e AAP-së) në 18 shkolla të klasës së 12-të</w:t>
      </w:r>
      <w:r w:rsidR="00F251A2" w:rsidRPr="00554FAF">
        <w:rPr>
          <w:rFonts w:ascii="Times New Roman" w:hAnsi="Times New Roman" w:cs="Times New Roman"/>
          <w:bCs/>
          <w:iCs/>
          <w:color w:val="000000"/>
          <w:sz w:val="24"/>
          <w:szCs w:val="24"/>
        </w:rPr>
        <w:t>;</w:t>
      </w:r>
      <w:r w:rsidRPr="00554FAF">
        <w:rPr>
          <w:rFonts w:ascii="Times New Roman" w:hAnsi="Times New Roman" w:cs="Times New Roman"/>
          <w:bCs/>
          <w:iCs/>
          <w:color w:val="000000"/>
          <w:sz w:val="24"/>
          <w:szCs w:val="24"/>
        </w:rPr>
        <w:t xml:space="preserve"> (MASHT).</w:t>
      </w:r>
    </w:p>
    <w:p w14:paraId="40F4CEF9" w14:textId="77777777" w:rsidR="000702CB" w:rsidRPr="00554FAF" w:rsidRDefault="000702CB" w:rsidP="000702CB">
      <w:pPr>
        <w:spacing w:after="60" w:line="240" w:lineRule="auto"/>
        <w:jc w:val="both"/>
        <w:rPr>
          <w:rFonts w:ascii="Times New Roman" w:hAnsi="Times New Roman" w:cs="Times New Roman"/>
          <w:b/>
          <w:sz w:val="24"/>
          <w:szCs w:val="24"/>
        </w:rPr>
      </w:pPr>
      <w:r w:rsidRPr="00554FAF">
        <w:rPr>
          <w:rFonts w:ascii="Times New Roman" w:hAnsi="Times New Roman" w:cs="Times New Roman"/>
          <w:b/>
          <w:sz w:val="24"/>
          <w:szCs w:val="24"/>
        </w:rPr>
        <w:t xml:space="preserve">2. Treguesit e rezultateve </w:t>
      </w:r>
    </w:p>
    <w:tbl>
      <w:tblPr>
        <w:tblpPr w:leftFromText="180" w:rightFromText="180" w:vertAnchor="text" w:horzAnchor="margin" w:tblpY="175"/>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5"/>
        <w:gridCol w:w="1080"/>
        <w:gridCol w:w="2340"/>
        <w:gridCol w:w="1620"/>
      </w:tblGrid>
      <w:tr w:rsidR="000702CB" w:rsidRPr="00554FAF" w14:paraId="7EF4F322" w14:textId="77777777" w:rsidTr="003A7429">
        <w:tc>
          <w:tcPr>
            <w:tcW w:w="4315" w:type="dxa"/>
            <w:shd w:val="clear" w:color="auto" w:fill="auto"/>
          </w:tcPr>
          <w:p w14:paraId="0AB4EEEB" w14:textId="77777777" w:rsidR="000702CB" w:rsidRPr="00554FAF" w:rsidRDefault="000702CB" w:rsidP="000702CB">
            <w:pPr>
              <w:autoSpaceDE w:val="0"/>
              <w:autoSpaceDN w:val="0"/>
              <w:adjustRightInd w:val="0"/>
              <w:spacing w:after="60" w:line="240" w:lineRule="auto"/>
              <w:jc w:val="both"/>
              <w:rPr>
                <w:rFonts w:ascii="Times New Roman" w:hAnsi="Times New Roman" w:cs="Times New Roman"/>
                <w:i/>
                <w:color w:val="000000"/>
                <w:sz w:val="24"/>
                <w:szCs w:val="24"/>
              </w:rPr>
            </w:pPr>
            <w:r w:rsidRPr="00554FAF">
              <w:rPr>
                <w:rFonts w:ascii="Times New Roman" w:hAnsi="Times New Roman" w:cs="Times New Roman"/>
                <w:i/>
                <w:color w:val="000000"/>
                <w:sz w:val="24"/>
                <w:szCs w:val="24"/>
              </w:rPr>
              <w:t xml:space="preserve">Treguesit </w:t>
            </w:r>
          </w:p>
        </w:tc>
        <w:tc>
          <w:tcPr>
            <w:tcW w:w="1080" w:type="dxa"/>
            <w:shd w:val="clear" w:color="auto" w:fill="auto"/>
          </w:tcPr>
          <w:p w14:paraId="5A3E5349" w14:textId="2C6A412A" w:rsidR="000702CB" w:rsidRPr="00554FAF" w:rsidRDefault="00F251A2" w:rsidP="000702CB">
            <w:pPr>
              <w:autoSpaceDE w:val="0"/>
              <w:autoSpaceDN w:val="0"/>
              <w:adjustRightInd w:val="0"/>
              <w:spacing w:after="60" w:line="240" w:lineRule="auto"/>
              <w:jc w:val="both"/>
              <w:rPr>
                <w:rFonts w:ascii="Times New Roman" w:hAnsi="Times New Roman" w:cs="Times New Roman"/>
                <w:color w:val="000000"/>
                <w:sz w:val="24"/>
                <w:szCs w:val="24"/>
              </w:rPr>
            </w:pPr>
            <w:r w:rsidRPr="00554FAF">
              <w:rPr>
                <w:rFonts w:ascii="Times New Roman" w:hAnsi="Times New Roman" w:cs="Times New Roman"/>
                <w:color w:val="000000"/>
                <w:sz w:val="24"/>
                <w:szCs w:val="24"/>
              </w:rPr>
              <w:t>Baza</w:t>
            </w:r>
            <w:r w:rsidR="000702CB" w:rsidRPr="00554FAF">
              <w:rPr>
                <w:rFonts w:ascii="Times New Roman" w:hAnsi="Times New Roman" w:cs="Times New Roman"/>
                <w:color w:val="000000"/>
                <w:sz w:val="24"/>
                <w:szCs w:val="24"/>
              </w:rPr>
              <w:t xml:space="preserve">    2019 </w:t>
            </w:r>
          </w:p>
        </w:tc>
        <w:tc>
          <w:tcPr>
            <w:tcW w:w="2340" w:type="dxa"/>
            <w:shd w:val="clear" w:color="auto" w:fill="auto"/>
          </w:tcPr>
          <w:p w14:paraId="240DEDEA" w14:textId="0352A2A2" w:rsidR="000702CB" w:rsidRPr="00554FAF" w:rsidRDefault="00F251A2" w:rsidP="00754A76">
            <w:pPr>
              <w:autoSpaceDE w:val="0"/>
              <w:autoSpaceDN w:val="0"/>
              <w:adjustRightInd w:val="0"/>
              <w:spacing w:after="60" w:line="240" w:lineRule="auto"/>
              <w:jc w:val="both"/>
              <w:rPr>
                <w:rFonts w:ascii="Times New Roman" w:hAnsi="Times New Roman" w:cs="Times New Roman"/>
                <w:color w:val="000000"/>
                <w:sz w:val="24"/>
                <w:szCs w:val="24"/>
              </w:rPr>
            </w:pPr>
            <w:r w:rsidRPr="00554FAF">
              <w:rPr>
                <w:rFonts w:ascii="Times New Roman" w:hAnsi="Times New Roman" w:cs="Times New Roman"/>
                <w:color w:val="000000"/>
                <w:sz w:val="24"/>
                <w:szCs w:val="24"/>
              </w:rPr>
              <w:t>Synimi</w:t>
            </w:r>
            <w:r w:rsidR="000702CB" w:rsidRPr="00554FAF">
              <w:rPr>
                <w:rFonts w:ascii="Times New Roman" w:hAnsi="Times New Roman" w:cs="Times New Roman"/>
                <w:color w:val="000000"/>
                <w:sz w:val="24"/>
                <w:szCs w:val="24"/>
              </w:rPr>
              <w:t xml:space="preserve"> i ndërmjetëm 2020</w:t>
            </w:r>
          </w:p>
        </w:tc>
        <w:tc>
          <w:tcPr>
            <w:tcW w:w="1620" w:type="dxa"/>
            <w:shd w:val="clear" w:color="auto" w:fill="auto"/>
          </w:tcPr>
          <w:p w14:paraId="456CEE0B" w14:textId="1435C113" w:rsidR="000702CB" w:rsidRPr="00554FAF" w:rsidRDefault="00F251A2" w:rsidP="000702CB">
            <w:pPr>
              <w:autoSpaceDE w:val="0"/>
              <w:autoSpaceDN w:val="0"/>
              <w:adjustRightInd w:val="0"/>
              <w:spacing w:after="60" w:line="240" w:lineRule="auto"/>
              <w:jc w:val="both"/>
              <w:rPr>
                <w:rFonts w:ascii="Times New Roman" w:hAnsi="Times New Roman" w:cs="Times New Roman"/>
                <w:color w:val="000000"/>
                <w:sz w:val="24"/>
                <w:szCs w:val="24"/>
              </w:rPr>
            </w:pPr>
            <w:r w:rsidRPr="00554FAF">
              <w:rPr>
                <w:rFonts w:ascii="Times New Roman" w:hAnsi="Times New Roman" w:cs="Times New Roman"/>
                <w:color w:val="000000"/>
                <w:sz w:val="24"/>
                <w:szCs w:val="24"/>
              </w:rPr>
              <w:t xml:space="preserve">Synimi </w:t>
            </w:r>
            <w:r w:rsidR="000702CB" w:rsidRPr="00554FAF">
              <w:rPr>
                <w:rFonts w:ascii="Times New Roman" w:hAnsi="Times New Roman" w:cs="Times New Roman"/>
                <w:color w:val="000000"/>
                <w:sz w:val="24"/>
                <w:szCs w:val="24"/>
              </w:rPr>
              <w:t>2022</w:t>
            </w:r>
          </w:p>
        </w:tc>
      </w:tr>
      <w:tr w:rsidR="000702CB" w:rsidRPr="00554FAF" w14:paraId="105DABA4" w14:textId="77777777" w:rsidTr="003A7429">
        <w:tc>
          <w:tcPr>
            <w:tcW w:w="4315" w:type="dxa"/>
            <w:shd w:val="clear" w:color="auto" w:fill="auto"/>
          </w:tcPr>
          <w:p w14:paraId="16206913" w14:textId="77777777" w:rsidR="000702CB" w:rsidRPr="00554FAF" w:rsidRDefault="000702CB" w:rsidP="000702CB">
            <w:pPr>
              <w:autoSpaceDE w:val="0"/>
              <w:autoSpaceDN w:val="0"/>
              <w:adjustRightInd w:val="0"/>
              <w:spacing w:after="60" w:line="240" w:lineRule="auto"/>
              <w:jc w:val="both"/>
              <w:rPr>
                <w:rFonts w:ascii="Times New Roman" w:hAnsi="Times New Roman" w:cs="Times New Roman"/>
                <w:color w:val="000000"/>
                <w:sz w:val="24"/>
                <w:szCs w:val="24"/>
              </w:rPr>
            </w:pPr>
            <w:r w:rsidRPr="00554FAF">
              <w:rPr>
                <w:rFonts w:ascii="Times New Roman" w:hAnsi="Times New Roman" w:cs="Times New Roman"/>
                <w:color w:val="000000"/>
                <w:sz w:val="24"/>
                <w:szCs w:val="24"/>
              </w:rPr>
              <w:t>% e institucioneve të arsimit dhe aftësimit profesionalë (IAAP) të cilët zbatojnë kurrikulën bërthamë e re</w:t>
            </w:r>
          </w:p>
        </w:tc>
        <w:tc>
          <w:tcPr>
            <w:tcW w:w="1080" w:type="dxa"/>
            <w:shd w:val="clear" w:color="auto" w:fill="auto"/>
          </w:tcPr>
          <w:p w14:paraId="746BABFB" w14:textId="77777777" w:rsidR="000702CB" w:rsidRPr="00554FAF" w:rsidRDefault="000702CB" w:rsidP="000702CB">
            <w:pPr>
              <w:autoSpaceDE w:val="0"/>
              <w:autoSpaceDN w:val="0"/>
              <w:adjustRightInd w:val="0"/>
              <w:spacing w:after="60" w:line="240" w:lineRule="auto"/>
              <w:jc w:val="both"/>
              <w:rPr>
                <w:rFonts w:ascii="Times New Roman" w:hAnsi="Times New Roman" w:cs="Times New Roman"/>
                <w:color w:val="000000"/>
                <w:sz w:val="24"/>
                <w:szCs w:val="24"/>
              </w:rPr>
            </w:pPr>
            <w:r w:rsidRPr="00554FAF">
              <w:rPr>
                <w:rFonts w:ascii="Times New Roman" w:hAnsi="Times New Roman" w:cs="Times New Roman"/>
                <w:color w:val="000000"/>
                <w:sz w:val="24"/>
                <w:szCs w:val="24"/>
              </w:rPr>
              <w:t>25%</w:t>
            </w:r>
          </w:p>
        </w:tc>
        <w:tc>
          <w:tcPr>
            <w:tcW w:w="2340" w:type="dxa"/>
            <w:shd w:val="clear" w:color="auto" w:fill="auto"/>
          </w:tcPr>
          <w:p w14:paraId="61B1B138" w14:textId="77777777" w:rsidR="000702CB" w:rsidRPr="00554FAF" w:rsidRDefault="000702CB" w:rsidP="000702CB">
            <w:pPr>
              <w:autoSpaceDE w:val="0"/>
              <w:autoSpaceDN w:val="0"/>
              <w:adjustRightInd w:val="0"/>
              <w:spacing w:after="60" w:line="240" w:lineRule="auto"/>
              <w:jc w:val="both"/>
              <w:rPr>
                <w:rFonts w:ascii="Times New Roman" w:hAnsi="Times New Roman" w:cs="Times New Roman"/>
                <w:color w:val="000000"/>
                <w:sz w:val="24"/>
                <w:szCs w:val="24"/>
              </w:rPr>
            </w:pPr>
            <w:r w:rsidRPr="00554FAF">
              <w:rPr>
                <w:rFonts w:ascii="Times New Roman" w:hAnsi="Times New Roman" w:cs="Times New Roman"/>
                <w:color w:val="000000"/>
                <w:sz w:val="24"/>
                <w:szCs w:val="24"/>
              </w:rPr>
              <w:t>50%</w:t>
            </w:r>
          </w:p>
        </w:tc>
        <w:tc>
          <w:tcPr>
            <w:tcW w:w="1620" w:type="dxa"/>
            <w:shd w:val="clear" w:color="auto" w:fill="auto"/>
          </w:tcPr>
          <w:p w14:paraId="78E8A70E" w14:textId="77777777" w:rsidR="000702CB" w:rsidRPr="00554FAF" w:rsidRDefault="000702CB" w:rsidP="000702CB">
            <w:pPr>
              <w:autoSpaceDE w:val="0"/>
              <w:autoSpaceDN w:val="0"/>
              <w:adjustRightInd w:val="0"/>
              <w:spacing w:after="60" w:line="240" w:lineRule="auto"/>
              <w:jc w:val="both"/>
              <w:rPr>
                <w:rFonts w:ascii="Times New Roman" w:hAnsi="Times New Roman" w:cs="Times New Roman"/>
                <w:color w:val="000000"/>
                <w:sz w:val="24"/>
                <w:szCs w:val="24"/>
              </w:rPr>
            </w:pPr>
            <w:r w:rsidRPr="00554FAF">
              <w:rPr>
                <w:rFonts w:ascii="Times New Roman" w:hAnsi="Times New Roman" w:cs="Times New Roman"/>
                <w:color w:val="000000"/>
                <w:sz w:val="24"/>
                <w:szCs w:val="24"/>
              </w:rPr>
              <w:t>75%</w:t>
            </w:r>
          </w:p>
        </w:tc>
      </w:tr>
      <w:tr w:rsidR="000702CB" w:rsidRPr="00554FAF" w14:paraId="72FF8BCF" w14:textId="77777777" w:rsidTr="003A7429">
        <w:tc>
          <w:tcPr>
            <w:tcW w:w="4315" w:type="dxa"/>
            <w:shd w:val="clear" w:color="auto" w:fill="auto"/>
          </w:tcPr>
          <w:p w14:paraId="748E6740" w14:textId="77777777" w:rsidR="000702CB" w:rsidRPr="00554FAF" w:rsidRDefault="000702CB" w:rsidP="000702CB">
            <w:pPr>
              <w:autoSpaceDE w:val="0"/>
              <w:autoSpaceDN w:val="0"/>
              <w:adjustRightInd w:val="0"/>
              <w:spacing w:after="60" w:line="240" w:lineRule="auto"/>
              <w:jc w:val="both"/>
              <w:rPr>
                <w:rFonts w:ascii="Times New Roman" w:hAnsi="Times New Roman" w:cs="Times New Roman"/>
                <w:b/>
                <w:color w:val="000000"/>
                <w:sz w:val="24"/>
                <w:szCs w:val="24"/>
              </w:rPr>
            </w:pPr>
            <w:r w:rsidRPr="00554FAF">
              <w:rPr>
                <w:rFonts w:ascii="Times New Roman" w:hAnsi="Times New Roman" w:cs="Times New Roman"/>
                <w:color w:val="000000"/>
                <w:sz w:val="24"/>
                <w:szCs w:val="24"/>
              </w:rPr>
              <w:t>% e m</w:t>
            </w:r>
            <w:r w:rsidRPr="00554FAF">
              <w:rPr>
                <w:rFonts w:ascii="Times New Roman" w:hAnsi="Times New Roman" w:cs="Times New Roman"/>
                <w:bCs/>
                <w:iCs/>
                <w:color w:val="000000"/>
                <w:sz w:val="24"/>
                <w:szCs w:val="24"/>
              </w:rPr>
              <w:t>ësimdhënësve të IAAP-ve të trajnuar në zbatimin e kurrikulës bërthamë</w:t>
            </w:r>
          </w:p>
        </w:tc>
        <w:tc>
          <w:tcPr>
            <w:tcW w:w="1080" w:type="dxa"/>
            <w:shd w:val="clear" w:color="auto" w:fill="auto"/>
          </w:tcPr>
          <w:p w14:paraId="161BF6B1" w14:textId="77777777" w:rsidR="000702CB" w:rsidRPr="00554FAF" w:rsidRDefault="000702CB" w:rsidP="000702CB">
            <w:pPr>
              <w:autoSpaceDE w:val="0"/>
              <w:autoSpaceDN w:val="0"/>
              <w:adjustRightInd w:val="0"/>
              <w:spacing w:after="60" w:line="240" w:lineRule="auto"/>
              <w:jc w:val="both"/>
              <w:rPr>
                <w:rFonts w:ascii="Times New Roman" w:hAnsi="Times New Roman" w:cs="Times New Roman"/>
                <w:color w:val="000000"/>
                <w:sz w:val="24"/>
                <w:szCs w:val="24"/>
              </w:rPr>
            </w:pPr>
            <w:r w:rsidRPr="00554FAF">
              <w:rPr>
                <w:rFonts w:ascii="Times New Roman" w:hAnsi="Times New Roman" w:cs="Times New Roman"/>
                <w:color w:val="000000"/>
                <w:sz w:val="24"/>
                <w:szCs w:val="24"/>
              </w:rPr>
              <w:t>25%</w:t>
            </w:r>
          </w:p>
        </w:tc>
        <w:tc>
          <w:tcPr>
            <w:tcW w:w="2340" w:type="dxa"/>
            <w:shd w:val="clear" w:color="auto" w:fill="auto"/>
          </w:tcPr>
          <w:p w14:paraId="49D3A244" w14:textId="77777777" w:rsidR="000702CB" w:rsidRPr="00554FAF" w:rsidRDefault="000702CB" w:rsidP="000702CB">
            <w:pPr>
              <w:autoSpaceDE w:val="0"/>
              <w:autoSpaceDN w:val="0"/>
              <w:adjustRightInd w:val="0"/>
              <w:spacing w:after="60" w:line="240" w:lineRule="auto"/>
              <w:jc w:val="both"/>
              <w:rPr>
                <w:rFonts w:ascii="Times New Roman" w:hAnsi="Times New Roman" w:cs="Times New Roman"/>
                <w:color w:val="000000"/>
                <w:sz w:val="24"/>
                <w:szCs w:val="24"/>
              </w:rPr>
            </w:pPr>
            <w:r w:rsidRPr="00554FAF">
              <w:rPr>
                <w:rFonts w:ascii="Times New Roman" w:hAnsi="Times New Roman" w:cs="Times New Roman"/>
                <w:color w:val="000000"/>
                <w:sz w:val="24"/>
                <w:szCs w:val="24"/>
              </w:rPr>
              <w:t>50%</w:t>
            </w:r>
          </w:p>
        </w:tc>
        <w:tc>
          <w:tcPr>
            <w:tcW w:w="1620" w:type="dxa"/>
            <w:shd w:val="clear" w:color="auto" w:fill="auto"/>
          </w:tcPr>
          <w:p w14:paraId="5704ECDC" w14:textId="77777777" w:rsidR="000702CB" w:rsidRPr="00554FAF" w:rsidRDefault="000702CB" w:rsidP="000702CB">
            <w:pPr>
              <w:autoSpaceDE w:val="0"/>
              <w:autoSpaceDN w:val="0"/>
              <w:adjustRightInd w:val="0"/>
              <w:spacing w:after="60" w:line="240" w:lineRule="auto"/>
              <w:jc w:val="both"/>
              <w:rPr>
                <w:rFonts w:ascii="Times New Roman" w:hAnsi="Times New Roman" w:cs="Times New Roman"/>
                <w:color w:val="000000"/>
                <w:sz w:val="24"/>
                <w:szCs w:val="24"/>
              </w:rPr>
            </w:pPr>
            <w:r w:rsidRPr="00554FAF">
              <w:rPr>
                <w:rFonts w:ascii="Times New Roman" w:hAnsi="Times New Roman" w:cs="Times New Roman"/>
                <w:color w:val="000000"/>
                <w:sz w:val="24"/>
                <w:szCs w:val="24"/>
              </w:rPr>
              <w:t>75%</w:t>
            </w:r>
          </w:p>
        </w:tc>
      </w:tr>
      <w:tr w:rsidR="000702CB" w:rsidRPr="00554FAF" w14:paraId="03349AF8" w14:textId="77777777" w:rsidTr="003A7429">
        <w:tc>
          <w:tcPr>
            <w:tcW w:w="4315" w:type="dxa"/>
            <w:shd w:val="clear" w:color="auto" w:fill="auto"/>
          </w:tcPr>
          <w:p w14:paraId="50A386E0" w14:textId="77777777" w:rsidR="000702CB" w:rsidRPr="00554FAF" w:rsidRDefault="000702CB" w:rsidP="000702CB">
            <w:pPr>
              <w:autoSpaceDE w:val="0"/>
              <w:autoSpaceDN w:val="0"/>
              <w:adjustRightInd w:val="0"/>
              <w:spacing w:after="60" w:line="240" w:lineRule="auto"/>
              <w:jc w:val="both"/>
              <w:rPr>
                <w:rFonts w:ascii="Times New Roman" w:hAnsi="Times New Roman" w:cs="Times New Roman"/>
                <w:i/>
                <w:iCs/>
                <w:color w:val="000000"/>
                <w:sz w:val="24"/>
                <w:szCs w:val="24"/>
              </w:rPr>
            </w:pPr>
            <w:r w:rsidRPr="00554FAF">
              <w:rPr>
                <w:rFonts w:ascii="Times New Roman" w:hAnsi="Times New Roman" w:cs="Times New Roman"/>
                <w:color w:val="000000"/>
                <w:sz w:val="24"/>
                <w:szCs w:val="24"/>
              </w:rPr>
              <w:t>% e nxënësve në arsimin profesional që marrin pjesë në mësimin e bazuar në vendin e punës</w:t>
            </w:r>
          </w:p>
        </w:tc>
        <w:tc>
          <w:tcPr>
            <w:tcW w:w="1080" w:type="dxa"/>
            <w:shd w:val="clear" w:color="auto" w:fill="auto"/>
          </w:tcPr>
          <w:p w14:paraId="2C7A10D3" w14:textId="77777777" w:rsidR="000702CB" w:rsidRPr="00554FAF" w:rsidRDefault="000702CB" w:rsidP="000702CB">
            <w:pPr>
              <w:autoSpaceDE w:val="0"/>
              <w:autoSpaceDN w:val="0"/>
              <w:adjustRightInd w:val="0"/>
              <w:spacing w:after="60" w:line="240" w:lineRule="auto"/>
              <w:jc w:val="both"/>
              <w:rPr>
                <w:rFonts w:ascii="Times New Roman" w:hAnsi="Times New Roman" w:cs="Times New Roman"/>
                <w:i/>
                <w:iCs/>
                <w:color w:val="000000"/>
                <w:sz w:val="24"/>
                <w:szCs w:val="24"/>
              </w:rPr>
            </w:pPr>
            <w:r w:rsidRPr="00554FAF">
              <w:rPr>
                <w:rFonts w:ascii="Times New Roman" w:hAnsi="Times New Roman" w:cs="Times New Roman"/>
                <w:color w:val="000000"/>
                <w:sz w:val="24"/>
                <w:szCs w:val="24"/>
              </w:rPr>
              <w:t>5%</w:t>
            </w:r>
          </w:p>
        </w:tc>
        <w:tc>
          <w:tcPr>
            <w:tcW w:w="2340" w:type="dxa"/>
            <w:shd w:val="clear" w:color="auto" w:fill="auto"/>
          </w:tcPr>
          <w:p w14:paraId="61E43323" w14:textId="77777777" w:rsidR="000702CB" w:rsidRPr="00554FAF" w:rsidRDefault="000702CB" w:rsidP="000702CB">
            <w:pPr>
              <w:autoSpaceDE w:val="0"/>
              <w:autoSpaceDN w:val="0"/>
              <w:adjustRightInd w:val="0"/>
              <w:spacing w:after="60" w:line="240" w:lineRule="auto"/>
              <w:jc w:val="both"/>
              <w:rPr>
                <w:rFonts w:ascii="Times New Roman" w:hAnsi="Times New Roman" w:cs="Times New Roman"/>
                <w:i/>
                <w:iCs/>
                <w:color w:val="000000"/>
                <w:sz w:val="24"/>
                <w:szCs w:val="24"/>
              </w:rPr>
            </w:pPr>
            <w:r w:rsidRPr="00554FAF">
              <w:rPr>
                <w:rFonts w:ascii="Times New Roman" w:hAnsi="Times New Roman" w:cs="Times New Roman"/>
                <w:color w:val="000000"/>
                <w:sz w:val="24"/>
                <w:szCs w:val="24"/>
              </w:rPr>
              <w:t>10%</w:t>
            </w:r>
          </w:p>
        </w:tc>
        <w:tc>
          <w:tcPr>
            <w:tcW w:w="1620" w:type="dxa"/>
            <w:shd w:val="clear" w:color="auto" w:fill="auto"/>
          </w:tcPr>
          <w:p w14:paraId="0A8AA04F" w14:textId="77777777" w:rsidR="000702CB" w:rsidRPr="00554FAF" w:rsidRDefault="000702CB" w:rsidP="000702CB">
            <w:pPr>
              <w:autoSpaceDE w:val="0"/>
              <w:autoSpaceDN w:val="0"/>
              <w:adjustRightInd w:val="0"/>
              <w:spacing w:after="60" w:line="240" w:lineRule="auto"/>
              <w:jc w:val="both"/>
              <w:rPr>
                <w:rFonts w:ascii="Times New Roman" w:hAnsi="Times New Roman" w:cs="Times New Roman"/>
                <w:i/>
                <w:iCs/>
                <w:color w:val="000000"/>
                <w:sz w:val="24"/>
                <w:szCs w:val="24"/>
              </w:rPr>
            </w:pPr>
            <w:r w:rsidRPr="00554FAF">
              <w:rPr>
                <w:rFonts w:ascii="Times New Roman" w:hAnsi="Times New Roman" w:cs="Times New Roman"/>
                <w:color w:val="000000"/>
                <w:sz w:val="24"/>
                <w:szCs w:val="24"/>
              </w:rPr>
              <w:t>15%</w:t>
            </w:r>
          </w:p>
        </w:tc>
      </w:tr>
    </w:tbl>
    <w:p w14:paraId="1429CC47" w14:textId="77777777" w:rsidR="000702CB" w:rsidRPr="00554FAF" w:rsidRDefault="000702CB" w:rsidP="000702CB">
      <w:pPr>
        <w:spacing w:after="60" w:line="240" w:lineRule="auto"/>
        <w:jc w:val="both"/>
        <w:rPr>
          <w:rFonts w:ascii="Times New Roman" w:hAnsi="Times New Roman" w:cs="Times New Roman"/>
          <w:b/>
          <w:sz w:val="24"/>
          <w:szCs w:val="24"/>
        </w:rPr>
      </w:pPr>
    </w:p>
    <w:p w14:paraId="228E6B68" w14:textId="77777777" w:rsidR="000702CB" w:rsidRPr="00554FAF" w:rsidRDefault="000702CB" w:rsidP="000702CB">
      <w:pPr>
        <w:spacing w:after="60" w:line="240" w:lineRule="auto"/>
        <w:jc w:val="both"/>
        <w:rPr>
          <w:rFonts w:ascii="Times New Roman" w:hAnsi="Times New Roman" w:cs="Times New Roman"/>
          <w:i/>
          <w:iCs/>
          <w:sz w:val="24"/>
          <w:szCs w:val="24"/>
        </w:rPr>
      </w:pPr>
      <w:r w:rsidRPr="00554FAF">
        <w:rPr>
          <w:rFonts w:ascii="Times New Roman" w:hAnsi="Times New Roman" w:cs="Times New Roman"/>
          <w:b/>
          <w:sz w:val="24"/>
          <w:szCs w:val="24"/>
        </w:rPr>
        <w:t xml:space="preserve">3. Ndikimi i pritur në konkurrueshmëri: </w:t>
      </w:r>
      <w:r w:rsidRPr="00554FAF">
        <w:rPr>
          <w:rFonts w:ascii="Times New Roman" w:hAnsi="Times New Roman" w:cs="Times New Roman"/>
          <w:sz w:val="24"/>
          <w:szCs w:val="24"/>
        </w:rPr>
        <w:t>Zbatimi i kurrikulës së re bërthamë në fushën e AAP-së pritet të rrisë përputhshmërinë e zhvillimit të shkathtësive me nevojat e ekonomisë. Mospërputhja aktuale është evidente dhe pengesë serioze e cila pengon konkurrueshmërinë e bizneseve dhe rritë papunësinë strukturore. Ndikimi i pritur në konkurrueshmëri pritet përmes: uljes së normës së papunësisë dhe ngritjen e shkallës së punësimit në mesin e nxënësve që përfundojnë arsimin në institucionet e arsimit dhe aftësimit profesional.</w:t>
      </w:r>
      <w:r w:rsidRPr="00554FAF">
        <w:rPr>
          <w:rFonts w:ascii="Times New Roman" w:hAnsi="Times New Roman" w:cs="Times New Roman"/>
          <w:i/>
          <w:iCs/>
          <w:sz w:val="24"/>
          <w:szCs w:val="24"/>
        </w:rPr>
        <w:t xml:space="preserve"> </w:t>
      </w:r>
    </w:p>
    <w:p w14:paraId="4CBB3452" w14:textId="6E2817B3" w:rsidR="000702CB" w:rsidRPr="00554FAF" w:rsidRDefault="000702CB" w:rsidP="000702CB">
      <w:pPr>
        <w:autoSpaceDE w:val="0"/>
        <w:autoSpaceDN w:val="0"/>
        <w:adjustRightInd w:val="0"/>
        <w:spacing w:after="60" w:line="240" w:lineRule="auto"/>
        <w:jc w:val="both"/>
        <w:rPr>
          <w:rFonts w:ascii="Times New Roman" w:hAnsi="Times New Roman" w:cs="Times New Roman"/>
          <w:sz w:val="24"/>
          <w:szCs w:val="24"/>
        </w:rPr>
      </w:pPr>
      <w:r w:rsidRPr="00554FAF">
        <w:rPr>
          <w:rFonts w:ascii="Times New Roman" w:hAnsi="Times New Roman" w:cs="Times New Roman"/>
          <w:b/>
          <w:sz w:val="24"/>
          <w:szCs w:val="24"/>
        </w:rPr>
        <w:t xml:space="preserve">4. Vlerësimi i kostos së aktiviteteve dhe burimet e financimit: </w:t>
      </w:r>
      <w:r w:rsidRPr="00554FAF">
        <w:rPr>
          <w:rFonts w:ascii="Times New Roman" w:hAnsi="Times New Roman" w:cs="Times New Roman"/>
          <w:sz w:val="24"/>
          <w:szCs w:val="24"/>
        </w:rPr>
        <w:t>Kostoja e përgjithshme për zbatim të kësaj mase gjatë viteve 2020-2022 vlerësohet të jetë 6,633,096</w:t>
      </w:r>
      <w:r w:rsidR="00F251A2" w:rsidRPr="00554FAF">
        <w:rPr>
          <w:rFonts w:ascii="Times New Roman" w:hAnsi="Times New Roman" w:cs="Times New Roman"/>
          <w:sz w:val="24"/>
          <w:szCs w:val="24"/>
        </w:rPr>
        <w:t xml:space="preserve"> </w:t>
      </w:r>
      <w:r w:rsidRPr="00554FAF">
        <w:rPr>
          <w:rFonts w:ascii="Times New Roman" w:hAnsi="Times New Roman" w:cs="Times New Roman"/>
          <w:sz w:val="24"/>
          <w:szCs w:val="24"/>
        </w:rPr>
        <w:t>EUR. Nga kjo vlerë  1,994,032 EUR është  për vitin 2020, nga e cila 1,050,000  do të financohe</w:t>
      </w:r>
      <w:r w:rsidR="00F251A2" w:rsidRPr="00554FAF">
        <w:rPr>
          <w:rFonts w:ascii="Times New Roman" w:hAnsi="Times New Roman" w:cs="Times New Roman"/>
          <w:sz w:val="24"/>
          <w:szCs w:val="24"/>
        </w:rPr>
        <w:t>n</w:t>
      </w:r>
      <w:r w:rsidRPr="00554FAF">
        <w:rPr>
          <w:rFonts w:ascii="Times New Roman" w:hAnsi="Times New Roman" w:cs="Times New Roman"/>
          <w:sz w:val="24"/>
          <w:szCs w:val="24"/>
        </w:rPr>
        <w:t xml:space="preserve"> nga buxheti i Kosovës  dhe pjesa tjetër prej 944,032</w:t>
      </w:r>
      <w:r w:rsidR="00F251A2" w:rsidRPr="00554FAF">
        <w:rPr>
          <w:rFonts w:ascii="Times New Roman" w:hAnsi="Times New Roman" w:cs="Times New Roman"/>
          <w:sz w:val="24"/>
          <w:szCs w:val="24"/>
        </w:rPr>
        <w:t xml:space="preserve"> </w:t>
      </w:r>
      <w:r w:rsidRPr="00554FAF">
        <w:rPr>
          <w:rFonts w:ascii="Times New Roman" w:hAnsi="Times New Roman" w:cs="Times New Roman"/>
          <w:sz w:val="24"/>
          <w:szCs w:val="24"/>
        </w:rPr>
        <w:t>EUR nga grantet tjera (Projekti ALLED2,GIZ, LUX Development). Për vitin 2021 është  2,635,032 EUR, nga t</w:t>
      </w:r>
      <w:r w:rsidR="00F251A2" w:rsidRPr="00554FAF">
        <w:rPr>
          <w:rFonts w:ascii="Times New Roman" w:hAnsi="Times New Roman" w:cs="Times New Roman"/>
          <w:sz w:val="24"/>
          <w:szCs w:val="24"/>
        </w:rPr>
        <w:t>ë</w:t>
      </w:r>
      <w:r w:rsidRPr="00554FAF">
        <w:rPr>
          <w:rFonts w:ascii="Times New Roman" w:hAnsi="Times New Roman" w:cs="Times New Roman"/>
          <w:sz w:val="24"/>
          <w:szCs w:val="24"/>
        </w:rPr>
        <w:t xml:space="preserve"> cilat 10,050,000 EUR pritet t</w:t>
      </w:r>
      <w:r w:rsidR="00F251A2" w:rsidRPr="00554FAF">
        <w:rPr>
          <w:rFonts w:ascii="Times New Roman" w:hAnsi="Times New Roman" w:cs="Times New Roman"/>
          <w:sz w:val="24"/>
          <w:szCs w:val="24"/>
        </w:rPr>
        <w:t>ë</w:t>
      </w:r>
      <w:r w:rsidRPr="00554FAF">
        <w:rPr>
          <w:rFonts w:ascii="Times New Roman" w:hAnsi="Times New Roman" w:cs="Times New Roman"/>
          <w:sz w:val="24"/>
          <w:szCs w:val="24"/>
        </w:rPr>
        <w:t xml:space="preserve"> financohen nga Buxheti i Kosovës dhe 1,585,032 EUR nga </w:t>
      </w:r>
      <w:r w:rsidR="00F251A2" w:rsidRPr="00554FAF">
        <w:rPr>
          <w:rFonts w:ascii="Times New Roman" w:hAnsi="Times New Roman" w:cs="Times New Roman"/>
          <w:sz w:val="24"/>
          <w:szCs w:val="24"/>
        </w:rPr>
        <w:t>g</w:t>
      </w:r>
      <w:r w:rsidRPr="00554FAF">
        <w:rPr>
          <w:rFonts w:ascii="Times New Roman" w:hAnsi="Times New Roman" w:cs="Times New Roman"/>
          <w:sz w:val="24"/>
          <w:szCs w:val="24"/>
        </w:rPr>
        <w:t>rantet tjera (Projekti ALLED2,GIZ, LUX Development). Ndërsa kostoja e vlerësuar p</w:t>
      </w:r>
      <w:r w:rsidR="00F251A2" w:rsidRPr="00554FAF">
        <w:rPr>
          <w:rFonts w:ascii="Times New Roman" w:hAnsi="Times New Roman" w:cs="Times New Roman"/>
          <w:sz w:val="24"/>
          <w:szCs w:val="24"/>
        </w:rPr>
        <w:t>ë</w:t>
      </w:r>
      <w:r w:rsidRPr="00554FAF">
        <w:rPr>
          <w:rFonts w:ascii="Times New Roman" w:hAnsi="Times New Roman" w:cs="Times New Roman"/>
          <w:sz w:val="24"/>
          <w:szCs w:val="24"/>
        </w:rPr>
        <w:t xml:space="preserve">r vitin 2022 është 2,004,032 EUR që do të financohen nga grantet e donatorëve. </w:t>
      </w:r>
    </w:p>
    <w:p w14:paraId="44D308D4" w14:textId="4ADF3328" w:rsidR="000702CB" w:rsidRPr="00554FAF" w:rsidRDefault="000702CB" w:rsidP="000702CB">
      <w:pPr>
        <w:autoSpaceDE w:val="0"/>
        <w:autoSpaceDN w:val="0"/>
        <w:adjustRightInd w:val="0"/>
        <w:spacing w:after="60" w:line="240" w:lineRule="auto"/>
        <w:jc w:val="both"/>
        <w:rPr>
          <w:rFonts w:ascii="Times New Roman" w:hAnsi="Times New Roman" w:cs="Times New Roman"/>
          <w:color w:val="000000"/>
          <w:sz w:val="24"/>
          <w:szCs w:val="24"/>
        </w:rPr>
      </w:pPr>
      <w:r w:rsidRPr="00554FAF">
        <w:rPr>
          <w:rFonts w:ascii="Times New Roman" w:hAnsi="Times New Roman" w:cs="Times New Roman"/>
          <w:b/>
          <w:bCs/>
          <w:color w:val="000000"/>
          <w:sz w:val="24"/>
          <w:szCs w:val="24"/>
        </w:rPr>
        <w:t xml:space="preserve">5. Ndikimet e pritshme mbi rezultatet sociale, të tilla si punësimi, reduktimi i varfërisë, barazia gjinore: </w:t>
      </w:r>
      <w:r w:rsidRPr="00554FAF">
        <w:rPr>
          <w:rFonts w:ascii="Times New Roman" w:hAnsi="Times New Roman" w:cs="Times New Roman"/>
          <w:color w:val="000000"/>
          <w:sz w:val="24"/>
          <w:szCs w:val="24"/>
        </w:rPr>
        <w:t>Harmonizimi i shkathtësive me nevojat e tregut e punës</w:t>
      </w:r>
      <w:r w:rsidR="00F251A2" w:rsidRPr="00554FAF">
        <w:rPr>
          <w:rFonts w:ascii="Times New Roman" w:hAnsi="Times New Roman" w:cs="Times New Roman"/>
          <w:color w:val="000000"/>
          <w:sz w:val="24"/>
          <w:szCs w:val="24"/>
        </w:rPr>
        <w:t xml:space="preserve"> </w:t>
      </w:r>
      <w:r w:rsidRPr="00554FAF">
        <w:rPr>
          <w:rFonts w:ascii="Times New Roman" w:hAnsi="Times New Roman" w:cs="Times New Roman"/>
          <w:color w:val="000000"/>
          <w:sz w:val="24"/>
          <w:szCs w:val="24"/>
        </w:rPr>
        <w:t>dhe miratimi i akteve nënligjore që e rregullojnë këtë fushë, do të ndikojë në mënyrë të drejtpërdrejt që të ketë punëtorë të kualifikuar bazuar në nevojat e bizneseve. Duke marrë parasysh se numër i konsiderueshëm i vijuesve në AAP janë femra, reforma e kurrikul</w:t>
      </w:r>
      <w:r w:rsidRPr="00554FAF">
        <w:rPr>
          <w:rFonts w:ascii="Times New Roman" w:hAnsi="Times New Roman" w:cs="Times New Roman"/>
          <w:sz w:val="24"/>
          <w:szCs w:val="24"/>
        </w:rPr>
        <w:t>ë</w:t>
      </w:r>
      <w:r w:rsidRPr="00554FAF">
        <w:rPr>
          <w:rFonts w:ascii="Times New Roman" w:hAnsi="Times New Roman" w:cs="Times New Roman"/>
          <w:color w:val="000000"/>
          <w:sz w:val="24"/>
          <w:szCs w:val="24"/>
        </w:rPr>
        <w:t>ës pritet të ketë ndikim të rëndësishëm në barazinë gjinore. K</w:t>
      </w:r>
      <w:r w:rsidRPr="00554FAF">
        <w:rPr>
          <w:rFonts w:ascii="Times New Roman" w:hAnsi="Times New Roman" w:cs="Times New Roman"/>
          <w:bCs/>
          <w:sz w:val="24"/>
          <w:szCs w:val="24"/>
        </w:rPr>
        <w:t xml:space="preserve">ësisoj, pritet rritja e punësimit, sidomos në mesin e të rinjve tek të cilët norma e papunësisë (për grupmoshën 15 – 24) është mbi 50%. </w:t>
      </w:r>
    </w:p>
    <w:p w14:paraId="6F067B17" w14:textId="77777777" w:rsidR="000702CB" w:rsidRPr="00554FAF" w:rsidRDefault="000702CB" w:rsidP="000702CB">
      <w:pPr>
        <w:autoSpaceDE w:val="0"/>
        <w:autoSpaceDN w:val="0"/>
        <w:adjustRightInd w:val="0"/>
        <w:spacing w:after="60" w:line="240" w:lineRule="auto"/>
        <w:jc w:val="both"/>
        <w:rPr>
          <w:rFonts w:ascii="Times New Roman" w:hAnsi="Times New Roman" w:cs="Times New Roman"/>
          <w:color w:val="000000"/>
          <w:sz w:val="24"/>
          <w:szCs w:val="24"/>
        </w:rPr>
      </w:pPr>
      <w:r w:rsidRPr="00554FAF">
        <w:rPr>
          <w:rFonts w:ascii="Times New Roman" w:hAnsi="Times New Roman" w:cs="Times New Roman"/>
          <w:b/>
          <w:bCs/>
          <w:color w:val="000000"/>
          <w:sz w:val="24"/>
          <w:szCs w:val="24"/>
        </w:rPr>
        <w:t xml:space="preserve">6. Ndikimi i pritshëm në mjedis: </w:t>
      </w:r>
    </w:p>
    <w:p w14:paraId="66AD0588" w14:textId="77777777" w:rsidR="000702CB" w:rsidRPr="00554FAF" w:rsidRDefault="000702CB" w:rsidP="000702CB">
      <w:pPr>
        <w:autoSpaceDE w:val="0"/>
        <w:autoSpaceDN w:val="0"/>
        <w:adjustRightInd w:val="0"/>
        <w:spacing w:after="60" w:line="240" w:lineRule="auto"/>
        <w:jc w:val="both"/>
        <w:rPr>
          <w:rFonts w:ascii="Times New Roman" w:hAnsi="Times New Roman" w:cs="Times New Roman"/>
          <w:bCs/>
          <w:color w:val="000000"/>
          <w:sz w:val="24"/>
          <w:szCs w:val="24"/>
        </w:rPr>
      </w:pPr>
      <w:r w:rsidRPr="00554FAF">
        <w:rPr>
          <w:rFonts w:ascii="Times New Roman" w:hAnsi="Times New Roman" w:cs="Times New Roman"/>
          <w:bCs/>
          <w:color w:val="000000"/>
          <w:sz w:val="24"/>
          <w:szCs w:val="24"/>
        </w:rPr>
        <w:t xml:space="preserve">Masa nuk pritet të ketë ndikim në mjedis. </w:t>
      </w:r>
    </w:p>
    <w:p w14:paraId="16BA2D11" w14:textId="77777777" w:rsidR="000702CB" w:rsidRPr="00554FAF" w:rsidRDefault="000702CB" w:rsidP="000702CB">
      <w:pPr>
        <w:spacing w:after="60" w:line="240" w:lineRule="auto"/>
        <w:jc w:val="both"/>
        <w:rPr>
          <w:rFonts w:ascii="Times New Roman" w:hAnsi="Times New Roman" w:cs="Times New Roman"/>
          <w:b/>
          <w:bCs/>
          <w:color w:val="000000"/>
          <w:sz w:val="24"/>
          <w:szCs w:val="24"/>
        </w:rPr>
      </w:pPr>
      <w:r w:rsidRPr="00554FAF">
        <w:rPr>
          <w:rFonts w:ascii="Times New Roman" w:hAnsi="Times New Roman" w:cs="Times New Roman"/>
          <w:b/>
          <w:sz w:val="24"/>
          <w:szCs w:val="24"/>
        </w:rPr>
        <w:t>7. Rreziqet potenciale:</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8"/>
        <w:gridCol w:w="1710"/>
        <w:gridCol w:w="3847"/>
      </w:tblGrid>
      <w:tr w:rsidR="000702CB" w:rsidRPr="00554FAF" w14:paraId="27A6723E" w14:textId="77777777" w:rsidTr="003A7429">
        <w:tc>
          <w:tcPr>
            <w:tcW w:w="3798" w:type="dxa"/>
            <w:shd w:val="clear" w:color="auto" w:fill="auto"/>
          </w:tcPr>
          <w:p w14:paraId="7F5FA5E9" w14:textId="77777777" w:rsidR="000702CB" w:rsidRPr="00554FAF" w:rsidRDefault="000702CB" w:rsidP="000702CB">
            <w:pPr>
              <w:autoSpaceDE w:val="0"/>
              <w:autoSpaceDN w:val="0"/>
              <w:adjustRightInd w:val="0"/>
              <w:spacing w:after="60" w:line="240" w:lineRule="auto"/>
              <w:jc w:val="both"/>
              <w:rPr>
                <w:rFonts w:ascii="Times New Roman" w:hAnsi="Times New Roman" w:cs="Times New Roman"/>
                <w:color w:val="000000"/>
                <w:sz w:val="24"/>
                <w:szCs w:val="24"/>
              </w:rPr>
            </w:pPr>
            <w:r w:rsidRPr="00554FAF">
              <w:rPr>
                <w:rFonts w:ascii="Times New Roman" w:hAnsi="Times New Roman" w:cs="Times New Roman"/>
                <w:b/>
                <w:bCs/>
                <w:color w:val="000000"/>
                <w:sz w:val="24"/>
                <w:szCs w:val="24"/>
              </w:rPr>
              <w:t xml:space="preserve">Rreziku </w:t>
            </w:r>
          </w:p>
          <w:p w14:paraId="136CD974" w14:textId="77777777" w:rsidR="000702CB" w:rsidRPr="00554FAF" w:rsidRDefault="000702CB" w:rsidP="000702CB">
            <w:pPr>
              <w:autoSpaceDE w:val="0"/>
              <w:autoSpaceDN w:val="0"/>
              <w:adjustRightInd w:val="0"/>
              <w:spacing w:after="60" w:line="240" w:lineRule="auto"/>
              <w:jc w:val="both"/>
              <w:rPr>
                <w:rFonts w:ascii="Times New Roman" w:hAnsi="Times New Roman" w:cs="Times New Roman"/>
                <w:color w:val="000000"/>
                <w:sz w:val="24"/>
                <w:szCs w:val="24"/>
              </w:rPr>
            </w:pPr>
          </w:p>
        </w:tc>
        <w:tc>
          <w:tcPr>
            <w:tcW w:w="1710" w:type="dxa"/>
            <w:shd w:val="clear" w:color="auto" w:fill="auto"/>
          </w:tcPr>
          <w:p w14:paraId="51DEE9B7" w14:textId="77777777" w:rsidR="000702CB" w:rsidRPr="00554FAF" w:rsidRDefault="000702CB" w:rsidP="000702CB">
            <w:pPr>
              <w:autoSpaceDE w:val="0"/>
              <w:autoSpaceDN w:val="0"/>
              <w:adjustRightInd w:val="0"/>
              <w:spacing w:after="60" w:line="240" w:lineRule="auto"/>
              <w:ind w:right="-122"/>
              <w:jc w:val="both"/>
              <w:rPr>
                <w:rFonts w:ascii="Times New Roman" w:hAnsi="Times New Roman" w:cs="Times New Roman"/>
                <w:color w:val="000000"/>
                <w:sz w:val="24"/>
                <w:szCs w:val="24"/>
              </w:rPr>
            </w:pPr>
            <w:r w:rsidRPr="00554FAF">
              <w:rPr>
                <w:rFonts w:ascii="Times New Roman" w:hAnsi="Times New Roman" w:cs="Times New Roman"/>
                <w:b/>
                <w:bCs/>
                <w:color w:val="000000"/>
                <w:sz w:val="24"/>
                <w:szCs w:val="24"/>
              </w:rPr>
              <w:t>Probabiliteti (i ulët ose i lartë)</w:t>
            </w:r>
          </w:p>
        </w:tc>
        <w:tc>
          <w:tcPr>
            <w:tcW w:w="3847" w:type="dxa"/>
            <w:shd w:val="clear" w:color="auto" w:fill="auto"/>
          </w:tcPr>
          <w:p w14:paraId="6FB9029F" w14:textId="77777777" w:rsidR="000702CB" w:rsidRPr="00554FAF" w:rsidRDefault="000702CB" w:rsidP="000702CB">
            <w:pPr>
              <w:autoSpaceDE w:val="0"/>
              <w:autoSpaceDN w:val="0"/>
              <w:adjustRightInd w:val="0"/>
              <w:spacing w:after="60" w:line="240" w:lineRule="auto"/>
              <w:jc w:val="both"/>
              <w:rPr>
                <w:rFonts w:ascii="Times New Roman" w:hAnsi="Times New Roman" w:cs="Times New Roman"/>
                <w:color w:val="000000"/>
                <w:sz w:val="24"/>
                <w:szCs w:val="24"/>
              </w:rPr>
            </w:pPr>
            <w:r w:rsidRPr="00554FAF">
              <w:rPr>
                <w:rFonts w:ascii="Times New Roman" w:hAnsi="Times New Roman" w:cs="Times New Roman"/>
                <w:b/>
                <w:bCs/>
                <w:color w:val="000000"/>
                <w:sz w:val="24"/>
                <w:szCs w:val="24"/>
              </w:rPr>
              <w:t xml:space="preserve">Veprimi lehtësues i planifikuar </w:t>
            </w:r>
          </w:p>
        </w:tc>
      </w:tr>
      <w:tr w:rsidR="000702CB" w:rsidRPr="00554FAF" w14:paraId="5830DEDD" w14:textId="77777777" w:rsidTr="003A7429">
        <w:tc>
          <w:tcPr>
            <w:tcW w:w="3798" w:type="dxa"/>
            <w:shd w:val="clear" w:color="auto" w:fill="auto"/>
          </w:tcPr>
          <w:p w14:paraId="37797E54" w14:textId="77777777" w:rsidR="000702CB" w:rsidRPr="00554FAF" w:rsidRDefault="000702CB" w:rsidP="000702CB">
            <w:pPr>
              <w:autoSpaceDE w:val="0"/>
              <w:autoSpaceDN w:val="0"/>
              <w:adjustRightInd w:val="0"/>
              <w:spacing w:after="60" w:line="240" w:lineRule="auto"/>
              <w:jc w:val="both"/>
              <w:rPr>
                <w:rFonts w:ascii="Times New Roman" w:hAnsi="Times New Roman" w:cs="Times New Roman"/>
                <w:color w:val="000000"/>
                <w:sz w:val="24"/>
                <w:szCs w:val="24"/>
              </w:rPr>
            </w:pPr>
            <w:r w:rsidRPr="00554FAF">
              <w:rPr>
                <w:rFonts w:ascii="Times New Roman" w:hAnsi="Times New Roman" w:cs="Times New Roman"/>
                <w:color w:val="000000"/>
                <w:sz w:val="24"/>
                <w:szCs w:val="24"/>
              </w:rPr>
              <w:t>Mosdakordimi dhe mosmiratimi i formulës së financimit për institucionet e AAP-së</w:t>
            </w:r>
          </w:p>
          <w:p w14:paraId="4AF03322" w14:textId="77777777" w:rsidR="000702CB" w:rsidRPr="00554FAF" w:rsidRDefault="000702CB" w:rsidP="000702CB">
            <w:pPr>
              <w:autoSpaceDE w:val="0"/>
              <w:autoSpaceDN w:val="0"/>
              <w:adjustRightInd w:val="0"/>
              <w:spacing w:after="60" w:line="240" w:lineRule="auto"/>
              <w:jc w:val="both"/>
              <w:rPr>
                <w:rFonts w:ascii="Times New Roman" w:hAnsi="Times New Roman" w:cs="Times New Roman"/>
                <w:color w:val="000000"/>
                <w:sz w:val="24"/>
                <w:szCs w:val="24"/>
              </w:rPr>
            </w:pPr>
          </w:p>
          <w:p w14:paraId="7BE6784A" w14:textId="77777777" w:rsidR="000702CB" w:rsidRPr="00554FAF" w:rsidRDefault="000702CB" w:rsidP="000702CB">
            <w:pPr>
              <w:autoSpaceDE w:val="0"/>
              <w:autoSpaceDN w:val="0"/>
              <w:adjustRightInd w:val="0"/>
              <w:spacing w:after="60" w:line="240" w:lineRule="auto"/>
              <w:jc w:val="both"/>
              <w:rPr>
                <w:rFonts w:ascii="Times New Roman" w:hAnsi="Times New Roman" w:cs="Times New Roman"/>
                <w:color w:val="000000"/>
                <w:sz w:val="24"/>
                <w:szCs w:val="24"/>
              </w:rPr>
            </w:pPr>
          </w:p>
        </w:tc>
        <w:tc>
          <w:tcPr>
            <w:tcW w:w="1710" w:type="dxa"/>
            <w:shd w:val="clear" w:color="auto" w:fill="auto"/>
          </w:tcPr>
          <w:p w14:paraId="53A1A006" w14:textId="77777777" w:rsidR="000702CB" w:rsidRPr="00554FAF" w:rsidRDefault="000702CB" w:rsidP="000702CB">
            <w:pPr>
              <w:autoSpaceDE w:val="0"/>
              <w:autoSpaceDN w:val="0"/>
              <w:adjustRightInd w:val="0"/>
              <w:spacing w:after="60" w:line="240" w:lineRule="auto"/>
              <w:jc w:val="both"/>
              <w:rPr>
                <w:rFonts w:ascii="Times New Roman" w:hAnsi="Times New Roman" w:cs="Times New Roman"/>
                <w:color w:val="000000"/>
                <w:sz w:val="24"/>
                <w:szCs w:val="24"/>
              </w:rPr>
            </w:pPr>
            <w:r w:rsidRPr="00554FAF">
              <w:rPr>
                <w:rFonts w:ascii="Times New Roman" w:hAnsi="Times New Roman" w:cs="Times New Roman"/>
                <w:color w:val="000000"/>
                <w:sz w:val="24"/>
                <w:szCs w:val="24"/>
              </w:rPr>
              <w:t>I lartë</w:t>
            </w:r>
          </w:p>
        </w:tc>
        <w:tc>
          <w:tcPr>
            <w:tcW w:w="3847" w:type="dxa"/>
            <w:shd w:val="clear" w:color="auto" w:fill="auto"/>
          </w:tcPr>
          <w:p w14:paraId="7A84EACE" w14:textId="5D4E0125" w:rsidR="000702CB" w:rsidRPr="00554FAF" w:rsidRDefault="000702CB" w:rsidP="00754A76">
            <w:pPr>
              <w:autoSpaceDE w:val="0"/>
              <w:autoSpaceDN w:val="0"/>
              <w:adjustRightInd w:val="0"/>
              <w:spacing w:after="60" w:line="240" w:lineRule="auto"/>
              <w:jc w:val="both"/>
              <w:rPr>
                <w:rFonts w:ascii="Times New Roman" w:hAnsi="Times New Roman" w:cs="Times New Roman"/>
                <w:color w:val="000000"/>
                <w:sz w:val="24"/>
                <w:szCs w:val="24"/>
              </w:rPr>
            </w:pPr>
            <w:r w:rsidRPr="00554FAF">
              <w:rPr>
                <w:rFonts w:ascii="Times New Roman" w:hAnsi="Times New Roman" w:cs="Times New Roman"/>
                <w:color w:val="000000"/>
                <w:sz w:val="24"/>
                <w:szCs w:val="24"/>
              </w:rPr>
              <w:t>Cilësia e mësimit e aftësimit në IAAP varet në mënyrë të rëndësishme nga ripërcaktimi i formulës së financimit. Nevojitet dakordimi mes partnerëve kyç, duke përfshirë partnerët ndërkombëtarë, për finalizimin e formulës së financimit dhe përpilimin dhe zbatimin e udhëzimit administrativ.</w:t>
            </w:r>
          </w:p>
        </w:tc>
      </w:tr>
      <w:tr w:rsidR="000702CB" w:rsidRPr="00554FAF" w14:paraId="27674892" w14:textId="77777777" w:rsidTr="003A7429">
        <w:tc>
          <w:tcPr>
            <w:tcW w:w="3798" w:type="dxa"/>
            <w:shd w:val="clear" w:color="auto" w:fill="auto"/>
          </w:tcPr>
          <w:p w14:paraId="65E2B234" w14:textId="77777777" w:rsidR="000702CB" w:rsidRPr="00554FAF" w:rsidRDefault="000702CB" w:rsidP="000702CB">
            <w:pPr>
              <w:autoSpaceDE w:val="0"/>
              <w:autoSpaceDN w:val="0"/>
              <w:adjustRightInd w:val="0"/>
              <w:spacing w:after="60" w:line="240" w:lineRule="auto"/>
              <w:jc w:val="both"/>
              <w:rPr>
                <w:rFonts w:ascii="Times New Roman" w:hAnsi="Times New Roman" w:cs="Times New Roman"/>
                <w:color w:val="000000"/>
                <w:sz w:val="24"/>
                <w:szCs w:val="24"/>
              </w:rPr>
            </w:pPr>
            <w:r w:rsidRPr="00554FAF">
              <w:rPr>
                <w:rFonts w:ascii="Times New Roman" w:hAnsi="Times New Roman" w:cs="Times New Roman"/>
                <w:color w:val="000000"/>
                <w:sz w:val="24"/>
                <w:szCs w:val="24"/>
              </w:rPr>
              <w:t>Ngecjet në zbatimin e kurrikulave bërthamë në nivelin nacional</w:t>
            </w:r>
          </w:p>
        </w:tc>
        <w:tc>
          <w:tcPr>
            <w:tcW w:w="1710" w:type="dxa"/>
            <w:shd w:val="clear" w:color="auto" w:fill="auto"/>
          </w:tcPr>
          <w:p w14:paraId="44DB60A3" w14:textId="77777777" w:rsidR="000702CB" w:rsidRPr="00554FAF" w:rsidRDefault="000702CB" w:rsidP="000702CB">
            <w:pPr>
              <w:autoSpaceDE w:val="0"/>
              <w:autoSpaceDN w:val="0"/>
              <w:adjustRightInd w:val="0"/>
              <w:spacing w:after="60" w:line="240" w:lineRule="auto"/>
              <w:jc w:val="both"/>
              <w:rPr>
                <w:rFonts w:ascii="Times New Roman" w:hAnsi="Times New Roman" w:cs="Times New Roman"/>
                <w:color w:val="000000"/>
                <w:sz w:val="24"/>
                <w:szCs w:val="24"/>
              </w:rPr>
            </w:pPr>
            <w:r w:rsidRPr="00554FAF">
              <w:rPr>
                <w:rFonts w:ascii="Times New Roman" w:hAnsi="Times New Roman" w:cs="Times New Roman"/>
                <w:color w:val="000000"/>
                <w:sz w:val="24"/>
                <w:szCs w:val="24"/>
              </w:rPr>
              <w:t>I lartë</w:t>
            </w:r>
          </w:p>
        </w:tc>
        <w:tc>
          <w:tcPr>
            <w:tcW w:w="3847" w:type="dxa"/>
            <w:shd w:val="clear" w:color="auto" w:fill="auto"/>
          </w:tcPr>
          <w:p w14:paraId="2F172EB3" w14:textId="77777777" w:rsidR="000702CB" w:rsidRPr="00554FAF" w:rsidRDefault="000702CB" w:rsidP="000702CB">
            <w:pPr>
              <w:autoSpaceDE w:val="0"/>
              <w:autoSpaceDN w:val="0"/>
              <w:adjustRightInd w:val="0"/>
              <w:spacing w:after="60" w:line="240" w:lineRule="auto"/>
              <w:jc w:val="both"/>
              <w:rPr>
                <w:rFonts w:ascii="Times New Roman" w:hAnsi="Times New Roman" w:cs="Times New Roman"/>
                <w:color w:val="000000"/>
                <w:sz w:val="24"/>
                <w:szCs w:val="24"/>
              </w:rPr>
            </w:pPr>
            <w:r w:rsidRPr="00554FAF">
              <w:rPr>
                <w:rFonts w:ascii="Times New Roman" w:hAnsi="Times New Roman" w:cs="Times New Roman"/>
                <w:color w:val="000000"/>
                <w:sz w:val="24"/>
                <w:szCs w:val="24"/>
              </w:rPr>
              <w:t>Përgatitjet paraprake dhe pilotimi i mirë-menduar është jetik që të evitohen ngecjet në zbatimin e kurrikulave bërthamë në nivel nacional. Një vlerësim dhe monitorim i ngushtë i fazës pilot është thelbësor për të siguruar që Kurrikula e AAP mund të përfshihet në nivel  vendi.</w:t>
            </w:r>
          </w:p>
        </w:tc>
      </w:tr>
      <w:tr w:rsidR="000702CB" w:rsidRPr="00554FAF" w14:paraId="68BC0D6C" w14:textId="77777777" w:rsidTr="003A7429">
        <w:tc>
          <w:tcPr>
            <w:tcW w:w="3798" w:type="dxa"/>
            <w:shd w:val="clear" w:color="auto" w:fill="auto"/>
          </w:tcPr>
          <w:p w14:paraId="4057BDB7" w14:textId="77777777" w:rsidR="000702CB" w:rsidRPr="00554FAF" w:rsidRDefault="000702CB" w:rsidP="000702CB">
            <w:pPr>
              <w:autoSpaceDE w:val="0"/>
              <w:autoSpaceDN w:val="0"/>
              <w:adjustRightInd w:val="0"/>
              <w:spacing w:after="60" w:line="240" w:lineRule="auto"/>
              <w:jc w:val="both"/>
              <w:rPr>
                <w:rFonts w:ascii="Times New Roman" w:hAnsi="Times New Roman" w:cs="Times New Roman"/>
                <w:color w:val="000000"/>
                <w:sz w:val="24"/>
                <w:szCs w:val="24"/>
              </w:rPr>
            </w:pPr>
            <w:r w:rsidRPr="00554FAF">
              <w:rPr>
                <w:rFonts w:ascii="Times New Roman" w:hAnsi="Times New Roman" w:cs="Times New Roman"/>
                <w:color w:val="000000"/>
                <w:sz w:val="24"/>
                <w:szCs w:val="24"/>
              </w:rPr>
              <w:t>Mosaftësimi adekuat i mësimdhënësve për zbatimin e kurrikulës së re bërthamë</w:t>
            </w:r>
          </w:p>
        </w:tc>
        <w:tc>
          <w:tcPr>
            <w:tcW w:w="1710" w:type="dxa"/>
            <w:shd w:val="clear" w:color="auto" w:fill="auto"/>
          </w:tcPr>
          <w:p w14:paraId="0115E38F" w14:textId="77777777" w:rsidR="000702CB" w:rsidRPr="00554FAF" w:rsidRDefault="000702CB" w:rsidP="000702CB">
            <w:pPr>
              <w:autoSpaceDE w:val="0"/>
              <w:autoSpaceDN w:val="0"/>
              <w:adjustRightInd w:val="0"/>
              <w:spacing w:after="60" w:line="240" w:lineRule="auto"/>
              <w:jc w:val="both"/>
              <w:rPr>
                <w:rFonts w:ascii="Times New Roman" w:hAnsi="Times New Roman" w:cs="Times New Roman"/>
                <w:color w:val="000000"/>
                <w:sz w:val="24"/>
                <w:szCs w:val="24"/>
              </w:rPr>
            </w:pPr>
            <w:r w:rsidRPr="00554FAF">
              <w:rPr>
                <w:rFonts w:ascii="Times New Roman" w:hAnsi="Times New Roman" w:cs="Times New Roman"/>
                <w:color w:val="000000"/>
                <w:sz w:val="24"/>
                <w:szCs w:val="24"/>
              </w:rPr>
              <w:t>I lartë</w:t>
            </w:r>
          </w:p>
        </w:tc>
        <w:tc>
          <w:tcPr>
            <w:tcW w:w="3847" w:type="dxa"/>
            <w:shd w:val="clear" w:color="auto" w:fill="auto"/>
          </w:tcPr>
          <w:p w14:paraId="3FC7A2C4" w14:textId="77777777" w:rsidR="000702CB" w:rsidRPr="00554FAF" w:rsidRDefault="000702CB" w:rsidP="000702CB">
            <w:pPr>
              <w:autoSpaceDE w:val="0"/>
              <w:autoSpaceDN w:val="0"/>
              <w:adjustRightInd w:val="0"/>
              <w:spacing w:after="60" w:line="240" w:lineRule="auto"/>
              <w:jc w:val="both"/>
              <w:rPr>
                <w:rFonts w:ascii="Times New Roman" w:hAnsi="Times New Roman" w:cs="Times New Roman"/>
                <w:color w:val="000000"/>
                <w:sz w:val="24"/>
                <w:szCs w:val="24"/>
              </w:rPr>
            </w:pPr>
            <w:r w:rsidRPr="00554FAF">
              <w:rPr>
                <w:rFonts w:ascii="Times New Roman" w:hAnsi="Times New Roman" w:cs="Times New Roman"/>
                <w:color w:val="000000"/>
                <w:sz w:val="24"/>
                <w:szCs w:val="24"/>
              </w:rPr>
              <w:t>Fuqizimi i programit TiT me resurset e nevojshme që të sigurohet aftësimi adekuat i mësimdhënësve (fillimisht në shkollat-pilot dhe pastaj në nivel nacional).</w:t>
            </w:r>
          </w:p>
        </w:tc>
      </w:tr>
    </w:tbl>
    <w:p w14:paraId="115BD3D6" w14:textId="77777777" w:rsidR="000702CB" w:rsidRPr="00554FAF" w:rsidRDefault="000702CB" w:rsidP="000702CB">
      <w:pPr>
        <w:autoSpaceDE w:val="0"/>
        <w:autoSpaceDN w:val="0"/>
        <w:adjustRightInd w:val="0"/>
        <w:spacing w:after="60" w:line="240" w:lineRule="auto"/>
        <w:jc w:val="both"/>
        <w:rPr>
          <w:rFonts w:ascii="Times New Roman" w:hAnsi="Times New Roman" w:cs="Times New Roman"/>
          <w:b/>
          <w:b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0702CB" w:rsidRPr="00554FAF" w14:paraId="7784FCE0" w14:textId="77777777" w:rsidTr="003A7429">
        <w:tc>
          <w:tcPr>
            <w:tcW w:w="9350" w:type="dxa"/>
            <w:shd w:val="clear" w:color="auto" w:fill="5B9BD5"/>
          </w:tcPr>
          <w:p w14:paraId="0ADA65ED" w14:textId="479CE957" w:rsidR="000702CB" w:rsidRPr="00554FAF" w:rsidRDefault="000702CB" w:rsidP="000702CB">
            <w:pPr>
              <w:spacing w:after="60" w:line="240" w:lineRule="auto"/>
              <w:jc w:val="both"/>
              <w:rPr>
                <w:rFonts w:ascii="Times New Roman" w:hAnsi="Times New Roman" w:cs="Times New Roman"/>
                <w:b/>
                <w:sz w:val="24"/>
                <w:szCs w:val="24"/>
              </w:rPr>
            </w:pPr>
            <w:r w:rsidRPr="00554FAF">
              <w:rPr>
                <w:rFonts w:ascii="Times New Roman" w:hAnsi="Times New Roman" w:cs="Times New Roman"/>
                <w:b/>
                <w:bCs/>
                <w:sz w:val="24"/>
                <w:szCs w:val="24"/>
              </w:rPr>
              <w:t xml:space="preserve">Masa e reformës #18: </w:t>
            </w:r>
            <w:r w:rsidR="00F251A2" w:rsidRPr="00554FAF">
              <w:rPr>
                <w:rFonts w:ascii="Times New Roman" w:hAnsi="Times New Roman" w:cs="Times New Roman"/>
                <w:b/>
                <w:bCs/>
                <w:sz w:val="24"/>
                <w:szCs w:val="24"/>
              </w:rPr>
              <w:t xml:space="preserve">Ngritja dhe sigurimi i cilësisë në arsimin e lartë duke e fuqizuar kualitetin e mekanizmit mbikëqyrës, duke e përmirësuar formulën e financimit dhe duke i profilizuar institucionet e arsimit të lartë </w:t>
            </w:r>
          </w:p>
        </w:tc>
      </w:tr>
    </w:tbl>
    <w:p w14:paraId="43E61E07" w14:textId="34A30CC2" w:rsidR="000702CB" w:rsidRPr="00554FAF" w:rsidRDefault="000702CB" w:rsidP="000702CB">
      <w:pPr>
        <w:pStyle w:val="Default"/>
        <w:spacing w:after="60"/>
        <w:jc w:val="both"/>
        <w:rPr>
          <w:iCs/>
          <w:lang w:val="sq-AL"/>
        </w:rPr>
      </w:pPr>
      <w:r w:rsidRPr="00554FAF">
        <w:rPr>
          <w:b/>
          <w:iCs/>
          <w:lang w:val="sq-AL"/>
        </w:rPr>
        <w:t xml:space="preserve">1. Përshkrimi i masës: </w:t>
      </w:r>
      <w:r w:rsidRPr="00554FAF">
        <w:rPr>
          <w:iCs/>
          <w:lang w:val="sq-AL"/>
        </w:rPr>
        <w:t>Masa synon ngritjen e cilësisë së arsimit të lartë përmes përmirësimit të legjislacionit dhe ngritjes së kapacitetit të mekanizmave që sigurojnë cilësinë e ofruar nga institucionet e arsimit të lartë (IAL), fillimin e profilizimit të IAL-ve konform nevojave socio-ekonomike dhe trendëve bashkëkohor</w:t>
      </w:r>
      <w:r w:rsidR="00F251A2" w:rsidRPr="00554FAF">
        <w:rPr>
          <w:iCs/>
          <w:lang w:val="sq-AL"/>
        </w:rPr>
        <w:t xml:space="preserve">ë </w:t>
      </w:r>
      <w:r w:rsidRPr="00554FAF">
        <w:rPr>
          <w:iCs/>
          <w:lang w:val="sq-AL"/>
        </w:rPr>
        <w:t xml:space="preserve">dhe përmirësimin e performancës së IAL-ve bazuar në ridizejnimin e formulës së financimit. Masa mbështetet në Strategjisë Kombëtare për Zhvillim (SKZH) dhe Planin Strategjik të Arsimit në Kosovë (PSAK). Masa është formuluar si përgjigje ndaj pengesave strukturore në fushën e arsimit dhe shkathtësive, të cilat lidhen me arritshmërinë e kufizuar arsimore në Kosovë në nivelin e arsimit universitar. </w:t>
      </w:r>
    </w:p>
    <w:p w14:paraId="6E1AC7BC" w14:textId="483955C7" w:rsidR="000702CB" w:rsidRPr="00554FAF" w:rsidRDefault="000702CB" w:rsidP="000702CB">
      <w:pPr>
        <w:spacing w:after="60" w:line="240" w:lineRule="auto"/>
        <w:jc w:val="both"/>
        <w:rPr>
          <w:rFonts w:ascii="Times New Roman" w:hAnsi="Times New Roman" w:cs="Times New Roman"/>
          <w:iCs/>
          <w:color w:val="000000"/>
          <w:sz w:val="24"/>
          <w:szCs w:val="24"/>
        </w:rPr>
      </w:pPr>
      <w:r w:rsidRPr="00554FAF">
        <w:rPr>
          <w:rFonts w:ascii="Times New Roman" w:hAnsi="Times New Roman" w:cs="Times New Roman"/>
          <w:iCs/>
          <w:color w:val="000000"/>
          <w:sz w:val="24"/>
          <w:szCs w:val="24"/>
        </w:rPr>
        <w:t>Sipas ILO-së (2016), vetëm rreth 12% e popullsisë në moshë të rritur (25+vjeç) kanë të përfunduar arsimin universitar. Niveli i ulët i arritshmërisë arsimore në nivelin terciar ngritë papunësinë strukturore, ulë produktivitetin e fuqisë punëtore, kufizon prirjet për inovacion</w:t>
      </w:r>
      <w:r w:rsidR="00F251A2" w:rsidRPr="00554FAF">
        <w:rPr>
          <w:rFonts w:ascii="Times New Roman" w:hAnsi="Times New Roman" w:cs="Times New Roman"/>
          <w:iCs/>
          <w:color w:val="000000"/>
          <w:sz w:val="24"/>
          <w:szCs w:val="24"/>
        </w:rPr>
        <w:t xml:space="preserve"> </w:t>
      </w:r>
      <w:r w:rsidRPr="00554FAF">
        <w:rPr>
          <w:rFonts w:ascii="Times New Roman" w:hAnsi="Times New Roman" w:cs="Times New Roman"/>
          <w:iCs/>
          <w:color w:val="000000"/>
          <w:sz w:val="24"/>
          <w:szCs w:val="24"/>
        </w:rPr>
        <w:t xml:space="preserve">dhe ulë fuqinë blerëse e cila kufizon konsumin vendor dhe rritjen ekonomike. Masa vijon nga cikli i mëhershëm gjatë së cilës është hartuar Projektligji për </w:t>
      </w:r>
      <w:r w:rsidR="00F251A2" w:rsidRPr="00554FAF">
        <w:rPr>
          <w:rFonts w:ascii="Times New Roman" w:hAnsi="Times New Roman" w:cs="Times New Roman"/>
          <w:iCs/>
          <w:color w:val="000000"/>
          <w:sz w:val="24"/>
          <w:szCs w:val="24"/>
        </w:rPr>
        <w:t>a</w:t>
      </w:r>
      <w:r w:rsidRPr="00554FAF">
        <w:rPr>
          <w:rFonts w:ascii="Times New Roman" w:hAnsi="Times New Roman" w:cs="Times New Roman"/>
          <w:iCs/>
          <w:color w:val="000000"/>
          <w:sz w:val="24"/>
          <w:szCs w:val="24"/>
        </w:rPr>
        <w:t xml:space="preserve">rsimin e </w:t>
      </w:r>
      <w:r w:rsidR="00F251A2" w:rsidRPr="00554FAF">
        <w:rPr>
          <w:rFonts w:ascii="Times New Roman" w:hAnsi="Times New Roman" w:cs="Times New Roman"/>
          <w:iCs/>
          <w:color w:val="000000"/>
          <w:sz w:val="24"/>
          <w:szCs w:val="24"/>
        </w:rPr>
        <w:t>l</w:t>
      </w:r>
      <w:r w:rsidRPr="00554FAF">
        <w:rPr>
          <w:rFonts w:ascii="Times New Roman" w:hAnsi="Times New Roman" w:cs="Times New Roman"/>
          <w:iCs/>
          <w:color w:val="000000"/>
          <w:sz w:val="24"/>
          <w:szCs w:val="24"/>
        </w:rPr>
        <w:t>artë por nuk është miratuar në Kuvend. Është miratuar koncept dokumenti për Ligjin për Agjencinë e Kosovës për Akreditim (AKA).</w:t>
      </w:r>
      <w:r w:rsidR="00F251A2" w:rsidRPr="00554FAF">
        <w:rPr>
          <w:rFonts w:ascii="Times New Roman" w:hAnsi="Times New Roman" w:cs="Times New Roman"/>
          <w:iCs/>
          <w:color w:val="000000"/>
          <w:sz w:val="24"/>
          <w:szCs w:val="24"/>
        </w:rPr>
        <w:t xml:space="preserve"> </w:t>
      </w:r>
      <w:r w:rsidRPr="00554FAF">
        <w:rPr>
          <w:rFonts w:ascii="Times New Roman" w:hAnsi="Times New Roman" w:cs="Times New Roman"/>
          <w:iCs/>
          <w:color w:val="000000"/>
          <w:sz w:val="24"/>
          <w:szCs w:val="24"/>
        </w:rPr>
        <w:t>Pas përjashtimit të AKA nga ENQA, është zhvilluar vlerësimi i jashtëm nga kjo e fundit, e cila në shtator 2019 ka njoftuar se nuk ka miratuar anëtarësimin e AKA-së në këtë institucion. Gjatë 2019, Këshilli Shtetëror i Cilësisë ka aprovuar standardet evropiane të sigurimit të cilësisë në arsimin e lartë (ESG), të cilat janë zbatuar në vitin 2019 për (ri) akreditim institucional dhe të programeve. Nuk është rishikuar formula e financimit të IAL-ve, ndërkohë Qeveria ka themeluar delegacionin teknik për shqyrtimin dhe negocimin e marrëveshjes për njohjen e ndërsjellë të kualifikimeve profesionale me vendet e Ballkanit Perëndimor. MASHT gjithashtu ka skema kombëtare të mobilitetit  ku aplikon thirrjen e hapur gjatë gjithë vitit për kërkime dhe pjesëmarrje në konferenca shkencore ndërkombëtare për IAL publike dhe private dhe merr pjesë në programet ndërkombëtare ERASMUS, CEEPUS, dhe COST. Gjithashtu, për sa i përket lidhjes së AL me nevojat e tregut të punës, në Kosovë janë krijuar Organe Këshilluese (Bordet Industriale) në gjashtë universitete publike.</w:t>
      </w:r>
    </w:p>
    <w:p w14:paraId="43D3BA99" w14:textId="608541C2" w:rsidR="000702CB" w:rsidRPr="00FC648F" w:rsidRDefault="000702CB" w:rsidP="00634492">
      <w:pPr>
        <w:pStyle w:val="Default"/>
        <w:spacing w:after="60"/>
        <w:jc w:val="both"/>
        <w:rPr>
          <w:rFonts w:eastAsia="MS Mincho"/>
          <w:b/>
          <w:lang w:val="fr-BE"/>
        </w:rPr>
      </w:pPr>
      <w:r w:rsidRPr="00554FAF">
        <w:rPr>
          <w:lang w:val="sq-AL"/>
        </w:rPr>
        <w:t xml:space="preserve"> </w:t>
      </w:r>
      <w:bookmarkStart w:id="211" w:name="_Hlk21871171"/>
      <w:r w:rsidRPr="00FC648F">
        <w:rPr>
          <w:rFonts w:eastAsia="MS Mincho"/>
          <w:b/>
          <w:lang w:val="fr-BE"/>
        </w:rPr>
        <w:t>a. Aktivitetet e planifikuara për 2020:</w:t>
      </w:r>
    </w:p>
    <w:p w14:paraId="2CAA5CF2" w14:textId="5A9C9B38" w:rsidR="000702CB" w:rsidRPr="00554FAF" w:rsidRDefault="000702CB" w:rsidP="00730ACA">
      <w:pPr>
        <w:pStyle w:val="ListParagraph"/>
        <w:numPr>
          <w:ilvl w:val="0"/>
          <w:numId w:val="20"/>
        </w:numPr>
        <w:autoSpaceDE w:val="0"/>
        <w:autoSpaceDN w:val="0"/>
        <w:adjustRightInd w:val="0"/>
        <w:spacing w:after="60" w:line="240" w:lineRule="auto"/>
        <w:contextualSpacing w:val="0"/>
        <w:jc w:val="both"/>
        <w:rPr>
          <w:rFonts w:ascii="Times New Roman" w:eastAsia="MS Mincho" w:hAnsi="Times New Roman" w:cs="Times New Roman"/>
          <w:bCs/>
          <w:iCs/>
          <w:color w:val="000000"/>
          <w:sz w:val="24"/>
          <w:szCs w:val="24"/>
        </w:rPr>
      </w:pPr>
      <w:r w:rsidRPr="00554FAF">
        <w:rPr>
          <w:rFonts w:ascii="Times New Roman" w:eastAsia="MS Mincho" w:hAnsi="Times New Roman" w:cs="Times New Roman"/>
          <w:bCs/>
          <w:iCs/>
          <w:color w:val="000000"/>
          <w:sz w:val="24"/>
          <w:szCs w:val="24"/>
        </w:rPr>
        <w:t>Miratimi i Ligjit për Agjencinë e Kosovës për Akreditim</w:t>
      </w:r>
      <w:r w:rsidR="00F251A2" w:rsidRPr="00554FAF">
        <w:rPr>
          <w:rFonts w:ascii="Times New Roman" w:eastAsia="MS Mincho" w:hAnsi="Times New Roman" w:cs="Times New Roman"/>
          <w:bCs/>
          <w:iCs/>
          <w:color w:val="000000"/>
          <w:sz w:val="24"/>
          <w:szCs w:val="24"/>
        </w:rPr>
        <w:t>;</w:t>
      </w:r>
      <w:r w:rsidRPr="00554FAF">
        <w:rPr>
          <w:rFonts w:ascii="Times New Roman" w:eastAsia="MS Mincho" w:hAnsi="Times New Roman" w:cs="Times New Roman"/>
          <w:bCs/>
          <w:iCs/>
          <w:color w:val="000000"/>
          <w:sz w:val="24"/>
          <w:szCs w:val="24"/>
        </w:rPr>
        <w:t xml:space="preserve"> (MASHT)</w:t>
      </w:r>
    </w:p>
    <w:p w14:paraId="1EBC6FD5" w14:textId="44FB8AB6" w:rsidR="000702CB" w:rsidRPr="00554FAF" w:rsidRDefault="000702CB" w:rsidP="00730ACA">
      <w:pPr>
        <w:pStyle w:val="ListParagraph"/>
        <w:numPr>
          <w:ilvl w:val="0"/>
          <w:numId w:val="20"/>
        </w:numPr>
        <w:autoSpaceDE w:val="0"/>
        <w:autoSpaceDN w:val="0"/>
        <w:adjustRightInd w:val="0"/>
        <w:spacing w:after="60" w:line="240" w:lineRule="auto"/>
        <w:contextualSpacing w:val="0"/>
        <w:jc w:val="both"/>
        <w:rPr>
          <w:rFonts w:ascii="Times New Roman" w:eastAsia="MS Mincho" w:hAnsi="Times New Roman" w:cs="Times New Roman"/>
          <w:bCs/>
          <w:iCs/>
          <w:color w:val="000000"/>
          <w:sz w:val="24"/>
          <w:szCs w:val="24"/>
        </w:rPr>
      </w:pPr>
      <w:r w:rsidRPr="00554FAF">
        <w:rPr>
          <w:rFonts w:ascii="Times New Roman" w:eastAsia="MS Mincho" w:hAnsi="Times New Roman" w:cs="Times New Roman"/>
          <w:bCs/>
          <w:iCs/>
          <w:color w:val="000000"/>
          <w:sz w:val="24"/>
          <w:szCs w:val="24"/>
        </w:rPr>
        <w:t>Plotësimi i personelit dhe fuqizimi i kapaciteteve të AKA-së përmes rekrutimit të 20 zyrtarëve të rinj</w:t>
      </w:r>
      <w:r w:rsidR="00F251A2" w:rsidRPr="00554FAF">
        <w:rPr>
          <w:rFonts w:ascii="Times New Roman" w:eastAsia="MS Mincho" w:hAnsi="Times New Roman" w:cs="Times New Roman"/>
          <w:bCs/>
          <w:iCs/>
          <w:color w:val="000000"/>
          <w:sz w:val="24"/>
          <w:szCs w:val="24"/>
        </w:rPr>
        <w:t>;</w:t>
      </w:r>
      <w:r w:rsidRPr="00554FAF">
        <w:rPr>
          <w:rFonts w:ascii="Times New Roman" w:eastAsia="MS Mincho" w:hAnsi="Times New Roman" w:cs="Times New Roman"/>
          <w:bCs/>
          <w:iCs/>
          <w:color w:val="000000"/>
          <w:sz w:val="24"/>
          <w:szCs w:val="24"/>
        </w:rPr>
        <w:t xml:space="preserve"> (AKA)</w:t>
      </w:r>
    </w:p>
    <w:p w14:paraId="3E1AEF88" w14:textId="01053A05" w:rsidR="000702CB" w:rsidRPr="00554FAF" w:rsidRDefault="000702CB" w:rsidP="00730ACA">
      <w:pPr>
        <w:pStyle w:val="ListParagraph"/>
        <w:numPr>
          <w:ilvl w:val="0"/>
          <w:numId w:val="20"/>
        </w:numPr>
        <w:autoSpaceDE w:val="0"/>
        <w:autoSpaceDN w:val="0"/>
        <w:adjustRightInd w:val="0"/>
        <w:spacing w:after="60" w:line="240" w:lineRule="auto"/>
        <w:contextualSpacing w:val="0"/>
        <w:jc w:val="both"/>
        <w:rPr>
          <w:rFonts w:ascii="Times New Roman" w:eastAsia="MS Mincho" w:hAnsi="Times New Roman" w:cs="Times New Roman"/>
          <w:bCs/>
          <w:iCs/>
          <w:color w:val="000000"/>
          <w:sz w:val="24"/>
          <w:szCs w:val="24"/>
        </w:rPr>
      </w:pPr>
      <w:r w:rsidRPr="00554FAF">
        <w:rPr>
          <w:rFonts w:ascii="Times New Roman" w:eastAsia="MS Mincho" w:hAnsi="Times New Roman" w:cs="Times New Roman"/>
          <w:bCs/>
          <w:iCs/>
          <w:color w:val="000000"/>
          <w:sz w:val="24"/>
          <w:szCs w:val="24"/>
        </w:rPr>
        <w:t>Përpilimi dhe miratimi i udhëzuesit nga Këshilli Shtetëror i Cilësisë (KSCH) për vendosjen e kritereve të monitorimit të IAL-ve</w:t>
      </w:r>
      <w:r w:rsidR="00F251A2" w:rsidRPr="00554FAF">
        <w:rPr>
          <w:rFonts w:ascii="Times New Roman" w:eastAsia="MS Mincho" w:hAnsi="Times New Roman" w:cs="Times New Roman"/>
          <w:bCs/>
          <w:iCs/>
          <w:color w:val="000000"/>
          <w:sz w:val="24"/>
          <w:szCs w:val="24"/>
        </w:rPr>
        <w:t>;</w:t>
      </w:r>
      <w:r w:rsidRPr="00554FAF">
        <w:rPr>
          <w:rFonts w:ascii="Times New Roman" w:eastAsia="MS Mincho" w:hAnsi="Times New Roman" w:cs="Times New Roman"/>
          <w:bCs/>
          <w:iCs/>
          <w:color w:val="000000"/>
          <w:sz w:val="24"/>
          <w:szCs w:val="24"/>
        </w:rPr>
        <w:t xml:space="preserve"> (AKA/KSHC)</w:t>
      </w:r>
    </w:p>
    <w:p w14:paraId="2A64143E" w14:textId="408F7362" w:rsidR="000702CB" w:rsidRPr="00554FAF" w:rsidRDefault="000702CB" w:rsidP="00730ACA">
      <w:pPr>
        <w:pStyle w:val="ListParagraph"/>
        <w:numPr>
          <w:ilvl w:val="0"/>
          <w:numId w:val="20"/>
        </w:numPr>
        <w:autoSpaceDE w:val="0"/>
        <w:autoSpaceDN w:val="0"/>
        <w:adjustRightInd w:val="0"/>
        <w:spacing w:after="60" w:line="240" w:lineRule="auto"/>
        <w:contextualSpacing w:val="0"/>
        <w:jc w:val="both"/>
        <w:rPr>
          <w:rFonts w:ascii="Times New Roman" w:eastAsia="MS Mincho" w:hAnsi="Times New Roman" w:cs="Times New Roman"/>
          <w:bCs/>
          <w:iCs/>
          <w:color w:val="000000"/>
          <w:sz w:val="24"/>
          <w:szCs w:val="24"/>
        </w:rPr>
      </w:pPr>
      <w:r w:rsidRPr="00554FAF">
        <w:rPr>
          <w:rFonts w:ascii="Times New Roman" w:eastAsia="MS Mincho" w:hAnsi="Times New Roman" w:cs="Times New Roman"/>
          <w:bCs/>
          <w:iCs/>
          <w:color w:val="000000"/>
          <w:sz w:val="24"/>
          <w:szCs w:val="24"/>
        </w:rPr>
        <w:t>Rishikimi dhe miratimi i standardeve të reja (ESG) për vlerësimin e programeve të nivelit të doktoratës</w:t>
      </w:r>
      <w:r w:rsidR="00F251A2" w:rsidRPr="00554FAF">
        <w:rPr>
          <w:rFonts w:ascii="Times New Roman" w:eastAsia="MS Mincho" w:hAnsi="Times New Roman" w:cs="Times New Roman"/>
          <w:bCs/>
          <w:iCs/>
          <w:color w:val="000000"/>
          <w:sz w:val="24"/>
          <w:szCs w:val="24"/>
        </w:rPr>
        <w:t>;</w:t>
      </w:r>
      <w:r w:rsidRPr="00554FAF">
        <w:rPr>
          <w:rFonts w:ascii="Times New Roman" w:eastAsia="MS Mincho" w:hAnsi="Times New Roman" w:cs="Times New Roman"/>
          <w:bCs/>
          <w:iCs/>
          <w:color w:val="000000"/>
          <w:sz w:val="24"/>
          <w:szCs w:val="24"/>
        </w:rPr>
        <w:t xml:space="preserve"> (AKA/KSHC)</w:t>
      </w:r>
    </w:p>
    <w:p w14:paraId="5C694E36" w14:textId="5A4A5ED4" w:rsidR="000702CB" w:rsidRPr="00554FAF" w:rsidRDefault="000702CB" w:rsidP="00730ACA">
      <w:pPr>
        <w:pStyle w:val="ListParagraph"/>
        <w:numPr>
          <w:ilvl w:val="0"/>
          <w:numId w:val="20"/>
        </w:numPr>
        <w:autoSpaceDE w:val="0"/>
        <w:autoSpaceDN w:val="0"/>
        <w:adjustRightInd w:val="0"/>
        <w:spacing w:after="60" w:line="240" w:lineRule="auto"/>
        <w:contextualSpacing w:val="0"/>
        <w:jc w:val="both"/>
        <w:rPr>
          <w:rFonts w:ascii="Times New Roman" w:eastAsia="MS Mincho" w:hAnsi="Times New Roman" w:cs="Times New Roman"/>
          <w:bCs/>
          <w:iCs/>
          <w:color w:val="000000"/>
          <w:sz w:val="24"/>
          <w:szCs w:val="24"/>
        </w:rPr>
      </w:pPr>
      <w:r w:rsidRPr="00554FAF">
        <w:rPr>
          <w:rFonts w:ascii="Times New Roman" w:eastAsia="MS Mincho" w:hAnsi="Times New Roman" w:cs="Times New Roman"/>
          <w:bCs/>
          <w:iCs/>
          <w:color w:val="000000"/>
          <w:sz w:val="24"/>
          <w:szCs w:val="24"/>
        </w:rPr>
        <w:t>Themelimi i “Qendrës së kompetencës për lidhje me industrinë” në 2 fakultete të Universitetit të Prishtinës</w:t>
      </w:r>
      <w:r w:rsidR="00F251A2" w:rsidRPr="00554FAF">
        <w:rPr>
          <w:rFonts w:ascii="Times New Roman" w:eastAsia="MS Mincho" w:hAnsi="Times New Roman" w:cs="Times New Roman"/>
          <w:bCs/>
          <w:iCs/>
          <w:color w:val="000000"/>
          <w:sz w:val="24"/>
          <w:szCs w:val="24"/>
        </w:rPr>
        <w:t>;</w:t>
      </w:r>
      <w:r w:rsidRPr="00554FAF">
        <w:rPr>
          <w:rFonts w:ascii="Times New Roman" w:eastAsia="MS Mincho" w:hAnsi="Times New Roman" w:cs="Times New Roman"/>
          <w:bCs/>
          <w:iCs/>
          <w:color w:val="000000"/>
          <w:sz w:val="24"/>
          <w:szCs w:val="24"/>
        </w:rPr>
        <w:t xml:space="preserve"> (MASHT)</w:t>
      </w:r>
    </w:p>
    <w:p w14:paraId="4EEA5697" w14:textId="7224C35A" w:rsidR="000702CB" w:rsidRPr="00554FAF" w:rsidRDefault="000702CB" w:rsidP="00730ACA">
      <w:pPr>
        <w:pStyle w:val="ListParagraph"/>
        <w:numPr>
          <w:ilvl w:val="0"/>
          <w:numId w:val="20"/>
        </w:numPr>
        <w:autoSpaceDE w:val="0"/>
        <w:autoSpaceDN w:val="0"/>
        <w:adjustRightInd w:val="0"/>
        <w:spacing w:after="60" w:line="240" w:lineRule="auto"/>
        <w:contextualSpacing w:val="0"/>
        <w:jc w:val="both"/>
        <w:rPr>
          <w:rFonts w:ascii="Times New Roman" w:eastAsia="MS Mincho" w:hAnsi="Times New Roman" w:cs="Times New Roman"/>
          <w:bCs/>
          <w:iCs/>
          <w:color w:val="000000"/>
          <w:sz w:val="24"/>
          <w:szCs w:val="24"/>
        </w:rPr>
      </w:pPr>
      <w:r w:rsidRPr="00554FAF">
        <w:rPr>
          <w:rFonts w:ascii="Times New Roman" w:eastAsia="MS Mincho" w:hAnsi="Times New Roman" w:cs="Times New Roman"/>
          <w:bCs/>
          <w:iCs/>
          <w:color w:val="000000"/>
          <w:sz w:val="24"/>
          <w:szCs w:val="24"/>
        </w:rPr>
        <w:t>Mbështetja nga MASHT në procesin e përzgjedhjes së të paktën dy programeve të arsimit të lartë të cilat do të rishikohen apo përpilohen bazuar në nevojat e tregut të punës</w:t>
      </w:r>
      <w:r w:rsidR="00F251A2" w:rsidRPr="00554FAF">
        <w:rPr>
          <w:rFonts w:ascii="Times New Roman" w:eastAsia="MS Mincho" w:hAnsi="Times New Roman" w:cs="Times New Roman"/>
          <w:bCs/>
          <w:iCs/>
          <w:color w:val="000000"/>
          <w:sz w:val="24"/>
          <w:szCs w:val="24"/>
        </w:rPr>
        <w:t>;</w:t>
      </w:r>
      <w:r w:rsidRPr="00554FAF">
        <w:rPr>
          <w:rFonts w:ascii="Times New Roman" w:eastAsia="MS Mincho" w:hAnsi="Times New Roman" w:cs="Times New Roman"/>
          <w:bCs/>
          <w:iCs/>
          <w:color w:val="000000"/>
          <w:sz w:val="24"/>
          <w:szCs w:val="24"/>
        </w:rPr>
        <w:t xml:space="preserve"> (IAL/MASHT)</w:t>
      </w:r>
    </w:p>
    <w:p w14:paraId="0F08CB0E" w14:textId="076759D2" w:rsidR="000702CB" w:rsidRPr="00554FAF" w:rsidRDefault="000702CB" w:rsidP="00730ACA">
      <w:pPr>
        <w:pStyle w:val="ListParagraph"/>
        <w:numPr>
          <w:ilvl w:val="0"/>
          <w:numId w:val="20"/>
        </w:numPr>
        <w:autoSpaceDE w:val="0"/>
        <w:autoSpaceDN w:val="0"/>
        <w:adjustRightInd w:val="0"/>
        <w:spacing w:after="60" w:line="240" w:lineRule="auto"/>
        <w:contextualSpacing w:val="0"/>
        <w:jc w:val="both"/>
        <w:rPr>
          <w:rFonts w:ascii="Times New Roman" w:eastAsia="MS Mincho" w:hAnsi="Times New Roman" w:cs="Times New Roman"/>
          <w:bCs/>
          <w:iCs/>
          <w:color w:val="000000"/>
          <w:sz w:val="24"/>
          <w:szCs w:val="24"/>
        </w:rPr>
      </w:pPr>
      <w:r w:rsidRPr="00554FAF">
        <w:rPr>
          <w:rFonts w:ascii="Times New Roman" w:eastAsia="MS Mincho" w:hAnsi="Times New Roman" w:cs="Times New Roman"/>
          <w:bCs/>
          <w:iCs/>
          <w:color w:val="000000"/>
          <w:sz w:val="24"/>
          <w:szCs w:val="24"/>
        </w:rPr>
        <w:t>Lidhja e Programit Master për Mësimdhënësit e AAP-së të Fakultetit të Edukimit me fakultetet e shënjestruara për mësimin praktik</w:t>
      </w:r>
      <w:r w:rsidR="00F251A2" w:rsidRPr="00554FAF">
        <w:rPr>
          <w:rFonts w:ascii="Times New Roman" w:eastAsia="MS Mincho" w:hAnsi="Times New Roman" w:cs="Times New Roman"/>
          <w:bCs/>
          <w:iCs/>
          <w:color w:val="000000"/>
          <w:sz w:val="24"/>
          <w:szCs w:val="24"/>
        </w:rPr>
        <w:t>;</w:t>
      </w:r>
      <w:r w:rsidRPr="00554FAF">
        <w:rPr>
          <w:rFonts w:ascii="Times New Roman" w:eastAsia="MS Mincho" w:hAnsi="Times New Roman" w:cs="Times New Roman"/>
          <w:bCs/>
          <w:iCs/>
          <w:color w:val="000000"/>
          <w:sz w:val="24"/>
          <w:szCs w:val="24"/>
        </w:rPr>
        <w:t xml:space="preserve"> (IAL/MASHT)</w:t>
      </w:r>
    </w:p>
    <w:p w14:paraId="5F6296A6" w14:textId="22ED8629" w:rsidR="000702CB" w:rsidRPr="00554FAF" w:rsidRDefault="000702CB" w:rsidP="00730ACA">
      <w:pPr>
        <w:pStyle w:val="ListParagraph"/>
        <w:numPr>
          <w:ilvl w:val="0"/>
          <w:numId w:val="20"/>
        </w:numPr>
        <w:autoSpaceDE w:val="0"/>
        <w:autoSpaceDN w:val="0"/>
        <w:adjustRightInd w:val="0"/>
        <w:spacing w:after="60" w:line="240" w:lineRule="auto"/>
        <w:contextualSpacing w:val="0"/>
        <w:jc w:val="both"/>
        <w:rPr>
          <w:rFonts w:ascii="Times New Roman" w:eastAsia="MS Mincho" w:hAnsi="Times New Roman" w:cs="Times New Roman"/>
          <w:bCs/>
          <w:iCs/>
          <w:color w:val="000000"/>
          <w:sz w:val="24"/>
          <w:szCs w:val="24"/>
        </w:rPr>
      </w:pPr>
      <w:r w:rsidRPr="00554FAF">
        <w:rPr>
          <w:rFonts w:ascii="Times New Roman" w:eastAsia="MS Mincho" w:hAnsi="Times New Roman" w:cs="Times New Roman"/>
          <w:bCs/>
          <w:iCs/>
          <w:color w:val="000000"/>
          <w:sz w:val="24"/>
          <w:szCs w:val="24"/>
        </w:rPr>
        <w:t>Hartimi i koncept dokumentit për formulën e financimit të arsimit të lartë</w:t>
      </w:r>
      <w:r w:rsidR="00F251A2" w:rsidRPr="00554FAF">
        <w:rPr>
          <w:rFonts w:ascii="Times New Roman" w:eastAsia="MS Mincho" w:hAnsi="Times New Roman" w:cs="Times New Roman"/>
          <w:bCs/>
          <w:iCs/>
          <w:color w:val="000000"/>
          <w:sz w:val="24"/>
          <w:szCs w:val="24"/>
        </w:rPr>
        <w:t>;</w:t>
      </w:r>
      <w:r w:rsidRPr="00554FAF">
        <w:rPr>
          <w:rFonts w:ascii="Times New Roman" w:eastAsia="MS Mincho" w:hAnsi="Times New Roman" w:cs="Times New Roman"/>
          <w:bCs/>
          <w:iCs/>
          <w:color w:val="000000"/>
          <w:sz w:val="24"/>
          <w:szCs w:val="24"/>
        </w:rPr>
        <w:t xml:space="preserve"> (MASHT)</w:t>
      </w:r>
    </w:p>
    <w:p w14:paraId="643A51D8" w14:textId="67DB8C43" w:rsidR="000702CB" w:rsidRPr="00554FAF" w:rsidRDefault="000702CB" w:rsidP="00730ACA">
      <w:pPr>
        <w:pStyle w:val="ListParagraph"/>
        <w:numPr>
          <w:ilvl w:val="0"/>
          <w:numId w:val="20"/>
        </w:numPr>
        <w:autoSpaceDE w:val="0"/>
        <w:autoSpaceDN w:val="0"/>
        <w:adjustRightInd w:val="0"/>
        <w:spacing w:after="60" w:line="240" w:lineRule="auto"/>
        <w:contextualSpacing w:val="0"/>
        <w:jc w:val="both"/>
        <w:rPr>
          <w:rFonts w:ascii="Times New Roman" w:eastAsia="MS Mincho" w:hAnsi="Times New Roman" w:cs="Times New Roman"/>
          <w:bCs/>
          <w:iCs/>
          <w:color w:val="000000"/>
          <w:sz w:val="24"/>
          <w:szCs w:val="24"/>
        </w:rPr>
      </w:pPr>
      <w:r w:rsidRPr="00554FAF">
        <w:rPr>
          <w:rFonts w:ascii="Times New Roman" w:eastAsia="MS Mincho" w:hAnsi="Times New Roman" w:cs="Times New Roman"/>
          <w:bCs/>
          <w:iCs/>
          <w:color w:val="000000"/>
          <w:sz w:val="24"/>
          <w:szCs w:val="24"/>
        </w:rPr>
        <w:t>Rishikimi i udhëzimit administrativ për dhënien e bursave për studentët në fushat deficitare</w:t>
      </w:r>
      <w:r w:rsidR="00F251A2" w:rsidRPr="00554FAF">
        <w:rPr>
          <w:rFonts w:ascii="Times New Roman" w:eastAsia="MS Mincho" w:hAnsi="Times New Roman" w:cs="Times New Roman"/>
          <w:bCs/>
          <w:iCs/>
          <w:color w:val="000000"/>
          <w:sz w:val="24"/>
          <w:szCs w:val="24"/>
        </w:rPr>
        <w:t>;</w:t>
      </w:r>
      <w:r w:rsidRPr="00554FAF">
        <w:rPr>
          <w:rFonts w:ascii="Times New Roman" w:eastAsia="MS Mincho" w:hAnsi="Times New Roman" w:cs="Times New Roman"/>
          <w:bCs/>
          <w:iCs/>
          <w:color w:val="000000"/>
          <w:sz w:val="24"/>
          <w:szCs w:val="24"/>
        </w:rPr>
        <w:t xml:space="preserve"> (MASHT).</w:t>
      </w:r>
    </w:p>
    <w:p w14:paraId="2C62A8C2" w14:textId="77777777" w:rsidR="000702CB" w:rsidRPr="00554FAF" w:rsidRDefault="000702CB" w:rsidP="000702CB">
      <w:pPr>
        <w:autoSpaceDE w:val="0"/>
        <w:autoSpaceDN w:val="0"/>
        <w:adjustRightInd w:val="0"/>
        <w:spacing w:after="60" w:line="240" w:lineRule="auto"/>
        <w:jc w:val="both"/>
        <w:rPr>
          <w:rFonts w:ascii="Times New Roman" w:eastAsia="MS Mincho" w:hAnsi="Times New Roman" w:cs="Times New Roman"/>
          <w:b/>
          <w:color w:val="000000"/>
          <w:sz w:val="24"/>
          <w:szCs w:val="24"/>
        </w:rPr>
      </w:pPr>
      <w:r w:rsidRPr="00554FAF">
        <w:rPr>
          <w:rFonts w:ascii="Times New Roman" w:eastAsia="MS Mincho" w:hAnsi="Times New Roman" w:cs="Times New Roman"/>
          <w:b/>
          <w:color w:val="000000"/>
          <w:sz w:val="24"/>
          <w:szCs w:val="24"/>
        </w:rPr>
        <w:t xml:space="preserve">b. Aktivitetet e planifikuara për 2021: </w:t>
      </w:r>
    </w:p>
    <w:p w14:paraId="5FF0D36C" w14:textId="0D40A791" w:rsidR="000702CB" w:rsidRPr="00554FAF" w:rsidRDefault="000702CB" w:rsidP="00730ACA">
      <w:pPr>
        <w:pStyle w:val="ListParagraph"/>
        <w:numPr>
          <w:ilvl w:val="0"/>
          <w:numId w:val="21"/>
        </w:numPr>
        <w:autoSpaceDE w:val="0"/>
        <w:autoSpaceDN w:val="0"/>
        <w:adjustRightInd w:val="0"/>
        <w:spacing w:after="60" w:line="240" w:lineRule="auto"/>
        <w:contextualSpacing w:val="0"/>
        <w:jc w:val="both"/>
        <w:rPr>
          <w:rFonts w:ascii="Times New Roman" w:eastAsia="MS Mincho" w:hAnsi="Times New Roman" w:cs="Times New Roman"/>
          <w:bCs/>
          <w:iCs/>
          <w:color w:val="000000"/>
          <w:sz w:val="24"/>
          <w:szCs w:val="24"/>
        </w:rPr>
      </w:pPr>
      <w:r w:rsidRPr="00554FAF">
        <w:rPr>
          <w:rFonts w:ascii="Times New Roman" w:eastAsia="MS Mincho" w:hAnsi="Times New Roman" w:cs="Times New Roman"/>
          <w:bCs/>
          <w:iCs/>
          <w:color w:val="000000"/>
          <w:sz w:val="24"/>
          <w:szCs w:val="24"/>
        </w:rPr>
        <w:t>Adresimi i plotë i rekomandimeve të ENQA dhe përgatitja e aplikimit për ripranim në ENQA</w:t>
      </w:r>
      <w:r w:rsidR="00F251A2" w:rsidRPr="00554FAF">
        <w:rPr>
          <w:rFonts w:ascii="Times New Roman" w:eastAsia="MS Mincho" w:hAnsi="Times New Roman" w:cs="Times New Roman"/>
          <w:bCs/>
          <w:iCs/>
          <w:color w:val="000000"/>
          <w:sz w:val="24"/>
          <w:szCs w:val="24"/>
        </w:rPr>
        <w:t>;</w:t>
      </w:r>
      <w:r w:rsidRPr="00554FAF">
        <w:rPr>
          <w:rFonts w:ascii="Times New Roman" w:eastAsia="MS Mincho" w:hAnsi="Times New Roman" w:cs="Times New Roman"/>
          <w:bCs/>
          <w:iCs/>
          <w:color w:val="000000"/>
          <w:sz w:val="24"/>
          <w:szCs w:val="24"/>
        </w:rPr>
        <w:t xml:space="preserve"> (MASHT)</w:t>
      </w:r>
    </w:p>
    <w:p w14:paraId="34EBB1DF" w14:textId="046922E5" w:rsidR="000702CB" w:rsidRPr="00554FAF" w:rsidRDefault="000702CB" w:rsidP="00730ACA">
      <w:pPr>
        <w:pStyle w:val="ListParagraph"/>
        <w:numPr>
          <w:ilvl w:val="0"/>
          <w:numId w:val="21"/>
        </w:numPr>
        <w:autoSpaceDE w:val="0"/>
        <w:autoSpaceDN w:val="0"/>
        <w:adjustRightInd w:val="0"/>
        <w:spacing w:after="60" w:line="240" w:lineRule="auto"/>
        <w:contextualSpacing w:val="0"/>
        <w:jc w:val="both"/>
        <w:rPr>
          <w:rFonts w:ascii="Times New Roman" w:eastAsia="MS Mincho" w:hAnsi="Times New Roman" w:cs="Times New Roman"/>
          <w:bCs/>
          <w:iCs/>
          <w:color w:val="000000"/>
          <w:sz w:val="24"/>
          <w:szCs w:val="24"/>
        </w:rPr>
      </w:pPr>
      <w:r w:rsidRPr="00554FAF">
        <w:rPr>
          <w:rFonts w:ascii="Times New Roman" w:eastAsia="MS Mincho" w:hAnsi="Times New Roman" w:cs="Times New Roman"/>
          <w:bCs/>
          <w:iCs/>
          <w:color w:val="000000"/>
          <w:sz w:val="24"/>
          <w:szCs w:val="24"/>
        </w:rPr>
        <w:t>Miratimi i 2 akteve nënligjore që dalin nga Ligji i AKA</w:t>
      </w:r>
      <w:r w:rsidR="00F251A2" w:rsidRPr="00554FAF">
        <w:rPr>
          <w:rFonts w:ascii="Times New Roman" w:eastAsia="MS Mincho" w:hAnsi="Times New Roman" w:cs="Times New Roman"/>
          <w:bCs/>
          <w:iCs/>
          <w:color w:val="000000"/>
          <w:sz w:val="24"/>
          <w:szCs w:val="24"/>
        </w:rPr>
        <w:t>;</w:t>
      </w:r>
      <w:r w:rsidRPr="00554FAF">
        <w:rPr>
          <w:rFonts w:ascii="Times New Roman" w:eastAsia="MS Mincho" w:hAnsi="Times New Roman" w:cs="Times New Roman"/>
          <w:bCs/>
          <w:iCs/>
          <w:color w:val="000000"/>
          <w:sz w:val="24"/>
          <w:szCs w:val="24"/>
        </w:rPr>
        <w:t xml:space="preserve"> (AKA/MASHT</w:t>
      </w:r>
      <w:r w:rsidR="00F251A2" w:rsidRPr="00554FAF">
        <w:rPr>
          <w:rFonts w:ascii="Times New Roman" w:eastAsia="MS Mincho" w:hAnsi="Times New Roman" w:cs="Times New Roman"/>
          <w:bCs/>
          <w:iCs/>
          <w:color w:val="000000"/>
          <w:sz w:val="24"/>
          <w:szCs w:val="24"/>
        </w:rPr>
        <w:t>).</w:t>
      </w:r>
    </w:p>
    <w:p w14:paraId="51139778" w14:textId="506C6E07" w:rsidR="000702CB" w:rsidRPr="00554FAF" w:rsidRDefault="000702CB" w:rsidP="00730ACA">
      <w:pPr>
        <w:pStyle w:val="ListParagraph"/>
        <w:numPr>
          <w:ilvl w:val="0"/>
          <w:numId w:val="21"/>
        </w:numPr>
        <w:autoSpaceDE w:val="0"/>
        <w:autoSpaceDN w:val="0"/>
        <w:adjustRightInd w:val="0"/>
        <w:spacing w:after="60" w:line="240" w:lineRule="auto"/>
        <w:contextualSpacing w:val="0"/>
        <w:jc w:val="both"/>
        <w:rPr>
          <w:rFonts w:ascii="Times New Roman" w:eastAsia="MS Mincho" w:hAnsi="Times New Roman" w:cs="Times New Roman"/>
          <w:bCs/>
          <w:iCs/>
          <w:color w:val="000000"/>
          <w:sz w:val="24"/>
          <w:szCs w:val="24"/>
        </w:rPr>
      </w:pPr>
      <w:r w:rsidRPr="00554FAF">
        <w:rPr>
          <w:rFonts w:ascii="Times New Roman" w:eastAsia="MS Mincho" w:hAnsi="Times New Roman" w:cs="Times New Roman"/>
          <w:bCs/>
          <w:iCs/>
          <w:color w:val="000000"/>
          <w:sz w:val="24"/>
          <w:szCs w:val="24"/>
        </w:rPr>
        <w:t>Përgatitja e raporteve të monitorimit nga AKA për të paktën gjysmën e institucioneve publike dhe private të arsimit të lartë</w:t>
      </w:r>
      <w:r w:rsidR="00F251A2" w:rsidRPr="00554FAF">
        <w:rPr>
          <w:rFonts w:ascii="Times New Roman" w:eastAsia="MS Mincho" w:hAnsi="Times New Roman" w:cs="Times New Roman"/>
          <w:bCs/>
          <w:iCs/>
          <w:color w:val="000000"/>
          <w:sz w:val="24"/>
          <w:szCs w:val="24"/>
        </w:rPr>
        <w:t>;</w:t>
      </w:r>
      <w:r w:rsidRPr="00554FAF">
        <w:rPr>
          <w:rStyle w:val="FootnoteReference"/>
          <w:rFonts w:ascii="Times New Roman" w:eastAsia="MS Mincho" w:hAnsi="Times New Roman" w:cs="Times New Roman"/>
          <w:bCs/>
          <w:iCs/>
          <w:color w:val="000000"/>
          <w:sz w:val="24"/>
          <w:szCs w:val="24"/>
        </w:rPr>
        <w:footnoteReference w:id="38"/>
      </w:r>
      <w:r w:rsidRPr="00554FAF">
        <w:rPr>
          <w:rFonts w:ascii="Times New Roman" w:eastAsia="MS Mincho" w:hAnsi="Times New Roman" w:cs="Times New Roman"/>
          <w:bCs/>
          <w:iCs/>
          <w:color w:val="000000"/>
          <w:sz w:val="24"/>
          <w:szCs w:val="24"/>
        </w:rPr>
        <w:t xml:space="preserve"> (AKA/MASHT)</w:t>
      </w:r>
      <w:r w:rsidR="00F251A2" w:rsidRPr="00554FAF">
        <w:rPr>
          <w:rFonts w:ascii="Times New Roman" w:eastAsia="MS Mincho" w:hAnsi="Times New Roman" w:cs="Times New Roman"/>
          <w:bCs/>
          <w:iCs/>
          <w:color w:val="000000"/>
          <w:sz w:val="24"/>
          <w:szCs w:val="24"/>
        </w:rPr>
        <w:t>.</w:t>
      </w:r>
    </w:p>
    <w:p w14:paraId="77A6C02A" w14:textId="6AC5DD47" w:rsidR="000702CB" w:rsidRPr="00554FAF" w:rsidRDefault="000702CB" w:rsidP="00730ACA">
      <w:pPr>
        <w:pStyle w:val="ListParagraph"/>
        <w:numPr>
          <w:ilvl w:val="0"/>
          <w:numId w:val="21"/>
        </w:numPr>
        <w:autoSpaceDE w:val="0"/>
        <w:autoSpaceDN w:val="0"/>
        <w:adjustRightInd w:val="0"/>
        <w:spacing w:after="60" w:line="240" w:lineRule="auto"/>
        <w:contextualSpacing w:val="0"/>
        <w:jc w:val="both"/>
        <w:rPr>
          <w:rFonts w:ascii="Times New Roman" w:eastAsia="MS Mincho" w:hAnsi="Times New Roman" w:cs="Times New Roman"/>
          <w:bCs/>
          <w:iCs/>
          <w:color w:val="000000"/>
          <w:sz w:val="24"/>
          <w:szCs w:val="24"/>
        </w:rPr>
      </w:pPr>
      <w:r w:rsidRPr="00554FAF">
        <w:rPr>
          <w:rFonts w:ascii="Times New Roman" w:eastAsia="MS Mincho" w:hAnsi="Times New Roman" w:cs="Times New Roman"/>
          <w:bCs/>
          <w:iCs/>
          <w:color w:val="000000"/>
          <w:sz w:val="24"/>
          <w:szCs w:val="24"/>
        </w:rPr>
        <w:t>Përfshirja e 2 fakulteteve tjera të Universitetit të Prishtinës në rrjetin e “qendrës së kompetencës për lidhje me industrinë”</w:t>
      </w:r>
      <w:r w:rsidR="00EB0BB5" w:rsidRPr="00554FAF">
        <w:rPr>
          <w:rFonts w:ascii="Times New Roman" w:eastAsia="MS Mincho" w:hAnsi="Times New Roman" w:cs="Times New Roman"/>
          <w:bCs/>
          <w:iCs/>
          <w:color w:val="000000"/>
          <w:sz w:val="24"/>
          <w:szCs w:val="24"/>
        </w:rPr>
        <w:t>;</w:t>
      </w:r>
      <w:r w:rsidRPr="00554FAF">
        <w:rPr>
          <w:rFonts w:ascii="Times New Roman" w:eastAsia="MS Mincho" w:hAnsi="Times New Roman" w:cs="Times New Roman"/>
          <w:bCs/>
          <w:iCs/>
          <w:color w:val="000000"/>
          <w:sz w:val="24"/>
          <w:szCs w:val="24"/>
        </w:rPr>
        <w:t xml:space="preserve"> (IAL/MASHT)</w:t>
      </w:r>
    </w:p>
    <w:p w14:paraId="532708D6" w14:textId="43C6EBB9" w:rsidR="000702CB" w:rsidRPr="00554FAF" w:rsidRDefault="000702CB" w:rsidP="00730ACA">
      <w:pPr>
        <w:pStyle w:val="ListParagraph"/>
        <w:numPr>
          <w:ilvl w:val="0"/>
          <w:numId w:val="21"/>
        </w:numPr>
        <w:autoSpaceDE w:val="0"/>
        <w:autoSpaceDN w:val="0"/>
        <w:adjustRightInd w:val="0"/>
        <w:spacing w:after="60" w:line="240" w:lineRule="auto"/>
        <w:contextualSpacing w:val="0"/>
        <w:jc w:val="both"/>
        <w:rPr>
          <w:rFonts w:ascii="Times New Roman" w:eastAsia="MS Mincho" w:hAnsi="Times New Roman" w:cs="Times New Roman"/>
          <w:bCs/>
          <w:iCs/>
          <w:color w:val="000000"/>
          <w:sz w:val="24"/>
          <w:szCs w:val="24"/>
        </w:rPr>
      </w:pPr>
      <w:r w:rsidRPr="00554FAF">
        <w:rPr>
          <w:rFonts w:ascii="Times New Roman" w:eastAsia="MS Mincho" w:hAnsi="Times New Roman" w:cs="Times New Roman"/>
          <w:bCs/>
          <w:iCs/>
          <w:color w:val="000000"/>
          <w:sz w:val="24"/>
          <w:szCs w:val="24"/>
        </w:rPr>
        <w:t>Mbështetja nga MASHT dhe donatorët për rishikimin e të paktën dy programeve të arsimit të lartë në përputhje me tregun e punës</w:t>
      </w:r>
      <w:r w:rsidR="00EB0BB5" w:rsidRPr="00554FAF">
        <w:rPr>
          <w:rFonts w:ascii="Times New Roman" w:eastAsia="MS Mincho" w:hAnsi="Times New Roman" w:cs="Times New Roman"/>
          <w:bCs/>
          <w:iCs/>
          <w:color w:val="000000"/>
          <w:sz w:val="24"/>
          <w:szCs w:val="24"/>
        </w:rPr>
        <w:t>;</w:t>
      </w:r>
      <w:r w:rsidRPr="00554FAF">
        <w:rPr>
          <w:rFonts w:ascii="Times New Roman" w:eastAsia="MS Mincho" w:hAnsi="Times New Roman" w:cs="Times New Roman"/>
          <w:bCs/>
          <w:iCs/>
          <w:color w:val="000000"/>
          <w:sz w:val="24"/>
          <w:szCs w:val="24"/>
        </w:rPr>
        <w:t xml:space="preserve"> (IAL/MASHT) </w:t>
      </w:r>
    </w:p>
    <w:p w14:paraId="1B8AE411" w14:textId="1132E286" w:rsidR="000702CB" w:rsidRPr="00554FAF" w:rsidRDefault="000702CB" w:rsidP="00730ACA">
      <w:pPr>
        <w:pStyle w:val="ListParagraph"/>
        <w:numPr>
          <w:ilvl w:val="0"/>
          <w:numId w:val="21"/>
        </w:numPr>
        <w:autoSpaceDE w:val="0"/>
        <w:autoSpaceDN w:val="0"/>
        <w:adjustRightInd w:val="0"/>
        <w:spacing w:after="60" w:line="240" w:lineRule="auto"/>
        <w:contextualSpacing w:val="0"/>
        <w:jc w:val="both"/>
        <w:rPr>
          <w:rFonts w:ascii="Times New Roman" w:eastAsia="MS Mincho" w:hAnsi="Times New Roman" w:cs="Times New Roman"/>
          <w:bCs/>
          <w:iCs/>
          <w:color w:val="000000"/>
          <w:sz w:val="24"/>
          <w:szCs w:val="24"/>
        </w:rPr>
      </w:pPr>
      <w:r w:rsidRPr="00554FAF">
        <w:rPr>
          <w:rFonts w:ascii="Times New Roman" w:eastAsia="MS Mincho" w:hAnsi="Times New Roman" w:cs="Times New Roman"/>
          <w:bCs/>
          <w:iCs/>
          <w:color w:val="000000"/>
          <w:sz w:val="24"/>
          <w:szCs w:val="24"/>
        </w:rPr>
        <w:t>Hartimi dhe miratimi i udhëzimit administrativ për ridefinimin e formulës së financimit në arsimin e lartë, i cili definon kriteret e performancës nga IAL-të</w:t>
      </w:r>
      <w:r w:rsidR="00EB0BB5" w:rsidRPr="00554FAF">
        <w:rPr>
          <w:rFonts w:ascii="Times New Roman" w:eastAsia="MS Mincho" w:hAnsi="Times New Roman" w:cs="Times New Roman"/>
          <w:bCs/>
          <w:iCs/>
          <w:color w:val="000000"/>
          <w:sz w:val="24"/>
          <w:szCs w:val="24"/>
        </w:rPr>
        <w:t>;</w:t>
      </w:r>
      <w:r w:rsidRPr="00554FAF">
        <w:rPr>
          <w:rFonts w:ascii="Times New Roman" w:eastAsia="MS Mincho" w:hAnsi="Times New Roman" w:cs="Times New Roman"/>
          <w:bCs/>
          <w:iCs/>
          <w:color w:val="000000"/>
          <w:sz w:val="24"/>
          <w:szCs w:val="24"/>
        </w:rPr>
        <w:t xml:space="preserve"> (MASHT).</w:t>
      </w:r>
    </w:p>
    <w:p w14:paraId="3A5C305A" w14:textId="77777777" w:rsidR="000702CB" w:rsidRPr="00554FAF" w:rsidRDefault="000702CB" w:rsidP="000702CB">
      <w:pPr>
        <w:autoSpaceDE w:val="0"/>
        <w:autoSpaceDN w:val="0"/>
        <w:adjustRightInd w:val="0"/>
        <w:spacing w:after="60" w:line="240" w:lineRule="auto"/>
        <w:jc w:val="both"/>
        <w:rPr>
          <w:rFonts w:ascii="Times New Roman" w:eastAsia="MS Mincho" w:hAnsi="Times New Roman" w:cs="Times New Roman"/>
          <w:b/>
          <w:color w:val="000000"/>
          <w:sz w:val="24"/>
          <w:szCs w:val="24"/>
        </w:rPr>
      </w:pPr>
      <w:r w:rsidRPr="00554FAF">
        <w:rPr>
          <w:rFonts w:ascii="Times New Roman" w:eastAsia="MS Mincho" w:hAnsi="Times New Roman" w:cs="Times New Roman"/>
          <w:b/>
          <w:color w:val="000000"/>
          <w:sz w:val="24"/>
          <w:szCs w:val="24"/>
        </w:rPr>
        <w:t xml:space="preserve">c. Aktivitetet e planifikuara për 2022: </w:t>
      </w:r>
    </w:p>
    <w:p w14:paraId="7DB7ADCE" w14:textId="414DE6A8" w:rsidR="000702CB" w:rsidRPr="00554FAF" w:rsidRDefault="000702CB" w:rsidP="00730ACA">
      <w:pPr>
        <w:pStyle w:val="ListParagraph"/>
        <w:numPr>
          <w:ilvl w:val="0"/>
          <w:numId w:val="22"/>
        </w:numPr>
        <w:autoSpaceDE w:val="0"/>
        <w:autoSpaceDN w:val="0"/>
        <w:adjustRightInd w:val="0"/>
        <w:spacing w:after="60" w:line="240" w:lineRule="auto"/>
        <w:contextualSpacing w:val="0"/>
        <w:jc w:val="both"/>
        <w:rPr>
          <w:rFonts w:ascii="Times New Roman" w:eastAsia="MS Mincho" w:hAnsi="Times New Roman" w:cs="Times New Roman"/>
          <w:bCs/>
          <w:iCs/>
          <w:color w:val="000000"/>
          <w:sz w:val="24"/>
          <w:szCs w:val="24"/>
        </w:rPr>
      </w:pPr>
      <w:r w:rsidRPr="00554FAF">
        <w:rPr>
          <w:rFonts w:ascii="Times New Roman" w:eastAsia="MS Mincho" w:hAnsi="Times New Roman" w:cs="Times New Roman"/>
          <w:bCs/>
          <w:iCs/>
          <w:color w:val="000000"/>
          <w:sz w:val="24"/>
          <w:szCs w:val="24"/>
        </w:rPr>
        <w:t>Përgatitja e raporteve të monitorimit nga AKA për të gjitha institucionet publike dhe private të arsimit të lartë</w:t>
      </w:r>
      <w:r w:rsidR="00EB0BB5" w:rsidRPr="00554FAF">
        <w:rPr>
          <w:rFonts w:ascii="Times New Roman" w:eastAsia="MS Mincho" w:hAnsi="Times New Roman" w:cs="Times New Roman"/>
          <w:bCs/>
          <w:iCs/>
          <w:color w:val="000000"/>
          <w:sz w:val="24"/>
          <w:szCs w:val="24"/>
        </w:rPr>
        <w:t>;</w:t>
      </w:r>
      <w:r w:rsidRPr="00554FAF">
        <w:rPr>
          <w:rFonts w:ascii="Times New Roman" w:eastAsia="MS Mincho" w:hAnsi="Times New Roman" w:cs="Times New Roman"/>
          <w:bCs/>
          <w:iCs/>
          <w:color w:val="000000"/>
          <w:sz w:val="24"/>
          <w:szCs w:val="24"/>
        </w:rPr>
        <w:t xml:space="preserve"> (AKA/MASHT)</w:t>
      </w:r>
    </w:p>
    <w:p w14:paraId="0A93B21F" w14:textId="64969BB0" w:rsidR="000702CB" w:rsidRPr="00554FAF" w:rsidRDefault="000702CB" w:rsidP="00730ACA">
      <w:pPr>
        <w:pStyle w:val="ListParagraph"/>
        <w:numPr>
          <w:ilvl w:val="0"/>
          <w:numId w:val="22"/>
        </w:numPr>
        <w:autoSpaceDE w:val="0"/>
        <w:autoSpaceDN w:val="0"/>
        <w:adjustRightInd w:val="0"/>
        <w:spacing w:after="60" w:line="240" w:lineRule="auto"/>
        <w:contextualSpacing w:val="0"/>
        <w:jc w:val="both"/>
        <w:rPr>
          <w:rFonts w:ascii="Times New Roman" w:eastAsia="MS Mincho" w:hAnsi="Times New Roman" w:cs="Times New Roman"/>
          <w:bCs/>
          <w:iCs/>
          <w:color w:val="000000"/>
          <w:sz w:val="24"/>
          <w:szCs w:val="24"/>
        </w:rPr>
      </w:pPr>
      <w:r w:rsidRPr="00554FAF">
        <w:rPr>
          <w:rFonts w:ascii="Times New Roman" w:eastAsia="MS Mincho" w:hAnsi="Times New Roman" w:cs="Times New Roman"/>
          <w:bCs/>
          <w:iCs/>
          <w:color w:val="000000"/>
          <w:sz w:val="24"/>
          <w:szCs w:val="24"/>
        </w:rPr>
        <w:t>Përfshirja e 2 fakulteteve tjera të Universitetit të Prishtinës në rrjetin e “Qendrës së kompetencës për lidhje me industrinë”</w:t>
      </w:r>
      <w:r w:rsidR="00EB0BB5" w:rsidRPr="00554FAF">
        <w:rPr>
          <w:rFonts w:ascii="Times New Roman" w:eastAsia="MS Mincho" w:hAnsi="Times New Roman" w:cs="Times New Roman"/>
          <w:bCs/>
          <w:iCs/>
          <w:color w:val="000000"/>
          <w:sz w:val="24"/>
          <w:szCs w:val="24"/>
        </w:rPr>
        <w:t>;</w:t>
      </w:r>
      <w:r w:rsidRPr="00554FAF">
        <w:rPr>
          <w:rFonts w:ascii="Times New Roman" w:eastAsia="MS Mincho" w:hAnsi="Times New Roman" w:cs="Times New Roman"/>
          <w:bCs/>
          <w:iCs/>
          <w:color w:val="000000"/>
          <w:sz w:val="24"/>
          <w:szCs w:val="24"/>
        </w:rPr>
        <w:t xml:space="preserve"> (IAL/MASHT)</w:t>
      </w:r>
    </w:p>
    <w:p w14:paraId="5F251385" w14:textId="00DF94EB" w:rsidR="000702CB" w:rsidRPr="00554FAF" w:rsidRDefault="000702CB" w:rsidP="00730ACA">
      <w:pPr>
        <w:pStyle w:val="ListParagraph"/>
        <w:numPr>
          <w:ilvl w:val="0"/>
          <w:numId w:val="22"/>
        </w:numPr>
        <w:autoSpaceDE w:val="0"/>
        <w:autoSpaceDN w:val="0"/>
        <w:adjustRightInd w:val="0"/>
        <w:spacing w:after="60" w:line="240" w:lineRule="auto"/>
        <w:contextualSpacing w:val="0"/>
        <w:jc w:val="both"/>
        <w:rPr>
          <w:rFonts w:ascii="Times New Roman" w:eastAsia="MS Mincho" w:hAnsi="Times New Roman" w:cs="Times New Roman"/>
          <w:bCs/>
          <w:iCs/>
          <w:color w:val="000000"/>
          <w:sz w:val="24"/>
          <w:szCs w:val="24"/>
        </w:rPr>
      </w:pPr>
      <w:r w:rsidRPr="00554FAF">
        <w:rPr>
          <w:rFonts w:ascii="Times New Roman" w:eastAsia="MS Mincho" w:hAnsi="Times New Roman" w:cs="Times New Roman"/>
          <w:bCs/>
          <w:iCs/>
          <w:color w:val="000000"/>
          <w:sz w:val="24"/>
          <w:szCs w:val="24"/>
        </w:rPr>
        <w:t>Mbështetja nga MASHT dhe donatorët për rishikimin e të paktën 2 programeve shtesë të arsimit të lartë në përputhje me tregun e punës</w:t>
      </w:r>
      <w:r w:rsidR="00EB0BB5" w:rsidRPr="00554FAF">
        <w:rPr>
          <w:rFonts w:ascii="Times New Roman" w:eastAsia="MS Mincho" w:hAnsi="Times New Roman" w:cs="Times New Roman"/>
          <w:bCs/>
          <w:iCs/>
          <w:color w:val="000000"/>
          <w:sz w:val="24"/>
          <w:szCs w:val="24"/>
        </w:rPr>
        <w:t>;</w:t>
      </w:r>
      <w:r w:rsidRPr="00554FAF">
        <w:rPr>
          <w:rFonts w:ascii="Times New Roman" w:eastAsia="MS Mincho" w:hAnsi="Times New Roman" w:cs="Times New Roman"/>
          <w:bCs/>
          <w:iCs/>
          <w:color w:val="000000"/>
          <w:sz w:val="24"/>
          <w:szCs w:val="24"/>
        </w:rPr>
        <w:t xml:space="preserve"> (IAL/MASHT) </w:t>
      </w:r>
    </w:p>
    <w:p w14:paraId="2C6AC15D" w14:textId="1C60B704" w:rsidR="000702CB" w:rsidRPr="00554FAF" w:rsidRDefault="000702CB" w:rsidP="00730ACA">
      <w:pPr>
        <w:pStyle w:val="ListParagraph"/>
        <w:numPr>
          <w:ilvl w:val="0"/>
          <w:numId w:val="22"/>
        </w:numPr>
        <w:autoSpaceDE w:val="0"/>
        <w:autoSpaceDN w:val="0"/>
        <w:adjustRightInd w:val="0"/>
        <w:spacing w:after="60" w:line="240" w:lineRule="auto"/>
        <w:contextualSpacing w:val="0"/>
        <w:jc w:val="both"/>
        <w:rPr>
          <w:rFonts w:ascii="Times New Roman" w:eastAsia="MS Mincho" w:hAnsi="Times New Roman" w:cs="Times New Roman"/>
          <w:bCs/>
          <w:iCs/>
          <w:color w:val="000000"/>
          <w:sz w:val="24"/>
          <w:szCs w:val="24"/>
        </w:rPr>
      </w:pPr>
      <w:r w:rsidRPr="00554FAF">
        <w:rPr>
          <w:rFonts w:ascii="Times New Roman" w:eastAsia="MS Mincho" w:hAnsi="Times New Roman" w:cs="Times New Roman"/>
          <w:bCs/>
          <w:iCs/>
          <w:color w:val="000000"/>
          <w:sz w:val="24"/>
          <w:szCs w:val="24"/>
        </w:rPr>
        <w:t>Zhvillimi i kornizës për monitorimin dhe vlerësimin e marrëveshjeve të performancës mes MASHT dhe IAL-ve</w:t>
      </w:r>
      <w:r w:rsidR="00EB0BB5" w:rsidRPr="00554FAF">
        <w:rPr>
          <w:rFonts w:ascii="Times New Roman" w:eastAsia="MS Mincho" w:hAnsi="Times New Roman" w:cs="Times New Roman"/>
          <w:bCs/>
          <w:iCs/>
          <w:color w:val="000000"/>
          <w:sz w:val="24"/>
          <w:szCs w:val="24"/>
        </w:rPr>
        <w:t>;</w:t>
      </w:r>
      <w:r w:rsidRPr="00554FAF">
        <w:rPr>
          <w:rFonts w:ascii="Times New Roman" w:eastAsia="MS Mincho" w:hAnsi="Times New Roman" w:cs="Times New Roman"/>
          <w:bCs/>
          <w:iCs/>
          <w:color w:val="000000"/>
          <w:sz w:val="24"/>
          <w:szCs w:val="24"/>
        </w:rPr>
        <w:t xml:space="preserve"> (MASHT) </w:t>
      </w:r>
    </w:p>
    <w:p w14:paraId="1688E3C8" w14:textId="0F1C8155" w:rsidR="000702CB" w:rsidRPr="00554FAF" w:rsidRDefault="000702CB" w:rsidP="00730ACA">
      <w:pPr>
        <w:pStyle w:val="ListParagraph"/>
        <w:numPr>
          <w:ilvl w:val="0"/>
          <w:numId w:val="22"/>
        </w:numPr>
        <w:autoSpaceDE w:val="0"/>
        <w:autoSpaceDN w:val="0"/>
        <w:adjustRightInd w:val="0"/>
        <w:spacing w:after="60" w:line="240" w:lineRule="auto"/>
        <w:contextualSpacing w:val="0"/>
        <w:jc w:val="both"/>
        <w:rPr>
          <w:rFonts w:ascii="Times New Roman" w:eastAsia="MS Mincho" w:hAnsi="Times New Roman" w:cs="Times New Roman"/>
          <w:bCs/>
          <w:iCs/>
          <w:color w:val="000000"/>
          <w:sz w:val="24"/>
          <w:szCs w:val="24"/>
        </w:rPr>
      </w:pPr>
      <w:r w:rsidRPr="00554FAF">
        <w:rPr>
          <w:rFonts w:ascii="Times New Roman" w:eastAsia="MS Mincho" w:hAnsi="Times New Roman" w:cs="Times New Roman"/>
          <w:bCs/>
          <w:iCs/>
          <w:color w:val="000000"/>
          <w:sz w:val="24"/>
          <w:szCs w:val="24"/>
        </w:rPr>
        <w:t>Pilotimi i një marrëveshje mes MASHT dhe një IAL për matjen e performancës bazuar në indikatorët matës të specifikuar në formulën e rishikuar të financimit</w:t>
      </w:r>
      <w:r w:rsidR="00EB0BB5" w:rsidRPr="00554FAF">
        <w:rPr>
          <w:rFonts w:ascii="Times New Roman" w:eastAsia="MS Mincho" w:hAnsi="Times New Roman" w:cs="Times New Roman"/>
          <w:bCs/>
          <w:iCs/>
          <w:color w:val="000000"/>
          <w:sz w:val="24"/>
          <w:szCs w:val="24"/>
        </w:rPr>
        <w:t>;</w:t>
      </w:r>
      <w:r w:rsidRPr="00554FAF">
        <w:rPr>
          <w:rFonts w:ascii="Times New Roman" w:eastAsia="MS Mincho" w:hAnsi="Times New Roman" w:cs="Times New Roman"/>
          <w:bCs/>
          <w:iCs/>
          <w:color w:val="000000"/>
          <w:sz w:val="24"/>
          <w:szCs w:val="24"/>
        </w:rPr>
        <w:t xml:space="preserve"> (MASHT).</w:t>
      </w:r>
    </w:p>
    <w:bookmarkEnd w:id="211"/>
    <w:p w14:paraId="1C971EB7" w14:textId="2CB08F8F" w:rsidR="000702CB" w:rsidRPr="00554FAF" w:rsidRDefault="000702CB" w:rsidP="000702CB">
      <w:pPr>
        <w:pStyle w:val="Default"/>
        <w:spacing w:after="60"/>
        <w:jc w:val="both"/>
        <w:rPr>
          <w:b/>
          <w:lang w:val="sq-AL"/>
        </w:rPr>
      </w:pPr>
      <w:r w:rsidRPr="00554FAF">
        <w:rPr>
          <w:b/>
          <w:lang w:val="sq-AL"/>
        </w:rPr>
        <w:t xml:space="preserve">2. Treguesit e </w:t>
      </w:r>
      <w:r w:rsidR="009F2B01" w:rsidRPr="00554FAF">
        <w:rPr>
          <w:b/>
          <w:lang w:val="sq-AL"/>
        </w:rPr>
        <w:t>r</w:t>
      </w:r>
      <w:r w:rsidRPr="00554FAF">
        <w:rPr>
          <w:b/>
          <w:lang w:val="sq-AL"/>
        </w:rPr>
        <w:t xml:space="preserve">ezultateve </w:t>
      </w:r>
    </w:p>
    <w:tbl>
      <w:tblPr>
        <w:tblpPr w:leftFromText="180" w:rightFromText="180" w:vertAnchor="text" w:horzAnchor="margin" w:tblpY="175"/>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5"/>
        <w:gridCol w:w="1080"/>
        <w:gridCol w:w="2340"/>
        <w:gridCol w:w="1890"/>
      </w:tblGrid>
      <w:tr w:rsidR="000702CB" w:rsidRPr="00554FAF" w14:paraId="36F2338D" w14:textId="77777777" w:rsidTr="003A7429">
        <w:tc>
          <w:tcPr>
            <w:tcW w:w="4315" w:type="dxa"/>
            <w:shd w:val="clear" w:color="auto" w:fill="auto"/>
          </w:tcPr>
          <w:p w14:paraId="6C8208A7" w14:textId="77777777" w:rsidR="000702CB" w:rsidRPr="00554FAF" w:rsidRDefault="000702CB" w:rsidP="000702CB">
            <w:pPr>
              <w:autoSpaceDE w:val="0"/>
              <w:autoSpaceDN w:val="0"/>
              <w:adjustRightInd w:val="0"/>
              <w:spacing w:after="60" w:line="240" w:lineRule="auto"/>
              <w:jc w:val="both"/>
              <w:rPr>
                <w:rFonts w:ascii="Times New Roman" w:eastAsia="MS Mincho" w:hAnsi="Times New Roman" w:cs="Times New Roman"/>
                <w:b/>
                <w:color w:val="000000"/>
                <w:sz w:val="24"/>
                <w:szCs w:val="24"/>
              </w:rPr>
            </w:pPr>
            <w:r w:rsidRPr="00554FAF">
              <w:rPr>
                <w:rFonts w:ascii="Times New Roman" w:eastAsia="MS Mincho" w:hAnsi="Times New Roman" w:cs="Times New Roman"/>
                <w:b/>
                <w:color w:val="000000"/>
                <w:sz w:val="24"/>
                <w:szCs w:val="24"/>
              </w:rPr>
              <w:t xml:space="preserve">Treguesi </w:t>
            </w:r>
          </w:p>
          <w:p w14:paraId="5392D505" w14:textId="77777777" w:rsidR="000702CB" w:rsidRPr="00554FAF" w:rsidRDefault="000702CB" w:rsidP="000702CB">
            <w:pPr>
              <w:autoSpaceDE w:val="0"/>
              <w:autoSpaceDN w:val="0"/>
              <w:adjustRightInd w:val="0"/>
              <w:spacing w:after="60" w:line="240" w:lineRule="auto"/>
              <w:jc w:val="both"/>
              <w:rPr>
                <w:rFonts w:ascii="Times New Roman" w:eastAsia="MS Mincho" w:hAnsi="Times New Roman" w:cs="Times New Roman"/>
                <w:b/>
                <w:i/>
                <w:iCs/>
                <w:color w:val="000000"/>
                <w:sz w:val="24"/>
                <w:szCs w:val="24"/>
              </w:rPr>
            </w:pPr>
          </w:p>
        </w:tc>
        <w:tc>
          <w:tcPr>
            <w:tcW w:w="1080" w:type="dxa"/>
            <w:shd w:val="clear" w:color="auto" w:fill="auto"/>
          </w:tcPr>
          <w:p w14:paraId="4302FF73" w14:textId="0C8021B1" w:rsidR="000702CB" w:rsidRPr="00554FAF" w:rsidRDefault="00EB0BB5" w:rsidP="000702CB">
            <w:pPr>
              <w:autoSpaceDE w:val="0"/>
              <w:autoSpaceDN w:val="0"/>
              <w:adjustRightInd w:val="0"/>
              <w:spacing w:after="60" w:line="240" w:lineRule="auto"/>
              <w:jc w:val="both"/>
              <w:rPr>
                <w:rFonts w:ascii="Times New Roman" w:eastAsia="MS Mincho" w:hAnsi="Times New Roman" w:cs="Times New Roman"/>
                <w:b/>
                <w:i/>
                <w:iCs/>
                <w:color w:val="000000"/>
                <w:sz w:val="24"/>
                <w:szCs w:val="24"/>
              </w:rPr>
            </w:pPr>
            <w:r w:rsidRPr="00554FAF">
              <w:rPr>
                <w:rFonts w:ascii="Times New Roman" w:eastAsia="MS Mincho" w:hAnsi="Times New Roman" w:cs="Times New Roman"/>
                <w:b/>
                <w:color w:val="000000"/>
                <w:sz w:val="24"/>
                <w:szCs w:val="24"/>
              </w:rPr>
              <w:t>Baza</w:t>
            </w:r>
            <w:r w:rsidR="000702CB" w:rsidRPr="00554FAF">
              <w:rPr>
                <w:rFonts w:ascii="Times New Roman" w:eastAsia="MS Mincho" w:hAnsi="Times New Roman" w:cs="Times New Roman"/>
                <w:b/>
                <w:color w:val="000000"/>
                <w:sz w:val="24"/>
                <w:szCs w:val="24"/>
              </w:rPr>
              <w:t xml:space="preserve">    2019</w:t>
            </w:r>
          </w:p>
        </w:tc>
        <w:tc>
          <w:tcPr>
            <w:tcW w:w="2340" w:type="dxa"/>
            <w:shd w:val="clear" w:color="auto" w:fill="auto"/>
          </w:tcPr>
          <w:p w14:paraId="650EC86D" w14:textId="2A993461" w:rsidR="000702CB" w:rsidRPr="00554FAF" w:rsidRDefault="00EB0BB5" w:rsidP="000702CB">
            <w:pPr>
              <w:autoSpaceDE w:val="0"/>
              <w:autoSpaceDN w:val="0"/>
              <w:adjustRightInd w:val="0"/>
              <w:spacing w:after="60" w:line="240" w:lineRule="auto"/>
              <w:jc w:val="both"/>
              <w:rPr>
                <w:rFonts w:ascii="Times New Roman" w:eastAsia="MS Mincho" w:hAnsi="Times New Roman" w:cs="Times New Roman"/>
                <w:b/>
                <w:color w:val="000000"/>
                <w:sz w:val="24"/>
                <w:szCs w:val="24"/>
              </w:rPr>
            </w:pPr>
            <w:r w:rsidRPr="00554FAF">
              <w:rPr>
                <w:rFonts w:ascii="Times New Roman" w:eastAsia="MS Mincho" w:hAnsi="Times New Roman" w:cs="Times New Roman"/>
                <w:b/>
                <w:color w:val="000000"/>
                <w:sz w:val="24"/>
                <w:szCs w:val="24"/>
              </w:rPr>
              <w:t>Synimi</w:t>
            </w:r>
            <w:r w:rsidR="000702CB" w:rsidRPr="00554FAF">
              <w:rPr>
                <w:rFonts w:ascii="Times New Roman" w:eastAsia="MS Mincho" w:hAnsi="Times New Roman" w:cs="Times New Roman"/>
                <w:b/>
                <w:color w:val="000000"/>
                <w:sz w:val="24"/>
                <w:szCs w:val="24"/>
              </w:rPr>
              <w:t xml:space="preserve"> i ndërmjetëm 2021</w:t>
            </w:r>
          </w:p>
          <w:p w14:paraId="032BDBC9" w14:textId="77777777" w:rsidR="000702CB" w:rsidRPr="00554FAF" w:rsidRDefault="000702CB" w:rsidP="000702CB">
            <w:pPr>
              <w:autoSpaceDE w:val="0"/>
              <w:autoSpaceDN w:val="0"/>
              <w:adjustRightInd w:val="0"/>
              <w:spacing w:after="60" w:line="240" w:lineRule="auto"/>
              <w:jc w:val="both"/>
              <w:rPr>
                <w:rFonts w:ascii="Times New Roman" w:eastAsia="MS Mincho" w:hAnsi="Times New Roman" w:cs="Times New Roman"/>
                <w:b/>
                <w:i/>
                <w:iCs/>
                <w:color w:val="000000"/>
                <w:sz w:val="24"/>
                <w:szCs w:val="24"/>
              </w:rPr>
            </w:pPr>
          </w:p>
        </w:tc>
        <w:tc>
          <w:tcPr>
            <w:tcW w:w="1890" w:type="dxa"/>
            <w:shd w:val="clear" w:color="auto" w:fill="auto"/>
          </w:tcPr>
          <w:p w14:paraId="449B6DDC" w14:textId="527B461A" w:rsidR="000702CB" w:rsidRPr="00554FAF" w:rsidRDefault="00EB0BB5" w:rsidP="000702CB">
            <w:pPr>
              <w:autoSpaceDE w:val="0"/>
              <w:autoSpaceDN w:val="0"/>
              <w:adjustRightInd w:val="0"/>
              <w:spacing w:after="60" w:line="240" w:lineRule="auto"/>
              <w:jc w:val="both"/>
              <w:rPr>
                <w:rFonts w:ascii="Times New Roman" w:eastAsia="MS Mincho" w:hAnsi="Times New Roman" w:cs="Times New Roman"/>
                <w:b/>
                <w:color w:val="000000"/>
                <w:sz w:val="24"/>
                <w:szCs w:val="24"/>
              </w:rPr>
            </w:pPr>
            <w:r w:rsidRPr="00554FAF">
              <w:rPr>
                <w:rFonts w:ascii="Times New Roman" w:eastAsia="MS Mincho" w:hAnsi="Times New Roman" w:cs="Times New Roman"/>
                <w:b/>
                <w:color w:val="000000"/>
                <w:sz w:val="24"/>
                <w:szCs w:val="24"/>
              </w:rPr>
              <w:t xml:space="preserve">Synimi </w:t>
            </w:r>
            <w:r w:rsidR="000702CB" w:rsidRPr="00554FAF">
              <w:rPr>
                <w:rFonts w:ascii="Times New Roman" w:eastAsia="MS Mincho" w:hAnsi="Times New Roman" w:cs="Times New Roman"/>
                <w:b/>
                <w:color w:val="000000"/>
                <w:sz w:val="24"/>
                <w:szCs w:val="24"/>
              </w:rPr>
              <w:t>2022</w:t>
            </w:r>
          </w:p>
          <w:p w14:paraId="19D2617A" w14:textId="77777777" w:rsidR="000702CB" w:rsidRPr="00554FAF" w:rsidRDefault="000702CB" w:rsidP="000702CB">
            <w:pPr>
              <w:autoSpaceDE w:val="0"/>
              <w:autoSpaceDN w:val="0"/>
              <w:adjustRightInd w:val="0"/>
              <w:spacing w:after="60" w:line="240" w:lineRule="auto"/>
              <w:jc w:val="both"/>
              <w:rPr>
                <w:rFonts w:ascii="Times New Roman" w:eastAsia="MS Mincho" w:hAnsi="Times New Roman" w:cs="Times New Roman"/>
                <w:b/>
                <w:i/>
                <w:iCs/>
                <w:color w:val="000000"/>
                <w:sz w:val="24"/>
                <w:szCs w:val="24"/>
              </w:rPr>
            </w:pPr>
          </w:p>
        </w:tc>
      </w:tr>
      <w:tr w:rsidR="000702CB" w:rsidRPr="00554FAF" w14:paraId="3802256B" w14:textId="77777777" w:rsidTr="003A7429">
        <w:tc>
          <w:tcPr>
            <w:tcW w:w="4315" w:type="dxa"/>
            <w:shd w:val="clear" w:color="auto" w:fill="auto"/>
          </w:tcPr>
          <w:p w14:paraId="04B084D7" w14:textId="77777777" w:rsidR="000702CB" w:rsidRPr="00554FAF" w:rsidRDefault="000702CB" w:rsidP="000702CB">
            <w:pPr>
              <w:autoSpaceDE w:val="0"/>
              <w:autoSpaceDN w:val="0"/>
              <w:adjustRightInd w:val="0"/>
              <w:spacing w:after="60" w:line="240" w:lineRule="auto"/>
              <w:jc w:val="both"/>
              <w:rPr>
                <w:rFonts w:ascii="Times New Roman" w:eastAsia="MS Mincho" w:hAnsi="Times New Roman" w:cs="Times New Roman"/>
                <w:color w:val="000000"/>
                <w:sz w:val="24"/>
                <w:szCs w:val="24"/>
              </w:rPr>
            </w:pPr>
            <w:r w:rsidRPr="00554FAF">
              <w:rPr>
                <w:rFonts w:ascii="Times New Roman" w:eastAsia="MS Mincho" w:hAnsi="Times New Roman" w:cs="Times New Roman"/>
                <w:color w:val="000000"/>
                <w:sz w:val="24"/>
                <w:szCs w:val="24"/>
              </w:rPr>
              <w:t>Numri i IAL-ve të monitoruara nga AKA</w:t>
            </w:r>
          </w:p>
        </w:tc>
        <w:tc>
          <w:tcPr>
            <w:tcW w:w="1080" w:type="dxa"/>
            <w:shd w:val="clear" w:color="auto" w:fill="auto"/>
          </w:tcPr>
          <w:p w14:paraId="02E4CCB4" w14:textId="77777777" w:rsidR="000702CB" w:rsidRPr="00554FAF" w:rsidRDefault="000702CB" w:rsidP="000702CB">
            <w:pPr>
              <w:autoSpaceDE w:val="0"/>
              <w:autoSpaceDN w:val="0"/>
              <w:adjustRightInd w:val="0"/>
              <w:spacing w:after="60" w:line="240" w:lineRule="auto"/>
              <w:jc w:val="both"/>
              <w:rPr>
                <w:rFonts w:ascii="Times New Roman" w:eastAsia="MS Mincho" w:hAnsi="Times New Roman" w:cs="Times New Roman"/>
                <w:color w:val="000000"/>
                <w:sz w:val="24"/>
                <w:szCs w:val="24"/>
              </w:rPr>
            </w:pPr>
            <w:r w:rsidRPr="00554FAF">
              <w:rPr>
                <w:rFonts w:ascii="Times New Roman" w:eastAsia="MS Mincho" w:hAnsi="Times New Roman" w:cs="Times New Roman"/>
                <w:color w:val="000000"/>
                <w:sz w:val="24"/>
                <w:szCs w:val="24"/>
              </w:rPr>
              <w:t>0</w:t>
            </w:r>
          </w:p>
        </w:tc>
        <w:tc>
          <w:tcPr>
            <w:tcW w:w="2340" w:type="dxa"/>
            <w:shd w:val="clear" w:color="auto" w:fill="auto"/>
          </w:tcPr>
          <w:p w14:paraId="1E8DC965" w14:textId="77777777" w:rsidR="000702CB" w:rsidRPr="00554FAF" w:rsidRDefault="000702CB" w:rsidP="000702CB">
            <w:pPr>
              <w:autoSpaceDE w:val="0"/>
              <w:autoSpaceDN w:val="0"/>
              <w:adjustRightInd w:val="0"/>
              <w:spacing w:after="60" w:line="240" w:lineRule="auto"/>
              <w:jc w:val="both"/>
              <w:rPr>
                <w:rFonts w:ascii="Times New Roman" w:eastAsia="MS Mincho" w:hAnsi="Times New Roman" w:cs="Times New Roman"/>
                <w:color w:val="000000"/>
                <w:sz w:val="24"/>
                <w:szCs w:val="24"/>
              </w:rPr>
            </w:pPr>
            <w:r w:rsidRPr="00554FAF">
              <w:rPr>
                <w:rFonts w:ascii="Times New Roman" w:eastAsia="MS Mincho" w:hAnsi="Times New Roman" w:cs="Times New Roman"/>
                <w:color w:val="000000"/>
                <w:sz w:val="24"/>
                <w:szCs w:val="24"/>
              </w:rPr>
              <w:t>16</w:t>
            </w:r>
          </w:p>
        </w:tc>
        <w:tc>
          <w:tcPr>
            <w:tcW w:w="1890" w:type="dxa"/>
            <w:shd w:val="clear" w:color="auto" w:fill="auto"/>
          </w:tcPr>
          <w:p w14:paraId="4073DD6B" w14:textId="77777777" w:rsidR="000702CB" w:rsidRPr="00554FAF" w:rsidRDefault="000702CB" w:rsidP="000702CB">
            <w:pPr>
              <w:autoSpaceDE w:val="0"/>
              <w:autoSpaceDN w:val="0"/>
              <w:adjustRightInd w:val="0"/>
              <w:spacing w:after="60" w:line="240" w:lineRule="auto"/>
              <w:jc w:val="both"/>
              <w:rPr>
                <w:rFonts w:ascii="Times New Roman" w:eastAsia="MS Mincho" w:hAnsi="Times New Roman" w:cs="Times New Roman"/>
                <w:color w:val="000000"/>
                <w:sz w:val="24"/>
                <w:szCs w:val="24"/>
              </w:rPr>
            </w:pPr>
            <w:r w:rsidRPr="00554FAF">
              <w:rPr>
                <w:rFonts w:ascii="Times New Roman" w:eastAsia="MS Mincho" w:hAnsi="Times New Roman" w:cs="Times New Roman"/>
                <w:color w:val="000000"/>
                <w:sz w:val="24"/>
                <w:szCs w:val="24"/>
              </w:rPr>
              <w:t>32</w:t>
            </w:r>
          </w:p>
        </w:tc>
      </w:tr>
      <w:tr w:rsidR="000702CB" w:rsidRPr="00554FAF" w14:paraId="16A41E86" w14:textId="77777777" w:rsidTr="003A7429">
        <w:tc>
          <w:tcPr>
            <w:tcW w:w="4315" w:type="dxa"/>
            <w:shd w:val="clear" w:color="auto" w:fill="auto"/>
          </w:tcPr>
          <w:p w14:paraId="456241A7" w14:textId="77777777" w:rsidR="000702CB" w:rsidRPr="00554FAF" w:rsidRDefault="000702CB" w:rsidP="000702CB">
            <w:pPr>
              <w:autoSpaceDE w:val="0"/>
              <w:autoSpaceDN w:val="0"/>
              <w:adjustRightInd w:val="0"/>
              <w:spacing w:after="60" w:line="240" w:lineRule="auto"/>
              <w:jc w:val="both"/>
              <w:rPr>
                <w:rFonts w:ascii="Times New Roman" w:eastAsia="MS Mincho" w:hAnsi="Times New Roman" w:cs="Times New Roman"/>
                <w:color w:val="000000"/>
                <w:sz w:val="24"/>
                <w:szCs w:val="24"/>
              </w:rPr>
            </w:pPr>
            <w:r w:rsidRPr="00554FAF">
              <w:rPr>
                <w:rFonts w:ascii="Times New Roman" w:eastAsia="MS Mincho" w:hAnsi="Times New Roman" w:cs="Times New Roman"/>
                <w:color w:val="000000"/>
                <w:sz w:val="24"/>
                <w:szCs w:val="24"/>
              </w:rPr>
              <w:t>Numri i programeve të arsimit të lartë të rishikuara konform tregut të punës</w:t>
            </w:r>
          </w:p>
        </w:tc>
        <w:tc>
          <w:tcPr>
            <w:tcW w:w="1080" w:type="dxa"/>
            <w:shd w:val="clear" w:color="auto" w:fill="auto"/>
          </w:tcPr>
          <w:p w14:paraId="657D7DF4" w14:textId="77777777" w:rsidR="000702CB" w:rsidRPr="00554FAF" w:rsidRDefault="000702CB" w:rsidP="000702CB">
            <w:pPr>
              <w:autoSpaceDE w:val="0"/>
              <w:autoSpaceDN w:val="0"/>
              <w:adjustRightInd w:val="0"/>
              <w:spacing w:after="60" w:line="240" w:lineRule="auto"/>
              <w:jc w:val="both"/>
              <w:rPr>
                <w:rFonts w:ascii="Times New Roman" w:eastAsia="MS Mincho" w:hAnsi="Times New Roman" w:cs="Times New Roman"/>
                <w:color w:val="000000"/>
                <w:sz w:val="24"/>
                <w:szCs w:val="24"/>
              </w:rPr>
            </w:pPr>
          </w:p>
          <w:p w14:paraId="1A55F520" w14:textId="77777777" w:rsidR="000702CB" w:rsidRPr="00554FAF" w:rsidRDefault="000702CB" w:rsidP="000702CB">
            <w:pPr>
              <w:autoSpaceDE w:val="0"/>
              <w:autoSpaceDN w:val="0"/>
              <w:adjustRightInd w:val="0"/>
              <w:spacing w:after="60" w:line="240" w:lineRule="auto"/>
              <w:jc w:val="both"/>
              <w:rPr>
                <w:rFonts w:ascii="Times New Roman" w:eastAsia="MS Mincho" w:hAnsi="Times New Roman" w:cs="Times New Roman"/>
                <w:color w:val="000000"/>
                <w:sz w:val="24"/>
                <w:szCs w:val="24"/>
              </w:rPr>
            </w:pPr>
            <w:r w:rsidRPr="00554FAF">
              <w:rPr>
                <w:rFonts w:ascii="Times New Roman" w:eastAsia="MS Mincho" w:hAnsi="Times New Roman" w:cs="Times New Roman"/>
                <w:color w:val="000000"/>
                <w:sz w:val="24"/>
                <w:szCs w:val="24"/>
              </w:rPr>
              <w:t>0</w:t>
            </w:r>
          </w:p>
        </w:tc>
        <w:tc>
          <w:tcPr>
            <w:tcW w:w="2340" w:type="dxa"/>
            <w:shd w:val="clear" w:color="auto" w:fill="auto"/>
          </w:tcPr>
          <w:p w14:paraId="6EA98D49" w14:textId="77777777" w:rsidR="000702CB" w:rsidRPr="00554FAF" w:rsidRDefault="000702CB" w:rsidP="000702CB">
            <w:pPr>
              <w:autoSpaceDE w:val="0"/>
              <w:autoSpaceDN w:val="0"/>
              <w:adjustRightInd w:val="0"/>
              <w:spacing w:after="60" w:line="240" w:lineRule="auto"/>
              <w:jc w:val="both"/>
              <w:rPr>
                <w:rFonts w:ascii="Times New Roman" w:eastAsia="MS Mincho" w:hAnsi="Times New Roman" w:cs="Times New Roman"/>
                <w:color w:val="000000"/>
                <w:sz w:val="24"/>
                <w:szCs w:val="24"/>
              </w:rPr>
            </w:pPr>
          </w:p>
          <w:p w14:paraId="799E205A" w14:textId="77777777" w:rsidR="000702CB" w:rsidRPr="00554FAF" w:rsidRDefault="000702CB" w:rsidP="000702CB">
            <w:pPr>
              <w:autoSpaceDE w:val="0"/>
              <w:autoSpaceDN w:val="0"/>
              <w:adjustRightInd w:val="0"/>
              <w:spacing w:after="60" w:line="240" w:lineRule="auto"/>
              <w:jc w:val="both"/>
              <w:rPr>
                <w:rFonts w:ascii="Times New Roman" w:eastAsia="MS Mincho" w:hAnsi="Times New Roman" w:cs="Times New Roman"/>
                <w:color w:val="000000"/>
                <w:sz w:val="24"/>
                <w:szCs w:val="24"/>
              </w:rPr>
            </w:pPr>
            <w:r w:rsidRPr="00554FAF">
              <w:rPr>
                <w:rFonts w:ascii="Times New Roman" w:eastAsia="MS Mincho" w:hAnsi="Times New Roman" w:cs="Times New Roman"/>
                <w:color w:val="000000"/>
                <w:sz w:val="24"/>
                <w:szCs w:val="24"/>
              </w:rPr>
              <w:t>2</w:t>
            </w:r>
          </w:p>
        </w:tc>
        <w:tc>
          <w:tcPr>
            <w:tcW w:w="1890" w:type="dxa"/>
            <w:shd w:val="clear" w:color="auto" w:fill="auto"/>
          </w:tcPr>
          <w:p w14:paraId="424C2032" w14:textId="77777777" w:rsidR="000702CB" w:rsidRPr="00554FAF" w:rsidRDefault="000702CB" w:rsidP="000702CB">
            <w:pPr>
              <w:autoSpaceDE w:val="0"/>
              <w:autoSpaceDN w:val="0"/>
              <w:adjustRightInd w:val="0"/>
              <w:spacing w:after="60" w:line="240" w:lineRule="auto"/>
              <w:jc w:val="both"/>
              <w:rPr>
                <w:rFonts w:ascii="Times New Roman" w:eastAsia="MS Mincho" w:hAnsi="Times New Roman" w:cs="Times New Roman"/>
                <w:color w:val="000000"/>
                <w:sz w:val="24"/>
                <w:szCs w:val="24"/>
              </w:rPr>
            </w:pPr>
          </w:p>
          <w:p w14:paraId="7D7BEF9C" w14:textId="77777777" w:rsidR="000702CB" w:rsidRPr="00554FAF" w:rsidRDefault="000702CB" w:rsidP="000702CB">
            <w:pPr>
              <w:autoSpaceDE w:val="0"/>
              <w:autoSpaceDN w:val="0"/>
              <w:adjustRightInd w:val="0"/>
              <w:spacing w:after="60" w:line="240" w:lineRule="auto"/>
              <w:jc w:val="both"/>
              <w:rPr>
                <w:rFonts w:ascii="Times New Roman" w:eastAsia="MS Mincho" w:hAnsi="Times New Roman" w:cs="Times New Roman"/>
                <w:color w:val="000000"/>
                <w:sz w:val="24"/>
                <w:szCs w:val="24"/>
              </w:rPr>
            </w:pPr>
            <w:r w:rsidRPr="00554FAF">
              <w:rPr>
                <w:rFonts w:ascii="Times New Roman" w:eastAsia="MS Mincho" w:hAnsi="Times New Roman" w:cs="Times New Roman"/>
                <w:color w:val="000000"/>
                <w:sz w:val="24"/>
                <w:szCs w:val="24"/>
              </w:rPr>
              <w:t>4</w:t>
            </w:r>
          </w:p>
        </w:tc>
      </w:tr>
      <w:tr w:rsidR="000702CB" w:rsidRPr="00554FAF" w14:paraId="151BC612" w14:textId="77777777" w:rsidTr="003A7429">
        <w:tc>
          <w:tcPr>
            <w:tcW w:w="4315" w:type="dxa"/>
            <w:shd w:val="clear" w:color="auto" w:fill="auto"/>
          </w:tcPr>
          <w:p w14:paraId="3133AF0E" w14:textId="77777777" w:rsidR="000702CB" w:rsidRPr="00554FAF" w:rsidRDefault="000702CB" w:rsidP="000702CB">
            <w:pPr>
              <w:autoSpaceDE w:val="0"/>
              <w:autoSpaceDN w:val="0"/>
              <w:adjustRightInd w:val="0"/>
              <w:spacing w:after="60" w:line="240" w:lineRule="auto"/>
              <w:jc w:val="both"/>
              <w:rPr>
                <w:rFonts w:ascii="Times New Roman" w:eastAsia="MS Mincho" w:hAnsi="Times New Roman" w:cs="Times New Roman"/>
                <w:color w:val="000000"/>
                <w:sz w:val="24"/>
                <w:szCs w:val="24"/>
              </w:rPr>
            </w:pPr>
            <w:r w:rsidRPr="00554FAF">
              <w:rPr>
                <w:rFonts w:ascii="Times New Roman" w:eastAsia="MS Mincho" w:hAnsi="Times New Roman" w:cs="Times New Roman"/>
                <w:color w:val="000000"/>
                <w:sz w:val="24"/>
                <w:szCs w:val="24"/>
              </w:rPr>
              <w:t>Numri i marrëveshjeve për matjen e performansës mes MASHT dhe IAL-ve</w:t>
            </w:r>
          </w:p>
        </w:tc>
        <w:tc>
          <w:tcPr>
            <w:tcW w:w="1080" w:type="dxa"/>
            <w:shd w:val="clear" w:color="auto" w:fill="auto"/>
          </w:tcPr>
          <w:p w14:paraId="26CF84A7" w14:textId="77777777" w:rsidR="000702CB" w:rsidRPr="00554FAF" w:rsidRDefault="000702CB" w:rsidP="000702CB">
            <w:pPr>
              <w:autoSpaceDE w:val="0"/>
              <w:autoSpaceDN w:val="0"/>
              <w:adjustRightInd w:val="0"/>
              <w:spacing w:after="60" w:line="240" w:lineRule="auto"/>
              <w:jc w:val="both"/>
              <w:rPr>
                <w:rFonts w:ascii="Times New Roman" w:eastAsia="MS Mincho" w:hAnsi="Times New Roman" w:cs="Times New Roman"/>
                <w:color w:val="000000"/>
                <w:sz w:val="24"/>
                <w:szCs w:val="24"/>
              </w:rPr>
            </w:pPr>
          </w:p>
          <w:p w14:paraId="0220C8F9" w14:textId="77777777" w:rsidR="000702CB" w:rsidRPr="00554FAF" w:rsidRDefault="000702CB" w:rsidP="000702CB">
            <w:pPr>
              <w:autoSpaceDE w:val="0"/>
              <w:autoSpaceDN w:val="0"/>
              <w:adjustRightInd w:val="0"/>
              <w:spacing w:after="60" w:line="240" w:lineRule="auto"/>
              <w:jc w:val="both"/>
              <w:rPr>
                <w:rFonts w:ascii="Times New Roman" w:eastAsia="MS Mincho" w:hAnsi="Times New Roman" w:cs="Times New Roman"/>
                <w:color w:val="000000"/>
                <w:sz w:val="24"/>
                <w:szCs w:val="24"/>
              </w:rPr>
            </w:pPr>
            <w:r w:rsidRPr="00554FAF">
              <w:rPr>
                <w:rFonts w:ascii="Times New Roman" w:eastAsia="MS Mincho" w:hAnsi="Times New Roman" w:cs="Times New Roman"/>
                <w:color w:val="000000"/>
                <w:sz w:val="24"/>
                <w:szCs w:val="24"/>
              </w:rPr>
              <w:t>0</w:t>
            </w:r>
          </w:p>
        </w:tc>
        <w:tc>
          <w:tcPr>
            <w:tcW w:w="2340" w:type="dxa"/>
            <w:shd w:val="clear" w:color="auto" w:fill="auto"/>
          </w:tcPr>
          <w:p w14:paraId="3ECAA4D1" w14:textId="77777777" w:rsidR="000702CB" w:rsidRPr="00554FAF" w:rsidRDefault="000702CB" w:rsidP="000702CB">
            <w:pPr>
              <w:autoSpaceDE w:val="0"/>
              <w:autoSpaceDN w:val="0"/>
              <w:adjustRightInd w:val="0"/>
              <w:spacing w:after="60" w:line="240" w:lineRule="auto"/>
              <w:jc w:val="both"/>
              <w:rPr>
                <w:rFonts w:ascii="Times New Roman" w:eastAsia="MS Mincho" w:hAnsi="Times New Roman" w:cs="Times New Roman"/>
                <w:color w:val="000000"/>
                <w:sz w:val="24"/>
                <w:szCs w:val="24"/>
              </w:rPr>
            </w:pPr>
          </w:p>
          <w:p w14:paraId="7F21ADC8" w14:textId="77777777" w:rsidR="000702CB" w:rsidRPr="00554FAF" w:rsidRDefault="000702CB" w:rsidP="000702CB">
            <w:pPr>
              <w:autoSpaceDE w:val="0"/>
              <w:autoSpaceDN w:val="0"/>
              <w:adjustRightInd w:val="0"/>
              <w:spacing w:after="60" w:line="240" w:lineRule="auto"/>
              <w:jc w:val="both"/>
              <w:rPr>
                <w:rFonts w:ascii="Times New Roman" w:eastAsia="MS Mincho" w:hAnsi="Times New Roman" w:cs="Times New Roman"/>
                <w:color w:val="000000"/>
                <w:sz w:val="24"/>
                <w:szCs w:val="24"/>
              </w:rPr>
            </w:pPr>
            <w:r w:rsidRPr="00554FAF">
              <w:rPr>
                <w:rFonts w:ascii="Times New Roman" w:eastAsia="MS Mincho" w:hAnsi="Times New Roman" w:cs="Times New Roman"/>
                <w:color w:val="000000"/>
                <w:sz w:val="24"/>
                <w:szCs w:val="24"/>
              </w:rPr>
              <w:t>0</w:t>
            </w:r>
          </w:p>
        </w:tc>
        <w:tc>
          <w:tcPr>
            <w:tcW w:w="1890" w:type="dxa"/>
            <w:shd w:val="clear" w:color="auto" w:fill="auto"/>
          </w:tcPr>
          <w:p w14:paraId="4A14C9EA" w14:textId="77777777" w:rsidR="000702CB" w:rsidRPr="00554FAF" w:rsidRDefault="000702CB" w:rsidP="000702CB">
            <w:pPr>
              <w:autoSpaceDE w:val="0"/>
              <w:autoSpaceDN w:val="0"/>
              <w:adjustRightInd w:val="0"/>
              <w:spacing w:after="60" w:line="240" w:lineRule="auto"/>
              <w:jc w:val="both"/>
              <w:rPr>
                <w:rFonts w:ascii="Times New Roman" w:eastAsia="MS Mincho" w:hAnsi="Times New Roman" w:cs="Times New Roman"/>
                <w:color w:val="000000"/>
                <w:sz w:val="24"/>
                <w:szCs w:val="24"/>
              </w:rPr>
            </w:pPr>
          </w:p>
          <w:p w14:paraId="1A930461" w14:textId="77777777" w:rsidR="000702CB" w:rsidRPr="00554FAF" w:rsidRDefault="000702CB" w:rsidP="000702CB">
            <w:pPr>
              <w:autoSpaceDE w:val="0"/>
              <w:autoSpaceDN w:val="0"/>
              <w:adjustRightInd w:val="0"/>
              <w:spacing w:after="60" w:line="240" w:lineRule="auto"/>
              <w:jc w:val="both"/>
              <w:rPr>
                <w:rFonts w:ascii="Times New Roman" w:eastAsia="MS Mincho" w:hAnsi="Times New Roman" w:cs="Times New Roman"/>
                <w:i/>
                <w:iCs/>
                <w:color w:val="000000"/>
                <w:sz w:val="24"/>
                <w:szCs w:val="24"/>
              </w:rPr>
            </w:pPr>
            <w:r w:rsidRPr="00554FAF">
              <w:rPr>
                <w:rFonts w:ascii="Times New Roman" w:eastAsia="MS Mincho" w:hAnsi="Times New Roman" w:cs="Times New Roman"/>
                <w:color w:val="000000"/>
                <w:sz w:val="24"/>
                <w:szCs w:val="24"/>
              </w:rPr>
              <w:t>1</w:t>
            </w:r>
          </w:p>
        </w:tc>
      </w:tr>
    </w:tbl>
    <w:p w14:paraId="09F64A66" w14:textId="1CB92C5B" w:rsidR="000702CB" w:rsidRPr="00554FAF" w:rsidRDefault="000702CB" w:rsidP="000702CB">
      <w:pPr>
        <w:pStyle w:val="Default"/>
        <w:spacing w:after="60"/>
        <w:jc w:val="both"/>
        <w:rPr>
          <w:b/>
          <w:bCs/>
          <w:i/>
          <w:iCs/>
          <w:lang w:val="sq-AL"/>
        </w:rPr>
      </w:pPr>
      <w:r w:rsidRPr="00554FAF">
        <w:rPr>
          <w:b/>
          <w:bCs/>
          <w:lang w:val="sq-AL"/>
        </w:rPr>
        <w:t xml:space="preserve">3. Ndikimi i pritur në konkurrueshmëri: </w:t>
      </w:r>
      <w:r w:rsidRPr="00554FAF">
        <w:rPr>
          <w:lang w:val="sq-AL"/>
        </w:rPr>
        <w:t xml:space="preserve">Fuqizimi i kapaciteteve dhe i sigurimi i autonomisë së Agjencisë së Kosovës për Akreditim pritet të instalojë zbatimin e praktikave evropiane të sigurimit të cilësisë në fushën e arsimit të lartë. Ndërkaq, mbështetja nga MASHT në procesin e rishikimit të programeve në fushën e arsimit të lartë konform kërkesave të tregut pritet të  adresojë hendekun mes shkathtësive në nevojë dhe kuadrove që aktualisht prodhohen nga sistemi i arsimit të lartë. Ndërkohë, rishikimi i formulës së financimit duke vendosur kritere të qarta të matjes së performancës nga ana e IAL-ve do të  përmirësonte cilësinë e ofruesve të arsimit të lartë. </w:t>
      </w:r>
      <w:r w:rsidRPr="00554FAF">
        <w:rPr>
          <w:iCs/>
          <w:lang w:val="sq-AL"/>
        </w:rPr>
        <w:t>Ndikimi i pritur në konkurrueshmëri arrihet  përmes uljes së normës së papunësisë</w:t>
      </w:r>
      <w:r w:rsidR="00EB0BB5" w:rsidRPr="00554FAF">
        <w:rPr>
          <w:iCs/>
          <w:lang w:val="sq-AL"/>
        </w:rPr>
        <w:t xml:space="preserve">, </w:t>
      </w:r>
      <w:r w:rsidRPr="00554FAF">
        <w:rPr>
          <w:iCs/>
          <w:lang w:val="sq-AL"/>
        </w:rPr>
        <w:t>uljes së bilancit negativ tregtar gjatë viteve</w:t>
      </w:r>
      <w:r w:rsidR="00EB0BB5" w:rsidRPr="00554FAF">
        <w:rPr>
          <w:iCs/>
          <w:lang w:val="sq-AL"/>
        </w:rPr>
        <w:t xml:space="preserve"> dhe </w:t>
      </w:r>
      <w:r w:rsidRPr="00554FAF">
        <w:rPr>
          <w:iCs/>
          <w:lang w:val="sq-AL"/>
        </w:rPr>
        <w:t>përmirësimit të konkurreshmërisë së sektorit privat duke u bazuar në krijimin e shkathtësive relevante nga sektori i arsimit.</w:t>
      </w:r>
      <w:r w:rsidRPr="00554FAF">
        <w:rPr>
          <w:i/>
          <w:iCs/>
          <w:lang w:val="sq-AL"/>
        </w:rPr>
        <w:t xml:space="preserve"> </w:t>
      </w:r>
    </w:p>
    <w:p w14:paraId="4890F0F6" w14:textId="6713963D" w:rsidR="000702CB" w:rsidRPr="00554FAF" w:rsidRDefault="000702CB" w:rsidP="000702CB">
      <w:pPr>
        <w:pStyle w:val="Default"/>
        <w:spacing w:after="60"/>
        <w:jc w:val="both"/>
        <w:rPr>
          <w:bCs/>
          <w:lang w:val="sq-AL"/>
        </w:rPr>
      </w:pPr>
      <w:r w:rsidRPr="00554FAF">
        <w:rPr>
          <w:b/>
          <w:bCs/>
          <w:lang w:val="sq-AL"/>
        </w:rPr>
        <w:t xml:space="preserve">4. Vlerësimi i kostos së aktiviteteve dhe burimet e financimit: </w:t>
      </w:r>
      <w:r w:rsidRPr="00554FAF">
        <w:rPr>
          <w:bCs/>
          <w:lang w:val="sq-AL"/>
        </w:rPr>
        <w:t>Shuma e përgjithshme e buxhetit te planifikuar për këto aktivitete për tre vite është 503,140 euro. Për vitin 2020 kostoja  e masave  vlerësohet të jetë</w:t>
      </w:r>
      <w:r w:rsidR="00EB0BB5" w:rsidRPr="00554FAF">
        <w:rPr>
          <w:bCs/>
          <w:lang w:val="sq-AL"/>
        </w:rPr>
        <w:t xml:space="preserve"> </w:t>
      </w:r>
      <w:r w:rsidRPr="00554FAF">
        <w:rPr>
          <w:bCs/>
          <w:lang w:val="sq-AL"/>
        </w:rPr>
        <w:t xml:space="preserve">260,540 </w:t>
      </w:r>
      <w:r w:rsidR="00EB0BB5" w:rsidRPr="00554FAF">
        <w:rPr>
          <w:bCs/>
          <w:lang w:val="sq-AL"/>
        </w:rPr>
        <w:t>e</w:t>
      </w:r>
      <w:r w:rsidRPr="00554FAF">
        <w:rPr>
          <w:bCs/>
          <w:lang w:val="sq-AL"/>
        </w:rPr>
        <w:t>uro, nga kjo vlerë</w:t>
      </w:r>
      <w:r w:rsidR="00EB0BB5" w:rsidRPr="00554FAF">
        <w:rPr>
          <w:bCs/>
          <w:lang w:val="sq-AL"/>
        </w:rPr>
        <w:t xml:space="preserve"> </w:t>
      </w:r>
      <w:r w:rsidRPr="00554FAF">
        <w:rPr>
          <w:bCs/>
          <w:lang w:val="sq-AL"/>
        </w:rPr>
        <w:t xml:space="preserve">133,780 </w:t>
      </w:r>
      <w:r w:rsidR="00EB0BB5" w:rsidRPr="00554FAF">
        <w:rPr>
          <w:bCs/>
          <w:lang w:val="sq-AL"/>
        </w:rPr>
        <w:t>e</w:t>
      </w:r>
      <w:r w:rsidRPr="00554FAF">
        <w:rPr>
          <w:bCs/>
          <w:lang w:val="sq-AL"/>
        </w:rPr>
        <w:t xml:space="preserve">uro do të financohen nga </w:t>
      </w:r>
      <w:r w:rsidR="00EB0BB5" w:rsidRPr="00554FAF">
        <w:rPr>
          <w:bCs/>
          <w:lang w:val="sq-AL"/>
        </w:rPr>
        <w:t>b</w:t>
      </w:r>
      <w:r w:rsidRPr="00554FAF">
        <w:rPr>
          <w:bCs/>
          <w:lang w:val="sq-AL"/>
        </w:rPr>
        <w:t>uxheti i Kosovës, 111,800 EUR nga  Projekti i BE-s</w:t>
      </w:r>
      <w:r w:rsidR="00EB0BB5" w:rsidRPr="00554FAF">
        <w:rPr>
          <w:bCs/>
          <w:lang w:val="sq-AL"/>
        </w:rPr>
        <w:t>ë</w:t>
      </w:r>
      <w:r w:rsidRPr="00554FAF">
        <w:rPr>
          <w:bCs/>
          <w:lang w:val="sq-AL"/>
        </w:rPr>
        <w:t xml:space="preserve"> dhe 14,960 nga donatorët tjerë. Për vitin 2021 kostoja vlerësohet të jetë 175,800 </w:t>
      </w:r>
      <w:r w:rsidR="00EB0BB5" w:rsidRPr="00554FAF">
        <w:rPr>
          <w:bCs/>
          <w:lang w:val="sq-AL"/>
        </w:rPr>
        <w:t>e</w:t>
      </w:r>
      <w:r w:rsidRPr="00554FAF">
        <w:rPr>
          <w:bCs/>
          <w:lang w:val="sq-AL"/>
        </w:rPr>
        <w:t xml:space="preserve">uro, nga kjo vlerë 112,000 EUR do të financohen nga Buxheti i Kosovës dhe 63,800 </w:t>
      </w:r>
      <w:r w:rsidR="00EB0BB5" w:rsidRPr="00554FAF">
        <w:rPr>
          <w:bCs/>
          <w:lang w:val="sq-AL"/>
        </w:rPr>
        <w:t>e</w:t>
      </w:r>
      <w:r w:rsidRPr="00554FAF">
        <w:rPr>
          <w:bCs/>
          <w:lang w:val="sq-AL"/>
        </w:rPr>
        <w:t>uro nga Projekti i BE-s</w:t>
      </w:r>
      <w:r w:rsidR="00EB0BB5" w:rsidRPr="00554FAF">
        <w:rPr>
          <w:bCs/>
          <w:lang w:val="sq-AL"/>
        </w:rPr>
        <w:t>ë</w:t>
      </w:r>
      <w:r w:rsidRPr="00554FAF">
        <w:rPr>
          <w:bCs/>
          <w:lang w:val="sq-AL"/>
        </w:rPr>
        <w:t xml:space="preserve">.  Ndërsa në vitin 2022 kostoja vlerësohet të jetë 66,800 </w:t>
      </w:r>
      <w:r w:rsidR="00EB0BB5" w:rsidRPr="00554FAF">
        <w:rPr>
          <w:bCs/>
          <w:lang w:val="sq-AL"/>
        </w:rPr>
        <w:t>e</w:t>
      </w:r>
      <w:r w:rsidRPr="00554FAF">
        <w:rPr>
          <w:bCs/>
          <w:lang w:val="sq-AL"/>
        </w:rPr>
        <w:t xml:space="preserve">uro, ku nga kjo shumë 63,800 </w:t>
      </w:r>
      <w:r w:rsidR="00EB0BB5" w:rsidRPr="00554FAF">
        <w:rPr>
          <w:bCs/>
          <w:lang w:val="sq-AL"/>
        </w:rPr>
        <w:t>e</w:t>
      </w:r>
      <w:r w:rsidRPr="00554FAF">
        <w:rPr>
          <w:bCs/>
          <w:lang w:val="sq-AL"/>
        </w:rPr>
        <w:t xml:space="preserve">uro do të financohen nga fondet e BE-së dhe pjesa tjetër nga donatorët tjerë. </w:t>
      </w:r>
    </w:p>
    <w:p w14:paraId="7B78F943" w14:textId="75778F07" w:rsidR="000702CB" w:rsidRPr="00554FAF" w:rsidRDefault="000702CB" w:rsidP="000702CB">
      <w:pPr>
        <w:pStyle w:val="Default"/>
        <w:spacing w:after="60"/>
        <w:jc w:val="both"/>
        <w:rPr>
          <w:lang w:val="sq-AL"/>
        </w:rPr>
      </w:pPr>
      <w:r w:rsidRPr="00554FAF">
        <w:rPr>
          <w:b/>
          <w:bCs/>
          <w:lang w:val="sq-AL"/>
        </w:rPr>
        <w:t xml:space="preserve">5. Ndikimet e pritshme mbi rezultatet sociale, të tilla si punësimi, reduktimi i varfërisë, barazia gjinore: </w:t>
      </w:r>
      <w:r w:rsidRPr="00554FAF">
        <w:rPr>
          <w:lang w:val="sq-AL"/>
        </w:rPr>
        <w:t>Masa synon përmirësimin e cilësisë së arsimit të lartë. Aktualisht, ekziston hendek i theksuar mes programeve të IAL-ve dhe nevojave të tregut të punës. Zbatimi i plotë i masës siguron thellimin e reformës në arsimin e lartë duke përmirësuar standardet e cilësisë së programeve të arsimit të lartë dhe të rritjes së përputhshmërisë me nevojat e tregut të punës dhe ekonomisë. Kësisoj, ndikimi pritet të jetë i konsiderueshëm sidomos në aspektin e ngritjes së punësimit dhe punësueshmërisë, marrë parasysh se mospërputhja e shkathtësive me tregun e punës është identifikuar si faktor kyç në mirëmbajtjen e papunësisë strukturore. Arritshmëria arsimore është faktor kyç në gjetjen e një vendi të punës. Tutje, marrë parasysh strukturën demografike në Kosovë, reforma pritet sidomos të ndikojë tek arsimimi i të rinjve, tek të cilët papunësia është në normë alarmante për grupmoshën 15</w:t>
      </w:r>
      <w:r w:rsidR="00EB0BB5" w:rsidRPr="00554FAF">
        <w:rPr>
          <w:lang w:val="sq-AL"/>
        </w:rPr>
        <w:t>-</w:t>
      </w:r>
      <w:r w:rsidRPr="00554FAF">
        <w:rPr>
          <w:lang w:val="sq-AL"/>
        </w:rPr>
        <w:t xml:space="preserve">24. </w:t>
      </w:r>
    </w:p>
    <w:p w14:paraId="6AFF6EC2" w14:textId="77777777" w:rsidR="000702CB" w:rsidRPr="00554FAF" w:rsidRDefault="000702CB" w:rsidP="000702CB">
      <w:pPr>
        <w:pStyle w:val="Default"/>
        <w:spacing w:after="60"/>
        <w:jc w:val="both"/>
        <w:rPr>
          <w:lang w:val="sq-AL"/>
        </w:rPr>
      </w:pPr>
      <w:r w:rsidRPr="00554FAF">
        <w:rPr>
          <w:b/>
          <w:bCs/>
          <w:lang w:val="sq-AL"/>
        </w:rPr>
        <w:t xml:space="preserve">6. Ndikimi i pritshëm në mjedis: </w:t>
      </w:r>
      <w:r w:rsidRPr="00554FAF">
        <w:rPr>
          <w:lang w:val="sq-AL"/>
        </w:rPr>
        <w:t xml:space="preserve">Masa është neutrale në ndikimin mjedisor. </w:t>
      </w:r>
    </w:p>
    <w:p w14:paraId="5BB48872" w14:textId="77777777" w:rsidR="000702CB" w:rsidRPr="00554FAF" w:rsidRDefault="000702CB" w:rsidP="000702CB">
      <w:pPr>
        <w:pStyle w:val="Default"/>
        <w:spacing w:after="60"/>
        <w:jc w:val="both"/>
        <w:rPr>
          <w:b/>
          <w:bCs/>
          <w:lang w:val="sq-AL"/>
        </w:rPr>
      </w:pPr>
      <w:r w:rsidRPr="00554FAF">
        <w:rPr>
          <w:b/>
          <w:bCs/>
          <w:lang w:val="sq-AL"/>
        </w:rPr>
        <w:t>7. Rreziqet potenciale</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5"/>
        <w:gridCol w:w="1620"/>
        <w:gridCol w:w="4320"/>
      </w:tblGrid>
      <w:tr w:rsidR="000702CB" w:rsidRPr="00554FAF" w14:paraId="5A7D647F" w14:textId="77777777" w:rsidTr="000D752B">
        <w:tc>
          <w:tcPr>
            <w:tcW w:w="3415" w:type="dxa"/>
            <w:shd w:val="clear" w:color="auto" w:fill="auto"/>
          </w:tcPr>
          <w:p w14:paraId="37E36DA8" w14:textId="77777777" w:rsidR="000702CB" w:rsidRPr="00554FAF" w:rsidRDefault="000702CB" w:rsidP="000702CB">
            <w:pPr>
              <w:pStyle w:val="Default"/>
              <w:spacing w:after="60"/>
              <w:jc w:val="both"/>
              <w:rPr>
                <w:lang w:val="sq-AL"/>
              </w:rPr>
            </w:pPr>
            <w:r w:rsidRPr="00554FAF">
              <w:rPr>
                <w:b/>
                <w:bCs/>
                <w:lang w:val="sq-AL"/>
              </w:rPr>
              <w:t xml:space="preserve">Rreziku </w:t>
            </w:r>
          </w:p>
        </w:tc>
        <w:tc>
          <w:tcPr>
            <w:tcW w:w="1620" w:type="dxa"/>
            <w:shd w:val="clear" w:color="auto" w:fill="auto"/>
          </w:tcPr>
          <w:p w14:paraId="2AF2A39E" w14:textId="77777777" w:rsidR="000702CB" w:rsidRPr="00554FAF" w:rsidRDefault="000702CB" w:rsidP="000702CB">
            <w:pPr>
              <w:pStyle w:val="Default"/>
              <w:spacing w:after="60"/>
              <w:ind w:right="-122"/>
              <w:jc w:val="both"/>
              <w:rPr>
                <w:lang w:val="sq-AL"/>
              </w:rPr>
            </w:pPr>
            <w:r w:rsidRPr="00554FAF">
              <w:rPr>
                <w:b/>
                <w:bCs/>
                <w:lang w:val="sq-AL"/>
              </w:rPr>
              <w:t xml:space="preserve">Probabiliteti (i ulët ose i lartë) </w:t>
            </w:r>
          </w:p>
        </w:tc>
        <w:tc>
          <w:tcPr>
            <w:tcW w:w="4320" w:type="dxa"/>
            <w:shd w:val="clear" w:color="auto" w:fill="auto"/>
          </w:tcPr>
          <w:p w14:paraId="397BB938" w14:textId="77777777" w:rsidR="000702CB" w:rsidRPr="00554FAF" w:rsidRDefault="000702CB" w:rsidP="000702CB">
            <w:pPr>
              <w:pStyle w:val="Default"/>
              <w:spacing w:after="60"/>
              <w:jc w:val="both"/>
              <w:rPr>
                <w:lang w:val="sq-AL"/>
              </w:rPr>
            </w:pPr>
            <w:r w:rsidRPr="00554FAF">
              <w:rPr>
                <w:b/>
                <w:bCs/>
                <w:lang w:val="sq-AL"/>
              </w:rPr>
              <w:t xml:space="preserve">Veprimi lehtësues i planifikuar </w:t>
            </w:r>
          </w:p>
        </w:tc>
      </w:tr>
      <w:tr w:rsidR="000702CB" w:rsidRPr="00554FAF" w14:paraId="4C525CBF" w14:textId="77777777" w:rsidTr="000D752B">
        <w:tc>
          <w:tcPr>
            <w:tcW w:w="3415" w:type="dxa"/>
            <w:shd w:val="clear" w:color="auto" w:fill="auto"/>
          </w:tcPr>
          <w:p w14:paraId="17853D19" w14:textId="77777777" w:rsidR="000702CB" w:rsidRPr="00554FAF" w:rsidRDefault="000702CB" w:rsidP="000702CB">
            <w:pPr>
              <w:pStyle w:val="Default"/>
              <w:spacing w:after="60"/>
              <w:jc w:val="both"/>
              <w:rPr>
                <w:lang w:val="sq-AL"/>
              </w:rPr>
            </w:pPr>
            <w:r w:rsidRPr="00554FAF">
              <w:rPr>
                <w:lang w:val="sq-AL"/>
              </w:rPr>
              <w:t xml:space="preserve">1. Mosmiratimi i ligjeve prioritare në fushën e arsimit të lartë (sidomos Ligji për Arsimin e Lartë dhe Ligji për AKA). </w:t>
            </w:r>
          </w:p>
        </w:tc>
        <w:tc>
          <w:tcPr>
            <w:tcW w:w="1620" w:type="dxa"/>
            <w:shd w:val="clear" w:color="auto" w:fill="auto"/>
          </w:tcPr>
          <w:p w14:paraId="6D859D34" w14:textId="77777777" w:rsidR="000702CB" w:rsidRPr="00554FAF" w:rsidRDefault="000702CB" w:rsidP="000702CB">
            <w:pPr>
              <w:pStyle w:val="Default"/>
              <w:spacing w:after="60"/>
              <w:jc w:val="both"/>
              <w:rPr>
                <w:lang w:val="sq-AL"/>
              </w:rPr>
            </w:pPr>
            <w:r w:rsidRPr="00554FAF">
              <w:rPr>
                <w:lang w:val="sq-AL"/>
              </w:rPr>
              <w:t>I ulët</w:t>
            </w:r>
          </w:p>
        </w:tc>
        <w:tc>
          <w:tcPr>
            <w:tcW w:w="4320" w:type="dxa"/>
            <w:shd w:val="clear" w:color="auto" w:fill="auto"/>
          </w:tcPr>
          <w:p w14:paraId="39ECCBC7" w14:textId="77777777" w:rsidR="000702CB" w:rsidRPr="00554FAF" w:rsidRDefault="000702CB" w:rsidP="000702CB">
            <w:pPr>
              <w:pStyle w:val="Default"/>
              <w:spacing w:after="60"/>
              <w:jc w:val="both"/>
              <w:rPr>
                <w:lang w:val="sq-AL"/>
              </w:rPr>
            </w:pPr>
            <w:r w:rsidRPr="00554FAF">
              <w:rPr>
                <w:lang w:val="sq-AL"/>
              </w:rPr>
              <w:t>MASHT të finalizojë Ligjin për AKA dhe ta procedojë në Kuvend.</w:t>
            </w:r>
          </w:p>
        </w:tc>
      </w:tr>
      <w:tr w:rsidR="000702CB" w:rsidRPr="00554FAF" w14:paraId="32BFED72" w14:textId="77777777" w:rsidTr="000D752B">
        <w:tc>
          <w:tcPr>
            <w:tcW w:w="3415" w:type="dxa"/>
            <w:shd w:val="clear" w:color="auto" w:fill="auto"/>
          </w:tcPr>
          <w:p w14:paraId="0EBCE1DB" w14:textId="77777777" w:rsidR="000702CB" w:rsidRPr="00554FAF" w:rsidRDefault="000702CB" w:rsidP="000702CB">
            <w:pPr>
              <w:pStyle w:val="Default"/>
              <w:spacing w:after="60"/>
              <w:jc w:val="both"/>
              <w:rPr>
                <w:lang w:val="sq-AL"/>
              </w:rPr>
            </w:pPr>
            <w:r w:rsidRPr="00554FAF">
              <w:rPr>
                <w:lang w:val="sq-AL"/>
              </w:rPr>
              <w:t xml:space="preserve">2. Moszbatimi i standardeve të cilësisë në fushën e arsimit të lartë </w:t>
            </w:r>
          </w:p>
          <w:p w14:paraId="7F31598F" w14:textId="77777777" w:rsidR="000702CB" w:rsidRPr="00554FAF" w:rsidRDefault="000702CB" w:rsidP="000702CB">
            <w:pPr>
              <w:pStyle w:val="Default"/>
              <w:spacing w:after="60"/>
              <w:jc w:val="both"/>
              <w:rPr>
                <w:lang w:val="sq-AL"/>
              </w:rPr>
            </w:pPr>
          </w:p>
        </w:tc>
        <w:tc>
          <w:tcPr>
            <w:tcW w:w="1620" w:type="dxa"/>
            <w:shd w:val="clear" w:color="auto" w:fill="auto"/>
          </w:tcPr>
          <w:p w14:paraId="2345BC56" w14:textId="77777777" w:rsidR="000702CB" w:rsidRPr="00554FAF" w:rsidRDefault="000702CB" w:rsidP="000702CB">
            <w:pPr>
              <w:pStyle w:val="Default"/>
              <w:spacing w:after="60"/>
              <w:jc w:val="both"/>
              <w:rPr>
                <w:lang w:val="sq-AL"/>
              </w:rPr>
            </w:pPr>
            <w:r w:rsidRPr="00554FAF">
              <w:rPr>
                <w:lang w:val="sq-AL"/>
              </w:rPr>
              <w:t>I lartë</w:t>
            </w:r>
          </w:p>
        </w:tc>
        <w:tc>
          <w:tcPr>
            <w:tcW w:w="4320" w:type="dxa"/>
            <w:shd w:val="clear" w:color="auto" w:fill="auto"/>
          </w:tcPr>
          <w:p w14:paraId="4556EC9C" w14:textId="77777777" w:rsidR="000702CB" w:rsidRPr="00554FAF" w:rsidRDefault="000702CB" w:rsidP="000702CB">
            <w:pPr>
              <w:pStyle w:val="Default"/>
              <w:spacing w:after="60"/>
              <w:jc w:val="both"/>
              <w:rPr>
                <w:lang w:val="sq-AL"/>
              </w:rPr>
            </w:pPr>
            <w:r w:rsidRPr="00554FAF">
              <w:rPr>
                <w:lang w:val="sq-AL"/>
              </w:rPr>
              <w:t>MASHT të çojë përpara procesin e miratimit të Ligjit të AKA dhe të sigurojë plotësimin e stafit të AKA për ushtrimin e plotë dhe efektiv të përgjegjësive.</w:t>
            </w:r>
          </w:p>
        </w:tc>
      </w:tr>
      <w:tr w:rsidR="000702CB" w:rsidRPr="00554FAF" w14:paraId="03157901" w14:textId="77777777" w:rsidTr="000D752B">
        <w:tc>
          <w:tcPr>
            <w:tcW w:w="3415" w:type="dxa"/>
            <w:shd w:val="clear" w:color="auto" w:fill="auto"/>
          </w:tcPr>
          <w:p w14:paraId="080500EA" w14:textId="77777777" w:rsidR="000702CB" w:rsidRPr="00554FAF" w:rsidRDefault="000702CB" w:rsidP="000702CB">
            <w:pPr>
              <w:pStyle w:val="Default"/>
              <w:spacing w:after="60"/>
              <w:jc w:val="both"/>
              <w:rPr>
                <w:lang w:val="sq-AL"/>
              </w:rPr>
            </w:pPr>
            <w:r w:rsidRPr="00554FAF">
              <w:rPr>
                <w:lang w:val="sq-AL"/>
              </w:rPr>
              <w:t>3. Rezistenca nga IAL-të lidhur me ripërshtatjen e programeve të arsimit të lartë konform kërkesave të ekonomisë</w:t>
            </w:r>
          </w:p>
        </w:tc>
        <w:tc>
          <w:tcPr>
            <w:tcW w:w="1620" w:type="dxa"/>
            <w:shd w:val="clear" w:color="auto" w:fill="auto"/>
          </w:tcPr>
          <w:p w14:paraId="4300C3F6" w14:textId="77777777" w:rsidR="000702CB" w:rsidRPr="00554FAF" w:rsidRDefault="000702CB" w:rsidP="000702CB">
            <w:pPr>
              <w:pStyle w:val="Default"/>
              <w:spacing w:after="60"/>
              <w:jc w:val="both"/>
              <w:rPr>
                <w:lang w:val="sq-AL"/>
              </w:rPr>
            </w:pPr>
            <w:r w:rsidRPr="00554FAF">
              <w:rPr>
                <w:lang w:val="sq-AL"/>
              </w:rPr>
              <w:t xml:space="preserve">I lartë </w:t>
            </w:r>
          </w:p>
        </w:tc>
        <w:tc>
          <w:tcPr>
            <w:tcW w:w="4320" w:type="dxa"/>
            <w:shd w:val="clear" w:color="auto" w:fill="auto"/>
          </w:tcPr>
          <w:p w14:paraId="0F6A7BA1" w14:textId="77777777" w:rsidR="000702CB" w:rsidRPr="00554FAF" w:rsidRDefault="000702CB" w:rsidP="000702CB">
            <w:pPr>
              <w:pStyle w:val="Default"/>
              <w:spacing w:after="60"/>
              <w:jc w:val="both"/>
              <w:rPr>
                <w:b/>
                <w:bCs/>
                <w:lang w:val="sq-AL"/>
              </w:rPr>
            </w:pPr>
            <w:r w:rsidRPr="00554FAF">
              <w:rPr>
                <w:lang w:val="sq-AL"/>
              </w:rPr>
              <w:t xml:space="preserve">Plotësimi i analizave të duhura për identifikimin e profileve të arsimit të lartë të cilat janë deficitare apo të cilat duhet të ripërshtaten. Krijimi i kanaleve institucionale të dialogimit dhe bashkëpunimit me IAL-të lidhur me hapat për përmirësimin gradual të përputhshmërisë së programeve në arsimin e lartë me kërkesat e tregut të punës. </w:t>
            </w:r>
          </w:p>
        </w:tc>
      </w:tr>
    </w:tbl>
    <w:p w14:paraId="69CFC09A" w14:textId="77777777" w:rsidR="000702CB" w:rsidRPr="00554FAF" w:rsidRDefault="000702CB" w:rsidP="000702CB">
      <w:pPr>
        <w:spacing w:after="60" w:line="240" w:lineRule="auto"/>
        <w:rPr>
          <w:rFonts w:ascii="Times New Roman" w:hAnsi="Times New Roman" w:cs="Times New Roman"/>
          <w:sz w:val="24"/>
          <w:szCs w:val="24"/>
        </w:rPr>
      </w:pPr>
    </w:p>
    <w:p w14:paraId="3C8391B9" w14:textId="77777777" w:rsidR="009E4477" w:rsidRPr="00FC648F" w:rsidRDefault="009E4477" w:rsidP="00085F16">
      <w:pPr>
        <w:pStyle w:val="ERPL3"/>
        <w:rPr>
          <w:lang w:val="sq-AL"/>
        </w:rPr>
      </w:pPr>
      <w:bookmarkStart w:id="212" w:name="_Toc13127898"/>
      <w:bookmarkStart w:id="213" w:name="_Toc25533248"/>
      <w:bookmarkStart w:id="214" w:name="_Toc25873754"/>
      <w:r w:rsidRPr="00FC648F">
        <w:rPr>
          <w:lang w:val="sq-AL"/>
        </w:rPr>
        <w:t>4.3.7.  Punësimi dhe tregjet e punës</w:t>
      </w:r>
      <w:bookmarkEnd w:id="212"/>
      <w:bookmarkEnd w:id="213"/>
      <w:bookmarkEnd w:id="214"/>
    </w:p>
    <w:p w14:paraId="04F814E8" w14:textId="3DCD4CF6" w:rsidR="00EB0BB5" w:rsidRPr="00554FAF" w:rsidRDefault="00EB0BB5" w:rsidP="000702CB">
      <w:pPr>
        <w:spacing w:after="60" w:line="240" w:lineRule="auto"/>
        <w:jc w:val="both"/>
        <w:rPr>
          <w:rFonts w:ascii="Times New Roman" w:hAnsi="Times New Roman" w:cs="Times New Roman"/>
          <w:b/>
          <w:sz w:val="24"/>
          <w:szCs w:val="24"/>
        </w:rPr>
      </w:pPr>
      <w:r w:rsidRPr="00554FAF">
        <w:rPr>
          <w:rFonts w:ascii="Times New Roman" w:hAnsi="Times New Roman" w:cs="Times New Roman"/>
          <w:b/>
          <w:sz w:val="24"/>
          <w:szCs w:val="24"/>
        </w:rPr>
        <w:t xml:space="preserve">a. </w:t>
      </w:r>
      <w:r w:rsidR="000702CB" w:rsidRPr="00554FAF">
        <w:rPr>
          <w:rFonts w:ascii="Times New Roman" w:hAnsi="Times New Roman" w:cs="Times New Roman"/>
          <w:b/>
          <w:sz w:val="24"/>
          <w:szCs w:val="24"/>
        </w:rPr>
        <w:t>Analiza e pengesave kryesore</w:t>
      </w:r>
      <w:r w:rsidRPr="00554FAF">
        <w:rPr>
          <w:rFonts w:ascii="Times New Roman" w:hAnsi="Times New Roman" w:cs="Times New Roman"/>
          <w:b/>
          <w:sz w:val="24"/>
          <w:szCs w:val="24"/>
        </w:rPr>
        <w:t>:</w:t>
      </w:r>
    </w:p>
    <w:p w14:paraId="598F950A" w14:textId="0F864A89" w:rsidR="000702CB" w:rsidRPr="00554FAF" w:rsidRDefault="000702CB" w:rsidP="000702CB">
      <w:pPr>
        <w:spacing w:after="60" w:line="240" w:lineRule="auto"/>
        <w:jc w:val="both"/>
        <w:rPr>
          <w:rFonts w:ascii="Times New Roman" w:hAnsi="Times New Roman" w:cs="Times New Roman"/>
          <w:b/>
          <w:sz w:val="24"/>
          <w:szCs w:val="24"/>
          <w:u w:val="single"/>
        </w:rPr>
      </w:pPr>
      <w:r w:rsidRPr="00554FAF">
        <w:rPr>
          <w:rFonts w:ascii="Times New Roman" w:hAnsi="Times New Roman" w:cs="Times New Roman"/>
          <w:b/>
          <w:sz w:val="24"/>
          <w:szCs w:val="24"/>
        </w:rPr>
        <w:t xml:space="preserve">Gjendja aktuale: </w:t>
      </w:r>
      <w:r w:rsidRPr="00554FAF">
        <w:rPr>
          <w:rFonts w:ascii="Times New Roman" w:hAnsi="Times New Roman" w:cs="Times New Roman"/>
          <w:bCs/>
          <w:sz w:val="24"/>
          <w:szCs w:val="24"/>
        </w:rPr>
        <w:t xml:space="preserve">Vetëm </w:t>
      </w:r>
      <w:r w:rsidRPr="00554FAF">
        <w:rPr>
          <w:rFonts w:ascii="Times New Roman" w:hAnsi="Times New Roman" w:cs="Times New Roman"/>
          <w:sz w:val="24"/>
          <w:szCs w:val="24"/>
        </w:rPr>
        <w:t xml:space="preserve">40.9% e kosovarëve në moshë pune ishin </w:t>
      </w:r>
      <w:r w:rsidRPr="00554FAF">
        <w:rPr>
          <w:rFonts w:ascii="Times New Roman" w:hAnsi="Times New Roman" w:cs="Times New Roman"/>
          <w:b/>
          <w:bCs/>
          <w:sz w:val="24"/>
          <w:szCs w:val="24"/>
        </w:rPr>
        <w:t>ekonomikisht aktivë</w:t>
      </w:r>
      <w:r w:rsidRPr="00554FAF">
        <w:rPr>
          <w:rFonts w:ascii="Times New Roman" w:hAnsi="Times New Roman" w:cs="Times New Roman"/>
          <w:sz w:val="24"/>
          <w:szCs w:val="24"/>
        </w:rPr>
        <w:t xml:space="preserve"> në 2018. 78% e </w:t>
      </w:r>
      <w:r w:rsidRPr="00554FAF">
        <w:rPr>
          <w:rFonts w:ascii="Times New Roman" w:hAnsi="Times New Roman" w:cs="Times New Roman"/>
          <w:b/>
          <w:bCs/>
          <w:sz w:val="24"/>
          <w:szCs w:val="24"/>
        </w:rPr>
        <w:t>fuqisë punëtore</w:t>
      </w:r>
      <w:r w:rsidRPr="00554FAF">
        <w:rPr>
          <w:rFonts w:ascii="Times New Roman" w:hAnsi="Times New Roman" w:cs="Times New Roman"/>
          <w:sz w:val="24"/>
          <w:szCs w:val="24"/>
        </w:rPr>
        <w:t xml:space="preserve"> përbëhet nga meshkujt e 22% nga femrat. </w:t>
      </w:r>
      <w:r w:rsidRPr="00554FAF">
        <w:rPr>
          <w:rFonts w:ascii="Times New Roman" w:hAnsi="Times New Roman" w:cs="Times New Roman"/>
          <w:b/>
          <w:bCs/>
          <w:sz w:val="24"/>
          <w:szCs w:val="24"/>
        </w:rPr>
        <w:t>Shkalla e pjesëmarrjes së fuqisë punëtore</w:t>
      </w:r>
      <w:r w:rsidRPr="00554FAF">
        <w:rPr>
          <w:rFonts w:ascii="Times New Roman" w:hAnsi="Times New Roman" w:cs="Times New Roman"/>
          <w:sz w:val="24"/>
          <w:szCs w:val="24"/>
        </w:rPr>
        <w:t xml:space="preserve"> është ulur nga 42.8% në 2017 në 40.9% në 2018. Afërsisht vetëm çdo i dyti kosovar në moshë pune ishte pjesë e fuqisë punëtore.</w:t>
      </w:r>
      <w:r w:rsidR="00EB0BB5" w:rsidRPr="00554FAF">
        <w:rPr>
          <w:rFonts w:ascii="Times New Roman" w:hAnsi="Times New Roman" w:cs="Times New Roman"/>
          <w:sz w:val="24"/>
          <w:szCs w:val="24"/>
        </w:rPr>
        <w:t xml:space="preserve"> </w:t>
      </w:r>
      <w:r w:rsidRPr="00554FAF">
        <w:rPr>
          <w:rFonts w:ascii="Times New Roman" w:hAnsi="Times New Roman" w:cs="Times New Roman"/>
          <w:sz w:val="24"/>
          <w:szCs w:val="24"/>
        </w:rPr>
        <w:t xml:space="preserve">Sipas statistikave të TM1 2019, fuqia punëtore është ulur prej afërsisht 5% krahasuar me të dhënat vjetore të 2018. Afërsisht 60% e popullsisë në moshë pune në 2018 ishte </w:t>
      </w:r>
      <w:r w:rsidRPr="00554FAF">
        <w:rPr>
          <w:rFonts w:ascii="Times New Roman" w:hAnsi="Times New Roman" w:cs="Times New Roman"/>
          <w:b/>
          <w:bCs/>
          <w:sz w:val="24"/>
          <w:szCs w:val="24"/>
        </w:rPr>
        <w:t>ekonomi</w:t>
      </w:r>
      <w:r w:rsidR="00554FAF" w:rsidRPr="00554FAF">
        <w:rPr>
          <w:rFonts w:ascii="Times New Roman" w:hAnsi="Times New Roman" w:cs="Times New Roman"/>
          <w:b/>
          <w:bCs/>
          <w:sz w:val="24"/>
          <w:szCs w:val="24"/>
        </w:rPr>
        <w:t>ki</w:t>
      </w:r>
      <w:r w:rsidRPr="00554FAF">
        <w:rPr>
          <w:rFonts w:ascii="Times New Roman" w:hAnsi="Times New Roman" w:cs="Times New Roman"/>
          <w:b/>
          <w:bCs/>
          <w:sz w:val="24"/>
          <w:szCs w:val="24"/>
        </w:rPr>
        <w:t>sht joaktive</w:t>
      </w:r>
      <w:r w:rsidRPr="00554FAF">
        <w:rPr>
          <w:rFonts w:ascii="Times New Roman" w:hAnsi="Times New Roman" w:cs="Times New Roman"/>
          <w:sz w:val="24"/>
          <w:szCs w:val="24"/>
        </w:rPr>
        <w:t xml:space="preserve">. Joaktiviteti në tregun e punës ka karakter të theksuar gjinor: 42.4% e personave ekonomikisht joaktiv janë </w:t>
      </w:r>
      <w:r w:rsidR="00554FAF" w:rsidRPr="00554FAF">
        <w:rPr>
          <w:rFonts w:ascii="Times New Roman" w:hAnsi="Times New Roman" w:cs="Times New Roman"/>
          <w:sz w:val="24"/>
          <w:szCs w:val="24"/>
        </w:rPr>
        <w:t>meshkuj</w:t>
      </w:r>
      <w:r w:rsidRPr="00554FAF">
        <w:rPr>
          <w:rFonts w:ascii="Times New Roman" w:hAnsi="Times New Roman" w:cs="Times New Roman"/>
          <w:sz w:val="24"/>
          <w:szCs w:val="24"/>
        </w:rPr>
        <w:t xml:space="preserve">, ndërsa 80.50% janë femra. </w:t>
      </w:r>
      <w:r w:rsidRPr="00554FAF">
        <w:rPr>
          <w:rFonts w:ascii="Times New Roman" w:hAnsi="Times New Roman" w:cs="Times New Roman"/>
          <w:b/>
          <w:bCs/>
          <w:sz w:val="24"/>
          <w:szCs w:val="24"/>
        </w:rPr>
        <w:t>Shkalla e joaktivitetit</w:t>
      </w:r>
      <w:r w:rsidRPr="00554FAF">
        <w:rPr>
          <w:rFonts w:ascii="Times New Roman" w:hAnsi="Times New Roman" w:cs="Times New Roman"/>
          <w:sz w:val="24"/>
          <w:szCs w:val="24"/>
        </w:rPr>
        <w:t xml:space="preserve"> është rritur nga 57.2% në 2017 në 59.1% në 2018. Në TM1 2019, shkalla e joaktivitetit është rritur tutje për 4.5%. </w:t>
      </w:r>
      <w:r w:rsidRPr="00554FAF">
        <w:rPr>
          <w:rFonts w:ascii="Times New Roman" w:hAnsi="Times New Roman" w:cs="Times New Roman"/>
          <w:b/>
          <w:bCs/>
          <w:sz w:val="24"/>
          <w:szCs w:val="24"/>
        </w:rPr>
        <w:t>Shkalla e pjesëmarrjes në fuqinë punëtore</w:t>
      </w:r>
      <w:r w:rsidRPr="00554FAF">
        <w:rPr>
          <w:rFonts w:ascii="Times New Roman" w:hAnsi="Times New Roman" w:cs="Times New Roman"/>
          <w:sz w:val="24"/>
          <w:szCs w:val="24"/>
        </w:rPr>
        <w:t xml:space="preserve"> ka shënuar ulje në 2018 krahasuar me 2017 përgjatë gjithë grupmoshave. Ulja më e madhe është në grupmoshën 30-34, nga 59.8% në 2017, në 55.3% në 2018. </w:t>
      </w:r>
    </w:p>
    <w:p w14:paraId="74557992" w14:textId="43D7AB59" w:rsidR="000702CB" w:rsidRPr="00554FAF" w:rsidRDefault="000702CB"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b/>
          <w:bCs/>
          <w:sz w:val="24"/>
          <w:szCs w:val="24"/>
        </w:rPr>
        <w:t>Shkalla e papunësisë</w:t>
      </w:r>
      <w:r w:rsidRPr="00554FAF">
        <w:rPr>
          <w:rFonts w:ascii="Times New Roman" w:hAnsi="Times New Roman" w:cs="Times New Roman"/>
          <w:sz w:val="24"/>
          <w:szCs w:val="24"/>
        </w:rPr>
        <w:t xml:space="preserve"> është ulur nga 30.5% në 2017 në 29.6% në vitin 2018. Shikuar nga prizmi gjinor, 74% e të papunëve janë meshkuj e 26% janë femra. Në TM1 2019, papunësia llogaritet të ketë qenë afërsisht 27%. </w:t>
      </w:r>
      <w:r w:rsidR="00EB0BB5" w:rsidRPr="00554FAF">
        <w:rPr>
          <w:rFonts w:ascii="Times New Roman" w:hAnsi="Times New Roman" w:cs="Times New Roman"/>
          <w:sz w:val="24"/>
          <w:szCs w:val="24"/>
        </w:rPr>
        <w:t>Mirëpo</w:t>
      </w:r>
      <w:r w:rsidRPr="00554FAF">
        <w:rPr>
          <w:rFonts w:ascii="Times New Roman" w:hAnsi="Times New Roman" w:cs="Times New Roman"/>
          <w:sz w:val="24"/>
          <w:szCs w:val="24"/>
        </w:rPr>
        <w:t xml:space="preserve">, ulja e shkallës së papunësisë lidhet më tepër me largimin e kosovarëve nga fuqia punëtore se sa me krijimin e vendeve të reja të punës. Sipas ASK, numri i atyre që u raportuan si të punësuar është ulur afërsisht për 12,000 persona në vitin 2018 </w:t>
      </w:r>
      <w:r w:rsidR="00EB0BB5" w:rsidRPr="00554FAF">
        <w:rPr>
          <w:rFonts w:ascii="Times New Roman" w:hAnsi="Times New Roman" w:cs="Times New Roman"/>
          <w:sz w:val="24"/>
          <w:szCs w:val="24"/>
        </w:rPr>
        <w:t>në krahasim</w:t>
      </w:r>
      <w:r w:rsidRPr="00554FAF">
        <w:rPr>
          <w:rFonts w:ascii="Times New Roman" w:hAnsi="Times New Roman" w:cs="Times New Roman"/>
          <w:sz w:val="24"/>
          <w:szCs w:val="24"/>
        </w:rPr>
        <w:t xml:space="preserve"> me 2017. Fuqia punëtore është ulur nga 490 mijë kosovarë aktivë në 2018 në 466 mijë kosovarë që kërkonin punë në TM1 2019. Numri i të punësuarve në TM1 2019 ishte 341 mijë, krahasuar me 345 mijë në 2018. Ndërkaq, </w:t>
      </w:r>
      <w:r w:rsidRPr="00554FAF">
        <w:rPr>
          <w:rFonts w:ascii="Times New Roman" w:hAnsi="Times New Roman" w:cs="Times New Roman"/>
          <w:b/>
          <w:bCs/>
          <w:sz w:val="24"/>
          <w:szCs w:val="24"/>
        </w:rPr>
        <w:t>shkalla e punësimit</w:t>
      </w:r>
      <w:r w:rsidRPr="00554FAF">
        <w:rPr>
          <w:rStyle w:val="FootnoteReference"/>
          <w:rFonts w:ascii="Times New Roman" w:hAnsi="Times New Roman" w:cs="Times New Roman"/>
          <w:b/>
          <w:bCs/>
          <w:sz w:val="24"/>
          <w:szCs w:val="24"/>
        </w:rPr>
        <w:footnoteReference w:id="39"/>
      </w:r>
      <w:r w:rsidRPr="00554FAF">
        <w:rPr>
          <w:rFonts w:ascii="Times New Roman" w:hAnsi="Times New Roman" w:cs="Times New Roman"/>
          <w:sz w:val="24"/>
          <w:szCs w:val="24"/>
        </w:rPr>
        <w:t xml:space="preserve"> ishte 28.8% në vitin 2018, krahasuar me 29.8% në 2017. Në TM1 2019, shkalla e punësimit është ulur në 28.2%.  </w:t>
      </w:r>
    </w:p>
    <w:p w14:paraId="0E25C72F" w14:textId="2768A067" w:rsidR="000702CB" w:rsidRPr="00554FAF" w:rsidRDefault="000702CB"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sz w:val="24"/>
          <w:szCs w:val="24"/>
        </w:rPr>
        <w:t>Dallime të mëdha</w:t>
      </w:r>
      <w:r w:rsidRPr="00554FAF">
        <w:rPr>
          <w:rFonts w:ascii="Times New Roman" w:hAnsi="Times New Roman" w:cs="Times New Roman"/>
          <w:b/>
          <w:bCs/>
          <w:sz w:val="24"/>
          <w:szCs w:val="24"/>
        </w:rPr>
        <w:t xml:space="preserve"> gjinore</w:t>
      </w:r>
      <w:r w:rsidRPr="00554FAF">
        <w:rPr>
          <w:rFonts w:ascii="Times New Roman" w:hAnsi="Times New Roman" w:cs="Times New Roman"/>
          <w:sz w:val="24"/>
          <w:szCs w:val="24"/>
        </w:rPr>
        <w:t xml:space="preserve"> q</w:t>
      </w:r>
      <w:r w:rsidR="00EC2B3F" w:rsidRPr="00554FAF">
        <w:rPr>
          <w:rFonts w:ascii="Times New Roman" w:hAnsi="Times New Roman" w:cs="Times New Roman"/>
          <w:sz w:val="24"/>
          <w:szCs w:val="24"/>
        </w:rPr>
        <w:t>ë</w:t>
      </w:r>
      <w:r w:rsidRPr="00554FAF">
        <w:rPr>
          <w:rFonts w:ascii="Times New Roman" w:hAnsi="Times New Roman" w:cs="Times New Roman"/>
          <w:sz w:val="24"/>
          <w:szCs w:val="24"/>
        </w:rPr>
        <w:t>ndrojnë në tregun e punës. 18.6 % e femrave në moshë pune ishin aktive në tregun e punës në vitin 2018 (20% në 2017), krahasuar me 63.3% të meshkujve (65.3% në 2017). Në TM1 2019, 19.5% e femrave në moshë punë ishin ekonomikisht aktive, krahasuar me 57.5% e meshkujve. Numri i fuqisë punëtore në TM1 2019 është rritur në mesin e femrave, por ka rënë në mesin e meshkujve. Papunësia është më e lartë për femrat se sa për meshkujt (33.4% për femra</w:t>
      </w:r>
      <w:r w:rsidR="00EC2B3F" w:rsidRPr="00554FAF">
        <w:rPr>
          <w:rFonts w:ascii="Times New Roman" w:hAnsi="Times New Roman" w:cs="Times New Roman"/>
          <w:sz w:val="24"/>
          <w:szCs w:val="24"/>
        </w:rPr>
        <w:t>,</w:t>
      </w:r>
      <w:r w:rsidRPr="00554FAF">
        <w:rPr>
          <w:rFonts w:ascii="Times New Roman" w:hAnsi="Times New Roman" w:cs="Times New Roman"/>
          <w:sz w:val="24"/>
          <w:szCs w:val="24"/>
        </w:rPr>
        <w:t xml:space="preserve"> 28.5% për meshkuj në 2018</w:t>
      </w:r>
      <w:r w:rsidR="00EC2B3F" w:rsidRPr="00554FAF">
        <w:rPr>
          <w:rFonts w:ascii="Times New Roman" w:hAnsi="Times New Roman" w:cs="Times New Roman"/>
          <w:sz w:val="24"/>
          <w:szCs w:val="24"/>
        </w:rPr>
        <w:t xml:space="preserve">, </w:t>
      </w:r>
      <w:r w:rsidRPr="00554FAF">
        <w:rPr>
          <w:rFonts w:ascii="Times New Roman" w:hAnsi="Times New Roman" w:cs="Times New Roman"/>
          <w:sz w:val="24"/>
          <w:szCs w:val="24"/>
        </w:rPr>
        <w:t xml:space="preserve">36.6 % dhe 28.7%, respektivisht në 2017). Në TM1 2019, papunësia tek femrat ishte 31.5% </w:t>
      </w:r>
      <w:r w:rsidR="00EC2B3F" w:rsidRPr="00554FAF">
        <w:rPr>
          <w:rFonts w:ascii="Times New Roman" w:hAnsi="Times New Roman" w:cs="Times New Roman"/>
          <w:sz w:val="24"/>
          <w:szCs w:val="24"/>
        </w:rPr>
        <w:t xml:space="preserve">kurse </w:t>
      </w:r>
      <w:r w:rsidRPr="00554FAF">
        <w:rPr>
          <w:rFonts w:ascii="Times New Roman" w:hAnsi="Times New Roman" w:cs="Times New Roman"/>
          <w:sz w:val="24"/>
          <w:szCs w:val="24"/>
        </w:rPr>
        <w:t xml:space="preserve">25.4% tek meshkujt. Shkalla e punësimit tek femrat ishte vetëm 12.4% në 2018, </w:t>
      </w:r>
      <w:r w:rsidR="00EC2B3F" w:rsidRPr="00554FAF">
        <w:rPr>
          <w:rFonts w:ascii="Times New Roman" w:hAnsi="Times New Roman" w:cs="Times New Roman"/>
          <w:sz w:val="24"/>
          <w:szCs w:val="24"/>
        </w:rPr>
        <w:t xml:space="preserve">në </w:t>
      </w:r>
      <w:r w:rsidR="00554FAF" w:rsidRPr="00554FAF">
        <w:rPr>
          <w:rFonts w:ascii="Times New Roman" w:hAnsi="Times New Roman" w:cs="Times New Roman"/>
          <w:sz w:val="24"/>
          <w:szCs w:val="24"/>
        </w:rPr>
        <w:t>krahasim</w:t>
      </w:r>
      <w:r w:rsidR="00EC2B3F" w:rsidRPr="00554FAF">
        <w:rPr>
          <w:rFonts w:ascii="Times New Roman" w:hAnsi="Times New Roman" w:cs="Times New Roman"/>
          <w:sz w:val="24"/>
          <w:szCs w:val="24"/>
        </w:rPr>
        <w:t xml:space="preserve"> </w:t>
      </w:r>
      <w:r w:rsidRPr="00554FAF">
        <w:rPr>
          <w:rFonts w:ascii="Times New Roman" w:hAnsi="Times New Roman" w:cs="Times New Roman"/>
          <w:sz w:val="24"/>
          <w:szCs w:val="24"/>
        </w:rPr>
        <w:t>me 45.3% tek meshkujt (12.7% e 46.6%, respektivisht, në 2017). Në 2018, 52.9% e femrave ishin të punësuara në sektorët e arsimit, shëndetësisë dhe tregtisë, ndërkaq 43% e meshkujve në sektorët e ndërtimtarisë, prodhimit dhe tregtisë.</w:t>
      </w:r>
    </w:p>
    <w:p w14:paraId="5A571457" w14:textId="77777777" w:rsidR="000702CB" w:rsidRPr="00554FAF" w:rsidRDefault="000702CB"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sz w:val="24"/>
          <w:szCs w:val="24"/>
        </w:rPr>
        <w:t>Shkalla e papunësisë</w:t>
      </w:r>
      <w:r w:rsidRPr="00554FAF">
        <w:rPr>
          <w:rFonts w:ascii="Times New Roman" w:hAnsi="Times New Roman" w:cs="Times New Roman"/>
          <w:b/>
          <w:bCs/>
          <w:sz w:val="24"/>
          <w:szCs w:val="24"/>
        </w:rPr>
        <w:t xml:space="preserve"> </w:t>
      </w:r>
      <w:r w:rsidRPr="00554FAF">
        <w:rPr>
          <w:rFonts w:ascii="Times New Roman" w:hAnsi="Times New Roman" w:cs="Times New Roman"/>
          <w:sz w:val="24"/>
          <w:szCs w:val="24"/>
        </w:rPr>
        <w:t>tek të</w:t>
      </w:r>
      <w:r w:rsidRPr="00554FAF">
        <w:rPr>
          <w:rFonts w:ascii="Times New Roman" w:hAnsi="Times New Roman" w:cs="Times New Roman"/>
          <w:b/>
          <w:bCs/>
          <w:sz w:val="24"/>
          <w:szCs w:val="24"/>
        </w:rPr>
        <w:t xml:space="preserve"> rinjtë</w:t>
      </w:r>
      <w:r w:rsidRPr="00554FAF">
        <w:rPr>
          <w:rFonts w:ascii="Times New Roman" w:hAnsi="Times New Roman" w:cs="Times New Roman"/>
          <w:sz w:val="24"/>
          <w:szCs w:val="24"/>
        </w:rPr>
        <w:t xml:space="preserve"> e moshës 15-24 është rritur nga 52.7% në 2017 në 55.4% në 2018. Në TM1 2019, shkalla e papunësisë tek i njëjti grup ishte 50.6%. Përqindja e të rinjve në</w:t>
      </w:r>
      <w:r w:rsidRPr="00554FAF">
        <w:rPr>
          <w:rFonts w:ascii="Times New Roman" w:hAnsi="Times New Roman" w:cs="Times New Roman"/>
          <w:b/>
          <w:bCs/>
          <w:sz w:val="24"/>
          <w:szCs w:val="24"/>
        </w:rPr>
        <w:t xml:space="preserve"> </w:t>
      </w:r>
      <w:r w:rsidRPr="00554FAF">
        <w:rPr>
          <w:rFonts w:ascii="Times New Roman" w:hAnsi="Times New Roman" w:cs="Times New Roman"/>
          <w:sz w:val="24"/>
          <w:szCs w:val="24"/>
        </w:rPr>
        <w:t>kategorinë</w:t>
      </w:r>
      <w:r w:rsidRPr="00554FAF">
        <w:rPr>
          <w:rFonts w:ascii="Times New Roman" w:hAnsi="Times New Roman" w:cs="Times New Roman"/>
          <w:b/>
          <w:bCs/>
          <w:sz w:val="24"/>
          <w:szCs w:val="24"/>
        </w:rPr>
        <w:t xml:space="preserve"> NEET</w:t>
      </w:r>
      <w:r w:rsidRPr="00554FAF">
        <w:rPr>
          <w:rFonts w:ascii="Times New Roman" w:hAnsi="Times New Roman" w:cs="Times New Roman"/>
          <w:sz w:val="24"/>
          <w:szCs w:val="24"/>
        </w:rPr>
        <w:t xml:space="preserve"> është rritur nga 27.4% në 2017, në 30.1% në 2018. Në TM1 2019, ajo ishte 29%. Mbi 30% e të rinjve të moshës 15-19 ishin të papunë afatgjatë (12 muaj+), ndërkaq në TM1 2019, ajo ishte 39.8%. Sipas të dhënave MPMS-së, rreth 67% e të papunëve të </w:t>
      </w:r>
      <w:r w:rsidRPr="00554FAF">
        <w:rPr>
          <w:rFonts w:ascii="Times New Roman" w:hAnsi="Times New Roman" w:cs="Times New Roman"/>
          <w:i/>
          <w:iCs/>
          <w:sz w:val="24"/>
          <w:szCs w:val="24"/>
        </w:rPr>
        <w:t>regjistruar</w:t>
      </w:r>
      <w:r w:rsidRPr="00554FAF">
        <w:rPr>
          <w:rFonts w:ascii="Times New Roman" w:hAnsi="Times New Roman" w:cs="Times New Roman"/>
          <w:sz w:val="24"/>
          <w:szCs w:val="24"/>
        </w:rPr>
        <w:t xml:space="preserve"> konsiderohen të </w:t>
      </w:r>
      <w:r w:rsidRPr="00554FAF">
        <w:rPr>
          <w:rFonts w:ascii="Times New Roman" w:hAnsi="Times New Roman" w:cs="Times New Roman"/>
          <w:b/>
          <w:bCs/>
          <w:sz w:val="24"/>
          <w:szCs w:val="24"/>
        </w:rPr>
        <w:t>papunë afatgjatë</w:t>
      </w:r>
      <w:r w:rsidRPr="00554FAF">
        <w:rPr>
          <w:rFonts w:ascii="Times New Roman" w:hAnsi="Times New Roman" w:cs="Times New Roman"/>
          <w:sz w:val="24"/>
          <w:szCs w:val="24"/>
        </w:rPr>
        <w:t xml:space="preserve">. Sipas Bankës Botërore (BB) (2017), rreth 72% e të papunëve ishin të papunësuar mbi 12 muaj. Qeveria ka përpiluar </w:t>
      </w:r>
      <w:r w:rsidRPr="00554FAF">
        <w:rPr>
          <w:rFonts w:ascii="Times New Roman" w:hAnsi="Times New Roman" w:cs="Times New Roman"/>
          <w:b/>
          <w:bCs/>
          <w:sz w:val="24"/>
          <w:szCs w:val="24"/>
        </w:rPr>
        <w:t>Planin e Veprimit për Punësimin e të Rinjve</w:t>
      </w:r>
      <w:r w:rsidRPr="00554FAF">
        <w:rPr>
          <w:rFonts w:ascii="Times New Roman" w:hAnsi="Times New Roman" w:cs="Times New Roman"/>
          <w:sz w:val="24"/>
          <w:szCs w:val="24"/>
        </w:rPr>
        <w:t xml:space="preserve"> si mënyrë e luftimit të papunësisë në mesin e të rinjve.</w:t>
      </w:r>
    </w:p>
    <w:p w14:paraId="59B42545" w14:textId="2F099082" w:rsidR="000702CB" w:rsidRPr="00554FAF" w:rsidRDefault="000702CB"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b/>
          <w:bCs/>
          <w:sz w:val="24"/>
          <w:szCs w:val="24"/>
        </w:rPr>
        <w:t>Mospërputhja e shkathtësive</w:t>
      </w:r>
      <w:r w:rsidRPr="00554FAF">
        <w:rPr>
          <w:rFonts w:ascii="Times New Roman" w:hAnsi="Times New Roman" w:cs="Times New Roman"/>
          <w:sz w:val="24"/>
          <w:szCs w:val="24"/>
        </w:rPr>
        <w:t xml:space="preserve"> me nevojat e tregut të punës mbetet pengesë kryesore. Sipas BEEPS (2013), afërsisht 25% e kompanive identifikuan “fuqinë punëtore me shkathtësi joadekuate” si pengesë kryesore në zgjerimin e biznesit. Sipas BB (2017), 43% e kompanive me 100+ punëtorë shohin arsimin joadekuat si pengesë serioze, </w:t>
      </w:r>
      <w:r w:rsidR="00EC2B3F" w:rsidRPr="00554FAF">
        <w:rPr>
          <w:rFonts w:ascii="Times New Roman" w:hAnsi="Times New Roman" w:cs="Times New Roman"/>
          <w:sz w:val="24"/>
          <w:szCs w:val="24"/>
        </w:rPr>
        <w:t xml:space="preserve">në krahasim </w:t>
      </w:r>
      <w:r w:rsidRPr="00554FAF">
        <w:rPr>
          <w:rFonts w:ascii="Times New Roman" w:hAnsi="Times New Roman" w:cs="Times New Roman"/>
          <w:sz w:val="24"/>
          <w:szCs w:val="24"/>
        </w:rPr>
        <w:t xml:space="preserve">me 19% tek kompanitë e vogla. Sipas sondazhit STEP, 75% e kompanive kanë hasur në vështirësi në punësimin e menaxherëve, profesionistëve dhe teknikëve. Ndërkaq, një e treta e kompanive nuk u pajtuan se sistemi i arsimit të përgjithshëm prodhon kuadro me shkathtësi praktike që mund të aplikohen në vendin e punës. </w:t>
      </w:r>
    </w:p>
    <w:p w14:paraId="6F06B5D5" w14:textId="0A49A721" w:rsidR="000702CB" w:rsidRPr="00554FAF" w:rsidRDefault="000702CB"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sz w:val="24"/>
          <w:szCs w:val="24"/>
        </w:rPr>
        <w:t>Kosova ka problem të theksuar me</w:t>
      </w:r>
      <w:r w:rsidRPr="00554FAF">
        <w:rPr>
          <w:rFonts w:ascii="Times New Roman" w:hAnsi="Times New Roman" w:cs="Times New Roman"/>
          <w:b/>
          <w:bCs/>
          <w:sz w:val="24"/>
          <w:szCs w:val="24"/>
        </w:rPr>
        <w:t xml:space="preserve"> sektorin joformal</w:t>
      </w:r>
      <w:r w:rsidRPr="00554FAF">
        <w:rPr>
          <w:rFonts w:ascii="Times New Roman" w:hAnsi="Times New Roman" w:cs="Times New Roman"/>
          <w:sz w:val="24"/>
          <w:szCs w:val="24"/>
        </w:rPr>
        <w:t xml:space="preserve">. BB ka llogaritur në 2017 se 15% e të </w:t>
      </w:r>
      <w:r w:rsidR="00554FAF" w:rsidRPr="00554FAF">
        <w:rPr>
          <w:rFonts w:ascii="Times New Roman" w:hAnsi="Times New Roman" w:cs="Times New Roman"/>
          <w:sz w:val="24"/>
          <w:szCs w:val="24"/>
        </w:rPr>
        <w:t>punësuarve</w:t>
      </w:r>
      <w:r w:rsidRPr="00554FAF">
        <w:rPr>
          <w:rFonts w:ascii="Times New Roman" w:hAnsi="Times New Roman" w:cs="Times New Roman"/>
          <w:sz w:val="24"/>
          <w:szCs w:val="24"/>
        </w:rPr>
        <w:t xml:space="preserve"> që marrin rrogë janë joformalë. Por, BB vlerëson se rreth një e treta e të punësuarve janë joformalë </w:t>
      </w:r>
      <w:r w:rsidRPr="00554FAF">
        <w:rPr>
          <w:rFonts w:ascii="Times New Roman" w:hAnsi="Times New Roman" w:cs="Times New Roman"/>
          <w:i/>
          <w:iCs/>
          <w:sz w:val="24"/>
          <w:szCs w:val="24"/>
        </w:rPr>
        <w:t>nëse</w:t>
      </w:r>
      <w:r w:rsidRPr="00554FAF">
        <w:rPr>
          <w:rFonts w:ascii="Times New Roman" w:hAnsi="Times New Roman" w:cs="Times New Roman"/>
          <w:sz w:val="24"/>
          <w:szCs w:val="24"/>
        </w:rPr>
        <w:t xml:space="preserve"> llogaritën punonjësit e papaguar familjarë, punonjësit e vetëpunësuar në kompani të vogla, të vetë punësuarit në profesione joteknike dhe punonjësit në mikro-kompani me më pak se 5 persona. Në vitin 2018, sipas ASK, 86% e të punësuarve kishin kontratë individuale, e 14% raportuan se punonin </w:t>
      </w:r>
      <w:r w:rsidRPr="00554FAF">
        <w:rPr>
          <w:rFonts w:ascii="Times New Roman" w:hAnsi="Times New Roman" w:cs="Times New Roman"/>
          <w:b/>
          <w:bCs/>
          <w:sz w:val="24"/>
          <w:szCs w:val="24"/>
        </w:rPr>
        <w:t>pa kontratë</w:t>
      </w:r>
      <w:r w:rsidRPr="00554FAF">
        <w:rPr>
          <w:rFonts w:ascii="Times New Roman" w:hAnsi="Times New Roman" w:cs="Times New Roman"/>
          <w:sz w:val="24"/>
          <w:szCs w:val="24"/>
        </w:rPr>
        <w:t xml:space="preserve">. Në mesin e të rinjve të punësuar të moshës 15-24, 33.2% ishin pa kontratë. Rreth 90% e të punësuarve në 2018 ishin me </w:t>
      </w:r>
      <w:r w:rsidRPr="00554FAF">
        <w:rPr>
          <w:rFonts w:ascii="Times New Roman" w:hAnsi="Times New Roman" w:cs="Times New Roman"/>
          <w:b/>
          <w:bCs/>
          <w:sz w:val="24"/>
          <w:szCs w:val="24"/>
        </w:rPr>
        <w:t>orar të plotë</w:t>
      </w:r>
      <w:r w:rsidRPr="00554FAF">
        <w:rPr>
          <w:rFonts w:ascii="Times New Roman" w:hAnsi="Times New Roman" w:cs="Times New Roman"/>
          <w:sz w:val="24"/>
          <w:szCs w:val="24"/>
        </w:rPr>
        <w:t xml:space="preserve">. Në 2018, 19.6% e personave të punësuar ishin në </w:t>
      </w:r>
      <w:r w:rsidRPr="00554FAF">
        <w:rPr>
          <w:rFonts w:ascii="Times New Roman" w:hAnsi="Times New Roman" w:cs="Times New Roman"/>
          <w:b/>
          <w:bCs/>
          <w:sz w:val="24"/>
          <w:szCs w:val="24"/>
        </w:rPr>
        <w:t>punësim të paqëndrueshëm</w:t>
      </w:r>
      <w:r w:rsidRPr="00554FAF">
        <w:rPr>
          <w:rFonts w:ascii="Times New Roman" w:hAnsi="Times New Roman" w:cs="Times New Roman"/>
          <w:sz w:val="24"/>
          <w:szCs w:val="24"/>
        </w:rPr>
        <w:t xml:space="preserve">. Në 2018, vetëm 25.5% e personave të punësuar kishin </w:t>
      </w:r>
      <w:r w:rsidRPr="00554FAF">
        <w:rPr>
          <w:rFonts w:ascii="Times New Roman" w:hAnsi="Times New Roman" w:cs="Times New Roman"/>
          <w:b/>
          <w:bCs/>
          <w:sz w:val="24"/>
          <w:szCs w:val="24"/>
        </w:rPr>
        <w:t>kontratë të përhershme</w:t>
      </w:r>
      <w:r w:rsidRPr="00554FAF">
        <w:rPr>
          <w:rFonts w:ascii="Times New Roman" w:hAnsi="Times New Roman" w:cs="Times New Roman"/>
          <w:sz w:val="24"/>
          <w:szCs w:val="24"/>
        </w:rPr>
        <w:t>. Sipas BEEPS, 66% e kompanive vendore raportuan konkurrencën nga sektori joformal si pengesë serioze, e cili u rangua si pengesa e parë dhe kryesore. Inspektorati i Punës zhvilloi mbi 9,000 inspektime gjatë 2018, duke rezultuar në legalizimin e marrëdhënieve të punës për 712 të punësuar. Qeveria ka miratuar strategji në këtë fushë</w:t>
      </w:r>
      <w:r w:rsidRPr="00554FAF">
        <w:rPr>
          <w:rStyle w:val="FootnoteReference"/>
          <w:rFonts w:ascii="Times New Roman" w:hAnsi="Times New Roman" w:cs="Times New Roman"/>
          <w:sz w:val="24"/>
          <w:szCs w:val="24"/>
        </w:rPr>
        <w:footnoteReference w:id="40"/>
      </w:r>
      <w:r w:rsidRPr="00554FAF">
        <w:rPr>
          <w:rFonts w:ascii="Times New Roman" w:hAnsi="Times New Roman" w:cs="Times New Roman"/>
          <w:sz w:val="24"/>
          <w:szCs w:val="24"/>
        </w:rPr>
        <w:t xml:space="preserve">. </w:t>
      </w:r>
    </w:p>
    <w:p w14:paraId="6F7AB08D" w14:textId="5BBA66FF" w:rsidR="000702CB" w:rsidRPr="00554FAF" w:rsidRDefault="000702CB"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b/>
          <w:bCs/>
          <w:sz w:val="24"/>
          <w:szCs w:val="24"/>
        </w:rPr>
        <w:t>Shërbimet publike të punësimit</w:t>
      </w:r>
      <w:r w:rsidRPr="00554FAF">
        <w:rPr>
          <w:rFonts w:ascii="Times New Roman" w:hAnsi="Times New Roman" w:cs="Times New Roman"/>
          <w:sz w:val="24"/>
          <w:szCs w:val="24"/>
        </w:rPr>
        <w:t xml:space="preserve"> në Kosovë kanë arritur përparim. Dy vite më parë, është themeluar Agjencia e Punësimit, si përgjegjëse për zbatimin e programeve dhe politikave të punësimit. Ka pasur ngritje të kapacitetit të Agjencisë, duke përfshirë krijimin e sistemit informativ të tregut të punës. </w:t>
      </w:r>
      <w:r w:rsidRPr="00554FAF">
        <w:rPr>
          <w:rFonts w:ascii="Times New Roman" w:hAnsi="Times New Roman" w:cs="Times New Roman"/>
          <w:b/>
          <w:bCs/>
          <w:sz w:val="24"/>
          <w:szCs w:val="24"/>
        </w:rPr>
        <w:t xml:space="preserve">Buxheti </w:t>
      </w:r>
      <w:r w:rsidRPr="00554FAF">
        <w:rPr>
          <w:rFonts w:ascii="Times New Roman" w:hAnsi="Times New Roman" w:cs="Times New Roman"/>
          <w:sz w:val="24"/>
          <w:szCs w:val="24"/>
        </w:rPr>
        <w:t xml:space="preserve">për masa për zbutjen e papunësisë mbetet i ulët (rreth €6.6 milionë në vit). Me 92 këshilltarë të punësimit që shërbejnë 95,890 të papunë të regjistruar, </w:t>
      </w:r>
      <w:r w:rsidRPr="00554FAF">
        <w:rPr>
          <w:rFonts w:ascii="Times New Roman" w:hAnsi="Times New Roman" w:cs="Times New Roman"/>
          <w:b/>
          <w:bCs/>
          <w:sz w:val="24"/>
          <w:szCs w:val="24"/>
        </w:rPr>
        <w:t>raporti këshilltar i punësimit</w:t>
      </w:r>
      <w:r w:rsidR="00EC2B3F" w:rsidRPr="00554FAF">
        <w:rPr>
          <w:rFonts w:ascii="Times New Roman" w:hAnsi="Times New Roman" w:cs="Times New Roman"/>
          <w:b/>
          <w:bCs/>
          <w:sz w:val="24"/>
          <w:szCs w:val="24"/>
        </w:rPr>
        <w:t xml:space="preserve"> </w:t>
      </w:r>
      <w:r w:rsidRPr="00554FAF">
        <w:rPr>
          <w:rFonts w:ascii="Times New Roman" w:hAnsi="Times New Roman" w:cs="Times New Roman"/>
          <w:b/>
          <w:bCs/>
          <w:sz w:val="24"/>
          <w:szCs w:val="24"/>
        </w:rPr>
        <w:t xml:space="preserve">dhe punëkërkues </w:t>
      </w:r>
      <w:r w:rsidRPr="00554FAF">
        <w:rPr>
          <w:rFonts w:ascii="Times New Roman" w:hAnsi="Times New Roman" w:cs="Times New Roman"/>
          <w:sz w:val="24"/>
          <w:szCs w:val="24"/>
        </w:rPr>
        <w:t xml:space="preserve">është 1-1,042. Qendrat e Aftësimit Profesional (QAP) ofrojnë profile që nuk janë përputhur me kërkesat e tregut të punës dhe kanë bashkëpunim të kufizuar me sektorin privat. Sipas BB, vetëm 20% e kompanive mbështeten në shërbimet publike të punësimit për identifikimin e kuadrove të kualifikuara dhe vetëm 17% e kompanive mbështeten në kontaktet direkte me institucionet arsimore për identifikimin e kuadrove të kualifikuara. </w:t>
      </w:r>
    </w:p>
    <w:p w14:paraId="50D3FAF2" w14:textId="2944A8BA" w:rsidR="000702CB" w:rsidRPr="00554FAF" w:rsidRDefault="000702CB"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sz w:val="24"/>
          <w:szCs w:val="24"/>
        </w:rPr>
        <w:t>Të</w:t>
      </w:r>
      <w:r w:rsidRPr="00554FAF">
        <w:rPr>
          <w:rFonts w:ascii="Times New Roman" w:hAnsi="Times New Roman" w:cs="Times New Roman"/>
          <w:b/>
          <w:bCs/>
          <w:sz w:val="24"/>
          <w:szCs w:val="24"/>
        </w:rPr>
        <w:t xml:space="preserve"> drejtat e punëtorëve </w:t>
      </w:r>
      <w:r w:rsidRPr="00554FAF">
        <w:rPr>
          <w:rFonts w:ascii="Times New Roman" w:hAnsi="Times New Roman" w:cs="Times New Roman"/>
          <w:sz w:val="24"/>
          <w:szCs w:val="24"/>
        </w:rPr>
        <w:t xml:space="preserve">përcaktohen kryesisht përmes Ligjit të Punës. Legjislacioni që rregullon marrëdhëniet e punës konsiderohet jopengues ndaj lirisë së punëdhënësve sa i përket largimit të punëtorëve nga puna. </w:t>
      </w:r>
      <w:r w:rsidR="00EC2B3F" w:rsidRPr="00554FAF">
        <w:rPr>
          <w:rFonts w:ascii="Times New Roman" w:hAnsi="Times New Roman" w:cs="Times New Roman"/>
          <w:sz w:val="24"/>
          <w:szCs w:val="24"/>
        </w:rPr>
        <w:t>Mirëpo</w:t>
      </w:r>
      <w:r w:rsidRPr="00554FAF">
        <w:rPr>
          <w:rFonts w:ascii="Times New Roman" w:hAnsi="Times New Roman" w:cs="Times New Roman"/>
          <w:sz w:val="24"/>
          <w:szCs w:val="24"/>
        </w:rPr>
        <w:t xml:space="preserve">, ligji u mundëson përfaqësimin punëtorëve përmes sindikatave, të cilat mund të ndërmarrin protesta dhe të hyjnë në grevë pa pasur frikë nga ndëshkimi nga punëdhënësit. Ndërkohë, në Kosovë, ka </w:t>
      </w:r>
      <w:r w:rsidRPr="00554FAF">
        <w:rPr>
          <w:rFonts w:ascii="Times New Roman" w:hAnsi="Times New Roman" w:cs="Times New Roman"/>
          <w:b/>
          <w:bCs/>
          <w:sz w:val="24"/>
          <w:szCs w:val="24"/>
        </w:rPr>
        <w:t xml:space="preserve">ngarkesë të ulët tatimore </w:t>
      </w:r>
      <w:r w:rsidRPr="00554FAF">
        <w:rPr>
          <w:rFonts w:ascii="Times New Roman" w:hAnsi="Times New Roman" w:cs="Times New Roman"/>
          <w:sz w:val="24"/>
          <w:szCs w:val="24"/>
        </w:rPr>
        <w:t xml:space="preserve">për shkak të nivelit të ulët të tatimeve në të ardhura dhe të kontributeve sociale, të cilat nuk përfshijnë sigurimin ndaj papunësisë apo sigurimin shëndetësor. Ndërkohë, </w:t>
      </w:r>
      <w:r w:rsidRPr="00554FAF">
        <w:rPr>
          <w:rFonts w:ascii="Times New Roman" w:hAnsi="Times New Roman" w:cs="Times New Roman"/>
          <w:b/>
          <w:bCs/>
          <w:sz w:val="24"/>
          <w:szCs w:val="24"/>
        </w:rPr>
        <w:t xml:space="preserve">migrimi </w:t>
      </w:r>
      <w:r w:rsidRPr="00554FAF">
        <w:rPr>
          <w:rFonts w:ascii="Times New Roman" w:hAnsi="Times New Roman" w:cs="Times New Roman"/>
          <w:sz w:val="24"/>
          <w:szCs w:val="24"/>
        </w:rPr>
        <w:t>paraqet sfidë serioze. Sipas një sondazhi</w:t>
      </w:r>
      <w:r w:rsidRPr="00554FAF">
        <w:rPr>
          <w:rStyle w:val="FootnoteReference"/>
          <w:rFonts w:ascii="Times New Roman" w:hAnsi="Times New Roman" w:cs="Times New Roman"/>
          <w:sz w:val="24"/>
          <w:szCs w:val="24"/>
        </w:rPr>
        <w:footnoteReference w:id="41"/>
      </w:r>
      <w:r w:rsidRPr="00554FAF">
        <w:rPr>
          <w:rFonts w:ascii="Times New Roman" w:hAnsi="Times New Roman" w:cs="Times New Roman"/>
          <w:sz w:val="24"/>
          <w:szCs w:val="24"/>
        </w:rPr>
        <w:t xml:space="preserve">, Kosova ka humbur 15.4% të popullsisë së saj në periudhën 2007-2018. Shifrat tregojnë se numri i </w:t>
      </w:r>
      <w:r w:rsidR="00554FAF" w:rsidRPr="00554FAF">
        <w:rPr>
          <w:rFonts w:ascii="Times New Roman" w:hAnsi="Times New Roman" w:cs="Times New Roman"/>
          <w:sz w:val="24"/>
          <w:szCs w:val="24"/>
        </w:rPr>
        <w:t>emigrantëve</w:t>
      </w:r>
      <w:r w:rsidRPr="00554FAF">
        <w:rPr>
          <w:rFonts w:ascii="Times New Roman" w:hAnsi="Times New Roman" w:cs="Times New Roman"/>
          <w:sz w:val="24"/>
          <w:szCs w:val="24"/>
        </w:rPr>
        <w:t xml:space="preserve"> ka rënë krahasuar me vitet e kaluara.</w:t>
      </w:r>
      <w:r w:rsidRPr="00554FAF">
        <w:rPr>
          <w:rStyle w:val="FootnoteReference"/>
          <w:rFonts w:ascii="Times New Roman" w:hAnsi="Times New Roman" w:cs="Times New Roman"/>
          <w:sz w:val="24"/>
          <w:szCs w:val="24"/>
        </w:rPr>
        <w:footnoteReference w:id="42"/>
      </w:r>
      <w:r w:rsidRPr="00554FAF">
        <w:rPr>
          <w:rFonts w:ascii="Times New Roman" w:hAnsi="Times New Roman" w:cs="Times New Roman"/>
          <w:sz w:val="24"/>
          <w:szCs w:val="24"/>
        </w:rPr>
        <w:t xml:space="preserve"> </w:t>
      </w:r>
    </w:p>
    <w:p w14:paraId="6F4EFB24" w14:textId="425B3B51" w:rsidR="000702CB" w:rsidRPr="00554FAF" w:rsidRDefault="000702CB"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b/>
          <w:bCs/>
          <w:sz w:val="24"/>
          <w:szCs w:val="24"/>
          <w:u w:val="single"/>
        </w:rPr>
        <w:t xml:space="preserve">Pengesat dhe problemet kryesore strukturore: </w:t>
      </w:r>
      <w:r w:rsidRPr="00554FAF">
        <w:rPr>
          <w:rFonts w:ascii="Times New Roman" w:hAnsi="Times New Roman" w:cs="Times New Roman"/>
          <w:b/>
          <w:bCs/>
          <w:sz w:val="24"/>
          <w:szCs w:val="24"/>
        </w:rPr>
        <w:t>Mospërputhja e shkathtësive</w:t>
      </w:r>
      <w:r w:rsidRPr="00554FAF">
        <w:rPr>
          <w:rFonts w:ascii="Times New Roman" w:hAnsi="Times New Roman" w:cs="Times New Roman"/>
          <w:sz w:val="24"/>
          <w:szCs w:val="24"/>
        </w:rPr>
        <w:t xml:space="preserve"> me nevojat e tregut të punës është pengesa kryesore. Ndërmarrjet private hasin në vështirësi në gjetjen e kuadrove të kualifikuara. Sipas BB, ekziston kërkesë e lartë për profesionet e specializuara dhe ofertë e lartë e kuadrove të pakualifikuara. Kjo </w:t>
      </w:r>
      <w:r w:rsidR="00554FAF" w:rsidRPr="00554FAF">
        <w:rPr>
          <w:rFonts w:ascii="Times New Roman" w:hAnsi="Times New Roman" w:cs="Times New Roman"/>
          <w:sz w:val="24"/>
          <w:szCs w:val="24"/>
        </w:rPr>
        <w:t>cenon</w:t>
      </w:r>
      <w:r w:rsidRPr="00554FAF">
        <w:rPr>
          <w:rFonts w:ascii="Times New Roman" w:hAnsi="Times New Roman" w:cs="Times New Roman"/>
          <w:sz w:val="24"/>
          <w:szCs w:val="24"/>
        </w:rPr>
        <w:t xml:space="preserve"> konkurrueshmërinë përmes pengimit të zgjerimit biznesor nga mungesa e kapitalit adekuat njerëzor, gjë që </w:t>
      </w:r>
      <w:r w:rsidR="00EC2B3F" w:rsidRPr="00554FAF">
        <w:rPr>
          <w:rFonts w:ascii="Times New Roman" w:hAnsi="Times New Roman" w:cs="Times New Roman"/>
          <w:sz w:val="24"/>
          <w:szCs w:val="24"/>
        </w:rPr>
        <w:t xml:space="preserve">e </w:t>
      </w:r>
      <w:r w:rsidRPr="00554FAF">
        <w:rPr>
          <w:rFonts w:ascii="Times New Roman" w:hAnsi="Times New Roman" w:cs="Times New Roman"/>
          <w:sz w:val="24"/>
          <w:szCs w:val="24"/>
        </w:rPr>
        <w:t xml:space="preserve">ulë nivelin dhe cilësinë e investimeve private. Ajo posaçërisht ndikon negativisht tek industritë me vlerë të lartë të shtuar, si dhe rritë papunësinë tek të rinjtë, duke ngarkuar financat publike dhe duke minuar kohezionin social. Pengesë tjetër është </w:t>
      </w:r>
      <w:r w:rsidRPr="00554FAF">
        <w:rPr>
          <w:rFonts w:ascii="Times New Roman" w:hAnsi="Times New Roman" w:cs="Times New Roman"/>
          <w:b/>
          <w:bCs/>
          <w:sz w:val="24"/>
          <w:szCs w:val="24"/>
        </w:rPr>
        <w:t>punësimi joformal</w:t>
      </w:r>
      <w:r w:rsidRPr="00554FAF">
        <w:rPr>
          <w:rFonts w:ascii="Times New Roman" w:hAnsi="Times New Roman" w:cs="Times New Roman"/>
          <w:sz w:val="24"/>
          <w:szCs w:val="24"/>
        </w:rPr>
        <w:t>, për shkak se ajo zvogëlon produktivitetin nga mungesa e mbrojtjes së të drejtave të punëtorëve</w:t>
      </w:r>
      <w:r w:rsidR="00EC2B3F" w:rsidRPr="00554FAF">
        <w:rPr>
          <w:rFonts w:ascii="Times New Roman" w:hAnsi="Times New Roman" w:cs="Times New Roman"/>
          <w:sz w:val="24"/>
          <w:szCs w:val="24"/>
        </w:rPr>
        <w:t>,</w:t>
      </w:r>
      <w:r w:rsidRPr="00554FAF">
        <w:rPr>
          <w:rFonts w:ascii="Times New Roman" w:hAnsi="Times New Roman" w:cs="Times New Roman"/>
          <w:sz w:val="24"/>
          <w:szCs w:val="24"/>
        </w:rPr>
        <w:t xml:space="preserve"> humbjen e të ardhurave buxhetore</w:t>
      </w:r>
      <w:r w:rsidR="00EC2B3F" w:rsidRPr="00554FAF">
        <w:rPr>
          <w:rFonts w:ascii="Times New Roman" w:hAnsi="Times New Roman" w:cs="Times New Roman"/>
          <w:sz w:val="24"/>
          <w:szCs w:val="24"/>
        </w:rPr>
        <w:t xml:space="preserve"> </w:t>
      </w:r>
      <w:r w:rsidRPr="00554FAF">
        <w:rPr>
          <w:rFonts w:ascii="Times New Roman" w:hAnsi="Times New Roman" w:cs="Times New Roman"/>
          <w:sz w:val="24"/>
          <w:szCs w:val="24"/>
        </w:rPr>
        <w:t xml:space="preserve">dhe forcimin e përparësive të kompanive që operojnë në sektorin joformal. Pengesë tjetër janë </w:t>
      </w:r>
      <w:r w:rsidRPr="00554FAF">
        <w:rPr>
          <w:rFonts w:ascii="Times New Roman" w:hAnsi="Times New Roman" w:cs="Times New Roman"/>
          <w:b/>
          <w:bCs/>
          <w:sz w:val="24"/>
          <w:szCs w:val="24"/>
        </w:rPr>
        <w:t>shërbimet publike të punësimit</w:t>
      </w:r>
      <w:r w:rsidRPr="00554FAF">
        <w:rPr>
          <w:rFonts w:ascii="Times New Roman" w:hAnsi="Times New Roman" w:cs="Times New Roman"/>
          <w:sz w:val="24"/>
          <w:szCs w:val="24"/>
        </w:rPr>
        <w:t xml:space="preserve">. Buxheti publik për programet e aftësimit dhe punësimit është i ulët dhe vetëm 20% e kompanive mbështeten tek shërbimet e tilla për identifikimin e kuadrove të kualifikuara. Ndërkohë, një këshilltar punësimi duhet t’i shërbejë mesatarisht jo më pak se 1,042 punëkërkues. Lidhja e kufizuar e punëkërkuesve me sektorin privat ngritë papunësinë afatgjate, ndërkaq brishtësia e institucioneve siç është Inspektorati i Punës, nuk sanksionon mjaftueshëm sektorin joformal, duke ushqyer punësimin joformal pa mbrojtje sociale të duhur dhe duke zvogëluar bazën tatimore. Në Kosovë, ekziston </w:t>
      </w:r>
      <w:r w:rsidRPr="00554FAF">
        <w:rPr>
          <w:rFonts w:ascii="Times New Roman" w:hAnsi="Times New Roman" w:cs="Times New Roman"/>
          <w:b/>
          <w:bCs/>
          <w:sz w:val="24"/>
          <w:szCs w:val="24"/>
        </w:rPr>
        <w:t>mobiliteti në punë</w:t>
      </w:r>
      <w:r w:rsidRPr="00554FAF">
        <w:rPr>
          <w:rFonts w:ascii="Times New Roman" w:hAnsi="Times New Roman" w:cs="Times New Roman"/>
          <w:sz w:val="24"/>
          <w:szCs w:val="24"/>
        </w:rPr>
        <w:t xml:space="preserve">, </w:t>
      </w:r>
      <w:r w:rsidR="00EC2B3F" w:rsidRPr="00554FAF">
        <w:rPr>
          <w:rFonts w:ascii="Times New Roman" w:hAnsi="Times New Roman" w:cs="Times New Roman"/>
          <w:sz w:val="24"/>
          <w:szCs w:val="24"/>
        </w:rPr>
        <w:t xml:space="preserve">mirëpo </w:t>
      </w:r>
      <w:r w:rsidRPr="00554FAF">
        <w:rPr>
          <w:rFonts w:ascii="Times New Roman" w:hAnsi="Times New Roman" w:cs="Times New Roman"/>
          <w:sz w:val="24"/>
          <w:szCs w:val="24"/>
        </w:rPr>
        <w:t>migrimi i jashtëm dhe dalja e trurit, sidomos e kuadrove të shkolluara, paraqet sfid</w:t>
      </w:r>
      <w:r w:rsidR="00EC2B3F" w:rsidRPr="00554FAF">
        <w:rPr>
          <w:rFonts w:ascii="Times New Roman" w:hAnsi="Times New Roman" w:cs="Times New Roman"/>
          <w:sz w:val="24"/>
          <w:szCs w:val="24"/>
        </w:rPr>
        <w:t>ë</w:t>
      </w:r>
      <w:r w:rsidRPr="00554FAF">
        <w:rPr>
          <w:rFonts w:ascii="Times New Roman" w:hAnsi="Times New Roman" w:cs="Times New Roman"/>
          <w:sz w:val="24"/>
          <w:szCs w:val="24"/>
        </w:rPr>
        <w:t xml:space="preserve"> serioze për konsolidimin e tregut të punës.</w:t>
      </w:r>
    </w:p>
    <w:p w14:paraId="389CAA6E" w14:textId="749C7FF6" w:rsidR="009F2B01" w:rsidRPr="00554FAF" w:rsidRDefault="00554FAF" w:rsidP="00754A76">
      <w:pPr>
        <w:spacing w:after="60" w:line="240" w:lineRule="auto"/>
        <w:jc w:val="both"/>
        <w:rPr>
          <w:rFonts w:ascii="Times New Roman" w:hAnsi="Times New Roman" w:cs="Times New Roman"/>
          <w:b/>
          <w:sz w:val="24"/>
          <w:szCs w:val="24"/>
        </w:rPr>
      </w:pPr>
      <w:r w:rsidRPr="00554FAF">
        <w:rPr>
          <w:rFonts w:ascii="Times New Roman" w:hAnsi="Times New Roman" w:cs="Times New Roman"/>
          <w:b/>
          <w:sz w:val="24"/>
          <w:szCs w:val="24"/>
        </w:rPr>
        <w:t>b. Prioritetet</w:t>
      </w:r>
      <w:r w:rsidR="009F2B01" w:rsidRPr="00554FAF">
        <w:rPr>
          <w:rFonts w:ascii="Times New Roman" w:hAnsi="Times New Roman" w:cs="Times New Roman"/>
          <w:b/>
          <w:sz w:val="24"/>
          <w:szCs w:val="24"/>
        </w:rPr>
        <w:t xml:space="preserve"> e reformave strukturore</w:t>
      </w:r>
    </w:p>
    <w:tbl>
      <w:tblPr>
        <w:tblStyle w:val="TableGrid"/>
        <w:tblW w:w="0" w:type="auto"/>
        <w:shd w:val="clear" w:color="auto" w:fill="9CC2E5" w:themeFill="accent1" w:themeFillTint="99"/>
        <w:tblLook w:val="04A0" w:firstRow="1" w:lastRow="0" w:firstColumn="1" w:lastColumn="0" w:noHBand="0" w:noVBand="1"/>
      </w:tblPr>
      <w:tblGrid>
        <w:gridCol w:w="9350"/>
      </w:tblGrid>
      <w:tr w:rsidR="000702CB" w:rsidRPr="00554FAF" w14:paraId="219E27F1" w14:textId="77777777" w:rsidTr="003A7429">
        <w:tc>
          <w:tcPr>
            <w:tcW w:w="9350" w:type="dxa"/>
            <w:shd w:val="clear" w:color="auto" w:fill="9CC2E5" w:themeFill="accent1" w:themeFillTint="99"/>
          </w:tcPr>
          <w:p w14:paraId="44057D21" w14:textId="3AB109CE" w:rsidR="000702CB" w:rsidRPr="00554FAF" w:rsidRDefault="000702CB" w:rsidP="000702CB">
            <w:pPr>
              <w:spacing w:after="60"/>
              <w:jc w:val="both"/>
              <w:rPr>
                <w:rFonts w:ascii="Times New Roman" w:hAnsi="Times New Roman" w:cs="Times New Roman"/>
                <w:b/>
                <w:sz w:val="24"/>
                <w:szCs w:val="24"/>
              </w:rPr>
            </w:pPr>
            <w:r w:rsidRPr="00554FAF">
              <w:rPr>
                <w:rFonts w:ascii="Times New Roman" w:hAnsi="Times New Roman" w:cs="Times New Roman"/>
                <w:b/>
                <w:sz w:val="24"/>
                <w:szCs w:val="24"/>
              </w:rPr>
              <w:t xml:space="preserve">Masa </w:t>
            </w:r>
            <w:r w:rsidR="00084691" w:rsidRPr="00554FAF">
              <w:rPr>
                <w:rFonts w:ascii="Times New Roman" w:hAnsi="Times New Roman" w:cs="Times New Roman"/>
                <w:b/>
                <w:sz w:val="24"/>
                <w:szCs w:val="24"/>
              </w:rPr>
              <w:t>e reformës #</w:t>
            </w:r>
            <w:r w:rsidRPr="00554FAF">
              <w:rPr>
                <w:rFonts w:ascii="Times New Roman" w:hAnsi="Times New Roman" w:cs="Times New Roman"/>
                <w:b/>
                <w:sz w:val="24"/>
                <w:szCs w:val="24"/>
              </w:rPr>
              <w:t xml:space="preserve">19: </w:t>
            </w:r>
            <w:r w:rsidR="00EC2B3F" w:rsidRPr="00554FAF">
              <w:rPr>
                <w:rFonts w:ascii="Times New Roman" w:hAnsi="Times New Roman" w:cs="Times New Roman"/>
                <w:b/>
                <w:bCs/>
                <w:sz w:val="24"/>
                <w:szCs w:val="24"/>
              </w:rPr>
              <w:t xml:space="preserve">Përmirësimi dhe zgjerimi i shërbimeve publike të punësimit dhe rritja e punësimit të të papunëve afatgjatë, të </w:t>
            </w:r>
            <w:r w:rsidR="00554FAF" w:rsidRPr="00554FAF">
              <w:rPr>
                <w:rFonts w:ascii="Times New Roman" w:hAnsi="Times New Roman" w:cs="Times New Roman"/>
                <w:b/>
                <w:bCs/>
                <w:sz w:val="24"/>
                <w:szCs w:val="24"/>
              </w:rPr>
              <w:t>rinjve</w:t>
            </w:r>
            <w:r w:rsidR="00EC2B3F" w:rsidRPr="00554FAF">
              <w:rPr>
                <w:rFonts w:ascii="Times New Roman" w:hAnsi="Times New Roman" w:cs="Times New Roman"/>
                <w:b/>
                <w:bCs/>
                <w:sz w:val="24"/>
                <w:szCs w:val="24"/>
              </w:rPr>
              <w:t xml:space="preserve">, grave dhe grupeve tjera të cenueshme: </w:t>
            </w:r>
          </w:p>
        </w:tc>
      </w:tr>
    </w:tbl>
    <w:p w14:paraId="4B6F10EE" w14:textId="6724B2BC" w:rsidR="000702CB" w:rsidRPr="00554FAF" w:rsidRDefault="000702CB"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b/>
          <w:sz w:val="24"/>
          <w:szCs w:val="24"/>
        </w:rPr>
        <w:t>1. Përshkrimi i masës:</w:t>
      </w:r>
      <w:r w:rsidRPr="00554FAF">
        <w:rPr>
          <w:rFonts w:ascii="Times New Roman" w:hAnsi="Times New Roman" w:cs="Times New Roman"/>
          <w:sz w:val="24"/>
          <w:szCs w:val="24"/>
        </w:rPr>
        <w:t xml:space="preserve"> Masa synon ngritjen e punësueshmërisë së grupeve të cenuara, me theks të veçantë të papunët afatgjatë, të rinjtë, gratë, personat në varfëri, duke përfshirë ata me vendbanim rural. Masa konsiston kryesisht në përmirësimin e shërbimeve publike të punësimit përmes rishikimit të politikave të punësimit  me synim ngritjen e efektshmërisë së masave aktive të tregut të punës dhe pilotimin e nën kontraktimit të programeve të aftësimit profesional përmes ofruesve privatë. Masa mbështetet në disa dokumente strategjike</w:t>
      </w:r>
      <w:r w:rsidR="00EC2B3F" w:rsidRPr="00554FAF">
        <w:rPr>
          <w:rFonts w:ascii="Times New Roman" w:hAnsi="Times New Roman" w:cs="Times New Roman"/>
          <w:sz w:val="24"/>
          <w:szCs w:val="24"/>
        </w:rPr>
        <w:t>, si</w:t>
      </w:r>
      <w:r w:rsidRPr="00554FAF">
        <w:rPr>
          <w:rFonts w:ascii="Times New Roman" w:hAnsi="Times New Roman" w:cs="Times New Roman"/>
          <w:sz w:val="24"/>
          <w:szCs w:val="24"/>
        </w:rPr>
        <w:t xml:space="preserve"> Strategjinë Kombëtare të Zhvillimit (SKZH)</w:t>
      </w:r>
      <w:r w:rsidR="00EC2B3F" w:rsidRPr="00554FAF">
        <w:rPr>
          <w:rFonts w:ascii="Times New Roman" w:hAnsi="Times New Roman" w:cs="Times New Roman"/>
          <w:sz w:val="24"/>
          <w:szCs w:val="24"/>
        </w:rPr>
        <w:t>,</w:t>
      </w:r>
      <w:r w:rsidRPr="00554FAF">
        <w:rPr>
          <w:rFonts w:ascii="Times New Roman" w:hAnsi="Times New Roman" w:cs="Times New Roman"/>
          <w:sz w:val="24"/>
          <w:szCs w:val="24"/>
        </w:rPr>
        <w:t xml:space="preserve"> Strategjin</w:t>
      </w:r>
      <w:r w:rsidRPr="00554FAF">
        <w:rPr>
          <w:rFonts w:ascii="Times New Roman" w:hAnsi="Times New Roman" w:cs="Times New Roman"/>
          <w:iCs/>
          <w:color w:val="000000"/>
          <w:sz w:val="24"/>
          <w:szCs w:val="24"/>
        </w:rPr>
        <w:t>ë</w:t>
      </w:r>
      <w:r w:rsidRPr="00554FAF">
        <w:rPr>
          <w:rFonts w:ascii="Times New Roman" w:hAnsi="Times New Roman" w:cs="Times New Roman"/>
          <w:sz w:val="24"/>
          <w:szCs w:val="24"/>
        </w:rPr>
        <w:t xml:space="preserve"> Sektoriale t</w:t>
      </w:r>
      <w:r w:rsidRPr="00554FAF">
        <w:rPr>
          <w:rFonts w:ascii="Times New Roman" w:hAnsi="Times New Roman" w:cs="Times New Roman"/>
          <w:iCs/>
          <w:color w:val="000000"/>
          <w:sz w:val="24"/>
          <w:szCs w:val="24"/>
        </w:rPr>
        <w:t>ë</w:t>
      </w:r>
      <w:r w:rsidRPr="00554FAF">
        <w:rPr>
          <w:rFonts w:ascii="Times New Roman" w:hAnsi="Times New Roman" w:cs="Times New Roman"/>
          <w:sz w:val="24"/>
          <w:szCs w:val="24"/>
        </w:rPr>
        <w:t xml:space="preserve"> MPMS-së</w:t>
      </w:r>
      <w:r w:rsidR="00EC2B3F" w:rsidRPr="00554FAF">
        <w:rPr>
          <w:rFonts w:ascii="Times New Roman" w:hAnsi="Times New Roman" w:cs="Times New Roman"/>
          <w:sz w:val="24"/>
          <w:szCs w:val="24"/>
        </w:rPr>
        <w:t>,</w:t>
      </w:r>
      <w:r w:rsidRPr="00554FAF">
        <w:rPr>
          <w:rFonts w:ascii="Times New Roman" w:hAnsi="Times New Roman" w:cs="Times New Roman"/>
          <w:sz w:val="24"/>
          <w:szCs w:val="24"/>
        </w:rPr>
        <w:t xml:space="preserve"> Planin e Veprimit për Punësimin e të Rinjve dhe Programin për Barazi Gjinore 2019 – 2023. Masa është formuluar si përgjigje ndaj pengesave strukturore që lidhen me brishtësinë dhe kapacitetet e kufizuara të shërbimeve publike të punësimit dhe shpërputhjen e shkathtësive të fuqisë punëtore me nevojat e tregut të punës. Masa vazhdon nga cikli i mëhershëm gjatë së cilës janë mbështetur rreth 3,000 të papunë me masa aktive të punësimit, ndërkaq janë zhvilluar trajnime të brendshme për ngritjen e kapacitetit të stafit të Agjencisë së Punësimit, duke përfshirë zhvillimin e modulit të për këshillim dhe orientim në karrierë, ndonëse raporti këshilltar i punësimit me numrin e të papunëve mbetet tejet i lartë. Është bërë përparim i pjesshëm lidhur me ri akreditimin dhe rivalidimin e profileve, standardeve e paketave mësimore, ndërkaq profilet e trajnimeve nga QAP-të mbeten akoma të papërputhshme me nevojat e tregut të punës.  </w:t>
      </w:r>
    </w:p>
    <w:p w14:paraId="5B0000DD" w14:textId="77777777" w:rsidR="000702CB" w:rsidRPr="00634492" w:rsidRDefault="000702CB" w:rsidP="00802FB3">
      <w:pPr>
        <w:pStyle w:val="Default"/>
        <w:numPr>
          <w:ilvl w:val="0"/>
          <w:numId w:val="48"/>
        </w:numPr>
        <w:spacing w:after="60"/>
        <w:jc w:val="both"/>
        <w:rPr>
          <w:b/>
          <w:lang w:val="sq-AL"/>
        </w:rPr>
      </w:pPr>
      <w:r w:rsidRPr="00634492">
        <w:rPr>
          <w:b/>
          <w:lang w:val="sq-AL"/>
        </w:rPr>
        <w:t>Aktivitetet e planifikuara për 2020</w:t>
      </w:r>
    </w:p>
    <w:p w14:paraId="2A2E084F" w14:textId="14B23928" w:rsidR="000702CB" w:rsidRPr="00554FAF" w:rsidRDefault="000702CB" w:rsidP="00802FB3">
      <w:pPr>
        <w:pStyle w:val="Default"/>
        <w:numPr>
          <w:ilvl w:val="0"/>
          <w:numId w:val="24"/>
        </w:numPr>
        <w:spacing w:after="60"/>
        <w:jc w:val="both"/>
        <w:rPr>
          <w:bCs/>
          <w:iCs/>
          <w:lang w:val="sq-AL"/>
        </w:rPr>
      </w:pPr>
      <w:r w:rsidRPr="00554FAF">
        <w:rPr>
          <w:bCs/>
          <w:iCs/>
          <w:lang w:val="sq-AL"/>
        </w:rPr>
        <w:t xml:space="preserve">Rishikimi i Ligjit të ri të </w:t>
      </w:r>
      <w:r w:rsidR="00EC2B3F" w:rsidRPr="00554FAF">
        <w:rPr>
          <w:bCs/>
          <w:iCs/>
          <w:lang w:val="sq-AL"/>
        </w:rPr>
        <w:t>p</w:t>
      </w:r>
      <w:r w:rsidRPr="00554FAF">
        <w:rPr>
          <w:bCs/>
          <w:iCs/>
          <w:lang w:val="sq-AL"/>
        </w:rPr>
        <w:t>unës</w:t>
      </w:r>
      <w:r w:rsidR="00EC2B3F" w:rsidRPr="00554FAF">
        <w:rPr>
          <w:bCs/>
          <w:iCs/>
          <w:lang w:val="sq-AL"/>
        </w:rPr>
        <w:t>;</w:t>
      </w:r>
      <w:r w:rsidRPr="00554FAF">
        <w:rPr>
          <w:bCs/>
          <w:iCs/>
          <w:lang w:val="sq-AL"/>
        </w:rPr>
        <w:t xml:space="preserve"> (MPMS)</w:t>
      </w:r>
    </w:p>
    <w:p w14:paraId="4301995D" w14:textId="14476D3B" w:rsidR="000702CB" w:rsidRPr="00554FAF" w:rsidRDefault="000702CB" w:rsidP="00802FB3">
      <w:pPr>
        <w:pStyle w:val="Default"/>
        <w:numPr>
          <w:ilvl w:val="0"/>
          <w:numId w:val="24"/>
        </w:numPr>
        <w:spacing w:after="60"/>
        <w:jc w:val="both"/>
        <w:rPr>
          <w:bCs/>
          <w:iCs/>
          <w:lang w:val="sq-AL"/>
        </w:rPr>
      </w:pPr>
      <w:r w:rsidRPr="00554FAF">
        <w:rPr>
          <w:bCs/>
          <w:iCs/>
          <w:lang w:val="sq-AL"/>
        </w:rPr>
        <w:t xml:space="preserve">Rishikimi i Politikës së </w:t>
      </w:r>
      <w:r w:rsidR="00EC2B3F" w:rsidRPr="00554FAF">
        <w:rPr>
          <w:bCs/>
          <w:iCs/>
          <w:lang w:val="sq-AL"/>
        </w:rPr>
        <w:t>p</w:t>
      </w:r>
      <w:r w:rsidRPr="00554FAF">
        <w:rPr>
          <w:bCs/>
          <w:iCs/>
          <w:lang w:val="sq-AL"/>
        </w:rPr>
        <w:t>unësimit 2020 – 2022</w:t>
      </w:r>
      <w:r w:rsidRPr="00554FAF">
        <w:rPr>
          <w:rStyle w:val="FootnoteReference"/>
          <w:bCs/>
          <w:iCs/>
          <w:lang w:val="sq-AL"/>
        </w:rPr>
        <w:footnoteReference w:id="43"/>
      </w:r>
      <w:r w:rsidRPr="00554FAF">
        <w:rPr>
          <w:bCs/>
          <w:iCs/>
          <w:lang w:val="sq-AL"/>
        </w:rPr>
        <w:t xml:space="preserve"> me synim përmirësimin e efektshmërisë së masave aktive të tregut të punës (MPMS/APRK);</w:t>
      </w:r>
    </w:p>
    <w:p w14:paraId="2F655662" w14:textId="207708F6" w:rsidR="000702CB" w:rsidRPr="00554FAF" w:rsidRDefault="000702CB" w:rsidP="00802FB3">
      <w:pPr>
        <w:pStyle w:val="Default"/>
        <w:numPr>
          <w:ilvl w:val="0"/>
          <w:numId w:val="24"/>
        </w:numPr>
        <w:spacing w:after="60"/>
        <w:jc w:val="both"/>
        <w:rPr>
          <w:bCs/>
          <w:iCs/>
          <w:lang w:val="sq-AL"/>
        </w:rPr>
      </w:pPr>
      <w:r w:rsidRPr="00554FAF">
        <w:rPr>
          <w:bCs/>
          <w:iCs/>
          <w:lang w:val="sq-AL"/>
        </w:rPr>
        <w:t xml:space="preserve">Rishikimi i Planit të </w:t>
      </w:r>
      <w:r w:rsidR="00EC2B3F" w:rsidRPr="00554FAF">
        <w:rPr>
          <w:bCs/>
          <w:iCs/>
          <w:lang w:val="sq-AL"/>
        </w:rPr>
        <w:t>v</w:t>
      </w:r>
      <w:r w:rsidRPr="00554FAF">
        <w:rPr>
          <w:bCs/>
          <w:iCs/>
          <w:lang w:val="sq-AL"/>
        </w:rPr>
        <w:t xml:space="preserve">eprimit për </w:t>
      </w:r>
      <w:r w:rsidR="00EC2B3F" w:rsidRPr="00554FAF">
        <w:rPr>
          <w:bCs/>
          <w:iCs/>
          <w:lang w:val="sq-AL"/>
        </w:rPr>
        <w:t>p</w:t>
      </w:r>
      <w:r w:rsidRPr="00554FAF">
        <w:rPr>
          <w:bCs/>
          <w:iCs/>
          <w:lang w:val="sq-AL"/>
        </w:rPr>
        <w:t xml:space="preserve">unësimin e të </w:t>
      </w:r>
      <w:r w:rsidR="00EC2B3F" w:rsidRPr="00554FAF">
        <w:rPr>
          <w:bCs/>
          <w:iCs/>
          <w:lang w:val="sq-AL"/>
        </w:rPr>
        <w:t>r</w:t>
      </w:r>
      <w:r w:rsidRPr="00554FAF">
        <w:rPr>
          <w:bCs/>
          <w:iCs/>
          <w:lang w:val="sq-AL"/>
        </w:rPr>
        <w:t>injve, me theks të veçantë adresimin e sfidave të punësimit të grave</w:t>
      </w:r>
      <w:r w:rsidR="00EC2B3F" w:rsidRPr="00554FAF">
        <w:rPr>
          <w:bCs/>
          <w:iCs/>
          <w:lang w:val="sq-AL"/>
        </w:rPr>
        <w:t>;</w:t>
      </w:r>
      <w:r w:rsidRPr="00554FAF">
        <w:rPr>
          <w:bCs/>
          <w:iCs/>
          <w:lang w:val="sq-AL"/>
        </w:rPr>
        <w:t xml:space="preserve"> (MPMS)</w:t>
      </w:r>
    </w:p>
    <w:p w14:paraId="5DAFC005" w14:textId="119F7B18" w:rsidR="000702CB" w:rsidRPr="00554FAF" w:rsidRDefault="000702CB" w:rsidP="00802FB3">
      <w:pPr>
        <w:pStyle w:val="Default"/>
        <w:numPr>
          <w:ilvl w:val="0"/>
          <w:numId w:val="24"/>
        </w:numPr>
        <w:spacing w:after="60"/>
        <w:jc w:val="both"/>
        <w:rPr>
          <w:bCs/>
          <w:iCs/>
          <w:lang w:val="sq-AL"/>
        </w:rPr>
      </w:pPr>
      <w:r w:rsidRPr="00554FAF">
        <w:rPr>
          <w:bCs/>
          <w:iCs/>
          <w:lang w:val="sq-AL"/>
        </w:rPr>
        <w:t>Zbatimi i masave aktive të punësimit për të paktën 3,000 të papunë afatgjatë, duke përfshirë por jo vet</w:t>
      </w:r>
      <w:r w:rsidRPr="00554FAF">
        <w:rPr>
          <w:lang w:val="sq-AL"/>
        </w:rPr>
        <w:t>ëm</w:t>
      </w:r>
      <w:r w:rsidR="00EC2B3F" w:rsidRPr="00554FAF">
        <w:rPr>
          <w:lang w:val="sq-AL"/>
        </w:rPr>
        <w:t>,</w:t>
      </w:r>
      <w:r w:rsidRPr="00554FAF">
        <w:rPr>
          <w:lang w:val="sq-AL"/>
        </w:rPr>
        <w:t xml:space="preserve"> </w:t>
      </w:r>
      <w:r w:rsidRPr="00554FAF">
        <w:rPr>
          <w:bCs/>
          <w:iCs/>
          <w:lang w:val="sq-AL"/>
        </w:rPr>
        <w:t>të rinjtë, gratë, dhe personat në varfëri që janë në zona rurale</w:t>
      </w:r>
      <w:r w:rsidR="00EC2B3F" w:rsidRPr="00554FAF">
        <w:rPr>
          <w:bCs/>
          <w:iCs/>
          <w:lang w:val="sq-AL"/>
        </w:rPr>
        <w:t>;</w:t>
      </w:r>
      <w:r w:rsidRPr="00554FAF">
        <w:rPr>
          <w:bCs/>
          <w:iCs/>
          <w:lang w:val="sq-AL"/>
        </w:rPr>
        <w:t xml:space="preserve"> (APRK/MPMS)</w:t>
      </w:r>
    </w:p>
    <w:p w14:paraId="3A667887" w14:textId="2E420443" w:rsidR="000702CB" w:rsidRPr="00554FAF" w:rsidRDefault="000702CB" w:rsidP="00802FB3">
      <w:pPr>
        <w:pStyle w:val="Default"/>
        <w:numPr>
          <w:ilvl w:val="0"/>
          <w:numId w:val="24"/>
        </w:numPr>
        <w:spacing w:after="60"/>
        <w:jc w:val="both"/>
        <w:rPr>
          <w:bCs/>
          <w:iCs/>
          <w:lang w:val="sq-AL"/>
        </w:rPr>
      </w:pPr>
      <w:r w:rsidRPr="00554FAF">
        <w:rPr>
          <w:bCs/>
          <w:iCs/>
          <w:lang w:val="sq-AL"/>
        </w:rPr>
        <w:t>Validimi i 10 profileve të aftësimit profesional, zhvillimi i 10 kurrikulave dhe 10 paketave mësimore bazuar në standardet e profesionit</w:t>
      </w:r>
      <w:r w:rsidR="009F2B01" w:rsidRPr="00554FAF">
        <w:rPr>
          <w:bCs/>
          <w:iCs/>
          <w:lang w:val="sq-AL"/>
        </w:rPr>
        <w:t>;</w:t>
      </w:r>
      <w:r w:rsidRPr="00554FAF">
        <w:rPr>
          <w:bCs/>
          <w:iCs/>
          <w:lang w:val="sq-AL"/>
        </w:rPr>
        <w:t xml:space="preserve"> (APRK/MPMS)   </w:t>
      </w:r>
    </w:p>
    <w:p w14:paraId="082A9E6D" w14:textId="35AA4F30" w:rsidR="000702CB" w:rsidRPr="00554FAF" w:rsidRDefault="000702CB" w:rsidP="00802FB3">
      <w:pPr>
        <w:pStyle w:val="Default"/>
        <w:numPr>
          <w:ilvl w:val="0"/>
          <w:numId w:val="24"/>
        </w:numPr>
        <w:spacing w:after="60"/>
        <w:jc w:val="both"/>
        <w:rPr>
          <w:bCs/>
          <w:iCs/>
          <w:lang w:val="sq-AL"/>
        </w:rPr>
      </w:pPr>
      <w:r w:rsidRPr="00554FAF">
        <w:rPr>
          <w:iCs/>
          <w:lang w:val="sq-AL"/>
        </w:rPr>
        <w:t>Trajnimi i 1,000 personave në shkathtësitë e ekonomisë digjitale</w:t>
      </w:r>
      <w:r w:rsidR="009F2B01" w:rsidRPr="00554FAF">
        <w:rPr>
          <w:iCs/>
          <w:lang w:val="sq-AL"/>
        </w:rPr>
        <w:t>;</w:t>
      </w:r>
      <w:r w:rsidRPr="00554FAF">
        <w:rPr>
          <w:iCs/>
          <w:lang w:val="sq-AL"/>
        </w:rPr>
        <w:t xml:space="preserve"> (MZHE)</w:t>
      </w:r>
    </w:p>
    <w:p w14:paraId="660C64BB" w14:textId="61ACBDE6" w:rsidR="000702CB" w:rsidRPr="00554FAF" w:rsidRDefault="000702CB" w:rsidP="00802FB3">
      <w:pPr>
        <w:pStyle w:val="Default"/>
        <w:numPr>
          <w:ilvl w:val="0"/>
          <w:numId w:val="24"/>
        </w:numPr>
        <w:spacing w:after="60"/>
        <w:jc w:val="both"/>
        <w:rPr>
          <w:bCs/>
          <w:iCs/>
          <w:lang w:val="sq-AL"/>
        </w:rPr>
      </w:pPr>
      <w:r w:rsidRPr="00554FAF">
        <w:rPr>
          <w:bCs/>
          <w:iCs/>
          <w:lang w:val="sq-AL"/>
        </w:rPr>
        <w:t>Rritja e numrit të shpalljeve të vendeve të punës përmes platformës së SIMP duke inkuadruar shpalljet nga sektori publik</w:t>
      </w:r>
      <w:r w:rsidR="009F2B01" w:rsidRPr="00554FAF">
        <w:rPr>
          <w:bCs/>
          <w:iCs/>
          <w:lang w:val="sq-AL"/>
        </w:rPr>
        <w:t>;</w:t>
      </w:r>
      <w:r w:rsidRPr="00554FAF">
        <w:rPr>
          <w:bCs/>
          <w:iCs/>
          <w:lang w:val="sq-AL"/>
        </w:rPr>
        <w:t xml:space="preserve"> (APRK/MPMS)</w:t>
      </w:r>
    </w:p>
    <w:p w14:paraId="04814F6D" w14:textId="4B3BD9F9" w:rsidR="000702CB" w:rsidRPr="00554FAF" w:rsidRDefault="000702CB" w:rsidP="00802FB3">
      <w:pPr>
        <w:pStyle w:val="Default"/>
        <w:numPr>
          <w:ilvl w:val="0"/>
          <w:numId w:val="24"/>
        </w:numPr>
        <w:spacing w:after="60"/>
        <w:jc w:val="both"/>
        <w:rPr>
          <w:i/>
          <w:lang w:val="sq-AL"/>
        </w:rPr>
      </w:pPr>
      <w:r w:rsidRPr="00554FAF">
        <w:rPr>
          <w:iCs/>
          <w:lang w:val="sq-AL"/>
        </w:rPr>
        <w:t xml:space="preserve">Zhvillimi i Anketës së </w:t>
      </w:r>
      <w:r w:rsidR="009F2B01" w:rsidRPr="00554FAF">
        <w:rPr>
          <w:iCs/>
          <w:lang w:val="sq-AL"/>
        </w:rPr>
        <w:t>f</w:t>
      </w:r>
      <w:r w:rsidRPr="00554FAF">
        <w:rPr>
          <w:iCs/>
          <w:lang w:val="sq-AL"/>
        </w:rPr>
        <w:t xml:space="preserve">uqisë </w:t>
      </w:r>
      <w:r w:rsidR="009F2B01" w:rsidRPr="00554FAF">
        <w:rPr>
          <w:iCs/>
          <w:lang w:val="sq-AL"/>
        </w:rPr>
        <w:t>p</w:t>
      </w:r>
      <w:r w:rsidRPr="00554FAF">
        <w:rPr>
          <w:iCs/>
          <w:lang w:val="sq-AL"/>
        </w:rPr>
        <w:t>unëtore (AFP) me mostër të zgjeruar</w:t>
      </w:r>
      <w:r w:rsidRPr="00554FAF">
        <w:rPr>
          <w:rStyle w:val="FootnoteReference"/>
          <w:iCs/>
          <w:lang w:val="sq-AL"/>
        </w:rPr>
        <w:footnoteReference w:id="44"/>
      </w:r>
      <w:r w:rsidR="009F2B01" w:rsidRPr="00554FAF">
        <w:rPr>
          <w:iCs/>
          <w:lang w:val="sq-AL"/>
        </w:rPr>
        <w:t xml:space="preserve"> </w:t>
      </w:r>
      <w:r w:rsidRPr="00554FAF">
        <w:rPr>
          <w:iCs/>
          <w:lang w:val="sq-AL"/>
        </w:rPr>
        <w:t>dhe përfshirja e modulit të ri në AFP lidhur me “aksidentet në punë dhe problemet shëndetësore të lidhura me vendin e punës”</w:t>
      </w:r>
      <w:r w:rsidR="009F2B01" w:rsidRPr="00554FAF">
        <w:rPr>
          <w:iCs/>
          <w:lang w:val="sq-AL"/>
        </w:rPr>
        <w:t>;</w:t>
      </w:r>
      <w:r w:rsidRPr="00554FAF">
        <w:rPr>
          <w:iCs/>
          <w:lang w:val="sq-AL"/>
        </w:rPr>
        <w:t xml:space="preserve"> (ASK).</w:t>
      </w:r>
    </w:p>
    <w:p w14:paraId="6FD0B4E1" w14:textId="4E623FCE" w:rsidR="000702CB" w:rsidRPr="00634492" w:rsidRDefault="000702CB" w:rsidP="00802FB3">
      <w:pPr>
        <w:pStyle w:val="Default"/>
        <w:numPr>
          <w:ilvl w:val="0"/>
          <w:numId w:val="48"/>
        </w:numPr>
        <w:spacing w:after="60"/>
        <w:jc w:val="both"/>
        <w:rPr>
          <w:b/>
          <w:lang w:val="sq-AL"/>
        </w:rPr>
      </w:pPr>
      <w:r w:rsidRPr="00634492">
        <w:rPr>
          <w:b/>
          <w:lang w:val="sq-AL"/>
        </w:rPr>
        <w:t>Aktivitetet e planifikuara për 2021</w:t>
      </w:r>
    </w:p>
    <w:p w14:paraId="34B802FE" w14:textId="522602D1" w:rsidR="000702CB" w:rsidRPr="00554FAF" w:rsidRDefault="000702CB" w:rsidP="00802FB3">
      <w:pPr>
        <w:pStyle w:val="Default"/>
        <w:numPr>
          <w:ilvl w:val="0"/>
          <w:numId w:val="25"/>
        </w:numPr>
        <w:spacing w:after="60"/>
        <w:jc w:val="both"/>
        <w:rPr>
          <w:bCs/>
          <w:iCs/>
          <w:lang w:val="sq-AL"/>
        </w:rPr>
      </w:pPr>
      <w:r w:rsidRPr="00554FAF">
        <w:rPr>
          <w:bCs/>
          <w:iCs/>
          <w:lang w:val="sq-AL"/>
        </w:rPr>
        <w:t>Zbatimi i masave aktive të punësimit për të paktën 3,000 të papunë</w:t>
      </w:r>
      <w:r w:rsidRPr="00554FAF">
        <w:rPr>
          <w:rStyle w:val="FootnoteReference"/>
          <w:bCs/>
          <w:iCs/>
          <w:lang w:val="sq-AL"/>
        </w:rPr>
        <w:footnoteReference w:id="45"/>
      </w:r>
      <w:r w:rsidR="009F2B01" w:rsidRPr="00554FAF">
        <w:rPr>
          <w:bCs/>
          <w:iCs/>
          <w:lang w:val="sq-AL"/>
        </w:rPr>
        <w:t>;</w:t>
      </w:r>
      <w:r w:rsidRPr="00554FAF">
        <w:rPr>
          <w:bCs/>
          <w:iCs/>
          <w:lang w:val="sq-AL"/>
        </w:rPr>
        <w:t xml:space="preserve"> (APRK/MPMS)</w:t>
      </w:r>
    </w:p>
    <w:p w14:paraId="12578971" w14:textId="17C68C69" w:rsidR="000702CB" w:rsidRPr="00554FAF" w:rsidRDefault="000702CB" w:rsidP="00802FB3">
      <w:pPr>
        <w:pStyle w:val="Default"/>
        <w:numPr>
          <w:ilvl w:val="0"/>
          <w:numId w:val="25"/>
        </w:numPr>
        <w:spacing w:after="60"/>
        <w:jc w:val="both"/>
        <w:rPr>
          <w:bCs/>
          <w:iCs/>
          <w:lang w:val="sq-AL"/>
        </w:rPr>
      </w:pPr>
      <w:r w:rsidRPr="00554FAF">
        <w:rPr>
          <w:bCs/>
          <w:iCs/>
          <w:lang w:val="sq-AL"/>
        </w:rPr>
        <w:t>Nënkontraktimi i të paktën dy (2) profileve deficitare të aftësimit profesional tek ofruesit privatë</w:t>
      </w:r>
      <w:r w:rsidR="009F2B01" w:rsidRPr="00554FAF">
        <w:rPr>
          <w:bCs/>
          <w:iCs/>
          <w:lang w:val="sq-AL"/>
        </w:rPr>
        <w:t>;</w:t>
      </w:r>
      <w:r w:rsidRPr="00554FAF">
        <w:rPr>
          <w:bCs/>
          <w:iCs/>
          <w:lang w:val="sq-AL"/>
        </w:rPr>
        <w:t xml:space="preserve"> (APRK/MPMS)</w:t>
      </w:r>
    </w:p>
    <w:p w14:paraId="43406C3F" w14:textId="3705519E" w:rsidR="000702CB" w:rsidRPr="00554FAF" w:rsidRDefault="000702CB" w:rsidP="00802FB3">
      <w:pPr>
        <w:pStyle w:val="Default"/>
        <w:numPr>
          <w:ilvl w:val="0"/>
          <w:numId w:val="25"/>
        </w:numPr>
        <w:spacing w:after="60"/>
        <w:jc w:val="both"/>
        <w:rPr>
          <w:bCs/>
          <w:iCs/>
          <w:lang w:val="sq-AL"/>
        </w:rPr>
      </w:pPr>
      <w:r w:rsidRPr="00554FAF">
        <w:rPr>
          <w:bCs/>
          <w:iCs/>
          <w:lang w:val="sq-AL"/>
        </w:rPr>
        <w:t>Zhvillimi i një (1) studimi gjurmues të përfituesve të shërbimeve të punësimit</w:t>
      </w:r>
      <w:r w:rsidR="009F2B01" w:rsidRPr="00554FAF">
        <w:rPr>
          <w:bCs/>
          <w:iCs/>
          <w:lang w:val="sq-AL"/>
        </w:rPr>
        <w:t>;</w:t>
      </w:r>
      <w:r w:rsidRPr="00554FAF">
        <w:rPr>
          <w:bCs/>
          <w:iCs/>
          <w:lang w:val="sq-AL"/>
        </w:rPr>
        <w:t xml:space="preserve"> (APRK/MPMS)</w:t>
      </w:r>
    </w:p>
    <w:p w14:paraId="19858F92" w14:textId="6218DA16" w:rsidR="000702CB" w:rsidRPr="00554FAF" w:rsidRDefault="000702CB" w:rsidP="00802FB3">
      <w:pPr>
        <w:pStyle w:val="Default"/>
        <w:numPr>
          <w:ilvl w:val="0"/>
          <w:numId w:val="25"/>
        </w:numPr>
        <w:spacing w:after="60"/>
        <w:jc w:val="both"/>
        <w:rPr>
          <w:bCs/>
          <w:iCs/>
          <w:lang w:val="sq-AL"/>
        </w:rPr>
      </w:pPr>
      <w:r w:rsidRPr="00554FAF">
        <w:rPr>
          <w:iCs/>
          <w:lang w:val="sq-AL"/>
        </w:rPr>
        <w:t>Trajnimi i 1,000 personave në shkathtësitë e ekonomisë digjitale</w:t>
      </w:r>
      <w:r w:rsidR="009F2B01" w:rsidRPr="00554FAF">
        <w:rPr>
          <w:iCs/>
          <w:lang w:val="sq-AL"/>
        </w:rPr>
        <w:t>;</w:t>
      </w:r>
      <w:r w:rsidRPr="00554FAF">
        <w:rPr>
          <w:iCs/>
          <w:lang w:val="sq-AL"/>
        </w:rPr>
        <w:t xml:space="preserve"> (MZHE)</w:t>
      </w:r>
    </w:p>
    <w:p w14:paraId="33E18FFC" w14:textId="6AB75206" w:rsidR="000702CB" w:rsidRPr="00554FAF" w:rsidRDefault="000702CB" w:rsidP="00802FB3">
      <w:pPr>
        <w:pStyle w:val="Default"/>
        <w:numPr>
          <w:ilvl w:val="0"/>
          <w:numId w:val="25"/>
        </w:numPr>
        <w:spacing w:after="60"/>
        <w:jc w:val="both"/>
        <w:rPr>
          <w:i/>
          <w:lang w:val="sq-AL"/>
        </w:rPr>
      </w:pPr>
      <w:r w:rsidRPr="00554FAF">
        <w:rPr>
          <w:iCs/>
          <w:lang w:val="sq-AL"/>
        </w:rPr>
        <w:t xml:space="preserve">Përfshirja i modulit të ri në Anketën e </w:t>
      </w:r>
      <w:r w:rsidR="009F2B01" w:rsidRPr="00554FAF">
        <w:rPr>
          <w:iCs/>
          <w:lang w:val="sq-AL"/>
        </w:rPr>
        <w:t>f</w:t>
      </w:r>
      <w:r w:rsidRPr="00554FAF">
        <w:rPr>
          <w:iCs/>
          <w:lang w:val="sq-AL"/>
        </w:rPr>
        <w:t xml:space="preserve">uqisë </w:t>
      </w:r>
      <w:r w:rsidR="009F2B01" w:rsidRPr="00554FAF">
        <w:rPr>
          <w:iCs/>
          <w:lang w:val="sq-AL"/>
        </w:rPr>
        <w:t>p</w:t>
      </w:r>
      <w:r w:rsidRPr="00554FAF">
        <w:rPr>
          <w:iCs/>
          <w:lang w:val="sq-AL"/>
        </w:rPr>
        <w:t>unëtore lidhur me “gjendjen e tregut të punës të migrantëve”, si dhe publikimin e statistikave në bazë regjionale</w:t>
      </w:r>
      <w:r w:rsidR="009F2B01" w:rsidRPr="00554FAF">
        <w:rPr>
          <w:iCs/>
          <w:lang w:val="sq-AL"/>
        </w:rPr>
        <w:t>;</w:t>
      </w:r>
      <w:r w:rsidRPr="00554FAF">
        <w:rPr>
          <w:iCs/>
          <w:lang w:val="sq-AL"/>
        </w:rPr>
        <w:t xml:space="preserve"> (ASK)</w:t>
      </w:r>
    </w:p>
    <w:p w14:paraId="6F5D7602" w14:textId="3B1B7C4C" w:rsidR="000702CB" w:rsidRPr="00554FAF" w:rsidRDefault="000702CB" w:rsidP="00802FB3">
      <w:pPr>
        <w:pStyle w:val="Default"/>
        <w:numPr>
          <w:ilvl w:val="0"/>
          <w:numId w:val="25"/>
        </w:numPr>
        <w:spacing w:after="60"/>
        <w:jc w:val="both"/>
        <w:rPr>
          <w:i/>
          <w:lang w:val="sq-AL"/>
        </w:rPr>
      </w:pPr>
      <w:r w:rsidRPr="00554FAF">
        <w:rPr>
          <w:iCs/>
          <w:lang w:val="sq-AL"/>
        </w:rPr>
        <w:t xml:space="preserve">Riakreditimi i 5 profileve dhe zhvillimi i 5 kurrikulave bazuar në standardet e profesionit dhe 5 paketa mësimore për nevojat e Qendrave për </w:t>
      </w:r>
      <w:r w:rsidR="009F2B01" w:rsidRPr="00554FAF">
        <w:rPr>
          <w:iCs/>
          <w:lang w:val="sq-AL"/>
        </w:rPr>
        <w:t>a</w:t>
      </w:r>
      <w:r w:rsidRPr="00554FAF">
        <w:rPr>
          <w:iCs/>
          <w:lang w:val="sq-AL"/>
        </w:rPr>
        <w:t xml:space="preserve">ftësim </w:t>
      </w:r>
      <w:r w:rsidR="009F2B01" w:rsidRPr="00554FAF">
        <w:rPr>
          <w:iCs/>
          <w:lang w:val="sq-AL"/>
        </w:rPr>
        <w:t>p</w:t>
      </w:r>
      <w:r w:rsidRPr="00554FAF">
        <w:rPr>
          <w:iCs/>
          <w:lang w:val="sq-AL"/>
        </w:rPr>
        <w:t>rofesional</w:t>
      </w:r>
      <w:r w:rsidR="009F2B01" w:rsidRPr="00554FAF">
        <w:rPr>
          <w:iCs/>
          <w:lang w:val="sq-AL"/>
        </w:rPr>
        <w:t>;</w:t>
      </w:r>
      <w:r w:rsidRPr="00554FAF">
        <w:rPr>
          <w:iCs/>
          <w:lang w:val="sq-AL"/>
        </w:rPr>
        <w:t xml:space="preserve"> (MPMS)</w:t>
      </w:r>
      <w:r w:rsidR="009F2B01" w:rsidRPr="00554FAF">
        <w:rPr>
          <w:iCs/>
          <w:lang w:val="sq-AL"/>
        </w:rPr>
        <w:t>.</w:t>
      </w:r>
    </w:p>
    <w:p w14:paraId="6F852528" w14:textId="77777777" w:rsidR="000702CB" w:rsidRPr="00634492" w:rsidRDefault="000702CB" w:rsidP="00802FB3">
      <w:pPr>
        <w:pStyle w:val="Default"/>
        <w:numPr>
          <w:ilvl w:val="0"/>
          <w:numId w:val="48"/>
        </w:numPr>
        <w:spacing w:after="60"/>
        <w:jc w:val="both"/>
        <w:rPr>
          <w:b/>
          <w:lang w:val="sq-AL"/>
        </w:rPr>
      </w:pPr>
      <w:r w:rsidRPr="00634492">
        <w:rPr>
          <w:b/>
          <w:lang w:val="sq-AL"/>
        </w:rPr>
        <w:t>Aktivitetet e planifikuara për 2022</w:t>
      </w:r>
    </w:p>
    <w:p w14:paraId="61EF683D" w14:textId="287C4B40" w:rsidR="000702CB" w:rsidRPr="00554FAF" w:rsidRDefault="000702CB" w:rsidP="00802FB3">
      <w:pPr>
        <w:pStyle w:val="Default"/>
        <w:numPr>
          <w:ilvl w:val="0"/>
          <w:numId w:val="26"/>
        </w:numPr>
        <w:spacing w:after="60"/>
        <w:jc w:val="both"/>
        <w:rPr>
          <w:bCs/>
          <w:iCs/>
          <w:lang w:val="sq-AL"/>
        </w:rPr>
      </w:pPr>
      <w:r w:rsidRPr="00554FAF">
        <w:rPr>
          <w:bCs/>
          <w:iCs/>
          <w:lang w:val="sq-AL"/>
        </w:rPr>
        <w:t>Zbatimi i masave aktive të punësimit për të paktën 3,000 të papunë</w:t>
      </w:r>
      <w:r w:rsidRPr="00554FAF">
        <w:rPr>
          <w:rStyle w:val="FootnoteReference"/>
          <w:bCs/>
          <w:iCs/>
          <w:lang w:val="sq-AL"/>
        </w:rPr>
        <w:footnoteReference w:id="46"/>
      </w:r>
      <w:r w:rsidR="009F2B01" w:rsidRPr="00554FAF">
        <w:rPr>
          <w:bCs/>
          <w:iCs/>
          <w:lang w:val="sq-AL"/>
        </w:rPr>
        <w:t>;</w:t>
      </w:r>
      <w:r w:rsidRPr="00554FAF">
        <w:rPr>
          <w:bCs/>
          <w:iCs/>
          <w:lang w:val="sq-AL"/>
        </w:rPr>
        <w:t xml:space="preserve"> (APRK/MPMS)</w:t>
      </w:r>
    </w:p>
    <w:p w14:paraId="387EDDFA" w14:textId="440B0C8B" w:rsidR="000702CB" w:rsidRPr="00554FAF" w:rsidRDefault="000702CB" w:rsidP="00802FB3">
      <w:pPr>
        <w:pStyle w:val="Default"/>
        <w:numPr>
          <w:ilvl w:val="0"/>
          <w:numId w:val="26"/>
        </w:numPr>
        <w:spacing w:after="60"/>
        <w:jc w:val="both"/>
        <w:rPr>
          <w:bCs/>
          <w:iCs/>
          <w:lang w:val="sq-AL"/>
        </w:rPr>
      </w:pPr>
      <w:r w:rsidRPr="00554FAF">
        <w:rPr>
          <w:bCs/>
          <w:iCs/>
          <w:lang w:val="sq-AL"/>
        </w:rPr>
        <w:t>Nënkontraktimi i të paktën dy (2) profileve deficitare të aftësimit profesional tek ofruesit privatë</w:t>
      </w:r>
      <w:r w:rsidR="009F2B01" w:rsidRPr="00554FAF">
        <w:rPr>
          <w:bCs/>
          <w:iCs/>
          <w:lang w:val="sq-AL"/>
        </w:rPr>
        <w:t>;</w:t>
      </w:r>
      <w:r w:rsidRPr="00554FAF">
        <w:rPr>
          <w:bCs/>
          <w:iCs/>
          <w:lang w:val="sq-AL"/>
        </w:rPr>
        <w:t xml:space="preserve"> (APRK/MPMS)</w:t>
      </w:r>
    </w:p>
    <w:p w14:paraId="76169649" w14:textId="76ED07B6" w:rsidR="000702CB" w:rsidRPr="00554FAF" w:rsidRDefault="000702CB" w:rsidP="00802FB3">
      <w:pPr>
        <w:pStyle w:val="Default"/>
        <w:numPr>
          <w:ilvl w:val="0"/>
          <w:numId w:val="26"/>
        </w:numPr>
        <w:spacing w:after="60"/>
        <w:jc w:val="both"/>
        <w:rPr>
          <w:bCs/>
          <w:iCs/>
          <w:lang w:val="sq-AL"/>
        </w:rPr>
      </w:pPr>
      <w:r w:rsidRPr="00554FAF">
        <w:rPr>
          <w:bCs/>
          <w:iCs/>
          <w:lang w:val="sq-AL"/>
        </w:rPr>
        <w:t>Funksionalizimi i plotë</w:t>
      </w:r>
      <w:r w:rsidRPr="00554FAF">
        <w:rPr>
          <w:rStyle w:val="FootnoteReference"/>
          <w:bCs/>
          <w:iCs/>
          <w:lang w:val="sq-AL"/>
        </w:rPr>
        <w:footnoteReference w:id="47"/>
      </w:r>
      <w:r w:rsidRPr="00554FAF">
        <w:rPr>
          <w:bCs/>
          <w:iCs/>
          <w:lang w:val="sq-AL"/>
        </w:rPr>
        <w:t xml:space="preserve"> i modulit të SIMP për monitorimin e përfituesve të MATP-ve</w:t>
      </w:r>
      <w:r w:rsidR="009F2B01" w:rsidRPr="00554FAF">
        <w:rPr>
          <w:bCs/>
          <w:iCs/>
          <w:lang w:val="sq-AL"/>
        </w:rPr>
        <w:t>;</w:t>
      </w:r>
      <w:r w:rsidRPr="00554FAF">
        <w:rPr>
          <w:bCs/>
          <w:iCs/>
          <w:lang w:val="sq-AL"/>
        </w:rPr>
        <w:t xml:space="preserve"> (APRK/MPMS)</w:t>
      </w:r>
    </w:p>
    <w:p w14:paraId="5B905FE2" w14:textId="7E4DBB70" w:rsidR="000702CB" w:rsidRPr="00554FAF" w:rsidRDefault="000702CB" w:rsidP="00802FB3">
      <w:pPr>
        <w:pStyle w:val="Default"/>
        <w:numPr>
          <w:ilvl w:val="0"/>
          <w:numId w:val="26"/>
        </w:numPr>
        <w:spacing w:after="60"/>
        <w:jc w:val="both"/>
        <w:rPr>
          <w:i/>
          <w:lang w:val="sq-AL"/>
        </w:rPr>
      </w:pPr>
      <w:r w:rsidRPr="00554FAF">
        <w:rPr>
          <w:iCs/>
          <w:lang w:val="sq-AL"/>
        </w:rPr>
        <w:t>Trajnimi i 1,000 personave në shkathtësitë e ekonomisë digjitale</w:t>
      </w:r>
      <w:r w:rsidR="009F2B01" w:rsidRPr="00554FAF">
        <w:rPr>
          <w:iCs/>
          <w:lang w:val="sq-AL"/>
        </w:rPr>
        <w:t>;</w:t>
      </w:r>
      <w:r w:rsidRPr="00554FAF" w:rsidDel="005A7C75">
        <w:rPr>
          <w:iCs/>
          <w:lang w:val="sq-AL"/>
        </w:rPr>
        <w:t xml:space="preserve"> </w:t>
      </w:r>
      <w:r w:rsidRPr="00554FAF">
        <w:rPr>
          <w:iCs/>
          <w:lang w:val="sq-AL"/>
        </w:rPr>
        <w:t>(MZHE)</w:t>
      </w:r>
    </w:p>
    <w:p w14:paraId="4CBB5A8F" w14:textId="230E30C2" w:rsidR="000702CB" w:rsidRPr="00554FAF" w:rsidRDefault="000702CB" w:rsidP="00802FB3">
      <w:pPr>
        <w:pStyle w:val="Default"/>
        <w:numPr>
          <w:ilvl w:val="0"/>
          <w:numId w:val="26"/>
        </w:numPr>
        <w:spacing w:after="60"/>
        <w:jc w:val="both"/>
        <w:rPr>
          <w:i/>
          <w:lang w:val="sq-AL"/>
        </w:rPr>
      </w:pPr>
      <w:r w:rsidRPr="00554FAF">
        <w:rPr>
          <w:iCs/>
          <w:lang w:val="sq-AL"/>
        </w:rPr>
        <w:t xml:space="preserve">Përfshirja i modulit të ri në Anketën e </w:t>
      </w:r>
      <w:r w:rsidR="009F2B01" w:rsidRPr="00554FAF">
        <w:rPr>
          <w:iCs/>
          <w:lang w:val="sq-AL"/>
        </w:rPr>
        <w:t>f</w:t>
      </w:r>
      <w:r w:rsidRPr="00554FAF">
        <w:rPr>
          <w:iCs/>
          <w:lang w:val="sq-AL"/>
        </w:rPr>
        <w:t xml:space="preserve">uqisë </w:t>
      </w:r>
      <w:r w:rsidR="009F2B01" w:rsidRPr="00554FAF">
        <w:rPr>
          <w:iCs/>
          <w:lang w:val="sq-AL"/>
        </w:rPr>
        <w:t>p</w:t>
      </w:r>
      <w:r w:rsidRPr="00554FAF">
        <w:rPr>
          <w:iCs/>
          <w:lang w:val="sq-AL"/>
        </w:rPr>
        <w:t>unëtore lidhur me “shkathtësitë në punë”</w:t>
      </w:r>
      <w:r w:rsidR="009F2B01" w:rsidRPr="00554FAF">
        <w:rPr>
          <w:iCs/>
          <w:lang w:val="sq-AL"/>
        </w:rPr>
        <w:t>;</w:t>
      </w:r>
      <w:r w:rsidRPr="00554FAF">
        <w:rPr>
          <w:iCs/>
          <w:lang w:val="sq-AL"/>
        </w:rPr>
        <w:t xml:space="preserve"> (ASK)</w:t>
      </w:r>
    </w:p>
    <w:p w14:paraId="4A8E0AA6" w14:textId="7E298C8C" w:rsidR="000702CB" w:rsidRPr="00554FAF" w:rsidRDefault="000702CB" w:rsidP="00802FB3">
      <w:pPr>
        <w:pStyle w:val="Default"/>
        <w:numPr>
          <w:ilvl w:val="0"/>
          <w:numId w:val="26"/>
        </w:numPr>
        <w:spacing w:after="60"/>
        <w:jc w:val="both"/>
        <w:rPr>
          <w:i/>
          <w:lang w:val="sq-AL"/>
        </w:rPr>
      </w:pPr>
      <w:r w:rsidRPr="00554FAF">
        <w:rPr>
          <w:iCs/>
          <w:lang w:val="sq-AL"/>
        </w:rPr>
        <w:t xml:space="preserve">Riakreditimi i 5 profileve, zhvillimi i 5 kurrikulave bazuar në standardet e profesionit dhe 5 paketa mësimore për nevojat e Qendrave për </w:t>
      </w:r>
      <w:r w:rsidR="009F2B01" w:rsidRPr="00554FAF">
        <w:rPr>
          <w:iCs/>
          <w:lang w:val="sq-AL"/>
        </w:rPr>
        <w:t>a</w:t>
      </w:r>
      <w:r w:rsidRPr="00554FAF">
        <w:rPr>
          <w:iCs/>
          <w:lang w:val="sq-AL"/>
        </w:rPr>
        <w:t xml:space="preserve">ftësim </w:t>
      </w:r>
      <w:r w:rsidR="009F2B01" w:rsidRPr="00554FAF">
        <w:rPr>
          <w:iCs/>
          <w:lang w:val="sq-AL"/>
        </w:rPr>
        <w:t>p</w:t>
      </w:r>
      <w:r w:rsidRPr="00554FAF">
        <w:rPr>
          <w:iCs/>
          <w:lang w:val="sq-AL"/>
        </w:rPr>
        <w:t>rofesional</w:t>
      </w:r>
      <w:r w:rsidR="009F2B01" w:rsidRPr="00554FAF">
        <w:rPr>
          <w:iCs/>
          <w:lang w:val="sq-AL"/>
        </w:rPr>
        <w:t>;</w:t>
      </w:r>
      <w:r w:rsidRPr="00554FAF">
        <w:rPr>
          <w:iCs/>
          <w:lang w:val="sq-AL"/>
        </w:rPr>
        <w:t xml:space="preserve"> (MPMS).</w:t>
      </w:r>
    </w:p>
    <w:p w14:paraId="463B4EF5" w14:textId="1B01DA5C" w:rsidR="000702CB" w:rsidRPr="00554FAF" w:rsidRDefault="000702CB" w:rsidP="000702CB">
      <w:pPr>
        <w:spacing w:after="60" w:line="240" w:lineRule="auto"/>
        <w:jc w:val="both"/>
        <w:rPr>
          <w:rFonts w:ascii="Times New Roman" w:hAnsi="Times New Roman" w:cs="Times New Roman"/>
          <w:b/>
          <w:sz w:val="24"/>
          <w:szCs w:val="24"/>
        </w:rPr>
      </w:pPr>
      <w:r w:rsidRPr="00554FAF">
        <w:rPr>
          <w:rFonts w:ascii="Times New Roman" w:hAnsi="Times New Roman" w:cs="Times New Roman"/>
          <w:b/>
          <w:sz w:val="24"/>
          <w:szCs w:val="24"/>
        </w:rPr>
        <w:t xml:space="preserve">2. </w:t>
      </w:r>
      <w:r w:rsidR="009F2B01" w:rsidRPr="00554FAF">
        <w:rPr>
          <w:rFonts w:ascii="Times New Roman" w:hAnsi="Times New Roman" w:cs="Times New Roman"/>
          <w:b/>
          <w:sz w:val="24"/>
          <w:szCs w:val="24"/>
        </w:rPr>
        <w:t>Treguesit e rezultateve:</w:t>
      </w:r>
    </w:p>
    <w:tbl>
      <w:tblPr>
        <w:tblStyle w:val="TableGrid1"/>
        <w:tblpPr w:leftFromText="180" w:rightFromText="180" w:vertAnchor="text" w:horzAnchor="margin" w:tblpY="175"/>
        <w:tblW w:w="9355" w:type="dxa"/>
        <w:tblLayout w:type="fixed"/>
        <w:tblLook w:val="04A0" w:firstRow="1" w:lastRow="0" w:firstColumn="1" w:lastColumn="0" w:noHBand="0" w:noVBand="1"/>
      </w:tblPr>
      <w:tblGrid>
        <w:gridCol w:w="4315"/>
        <w:gridCol w:w="1080"/>
        <w:gridCol w:w="2340"/>
        <w:gridCol w:w="1620"/>
      </w:tblGrid>
      <w:tr w:rsidR="000702CB" w:rsidRPr="00554FAF" w14:paraId="45715DD4" w14:textId="77777777" w:rsidTr="000D752B">
        <w:trPr>
          <w:trHeight w:val="530"/>
        </w:trPr>
        <w:tc>
          <w:tcPr>
            <w:tcW w:w="4315" w:type="dxa"/>
          </w:tcPr>
          <w:p w14:paraId="7F5ACCB5" w14:textId="77777777" w:rsidR="000702CB" w:rsidRPr="00554FAF" w:rsidRDefault="000702CB" w:rsidP="000702CB">
            <w:pPr>
              <w:spacing w:after="60"/>
              <w:jc w:val="both"/>
              <w:rPr>
                <w:rFonts w:ascii="Times New Roman" w:hAnsi="Times New Roman" w:cs="Times New Roman"/>
                <w:sz w:val="24"/>
                <w:szCs w:val="24"/>
              </w:rPr>
            </w:pPr>
            <w:r w:rsidRPr="00554FAF">
              <w:rPr>
                <w:rFonts w:ascii="Times New Roman" w:hAnsi="Times New Roman" w:cs="Times New Roman"/>
                <w:sz w:val="24"/>
                <w:szCs w:val="24"/>
              </w:rPr>
              <w:t>Treguesi</w:t>
            </w:r>
          </w:p>
        </w:tc>
        <w:tc>
          <w:tcPr>
            <w:tcW w:w="1080" w:type="dxa"/>
          </w:tcPr>
          <w:p w14:paraId="596C3AE8" w14:textId="1F1A4B80" w:rsidR="000702CB" w:rsidRPr="00554FAF" w:rsidRDefault="009F2B01" w:rsidP="000702CB">
            <w:pPr>
              <w:spacing w:after="60"/>
              <w:jc w:val="both"/>
              <w:rPr>
                <w:rFonts w:ascii="Times New Roman" w:hAnsi="Times New Roman" w:cs="Times New Roman"/>
                <w:sz w:val="24"/>
                <w:szCs w:val="24"/>
              </w:rPr>
            </w:pPr>
            <w:r w:rsidRPr="00554FAF">
              <w:rPr>
                <w:rFonts w:ascii="Times New Roman" w:hAnsi="Times New Roman" w:cs="Times New Roman"/>
                <w:sz w:val="24"/>
                <w:szCs w:val="24"/>
              </w:rPr>
              <w:t>Baza</w:t>
            </w:r>
            <w:r w:rsidR="000702CB" w:rsidRPr="00554FAF">
              <w:rPr>
                <w:rFonts w:ascii="Times New Roman" w:hAnsi="Times New Roman" w:cs="Times New Roman"/>
                <w:sz w:val="24"/>
                <w:szCs w:val="24"/>
              </w:rPr>
              <w:t xml:space="preserve"> 2018</w:t>
            </w:r>
          </w:p>
        </w:tc>
        <w:tc>
          <w:tcPr>
            <w:tcW w:w="2340" w:type="dxa"/>
          </w:tcPr>
          <w:p w14:paraId="281CB990" w14:textId="6D142611" w:rsidR="000702CB" w:rsidRPr="00554FAF" w:rsidRDefault="009F2B01" w:rsidP="000702CB">
            <w:pPr>
              <w:spacing w:after="60"/>
              <w:jc w:val="both"/>
              <w:rPr>
                <w:rFonts w:ascii="Times New Roman" w:hAnsi="Times New Roman" w:cs="Times New Roman"/>
                <w:sz w:val="24"/>
                <w:szCs w:val="24"/>
              </w:rPr>
            </w:pPr>
            <w:r w:rsidRPr="00554FAF">
              <w:rPr>
                <w:rFonts w:ascii="Times New Roman" w:hAnsi="Times New Roman" w:cs="Times New Roman"/>
                <w:sz w:val="24"/>
                <w:szCs w:val="24"/>
              </w:rPr>
              <w:t xml:space="preserve">Synimi  </w:t>
            </w:r>
            <w:r w:rsidR="000702CB" w:rsidRPr="00554FAF">
              <w:rPr>
                <w:rFonts w:ascii="Times New Roman" w:hAnsi="Times New Roman" w:cs="Times New Roman"/>
                <w:sz w:val="24"/>
                <w:szCs w:val="24"/>
              </w:rPr>
              <w:t>i ndërmjetëm 2021</w:t>
            </w:r>
          </w:p>
        </w:tc>
        <w:tc>
          <w:tcPr>
            <w:tcW w:w="1620" w:type="dxa"/>
          </w:tcPr>
          <w:p w14:paraId="710796A3" w14:textId="1588FB47" w:rsidR="000702CB" w:rsidRPr="00554FAF" w:rsidRDefault="009F2B01" w:rsidP="000702CB">
            <w:pPr>
              <w:spacing w:after="60"/>
              <w:jc w:val="both"/>
              <w:rPr>
                <w:rFonts w:ascii="Times New Roman" w:hAnsi="Times New Roman" w:cs="Times New Roman"/>
                <w:sz w:val="24"/>
                <w:szCs w:val="24"/>
              </w:rPr>
            </w:pPr>
            <w:r w:rsidRPr="00554FAF">
              <w:rPr>
                <w:rFonts w:ascii="Times New Roman" w:hAnsi="Times New Roman" w:cs="Times New Roman"/>
                <w:sz w:val="24"/>
                <w:szCs w:val="24"/>
              </w:rPr>
              <w:t>Synimi</w:t>
            </w:r>
            <w:r w:rsidR="000702CB" w:rsidRPr="00554FAF">
              <w:rPr>
                <w:rFonts w:ascii="Times New Roman" w:hAnsi="Times New Roman" w:cs="Times New Roman"/>
                <w:sz w:val="24"/>
                <w:szCs w:val="24"/>
              </w:rPr>
              <w:t xml:space="preserve"> 2022 </w:t>
            </w:r>
          </w:p>
          <w:p w14:paraId="4B2AD670" w14:textId="77777777" w:rsidR="000702CB" w:rsidRPr="00554FAF" w:rsidRDefault="000702CB" w:rsidP="000702CB">
            <w:pPr>
              <w:spacing w:after="60"/>
              <w:jc w:val="both"/>
              <w:rPr>
                <w:rFonts w:ascii="Times New Roman" w:hAnsi="Times New Roman" w:cs="Times New Roman"/>
                <w:sz w:val="24"/>
                <w:szCs w:val="24"/>
              </w:rPr>
            </w:pPr>
          </w:p>
        </w:tc>
      </w:tr>
      <w:tr w:rsidR="000702CB" w:rsidRPr="00554FAF" w14:paraId="1E960D5B" w14:textId="77777777" w:rsidTr="003A7429">
        <w:tc>
          <w:tcPr>
            <w:tcW w:w="4315" w:type="dxa"/>
          </w:tcPr>
          <w:p w14:paraId="2929715F" w14:textId="77777777" w:rsidR="000702CB" w:rsidRPr="00554FAF" w:rsidRDefault="000702CB" w:rsidP="000D752B">
            <w:pPr>
              <w:spacing w:after="60"/>
              <w:jc w:val="both"/>
              <w:rPr>
                <w:rFonts w:ascii="Times New Roman" w:hAnsi="Times New Roman" w:cs="Times New Roman"/>
                <w:i/>
                <w:iCs/>
                <w:sz w:val="24"/>
                <w:szCs w:val="24"/>
              </w:rPr>
            </w:pPr>
            <w:r w:rsidRPr="00554FAF">
              <w:rPr>
                <w:rFonts w:ascii="Times New Roman" w:hAnsi="Times New Roman" w:cs="Times New Roman"/>
                <w:sz w:val="24"/>
                <w:szCs w:val="24"/>
              </w:rPr>
              <w:t>% e të rinjve që përfitojnë pjesëmarrje në masa aktive të tregut të punës nga numri total i MATP-ve të ofruar në vit kalendarik</w:t>
            </w:r>
          </w:p>
        </w:tc>
        <w:tc>
          <w:tcPr>
            <w:tcW w:w="1080" w:type="dxa"/>
          </w:tcPr>
          <w:p w14:paraId="35EF1DCF" w14:textId="77777777" w:rsidR="000702CB" w:rsidRPr="00554FAF" w:rsidRDefault="000702CB" w:rsidP="000702CB">
            <w:pPr>
              <w:spacing w:after="60"/>
              <w:rPr>
                <w:rFonts w:ascii="Times New Roman" w:hAnsi="Times New Roman" w:cs="Times New Roman"/>
                <w:sz w:val="24"/>
                <w:szCs w:val="24"/>
              </w:rPr>
            </w:pPr>
            <w:r w:rsidRPr="00554FAF">
              <w:rPr>
                <w:rFonts w:ascii="Times New Roman" w:hAnsi="Times New Roman" w:cs="Times New Roman"/>
                <w:sz w:val="24"/>
                <w:szCs w:val="24"/>
              </w:rPr>
              <w:t>34%</w:t>
            </w:r>
          </w:p>
        </w:tc>
        <w:tc>
          <w:tcPr>
            <w:tcW w:w="2340" w:type="dxa"/>
          </w:tcPr>
          <w:p w14:paraId="31574EF0" w14:textId="77777777" w:rsidR="000702CB" w:rsidRPr="00554FAF" w:rsidRDefault="000702CB" w:rsidP="000702CB">
            <w:pPr>
              <w:spacing w:after="60"/>
              <w:rPr>
                <w:rFonts w:ascii="Times New Roman" w:hAnsi="Times New Roman" w:cs="Times New Roman"/>
                <w:sz w:val="24"/>
                <w:szCs w:val="24"/>
              </w:rPr>
            </w:pPr>
            <w:r w:rsidRPr="00554FAF">
              <w:rPr>
                <w:rFonts w:ascii="Times New Roman" w:hAnsi="Times New Roman" w:cs="Times New Roman"/>
                <w:sz w:val="24"/>
                <w:szCs w:val="24"/>
              </w:rPr>
              <w:t>35%</w:t>
            </w:r>
          </w:p>
        </w:tc>
        <w:tc>
          <w:tcPr>
            <w:tcW w:w="1620" w:type="dxa"/>
          </w:tcPr>
          <w:p w14:paraId="7D7C24A0" w14:textId="77777777" w:rsidR="000702CB" w:rsidRPr="00554FAF" w:rsidRDefault="000702CB" w:rsidP="000702CB">
            <w:pPr>
              <w:spacing w:after="60"/>
              <w:rPr>
                <w:rFonts w:ascii="Times New Roman" w:hAnsi="Times New Roman" w:cs="Times New Roman"/>
                <w:sz w:val="24"/>
                <w:szCs w:val="24"/>
              </w:rPr>
            </w:pPr>
            <w:r w:rsidRPr="00554FAF">
              <w:rPr>
                <w:rFonts w:ascii="Times New Roman" w:hAnsi="Times New Roman" w:cs="Times New Roman"/>
                <w:sz w:val="24"/>
                <w:szCs w:val="24"/>
              </w:rPr>
              <w:t>36%</w:t>
            </w:r>
          </w:p>
        </w:tc>
      </w:tr>
      <w:tr w:rsidR="000702CB" w:rsidRPr="00554FAF" w14:paraId="2E820582" w14:textId="77777777" w:rsidTr="003A7429">
        <w:tc>
          <w:tcPr>
            <w:tcW w:w="4315" w:type="dxa"/>
          </w:tcPr>
          <w:p w14:paraId="7D8B2004" w14:textId="77777777" w:rsidR="000702CB" w:rsidRPr="00554FAF" w:rsidRDefault="000702CB" w:rsidP="000D752B">
            <w:pPr>
              <w:spacing w:after="60"/>
              <w:jc w:val="both"/>
              <w:rPr>
                <w:rFonts w:ascii="Times New Roman" w:hAnsi="Times New Roman" w:cs="Times New Roman"/>
                <w:i/>
                <w:iCs/>
                <w:sz w:val="24"/>
                <w:szCs w:val="24"/>
              </w:rPr>
            </w:pPr>
            <w:r w:rsidRPr="00554FAF">
              <w:rPr>
                <w:rFonts w:ascii="Times New Roman" w:hAnsi="Times New Roman" w:cs="Times New Roman"/>
                <w:sz w:val="24"/>
                <w:szCs w:val="24"/>
              </w:rPr>
              <w:t>% e grave që përfitojnë pjesëmarrje në masa aktive të tregut të punës nga numri total i MATP-ve të ofruar në vit kalendarik</w:t>
            </w:r>
          </w:p>
        </w:tc>
        <w:tc>
          <w:tcPr>
            <w:tcW w:w="1080" w:type="dxa"/>
          </w:tcPr>
          <w:p w14:paraId="5D582FFD" w14:textId="77777777" w:rsidR="000702CB" w:rsidRPr="00554FAF" w:rsidRDefault="000702CB" w:rsidP="000702CB">
            <w:pPr>
              <w:spacing w:after="60"/>
              <w:jc w:val="both"/>
              <w:rPr>
                <w:rFonts w:ascii="Times New Roman" w:hAnsi="Times New Roman" w:cs="Times New Roman"/>
                <w:i/>
                <w:iCs/>
                <w:sz w:val="24"/>
                <w:szCs w:val="24"/>
              </w:rPr>
            </w:pPr>
            <w:r w:rsidRPr="00554FAF">
              <w:rPr>
                <w:rFonts w:ascii="Times New Roman" w:hAnsi="Times New Roman" w:cs="Times New Roman"/>
                <w:sz w:val="24"/>
                <w:szCs w:val="24"/>
              </w:rPr>
              <w:t>36%</w:t>
            </w:r>
          </w:p>
        </w:tc>
        <w:tc>
          <w:tcPr>
            <w:tcW w:w="2340" w:type="dxa"/>
          </w:tcPr>
          <w:p w14:paraId="1B35E48A" w14:textId="77777777" w:rsidR="000702CB" w:rsidRPr="00554FAF" w:rsidRDefault="000702CB" w:rsidP="000702CB">
            <w:pPr>
              <w:spacing w:after="60"/>
              <w:jc w:val="both"/>
              <w:rPr>
                <w:rFonts w:ascii="Times New Roman" w:hAnsi="Times New Roman" w:cs="Times New Roman"/>
                <w:i/>
                <w:iCs/>
                <w:sz w:val="24"/>
                <w:szCs w:val="24"/>
              </w:rPr>
            </w:pPr>
            <w:r w:rsidRPr="00554FAF">
              <w:rPr>
                <w:rFonts w:ascii="Times New Roman" w:hAnsi="Times New Roman" w:cs="Times New Roman"/>
                <w:sz w:val="24"/>
                <w:szCs w:val="24"/>
              </w:rPr>
              <w:t>38%</w:t>
            </w:r>
          </w:p>
        </w:tc>
        <w:tc>
          <w:tcPr>
            <w:tcW w:w="1620" w:type="dxa"/>
          </w:tcPr>
          <w:p w14:paraId="7D8D3D9F" w14:textId="77777777" w:rsidR="000702CB" w:rsidRPr="00554FAF" w:rsidRDefault="000702CB" w:rsidP="000702CB">
            <w:pPr>
              <w:spacing w:after="60"/>
              <w:jc w:val="both"/>
              <w:rPr>
                <w:rFonts w:ascii="Times New Roman" w:hAnsi="Times New Roman" w:cs="Times New Roman"/>
                <w:i/>
                <w:iCs/>
                <w:sz w:val="24"/>
                <w:szCs w:val="24"/>
              </w:rPr>
            </w:pPr>
            <w:r w:rsidRPr="00554FAF">
              <w:rPr>
                <w:rFonts w:ascii="Times New Roman" w:hAnsi="Times New Roman" w:cs="Times New Roman"/>
                <w:sz w:val="24"/>
                <w:szCs w:val="24"/>
              </w:rPr>
              <w:t>40%</w:t>
            </w:r>
          </w:p>
        </w:tc>
      </w:tr>
      <w:tr w:rsidR="000702CB" w:rsidRPr="00554FAF" w14:paraId="4C880C3F" w14:textId="77777777" w:rsidTr="003A7429">
        <w:tc>
          <w:tcPr>
            <w:tcW w:w="4315" w:type="dxa"/>
          </w:tcPr>
          <w:p w14:paraId="4D1A12BC" w14:textId="77777777" w:rsidR="000702CB" w:rsidRPr="00554FAF" w:rsidRDefault="000702CB" w:rsidP="000D752B">
            <w:pPr>
              <w:spacing w:after="60"/>
              <w:jc w:val="both"/>
              <w:rPr>
                <w:rFonts w:ascii="Times New Roman" w:hAnsi="Times New Roman" w:cs="Times New Roman"/>
                <w:sz w:val="24"/>
                <w:szCs w:val="24"/>
              </w:rPr>
            </w:pPr>
            <w:r w:rsidRPr="00554FAF">
              <w:rPr>
                <w:rFonts w:ascii="Times New Roman" w:hAnsi="Times New Roman" w:cs="Times New Roman"/>
                <w:sz w:val="24"/>
                <w:szCs w:val="24"/>
              </w:rPr>
              <w:t>% e të rinjve NEET në popullsinë e të rinjve 15 - 24</w:t>
            </w:r>
          </w:p>
        </w:tc>
        <w:tc>
          <w:tcPr>
            <w:tcW w:w="1080" w:type="dxa"/>
          </w:tcPr>
          <w:p w14:paraId="7C4D8D36" w14:textId="77777777" w:rsidR="000702CB" w:rsidRPr="00554FAF" w:rsidRDefault="000702CB" w:rsidP="000702CB">
            <w:pPr>
              <w:spacing w:after="60"/>
              <w:jc w:val="both"/>
              <w:rPr>
                <w:rFonts w:ascii="Times New Roman" w:hAnsi="Times New Roman" w:cs="Times New Roman"/>
                <w:sz w:val="24"/>
                <w:szCs w:val="24"/>
              </w:rPr>
            </w:pPr>
            <w:r w:rsidRPr="00554FAF">
              <w:rPr>
                <w:rFonts w:ascii="Times New Roman" w:hAnsi="Times New Roman" w:cs="Times New Roman"/>
                <w:sz w:val="24"/>
                <w:szCs w:val="24"/>
              </w:rPr>
              <w:t>30%</w:t>
            </w:r>
          </w:p>
        </w:tc>
        <w:tc>
          <w:tcPr>
            <w:tcW w:w="2340" w:type="dxa"/>
          </w:tcPr>
          <w:p w14:paraId="462F456E" w14:textId="77777777" w:rsidR="000702CB" w:rsidRPr="00554FAF" w:rsidRDefault="000702CB" w:rsidP="000702CB">
            <w:pPr>
              <w:spacing w:after="60"/>
              <w:jc w:val="both"/>
              <w:rPr>
                <w:rFonts w:ascii="Times New Roman" w:hAnsi="Times New Roman" w:cs="Times New Roman"/>
                <w:sz w:val="24"/>
                <w:szCs w:val="24"/>
              </w:rPr>
            </w:pPr>
            <w:r w:rsidRPr="00554FAF">
              <w:rPr>
                <w:rFonts w:ascii="Times New Roman" w:hAnsi="Times New Roman" w:cs="Times New Roman"/>
                <w:sz w:val="24"/>
                <w:szCs w:val="24"/>
              </w:rPr>
              <w:t>29%</w:t>
            </w:r>
          </w:p>
        </w:tc>
        <w:tc>
          <w:tcPr>
            <w:tcW w:w="1620" w:type="dxa"/>
          </w:tcPr>
          <w:p w14:paraId="1E876DB2" w14:textId="77777777" w:rsidR="000702CB" w:rsidRPr="00554FAF" w:rsidRDefault="000702CB" w:rsidP="000702CB">
            <w:pPr>
              <w:spacing w:after="60"/>
              <w:jc w:val="both"/>
              <w:rPr>
                <w:rFonts w:ascii="Times New Roman" w:hAnsi="Times New Roman" w:cs="Times New Roman"/>
                <w:sz w:val="24"/>
                <w:szCs w:val="24"/>
              </w:rPr>
            </w:pPr>
            <w:r w:rsidRPr="00554FAF">
              <w:rPr>
                <w:rFonts w:ascii="Times New Roman" w:hAnsi="Times New Roman" w:cs="Times New Roman"/>
                <w:sz w:val="24"/>
                <w:szCs w:val="24"/>
              </w:rPr>
              <w:t>28%</w:t>
            </w:r>
          </w:p>
        </w:tc>
      </w:tr>
    </w:tbl>
    <w:p w14:paraId="1A4AAAC6" w14:textId="77777777" w:rsidR="000702CB" w:rsidRPr="00554FAF" w:rsidRDefault="000702CB" w:rsidP="000702CB">
      <w:pPr>
        <w:spacing w:after="60" w:line="240" w:lineRule="auto"/>
        <w:jc w:val="both"/>
        <w:rPr>
          <w:rFonts w:ascii="Times New Roman" w:hAnsi="Times New Roman" w:cs="Times New Roman"/>
          <w:b/>
          <w:sz w:val="24"/>
          <w:szCs w:val="24"/>
        </w:rPr>
      </w:pPr>
    </w:p>
    <w:p w14:paraId="3D863842" w14:textId="431C9C4C" w:rsidR="000702CB" w:rsidRPr="00554FAF" w:rsidRDefault="000702CB" w:rsidP="000702CB">
      <w:pPr>
        <w:pStyle w:val="Default"/>
        <w:spacing w:after="60"/>
        <w:jc w:val="both"/>
        <w:rPr>
          <w:b/>
          <w:bCs/>
          <w:i/>
          <w:iCs/>
          <w:lang w:val="sq-AL"/>
        </w:rPr>
      </w:pPr>
      <w:r w:rsidRPr="00554FAF">
        <w:rPr>
          <w:b/>
          <w:lang w:val="sq-AL"/>
        </w:rPr>
        <w:t xml:space="preserve">3. Ndikimi i pritur në konkurrueshmëri: </w:t>
      </w:r>
      <w:r w:rsidRPr="00554FAF">
        <w:rPr>
          <w:lang w:val="sq-AL"/>
        </w:rPr>
        <w:t xml:space="preserve">Forcimi i kapaciteteve të shërbimeve publike të punësimit pritet të këtë efekte pozitive në rritjen e konkurrueshmërisë përmes përmirësimit të cilësisë së shkathtësive të punëkërkuesve. Përmirësimi i kapacitetit të Agjencisë së </w:t>
      </w:r>
      <w:r w:rsidR="009F2B01" w:rsidRPr="00554FAF">
        <w:rPr>
          <w:lang w:val="sq-AL"/>
        </w:rPr>
        <w:t>p</w:t>
      </w:r>
      <w:r w:rsidRPr="00554FAF">
        <w:rPr>
          <w:lang w:val="sq-AL"/>
        </w:rPr>
        <w:t>unësimit lidhur me monitorimin dhe vlerësimin e ndikimit të masave aktive të punësimit në krijimin e vendeve të reja të punës pritet t’a përmirësojë cilësinë e politikave të punësimit. Po</w:t>
      </w:r>
      <w:r w:rsidR="009F2B01" w:rsidRPr="00554FAF">
        <w:rPr>
          <w:lang w:val="sq-AL"/>
        </w:rPr>
        <w:t xml:space="preserve"> </w:t>
      </w:r>
      <w:r w:rsidRPr="00554FAF">
        <w:rPr>
          <w:lang w:val="sq-AL"/>
        </w:rPr>
        <w:t xml:space="preserve">ashtu, përshtatja e kurrikulave do të ndikojë në përmirësimin e aftësimit profesional duke rezultuar në harmonizim më të madh të ofertës dhe kërkesës të tregut të punës. Kjo masë pritet të ndikojë në konkurrueshmëri përmes </w:t>
      </w:r>
      <w:r w:rsidRPr="00554FAF">
        <w:rPr>
          <w:i/>
          <w:iCs/>
          <w:lang w:val="sq-AL"/>
        </w:rPr>
        <w:t xml:space="preserve">uljes së normës së papunësisë. </w:t>
      </w:r>
      <w:r w:rsidRPr="00554FAF">
        <w:rPr>
          <w:lang w:val="sq-AL"/>
        </w:rPr>
        <w:t xml:space="preserve">Ne periudhën afatmesme e afatgjatë, masa pritet të rrisë konkurreshmërinë përmes përmirësimit të </w:t>
      </w:r>
      <w:r w:rsidRPr="00554FAF">
        <w:rPr>
          <w:i/>
          <w:iCs/>
          <w:lang w:val="sq-AL"/>
        </w:rPr>
        <w:t xml:space="preserve">bilancit tregtar. </w:t>
      </w:r>
    </w:p>
    <w:p w14:paraId="61291D02" w14:textId="647B0683" w:rsidR="000702CB" w:rsidRPr="00554FAF" w:rsidRDefault="000702CB" w:rsidP="000702CB">
      <w:pPr>
        <w:spacing w:after="60" w:line="240" w:lineRule="auto"/>
        <w:jc w:val="both"/>
        <w:rPr>
          <w:rFonts w:ascii="Times New Roman" w:hAnsi="Times New Roman" w:cs="Times New Roman"/>
          <w:color w:val="1F497D"/>
          <w:sz w:val="24"/>
          <w:szCs w:val="24"/>
        </w:rPr>
      </w:pPr>
      <w:r w:rsidRPr="00554FAF">
        <w:rPr>
          <w:rFonts w:ascii="Times New Roman" w:hAnsi="Times New Roman" w:cs="Times New Roman"/>
          <w:b/>
          <w:sz w:val="24"/>
          <w:szCs w:val="24"/>
        </w:rPr>
        <w:t xml:space="preserve">4. Kostoja e vlerësuar e aktiviteteve dhe burimi i financimit: </w:t>
      </w:r>
      <w:r w:rsidRPr="00554FAF">
        <w:rPr>
          <w:rFonts w:ascii="Times New Roman" w:hAnsi="Times New Roman" w:cs="Times New Roman"/>
          <w:sz w:val="24"/>
          <w:szCs w:val="24"/>
        </w:rPr>
        <w:t xml:space="preserve">Kostoja e përgjithshme për zbatimin e kësaj mase gjatë periudhës 2020-2022 vlerësohet të jetë 15,492,366 EUR. 5,096,344 EUR nga kjo shumë vlerësohet të jetë për vitin 2020, 4,500,000 prej të cilave do të financohen nga buxheti i Kosovës, përderisa pjesa tjetër prej 596.344 EUR nga grante të tjera (EU Project, ALLED2, GIZ). Kostoja e vlerësuar për vitin 2021, do të jetë 5,361,348 EUR, 4,500,000 EUR prej të cilave do të financohen nga buxheti i Kosovës dhe 861,348 EUR nga grante të tjera (EU Project, ALLED2, GIZ). Kostoja e parashikuar për vitin 2022 është 5,034,674 EUR, 4,500,000 EUR prej të cilave do të financohen nga buxheti i Kosovës dhe pjesa tjetër nga 534.674 do të financohet nga grante të tjera (EU Project, ALLED2, GIZ). </w:t>
      </w:r>
    </w:p>
    <w:p w14:paraId="014AB830" w14:textId="0C371376" w:rsidR="000702CB" w:rsidRPr="00554FAF" w:rsidRDefault="000702CB" w:rsidP="000702CB">
      <w:pPr>
        <w:spacing w:after="60" w:line="240" w:lineRule="auto"/>
        <w:jc w:val="both"/>
        <w:rPr>
          <w:rFonts w:ascii="Times New Roman" w:hAnsi="Times New Roman" w:cs="Times New Roman"/>
          <w:b/>
          <w:sz w:val="24"/>
          <w:szCs w:val="24"/>
        </w:rPr>
      </w:pPr>
      <w:r w:rsidRPr="00554FAF">
        <w:rPr>
          <w:rFonts w:ascii="Times New Roman" w:hAnsi="Times New Roman" w:cs="Times New Roman"/>
          <w:b/>
          <w:sz w:val="24"/>
          <w:szCs w:val="24"/>
        </w:rPr>
        <w:t xml:space="preserve">5. Ndikimet e pritshme mbi rezultatet sociale, të tilla si punësimi, reduktimi i varfërisë, barazia gjinore: </w:t>
      </w:r>
      <w:r w:rsidRPr="00554FAF">
        <w:rPr>
          <w:rFonts w:ascii="Times New Roman" w:hAnsi="Times New Roman" w:cs="Times New Roman"/>
          <w:bCs/>
          <w:sz w:val="24"/>
          <w:szCs w:val="24"/>
        </w:rPr>
        <w:t xml:space="preserve">Masa synon përmirësimin e efektshmërisë së shërbimeve publike të punësimit duke u bazuar në ndërtimin e kapaciteteve sipas procesit të rishikimit institucional dhe të shënjëstrimit më të mirë të MATP-ve tek të papunët. </w:t>
      </w:r>
      <w:r w:rsidR="009F2B01" w:rsidRPr="00554FAF">
        <w:rPr>
          <w:rFonts w:ascii="Times New Roman" w:hAnsi="Times New Roman" w:cs="Times New Roman"/>
          <w:bCs/>
          <w:sz w:val="24"/>
          <w:szCs w:val="24"/>
        </w:rPr>
        <w:t>Po ashtu, masa</w:t>
      </w:r>
      <w:r w:rsidRPr="00554FAF">
        <w:rPr>
          <w:rFonts w:ascii="Times New Roman" w:hAnsi="Times New Roman" w:cs="Times New Roman"/>
          <w:bCs/>
          <w:sz w:val="24"/>
          <w:szCs w:val="24"/>
        </w:rPr>
        <w:t xml:space="preserve"> synon krijimin e shkathtësive në profilet deficitare përmes fillimit të zbatimit të modelit të nënkontraktimit të programeve të aftësimit profesional tek ofruesit privatë. Si tërësi, masa pritet të reduktojë përqindjen e lartë të NEET në mesin e të rinjve të moshës 15 – 24. Po</w:t>
      </w:r>
      <w:r w:rsidR="009F2B01" w:rsidRPr="00554FAF">
        <w:rPr>
          <w:rFonts w:ascii="Times New Roman" w:hAnsi="Times New Roman" w:cs="Times New Roman"/>
          <w:bCs/>
          <w:sz w:val="24"/>
          <w:szCs w:val="24"/>
        </w:rPr>
        <w:t xml:space="preserve"> </w:t>
      </w:r>
      <w:r w:rsidRPr="00554FAF">
        <w:rPr>
          <w:rFonts w:ascii="Times New Roman" w:hAnsi="Times New Roman" w:cs="Times New Roman"/>
          <w:bCs/>
          <w:sz w:val="24"/>
          <w:szCs w:val="24"/>
        </w:rPr>
        <w:t xml:space="preserve">ashtu, masa synon ngritjen e veprimeve afirmative në shënjëstrimin e personave nga zonat rurale, duke synuar uljen e pabarazive shoqërore. Personat nga zonat rurale, mesatarisht, kanë shkallë më të lartë të varfërisë.  </w:t>
      </w:r>
    </w:p>
    <w:p w14:paraId="58E70426" w14:textId="7D37E11F" w:rsidR="000702CB" w:rsidRPr="000D752B" w:rsidRDefault="000702CB" w:rsidP="000D752B">
      <w:pPr>
        <w:pStyle w:val="Default"/>
        <w:spacing w:after="60"/>
        <w:rPr>
          <w:lang w:val="sq-AL"/>
        </w:rPr>
      </w:pPr>
      <w:r w:rsidRPr="00554FAF">
        <w:rPr>
          <w:b/>
          <w:lang w:val="sq-AL"/>
        </w:rPr>
        <w:t xml:space="preserve">6. Ndikimi i pritshëm në mjedis: </w:t>
      </w:r>
      <w:r w:rsidRPr="00554FAF">
        <w:rPr>
          <w:lang w:val="sq-AL"/>
        </w:rPr>
        <w:t>Masa do t</w:t>
      </w:r>
      <w:r w:rsidR="000D752B">
        <w:rPr>
          <w:lang w:val="sq-AL"/>
        </w:rPr>
        <w:t xml:space="preserve">ë jetë neutrale ndaj mjedisit. </w:t>
      </w:r>
    </w:p>
    <w:p w14:paraId="31970441" w14:textId="77777777" w:rsidR="000702CB" w:rsidRPr="00554FAF" w:rsidRDefault="000702CB" w:rsidP="000702CB">
      <w:pPr>
        <w:spacing w:after="60" w:line="240" w:lineRule="auto"/>
        <w:jc w:val="both"/>
        <w:rPr>
          <w:rFonts w:ascii="Times New Roman" w:hAnsi="Times New Roman" w:cs="Times New Roman"/>
          <w:b/>
          <w:sz w:val="24"/>
          <w:szCs w:val="24"/>
        </w:rPr>
      </w:pPr>
      <w:r w:rsidRPr="00554FAF">
        <w:rPr>
          <w:rFonts w:ascii="Times New Roman" w:hAnsi="Times New Roman" w:cs="Times New Roman"/>
          <w:b/>
          <w:sz w:val="24"/>
          <w:szCs w:val="24"/>
        </w:rPr>
        <w:t>7. Rreziqet potenciale:</w:t>
      </w:r>
    </w:p>
    <w:tbl>
      <w:tblPr>
        <w:tblStyle w:val="TableGrid"/>
        <w:tblW w:w="9299" w:type="dxa"/>
        <w:tblLayout w:type="fixed"/>
        <w:tblLook w:val="04A0" w:firstRow="1" w:lastRow="0" w:firstColumn="1" w:lastColumn="0" w:noHBand="0" w:noVBand="1"/>
      </w:tblPr>
      <w:tblGrid>
        <w:gridCol w:w="4379"/>
        <w:gridCol w:w="1610"/>
        <w:gridCol w:w="3310"/>
      </w:tblGrid>
      <w:tr w:rsidR="000702CB" w:rsidRPr="00554FAF" w14:paraId="75E04CB2" w14:textId="77777777" w:rsidTr="000D752B">
        <w:trPr>
          <w:trHeight w:val="467"/>
        </w:trPr>
        <w:tc>
          <w:tcPr>
            <w:tcW w:w="4379" w:type="dxa"/>
          </w:tcPr>
          <w:p w14:paraId="098AF6B3" w14:textId="77777777" w:rsidR="000702CB" w:rsidRPr="00554FAF" w:rsidRDefault="000702CB" w:rsidP="000702CB">
            <w:pPr>
              <w:pStyle w:val="Default"/>
              <w:spacing w:after="60"/>
              <w:jc w:val="both"/>
              <w:rPr>
                <w:lang w:val="sq-AL"/>
              </w:rPr>
            </w:pPr>
            <w:r w:rsidRPr="00554FAF">
              <w:rPr>
                <w:b/>
                <w:bCs/>
                <w:lang w:val="sq-AL"/>
              </w:rPr>
              <w:t xml:space="preserve">Rreziku </w:t>
            </w:r>
          </w:p>
        </w:tc>
        <w:tc>
          <w:tcPr>
            <w:tcW w:w="1610" w:type="dxa"/>
          </w:tcPr>
          <w:p w14:paraId="3326F6A3" w14:textId="77777777" w:rsidR="000702CB" w:rsidRPr="00554FAF" w:rsidRDefault="000702CB" w:rsidP="000702CB">
            <w:pPr>
              <w:pStyle w:val="Default"/>
              <w:spacing w:after="60"/>
              <w:ind w:right="-122"/>
              <w:rPr>
                <w:lang w:val="sq-AL"/>
              </w:rPr>
            </w:pPr>
            <w:r w:rsidRPr="00554FAF">
              <w:rPr>
                <w:b/>
                <w:bCs/>
                <w:lang w:val="sq-AL"/>
              </w:rPr>
              <w:t xml:space="preserve">Probabiliteti (i ulët ose i lartë) </w:t>
            </w:r>
          </w:p>
        </w:tc>
        <w:tc>
          <w:tcPr>
            <w:tcW w:w="3310" w:type="dxa"/>
          </w:tcPr>
          <w:p w14:paraId="78D09B3C" w14:textId="77777777" w:rsidR="000702CB" w:rsidRPr="00554FAF" w:rsidRDefault="000702CB" w:rsidP="000702CB">
            <w:pPr>
              <w:pStyle w:val="Default"/>
              <w:spacing w:after="60"/>
              <w:rPr>
                <w:lang w:val="sq-AL"/>
              </w:rPr>
            </w:pPr>
            <w:r w:rsidRPr="00554FAF">
              <w:rPr>
                <w:b/>
                <w:bCs/>
                <w:lang w:val="sq-AL"/>
              </w:rPr>
              <w:t xml:space="preserve">Veprimi lehtësues i planifikuar </w:t>
            </w:r>
          </w:p>
        </w:tc>
      </w:tr>
      <w:tr w:rsidR="000702CB" w:rsidRPr="00554FAF" w14:paraId="127D8852" w14:textId="77777777" w:rsidTr="003A7429">
        <w:trPr>
          <w:trHeight w:val="841"/>
        </w:trPr>
        <w:tc>
          <w:tcPr>
            <w:tcW w:w="4379" w:type="dxa"/>
          </w:tcPr>
          <w:p w14:paraId="38EB4B44" w14:textId="37F25688" w:rsidR="000702CB" w:rsidRPr="00554FAF" w:rsidRDefault="000702CB" w:rsidP="00802FB3">
            <w:pPr>
              <w:pStyle w:val="Default"/>
              <w:numPr>
                <w:ilvl w:val="0"/>
                <w:numId w:val="23"/>
              </w:numPr>
              <w:spacing w:after="60"/>
              <w:jc w:val="both"/>
              <w:rPr>
                <w:lang w:val="sq-AL"/>
              </w:rPr>
            </w:pPr>
            <w:r w:rsidRPr="00554FAF">
              <w:rPr>
                <w:lang w:val="sq-AL"/>
              </w:rPr>
              <w:t xml:space="preserve">Mosrishikimi dhe mosmiratimi i Ligjit të </w:t>
            </w:r>
            <w:r w:rsidR="009F2B01" w:rsidRPr="00554FAF">
              <w:rPr>
                <w:lang w:val="sq-AL"/>
              </w:rPr>
              <w:t>p</w:t>
            </w:r>
            <w:r w:rsidRPr="00554FAF">
              <w:rPr>
                <w:lang w:val="sq-AL"/>
              </w:rPr>
              <w:t>unës.</w:t>
            </w:r>
          </w:p>
        </w:tc>
        <w:tc>
          <w:tcPr>
            <w:tcW w:w="1610" w:type="dxa"/>
          </w:tcPr>
          <w:p w14:paraId="35B33A42" w14:textId="77777777" w:rsidR="000702CB" w:rsidRPr="00554FAF" w:rsidRDefault="000702CB" w:rsidP="000702CB">
            <w:pPr>
              <w:pStyle w:val="Default"/>
              <w:spacing w:after="60"/>
              <w:jc w:val="both"/>
              <w:rPr>
                <w:lang w:val="sq-AL"/>
              </w:rPr>
            </w:pPr>
            <w:r w:rsidRPr="00554FAF">
              <w:rPr>
                <w:lang w:val="sq-AL"/>
              </w:rPr>
              <w:t xml:space="preserve">I ulët </w:t>
            </w:r>
          </w:p>
        </w:tc>
        <w:tc>
          <w:tcPr>
            <w:tcW w:w="3310" w:type="dxa"/>
          </w:tcPr>
          <w:p w14:paraId="37CEC58D" w14:textId="77777777" w:rsidR="000702CB" w:rsidRPr="00554FAF" w:rsidRDefault="000702CB" w:rsidP="000702CB">
            <w:pPr>
              <w:pStyle w:val="Default"/>
              <w:spacing w:after="60"/>
              <w:jc w:val="both"/>
              <w:rPr>
                <w:lang w:val="sq-AL"/>
              </w:rPr>
            </w:pPr>
            <w:r w:rsidRPr="00554FAF">
              <w:rPr>
                <w:lang w:val="sq-AL"/>
              </w:rPr>
              <w:t>Inkuadrimi i draft ligjit n</w:t>
            </w:r>
            <w:r w:rsidRPr="00554FAF">
              <w:rPr>
                <w:bCs/>
                <w:lang w:val="sq-AL"/>
              </w:rPr>
              <w:t>ë agjendën legjislative dhe riprocedimi në Kuvend</w:t>
            </w:r>
          </w:p>
        </w:tc>
      </w:tr>
      <w:tr w:rsidR="000702CB" w:rsidRPr="00554FAF" w14:paraId="7AC6E72E" w14:textId="77777777" w:rsidTr="003A7429">
        <w:trPr>
          <w:trHeight w:val="1122"/>
        </w:trPr>
        <w:tc>
          <w:tcPr>
            <w:tcW w:w="4379" w:type="dxa"/>
          </w:tcPr>
          <w:p w14:paraId="74E359F3" w14:textId="6895D165" w:rsidR="000702CB" w:rsidRPr="00554FAF" w:rsidRDefault="009D102F" w:rsidP="00802FB3">
            <w:pPr>
              <w:pStyle w:val="Default"/>
              <w:numPr>
                <w:ilvl w:val="0"/>
                <w:numId w:val="23"/>
              </w:numPr>
              <w:spacing w:after="60"/>
              <w:jc w:val="both"/>
              <w:rPr>
                <w:lang w:val="sq-AL"/>
              </w:rPr>
            </w:pPr>
            <w:r w:rsidRPr="00554FAF">
              <w:rPr>
                <w:lang w:val="sq-AL"/>
              </w:rPr>
              <w:t>Mungesa e prioriti</w:t>
            </w:r>
            <w:r w:rsidR="000702CB" w:rsidRPr="00554FAF">
              <w:rPr>
                <w:lang w:val="sq-AL"/>
              </w:rPr>
              <w:t>zimit dhe zbatimit të gjetjeve t</w:t>
            </w:r>
            <w:r w:rsidR="000702CB" w:rsidRPr="00554FAF">
              <w:rPr>
                <w:bCs/>
                <w:lang w:val="sq-AL"/>
              </w:rPr>
              <w:t>ë rishikimit funksional të APRK-së</w:t>
            </w:r>
          </w:p>
        </w:tc>
        <w:tc>
          <w:tcPr>
            <w:tcW w:w="1610" w:type="dxa"/>
          </w:tcPr>
          <w:p w14:paraId="50FEA6E7" w14:textId="77777777" w:rsidR="000702CB" w:rsidRPr="00554FAF" w:rsidRDefault="000702CB" w:rsidP="000702CB">
            <w:pPr>
              <w:pStyle w:val="Default"/>
              <w:spacing w:after="60"/>
              <w:jc w:val="both"/>
              <w:rPr>
                <w:lang w:val="sq-AL"/>
              </w:rPr>
            </w:pPr>
            <w:r w:rsidRPr="00554FAF">
              <w:rPr>
                <w:lang w:val="sq-AL"/>
              </w:rPr>
              <w:t>I lart</w:t>
            </w:r>
            <w:r w:rsidRPr="00554FAF">
              <w:rPr>
                <w:bCs/>
                <w:lang w:val="sq-AL"/>
              </w:rPr>
              <w:t>ë</w:t>
            </w:r>
          </w:p>
        </w:tc>
        <w:tc>
          <w:tcPr>
            <w:tcW w:w="3310" w:type="dxa"/>
          </w:tcPr>
          <w:p w14:paraId="5455CDD9" w14:textId="77777777" w:rsidR="000702CB" w:rsidRPr="00554FAF" w:rsidRDefault="000702CB" w:rsidP="000702CB">
            <w:pPr>
              <w:pStyle w:val="Default"/>
              <w:spacing w:after="60"/>
              <w:jc w:val="both"/>
              <w:rPr>
                <w:lang w:val="sq-AL"/>
              </w:rPr>
            </w:pPr>
            <w:r w:rsidRPr="00554FAF">
              <w:rPr>
                <w:lang w:val="sq-AL"/>
              </w:rPr>
              <w:t>Kostimi real i gjetjeve t</w:t>
            </w:r>
            <w:r w:rsidRPr="00554FAF">
              <w:rPr>
                <w:bCs/>
                <w:lang w:val="sq-AL"/>
              </w:rPr>
              <w:t>ë rishikimit funksional dhe buxhetimi i aktiviteteve që rezultojnë nga ky rishikim</w:t>
            </w:r>
          </w:p>
        </w:tc>
      </w:tr>
    </w:tbl>
    <w:p w14:paraId="3B9FB863" w14:textId="77777777" w:rsidR="000702CB" w:rsidRPr="00554FAF" w:rsidRDefault="000702CB" w:rsidP="000702CB">
      <w:pPr>
        <w:spacing w:after="60" w:line="240" w:lineRule="auto"/>
        <w:jc w:val="both"/>
        <w:rPr>
          <w:rFonts w:ascii="Times New Roman" w:hAnsi="Times New Roman" w:cs="Times New Roman"/>
          <w:sz w:val="24"/>
          <w:szCs w:val="24"/>
        </w:rPr>
      </w:pPr>
      <w:bookmarkStart w:id="215" w:name="_bookmark30"/>
      <w:bookmarkEnd w:id="215"/>
      <w:r w:rsidRPr="00554FAF">
        <w:rPr>
          <w:rFonts w:ascii="Times New Roman" w:hAnsi="Times New Roman" w:cs="Times New Roman"/>
          <w:sz w:val="24"/>
          <w:szCs w:val="24"/>
        </w:rPr>
        <w:t xml:space="preserve"> </w:t>
      </w:r>
    </w:p>
    <w:p w14:paraId="4828B243" w14:textId="77777777" w:rsidR="000702CB" w:rsidRPr="00FC648F" w:rsidRDefault="000702CB" w:rsidP="00085F16">
      <w:pPr>
        <w:pStyle w:val="ERPL3"/>
        <w:rPr>
          <w:lang w:val="sq-AL"/>
        </w:rPr>
      </w:pPr>
      <w:bookmarkStart w:id="216" w:name="_Toc13127899"/>
      <w:bookmarkStart w:id="217" w:name="_Toc25533249"/>
      <w:bookmarkStart w:id="218" w:name="_Toc25873755"/>
      <w:r w:rsidRPr="00FC648F">
        <w:rPr>
          <w:lang w:val="sq-AL"/>
        </w:rPr>
        <w:t>4.3.8.  Përfshirja sociale, ulja e varfërisë dhe mundësitë e barabarta</w:t>
      </w:r>
      <w:bookmarkEnd w:id="216"/>
      <w:bookmarkEnd w:id="217"/>
      <w:bookmarkEnd w:id="218"/>
    </w:p>
    <w:p w14:paraId="4E735694" w14:textId="140AF070" w:rsidR="009F2B01" w:rsidRPr="00554FAF" w:rsidRDefault="009F2B01" w:rsidP="000702CB">
      <w:pPr>
        <w:spacing w:after="60" w:line="240" w:lineRule="auto"/>
        <w:jc w:val="both"/>
        <w:rPr>
          <w:rFonts w:ascii="Times New Roman" w:hAnsi="Times New Roman" w:cs="Times New Roman"/>
          <w:b/>
          <w:sz w:val="24"/>
          <w:szCs w:val="24"/>
        </w:rPr>
      </w:pPr>
      <w:r w:rsidRPr="00554FAF">
        <w:rPr>
          <w:rFonts w:ascii="Times New Roman" w:hAnsi="Times New Roman" w:cs="Times New Roman"/>
          <w:b/>
          <w:sz w:val="24"/>
          <w:szCs w:val="24"/>
        </w:rPr>
        <w:t xml:space="preserve">a. </w:t>
      </w:r>
      <w:r w:rsidR="000702CB" w:rsidRPr="00554FAF">
        <w:rPr>
          <w:rFonts w:ascii="Times New Roman" w:hAnsi="Times New Roman" w:cs="Times New Roman"/>
          <w:b/>
          <w:sz w:val="24"/>
          <w:szCs w:val="24"/>
        </w:rPr>
        <w:t>Analiza e pengesave kryesore</w:t>
      </w:r>
      <w:r w:rsidRPr="00554FAF">
        <w:rPr>
          <w:rFonts w:ascii="Times New Roman" w:hAnsi="Times New Roman" w:cs="Times New Roman"/>
          <w:b/>
          <w:sz w:val="24"/>
          <w:szCs w:val="24"/>
        </w:rPr>
        <w:t>:</w:t>
      </w:r>
    </w:p>
    <w:p w14:paraId="5C4B802A" w14:textId="568F057A" w:rsidR="000702CB" w:rsidRPr="00554FAF" w:rsidRDefault="009F2B01"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b/>
          <w:sz w:val="24"/>
          <w:szCs w:val="24"/>
        </w:rPr>
        <w:t>Gjendja aktuale:</w:t>
      </w:r>
      <w:r w:rsidRPr="00554FAF">
        <w:rPr>
          <w:rFonts w:ascii="Times New Roman" w:hAnsi="Times New Roman" w:cs="Times New Roman"/>
          <w:sz w:val="24"/>
          <w:szCs w:val="24"/>
        </w:rPr>
        <w:t xml:space="preserve"> </w:t>
      </w:r>
      <w:r w:rsidR="000702CB" w:rsidRPr="00554FAF">
        <w:rPr>
          <w:rFonts w:ascii="Times New Roman" w:hAnsi="Times New Roman" w:cs="Times New Roman"/>
          <w:sz w:val="24"/>
          <w:szCs w:val="24"/>
        </w:rPr>
        <w:t xml:space="preserve">Kosova synon një shtet të mirëqenies sociale në të cilin qytetarëve duhet t’u ofrohet një rrjet sigurie i cili në thelb është bazë për një demokraci të qëndrueshme.  </w:t>
      </w:r>
      <w:r w:rsidRPr="00554FAF">
        <w:rPr>
          <w:rFonts w:ascii="Times New Roman" w:hAnsi="Times New Roman" w:cs="Times New Roman"/>
          <w:sz w:val="24"/>
          <w:szCs w:val="24"/>
        </w:rPr>
        <w:t xml:space="preserve">Mirëpo, përderisa  </w:t>
      </w:r>
      <w:r w:rsidR="000702CB" w:rsidRPr="00554FAF">
        <w:rPr>
          <w:rFonts w:ascii="Times New Roman" w:hAnsi="Times New Roman" w:cs="Times New Roman"/>
          <w:sz w:val="24"/>
          <w:szCs w:val="24"/>
        </w:rPr>
        <w:t xml:space="preserve">qëllimi është një shtet i aftë dhe i gatshëm për të përmbushur detyrat dhe detyrimet e tij ndaj shtetasve, mbeten ende pengesa të konsiderueshme që lidhen me uljen e varfërisë, reduktimin e pabarazisë dhe ofrimin e mundësive të barabarta nëpërmjet përfshirjes sociale të grupeve të cenueshme. </w:t>
      </w:r>
    </w:p>
    <w:p w14:paraId="5780C491" w14:textId="4F4FF4F7" w:rsidR="000702CB" w:rsidRPr="00554FAF" w:rsidRDefault="000702CB"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sz w:val="24"/>
          <w:szCs w:val="24"/>
        </w:rPr>
        <w:t xml:space="preserve">Varfëria mbetet një nga problemet më të </w:t>
      </w:r>
      <w:r w:rsidR="009F2B01" w:rsidRPr="00554FAF">
        <w:rPr>
          <w:rFonts w:ascii="Times New Roman" w:hAnsi="Times New Roman" w:cs="Times New Roman"/>
          <w:sz w:val="24"/>
          <w:szCs w:val="24"/>
        </w:rPr>
        <w:t xml:space="preserve">theksuara </w:t>
      </w:r>
      <w:r w:rsidRPr="00554FAF">
        <w:rPr>
          <w:rFonts w:ascii="Times New Roman" w:hAnsi="Times New Roman" w:cs="Times New Roman"/>
          <w:sz w:val="24"/>
          <w:szCs w:val="24"/>
        </w:rPr>
        <w:t xml:space="preserve">në Kosovë.  Rezultatet e Anketës së </w:t>
      </w:r>
      <w:r w:rsidR="009F2B01" w:rsidRPr="00554FAF">
        <w:rPr>
          <w:rFonts w:ascii="Times New Roman" w:hAnsi="Times New Roman" w:cs="Times New Roman"/>
          <w:sz w:val="24"/>
          <w:szCs w:val="24"/>
        </w:rPr>
        <w:t>b</w:t>
      </w:r>
      <w:r w:rsidRPr="00554FAF">
        <w:rPr>
          <w:rFonts w:ascii="Times New Roman" w:hAnsi="Times New Roman" w:cs="Times New Roman"/>
          <w:sz w:val="24"/>
          <w:szCs w:val="24"/>
        </w:rPr>
        <w:t xml:space="preserve">uxhetit të </w:t>
      </w:r>
      <w:r w:rsidR="009F2B01" w:rsidRPr="00554FAF">
        <w:rPr>
          <w:rFonts w:ascii="Times New Roman" w:hAnsi="Times New Roman" w:cs="Times New Roman"/>
          <w:sz w:val="24"/>
          <w:szCs w:val="24"/>
        </w:rPr>
        <w:t>e</w:t>
      </w:r>
      <w:r w:rsidRPr="00554FAF">
        <w:rPr>
          <w:rFonts w:ascii="Times New Roman" w:hAnsi="Times New Roman" w:cs="Times New Roman"/>
          <w:sz w:val="24"/>
          <w:szCs w:val="24"/>
        </w:rPr>
        <w:t xml:space="preserve">konomive </w:t>
      </w:r>
      <w:r w:rsidR="009F2B01" w:rsidRPr="00554FAF">
        <w:rPr>
          <w:rFonts w:ascii="Times New Roman" w:hAnsi="Times New Roman" w:cs="Times New Roman"/>
          <w:sz w:val="24"/>
          <w:szCs w:val="24"/>
        </w:rPr>
        <w:t>f</w:t>
      </w:r>
      <w:r w:rsidRPr="00554FAF">
        <w:rPr>
          <w:rFonts w:ascii="Times New Roman" w:hAnsi="Times New Roman" w:cs="Times New Roman"/>
          <w:sz w:val="24"/>
          <w:szCs w:val="24"/>
        </w:rPr>
        <w:t>amiljare (ABEF) të vitit 2017</w:t>
      </w:r>
      <w:r w:rsidR="009F2B01" w:rsidRPr="00554FAF">
        <w:rPr>
          <w:rFonts w:ascii="Times New Roman" w:hAnsi="Times New Roman" w:cs="Times New Roman"/>
          <w:sz w:val="24"/>
          <w:szCs w:val="24"/>
        </w:rPr>
        <w:t>,</w:t>
      </w:r>
      <w:r w:rsidRPr="00554FAF">
        <w:rPr>
          <w:rFonts w:ascii="Times New Roman" w:hAnsi="Times New Roman" w:cs="Times New Roman"/>
          <w:sz w:val="24"/>
          <w:szCs w:val="24"/>
        </w:rPr>
        <w:t xml:space="preserve"> tregojnë se 18% e popullsisë së Kosovës jeton nën kufirin e varfërisë me më pak se 1.82 EUR në ditë, dhe 5.1% e popullsisë jetojnë nën kufirin e varfërisë ekstreme me më pak se 1.32 EUR në ditë.</w:t>
      </w:r>
      <w:r w:rsidRPr="00554FAF">
        <w:rPr>
          <w:rStyle w:val="FootnoteReference"/>
          <w:rFonts w:ascii="Times New Roman" w:hAnsi="Times New Roman" w:cs="Times New Roman"/>
          <w:sz w:val="24"/>
          <w:szCs w:val="24"/>
        </w:rPr>
        <w:footnoteReference w:id="48"/>
      </w:r>
      <w:r w:rsidRPr="00554FAF">
        <w:rPr>
          <w:rFonts w:ascii="Times New Roman" w:hAnsi="Times New Roman" w:cs="Times New Roman"/>
          <w:sz w:val="24"/>
          <w:szCs w:val="24"/>
        </w:rPr>
        <w:t xml:space="preserve"> Sipas ASK-së, thellësia e varfërisë ka shënuar rënie nga viti 2012 në vitin 2013, rritje në vitin 2014 dhe përsëri rënie në vitin 2015. </w:t>
      </w:r>
    </w:p>
    <w:p w14:paraId="0201CB71" w14:textId="77777777" w:rsidR="000702CB" w:rsidRPr="00554FAF" w:rsidRDefault="000702CB"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sz w:val="24"/>
          <w:szCs w:val="24"/>
        </w:rPr>
        <w:t xml:space="preserve">Thellësia e varfërisë është më e lartë në vendbanimet rurale ndërsa varfëria e skajshme është më e lartë në zonat urbane.  Në vitin 2017, shpërndarja e të varfërve sipas zonave të banimit ishte 64.8% e të varfërve jetonin në zona rurale, dhe 35.2% në zonat urbane. </w:t>
      </w:r>
    </w:p>
    <w:p w14:paraId="19E65C95" w14:textId="5F8399DF" w:rsidR="000702CB" w:rsidRPr="00554FAF" w:rsidRDefault="000702CB"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sz w:val="24"/>
          <w:szCs w:val="24"/>
        </w:rPr>
        <w:t>Familjet më të prekura nga varfëria janë ato te cilat si burim kryesor të të hyrave kanë ndihmën  sociale, pensionet dhe punën me kontratë. Të dhënat e ABEF për vitin 2017 krahasuar me 2016 tregojnë se nuk ka ndryshim të përqindjes së familjeve ku burimi kryesor i të hyrave janë  ndihma sociale dhe pensionet. Kështu sa i përket burimit të të hyrave, ndihma sociale është burim per 3% të familjeve të anketuara, ndërsa për 12% të familjeve burimi i të hyrave janë pensionet.  Varfëria absolute është e ngjashme midis burrave (17.2%) dhe grave (18.0%) por është më e lartë për familjet me një kryefamiljare femër (23,7%). Varfëria është e lidhur ngushtë me përjashtimin social.</w:t>
      </w:r>
      <w:r w:rsidR="009D102F" w:rsidRPr="00554FAF">
        <w:rPr>
          <w:rFonts w:ascii="Times New Roman" w:hAnsi="Times New Roman" w:cs="Times New Roman"/>
          <w:sz w:val="24"/>
          <w:szCs w:val="24"/>
        </w:rPr>
        <w:t xml:space="preserve"> Rreth 42 % e familjeve të varf</w:t>
      </w:r>
      <w:r w:rsidRPr="00554FAF">
        <w:rPr>
          <w:rFonts w:ascii="Times New Roman" w:hAnsi="Times New Roman" w:cs="Times New Roman"/>
          <w:sz w:val="24"/>
          <w:szCs w:val="24"/>
        </w:rPr>
        <w:t xml:space="preserve">ra përballen me mungesa të shërbimeve publike sociale krahasuar me 36 % e familjeve me një nivel më të mirë ekonomik.  </w:t>
      </w:r>
    </w:p>
    <w:p w14:paraId="357A9241" w14:textId="77777777" w:rsidR="000702CB" w:rsidRPr="00554FAF" w:rsidRDefault="000702CB"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sz w:val="24"/>
          <w:szCs w:val="24"/>
        </w:rPr>
        <w:t xml:space="preserve">Shpenzimet publike për mbrojtjen sociale përfshirë pensionet dhe skemën e ndihmës sociale janë rritur nga 3.6% e PBB-së në vitin 2009 në 6.1% në vitin 2016. Si pjesë e shpenzimeve totale publike, shpenzimet e mbrojtjes sociale u rritën nga 12.7% në 2009 në 21.7 % në vitin 2016. </w:t>
      </w:r>
    </w:p>
    <w:p w14:paraId="3A499517" w14:textId="77777777" w:rsidR="000702CB" w:rsidRPr="00554FAF" w:rsidRDefault="000702CB"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sz w:val="24"/>
          <w:szCs w:val="24"/>
        </w:rPr>
        <w:t>Niveli i lartë i varfërisë rrit kostot e sistemit të mirëqenies dhe angazhon kapital financiar dhe njerëzor për funksionalizimin e skemave të mbrojtjes sociale. Po kështu edhe një sistem joefikas shëndetësor ka ndikim negativ në perspektivat e rritjes ekonomike, pasi shpenzimet e larta, krijojnë barra të panevojshme të buxhetit të shtetit. Sipas të dhënave të ASK</w:t>
      </w:r>
      <w:r w:rsidRPr="00554FAF">
        <w:rPr>
          <w:rStyle w:val="FootnoteReference"/>
          <w:rFonts w:ascii="Times New Roman" w:hAnsi="Times New Roman" w:cs="Times New Roman"/>
          <w:sz w:val="24"/>
          <w:szCs w:val="24"/>
        </w:rPr>
        <w:footnoteReference w:id="49"/>
      </w:r>
      <w:r w:rsidRPr="00554FAF">
        <w:rPr>
          <w:rFonts w:ascii="Times New Roman" w:hAnsi="Times New Roman" w:cs="Times New Roman"/>
          <w:sz w:val="24"/>
          <w:szCs w:val="24"/>
        </w:rPr>
        <w:t>, nga skema e ndihmës sociale kanë përfituar 24,767 familje me gjithsej 100,995 anëtarë,  të cilët kanë përfituar rreth 7,957,889.50 Euro.</w:t>
      </w:r>
    </w:p>
    <w:p w14:paraId="33E96627" w14:textId="77777777" w:rsidR="000702CB" w:rsidRPr="00554FAF" w:rsidRDefault="000702CB" w:rsidP="000702CB">
      <w:pPr>
        <w:spacing w:after="60" w:line="240" w:lineRule="auto"/>
        <w:jc w:val="both"/>
        <w:rPr>
          <w:rFonts w:ascii="Times New Roman" w:hAnsi="Times New Roman" w:cs="Times New Roman"/>
          <w:color w:val="000000" w:themeColor="text1"/>
          <w:sz w:val="24"/>
          <w:szCs w:val="24"/>
        </w:rPr>
      </w:pPr>
      <w:r w:rsidRPr="00554FAF">
        <w:rPr>
          <w:rFonts w:ascii="Times New Roman" w:hAnsi="Times New Roman" w:cs="Times New Roman"/>
          <w:sz w:val="24"/>
          <w:szCs w:val="24"/>
        </w:rPr>
        <w:t xml:space="preserve">Numri i qytetarëve dhe familjeve që kanë nevojë për mbrojtje sociale, kujdes shëndetësor dhe shërbime sociale, vazhdon të mbetet i lartë. Si sfidë mbetet mirëmbajtja dhe përmirësimi i sistemit të mbrojtjes sociale dhe kujdesit shëndetësor, sinkronizimi i politikave të mbështetjes sociale, përmirësimi i kornizës ligjore dhe ngritja e kapaciteteve njerëzore dhe institucionale për </w:t>
      </w:r>
      <w:r w:rsidRPr="00554FAF">
        <w:rPr>
          <w:rFonts w:ascii="Times New Roman" w:hAnsi="Times New Roman" w:cs="Times New Roman"/>
          <w:color w:val="000000" w:themeColor="text1"/>
          <w:sz w:val="24"/>
          <w:szCs w:val="24"/>
        </w:rPr>
        <w:t xml:space="preserve">ofrimin e shërbimeve adekuate dhe sipas nevojave të qytetarëve. </w:t>
      </w:r>
    </w:p>
    <w:p w14:paraId="1C00B4FF" w14:textId="64ABE2B8" w:rsidR="000702CB" w:rsidRPr="00554FAF" w:rsidRDefault="000702CB" w:rsidP="000702CB">
      <w:pPr>
        <w:spacing w:after="60" w:line="240" w:lineRule="auto"/>
        <w:jc w:val="both"/>
        <w:rPr>
          <w:rFonts w:ascii="Times New Roman" w:hAnsi="Times New Roman" w:cs="Times New Roman"/>
          <w:color w:val="000000" w:themeColor="text1"/>
          <w:sz w:val="24"/>
          <w:szCs w:val="24"/>
        </w:rPr>
      </w:pPr>
      <w:r w:rsidRPr="00554FAF">
        <w:rPr>
          <w:rFonts w:ascii="Times New Roman" w:hAnsi="Times New Roman" w:cs="Times New Roman"/>
          <w:color w:val="000000" w:themeColor="text1"/>
          <w:sz w:val="24"/>
          <w:szCs w:val="24"/>
        </w:rPr>
        <w:t>Kosova aktualisht nuk ofron sigurim shëndetësor universal. Pagesa nga buxheti familjar  për shërbimet shëndetësore është e lartë. Supozohet se pothuajse 1/3 e popullatës nuk kanë qasje të lehtë në kujdesin shëndetësor, ose kanë qasje të kufizuar për shkak të mungesës së aftësisë së ulët paguesve. Vlerësohet se 18% e popullatës nuk kërkon shërbime edhe në rast të  sëmundjes, për shkaqe ekonomike. Kosova ka një sistem shëndetësor publik të jo të financuar mirë</w:t>
      </w:r>
      <w:r w:rsidR="009F2B01" w:rsidRPr="00554FAF">
        <w:rPr>
          <w:rFonts w:ascii="Times New Roman" w:hAnsi="Times New Roman" w:cs="Times New Roman"/>
          <w:color w:val="000000" w:themeColor="text1"/>
          <w:sz w:val="24"/>
          <w:szCs w:val="24"/>
        </w:rPr>
        <w:t>.</w:t>
      </w:r>
      <w:r w:rsidRPr="00554FAF">
        <w:rPr>
          <w:rFonts w:ascii="Times New Roman" w:hAnsi="Times New Roman" w:cs="Times New Roman"/>
          <w:color w:val="000000" w:themeColor="text1"/>
          <w:sz w:val="24"/>
          <w:szCs w:val="24"/>
        </w:rPr>
        <w:t xml:space="preserve"> </w:t>
      </w:r>
      <w:r w:rsidR="009F2B01" w:rsidRPr="00554FAF">
        <w:rPr>
          <w:rFonts w:ascii="Times New Roman" w:hAnsi="Times New Roman" w:cs="Times New Roman"/>
          <w:color w:val="000000" w:themeColor="text1"/>
          <w:sz w:val="24"/>
          <w:szCs w:val="24"/>
        </w:rPr>
        <w:t>B</w:t>
      </w:r>
      <w:r w:rsidRPr="00554FAF">
        <w:rPr>
          <w:rFonts w:ascii="Times New Roman" w:hAnsi="Times New Roman" w:cs="Times New Roman"/>
          <w:color w:val="000000" w:themeColor="text1"/>
          <w:sz w:val="24"/>
          <w:szCs w:val="24"/>
        </w:rPr>
        <w:t xml:space="preserve">azuar në klasifikimin e shpenzimeve të COFOG, shpenzimet e përgjithshme për shëndetësi arritën në 2.8% të PBB-së në vitin 2015, e cila është e ulët krahasuar me mesataren e BE prej 7.2%. </w:t>
      </w:r>
    </w:p>
    <w:p w14:paraId="622C5168" w14:textId="32998404" w:rsidR="000702CB" w:rsidRPr="00554FAF" w:rsidRDefault="000702CB"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sz w:val="24"/>
          <w:szCs w:val="24"/>
        </w:rPr>
        <w:t>Analiza e të dhënave të shkaqeve të vdekjes gjatë viteve 2006-2011, ka treguar që sëmundjet malinje paraqesin shkakun e dytë të vdekshmërisë dhe kanë shënuar trend të rritjes</w:t>
      </w:r>
      <w:r w:rsidRPr="00554FAF">
        <w:rPr>
          <w:rFonts w:ascii="Times New Roman" w:hAnsi="Times New Roman" w:cs="Times New Roman"/>
          <w:sz w:val="24"/>
          <w:szCs w:val="24"/>
        </w:rPr>
        <w:footnoteReference w:id="50"/>
      </w:r>
      <w:r w:rsidRPr="00554FAF">
        <w:rPr>
          <w:rFonts w:ascii="Times New Roman" w:hAnsi="Times New Roman" w:cs="Times New Roman"/>
          <w:sz w:val="24"/>
          <w:szCs w:val="24"/>
        </w:rPr>
        <w:t>. Statistikat e shëndetësisë, tregojnë se rastet e reja të raportuara për sëmundjet malinje dhe beninje në vitin 2018</w:t>
      </w:r>
      <w:r w:rsidRPr="00554FAF">
        <w:rPr>
          <w:rFonts w:ascii="Times New Roman" w:hAnsi="Times New Roman" w:cs="Times New Roman"/>
          <w:sz w:val="24"/>
          <w:szCs w:val="24"/>
        </w:rPr>
        <w:footnoteReference w:id="51"/>
      </w:r>
      <w:r w:rsidRPr="00554FAF">
        <w:rPr>
          <w:rFonts w:ascii="Times New Roman" w:hAnsi="Times New Roman" w:cs="Times New Roman"/>
          <w:sz w:val="24"/>
          <w:szCs w:val="24"/>
        </w:rPr>
        <w:t xml:space="preserve"> janë 2,475 raste. Nga këto 1,365 raste janë te </w:t>
      </w:r>
      <w:r w:rsidR="009D102F" w:rsidRPr="00554FAF">
        <w:rPr>
          <w:rFonts w:ascii="Times New Roman" w:hAnsi="Times New Roman" w:cs="Times New Roman"/>
          <w:sz w:val="24"/>
          <w:szCs w:val="24"/>
        </w:rPr>
        <w:t>grup moshës</w:t>
      </w:r>
      <w:r w:rsidRPr="00554FAF">
        <w:rPr>
          <w:rFonts w:ascii="Times New Roman" w:hAnsi="Times New Roman" w:cs="Times New Roman"/>
          <w:sz w:val="24"/>
          <w:szCs w:val="24"/>
        </w:rPr>
        <w:t xml:space="preserve"> mbi 60 vjeç. ABEF per vitin 2017, tregon se shpenzimet familjare për shëndetësinë sidomos n</w:t>
      </w:r>
      <w:r w:rsidR="009F2B01" w:rsidRPr="00554FAF">
        <w:rPr>
          <w:rFonts w:ascii="Times New Roman" w:hAnsi="Times New Roman" w:cs="Times New Roman"/>
          <w:sz w:val="24"/>
          <w:szCs w:val="24"/>
        </w:rPr>
        <w:t>ë</w:t>
      </w:r>
      <w:r w:rsidRPr="00554FAF">
        <w:rPr>
          <w:rFonts w:ascii="Times New Roman" w:hAnsi="Times New Roman" w:cs="Times New Roman"/>
          <w:sz w:val="24"/>
          <w:szCs w:val="24"/>
        </w:rPr>
        <w:t xml:space="preserve"> zonat urbane në vitin 2017 krahasuar me vitin 2016, kanë pasur një rritje domethënëse me 33%. </w:t>
      </w:r>
    </w:p>
    <w:p w14:paraId="593BFA84" w14:textId="6827D0C6" w:rsidR="000702CB" w:rsidRPr="00554FAF" w:rsidRDefault="000702CB" w:rsidP="000702CB">
      <w:pPr>
        <w:spacing w:after="60" w:line="240" w:lineRule="auto"/>
        <w:jc w:val="both"/>
        <w:rPr>
          <w:rFonts w:ascii="Times New Roman" w:hAnsi="Times New Roman" w:cs="Times New Roman"/>
          <w:sz w:val="24"/>
          <w:szCs w:val="24"/>
        </w:rPr>
      </w:pPr>
      <w:r w:rsidRPr="00554FAF">
        <w:rPr>
          <w:rFonts w:ascii="Times New Roman" w:hAnsi="Times New Roman" w:cs="Times New Roman"/>
          <w:b/>
          <w:sz w:val="24"/>
          <w:szCs w:val="24"/>
        </w:rPr>
        <w:t>Pengesat dhe problemet kryesore strukturore:</w:t>
      </w:r>
      <w:r w:rsidRPr="00554FAF">
        <w:rPr>
          <w:rFonts w:ascii="Times New Roman" w:hAnsi="Times New Roman" w:cs="Times New Roman"/>
          <w:sz w:val="24"/>
          <w:szCs w:val="24"/>
        </w:rPr>
        <w:t xml:space="preserve"> Pamjaftueshmëria e skemës se ndihmës sociale që shprehet me mbulimin e ulët për vetëm një të tretën e familjeve që ndodhen në kuintalin e poshtëm  si edhe me  nivelin e ulët të përfitimi</w:t>
      </w:r>
      <w:r w:rsidR="004947AC" w:rsidRPr="00554FAF">
        <w:rPr>
          <w:rFonts w:ascii="Times New Roman" w:hAnsi="Times New Roman" w:cs="Times New Roman"/>
          <w:sz w:val="24"/>
          <w:szCs w:val="24"/>
        </w:rPr>
        <w:t>.</w:t>
      </w:r>
      <w:r w:rsidRPr="00554FAF">
        <w:rPr>
          <w:rFonts w:ascii="Times New Roman" w:hAnsi="Times New Roman" w:cs="Times New Roman"/>
          <w:sz w:val="24"/>
          <w:szCs w:val="24"/>
        </w:rPr>
        <w:t xml:space="preserve"> Aktet nënligjore dhe rregulloret shpesh janë në kundërshtim me njëra tjetrën, duke paraqitur dispozita kontradiktore</w:t>
      </w:r>
      <w:r w:rsidR="004947AC" w:rsidRPr="00554FAF">
        <w:rPr>
          <w:rFonts w:ascii="Times New Roman" w:hAnsi="Times New Roman" w:cs="Times New Roman"/>
          <w:sz w:val="24"/>
          <w:szCs w:val="24"/>
        </w:rPr>
        <w:t>.</w:t>
      </w:r>
      <w:r w:rsidRPr="00554FAF">
        <w:rPr>
          <w:rFonts w:ascii="Times New Roman" w:hAnsi="Times New Roman" w:cs="Times New Roman"/>
          <w:sz w:val="24"/>
          <w:szCs w:val="24"/>
        </w:rPr>
        <w:t xml:space="preserve"> Mungesa  e politikave sociale gjithëpërfshirëse e cila çon në mbivendosje te trajtimeve të individëve nga skemat e ndryshme</w:t>
      </w:r>
      <w:r w:rsidR="004947AC" w:rsidRPr="00554FAF">
        <w:rPr>
          <w:rFonts w:ascii="Times New Roman" w:hAnsi="Times New Roman" w:cs="Times New Roman"/>
          <w:sz w:val="24"/>
          <w:szCs w:val="24"/>
        </w:rPr>
        <w:t>.</w:t>
      </w:r>
      <w:r w:rsidRPr="00554FAF">
        <w:rPr>
          <w:rFonts w:ascii="Times New Roman" w:hAnsi="Times New Roman" w:cs="Times New Roman"/>
          <w:sz w:val="24"/>
          <w:szCs w:val="24"/>
        </w:rPr>
        <w:t xml:space="preserve"> Mbrojtja sociale ofron përfitime të përhershme për disa kategori sociale, duke dekurajuar punësimin</w:t>
      </w:r>
      <w:r w:rsidR="004947AC" w:rsidRPr="00554FAF">
        <w:rPr>
          <w:rFonts w:ascii="Times New Roman" w:hAnsi="Times New Roman" w:cs="Times New Roman"/>
          <w:sz w:val="24"/>
          <w:szCs w:val="24"/>
        </w:rPr>
        <w:t>. Qasje</w:t>
      </w:r>
      <w:r w:rsidRPr="00554FAF">
        <w:rPr>
          <w:rFonts w:ascii="Times New Roman" w:hAnsi="Times New Roman" w:cs="Times New Roman"/>
          <w:sz w:val="24"/>
          <w:szCs w:val="24"/>
        </w:rPr>
        <w:t xml:space="preserve"> </w:t>
      </w:r>
      <w:r w:rsidR="004947AC" w:rsidRPr="00554FAF">
        <w:rPr>
          <w:rFonts w:ascii="Times New Roman" w:hAnsi="Times New Roman" w:cs="Times New Roman"/>
          <w:sz w:val="24"/>
          <w:szCs w:val="24"/>
        </w:rPr>
        <w:t>e</w:t>
      </w:r>
      <w:r w:rsidRPr="00554FAF">
        <w:rPr>
          <w:rFonts w:ascii="Times New Roman" w:hAnsi="Times New Roman" w:cs="Times New Roman"/>
          <w:sz w:val="24"/>
          <w:szCs w:val="24"/>
        </w:rPr>
        <w:t xml:space="preserve"> ulët në shërbime shëndetësore dhe pamundësi e familjeve për të përballuar kostot e këtyre shërbimeve me buxhet familjar.</w:t>
      </w:r>
    </w:p>
    <w:p w14:paraId="4239EBCE" w14:textId="1A99358C" w:rsidR="009F2B01" w:rsidRPr="00554FAF" w:rsidRDefault="009D102F" w:rsidP="000702CB">
      <w:pPr>
        <w:spacing w:after="60" w:line="240" w:lineRule="auto"/>
        <w:jc w:val="both"/>
        <w:rPr>
          <w:rFonts w:ascii="Times New Roman" w:hAnsi="Times New Roman" w:cs="Times New Roman"/>
          <w:b/>
          <w:sz w:val="24"/>
          <w:szCs w:val="24"/>
        </w:rPr>
      </w:pPr>
      <w:r w:rsidRPr="00554FAF">
        <w:rPr>
          <w:rFonts w:ascii="Times New Roman" w:hAnsi="Times New Roman" w:cs="Times New Roman"/>
          <w:b/>
          <w:sz w:val="24"/>
          <w:szCs w:val="24"/>
        </w:rPr>
        <w:t>b. Prioritetet</w:t>
      </w:r>
      <w:r w:rsidR="009F2B01" w:rsidRPr="00554FAF">
        <w:rPr>
          <w:rFonts w:ascii="Times New Roman" w:hAnsi="Times New Roman" w:cs="Times New Roman"/>
          <w:b/>
          <w:sz w:val="24"/>
          <w:szCs w:val="24"/>
        </w:rPr>
        <w:t xml:space="preserve"> e reformave strukturore</w:t>
      </w:r>
    </w:p>
    <w:tbl>
      <w:tblPr>
        <w:tblStyle w:val="TableGrid"/>
        <w:tblW w:w="0" w:type="auto"/>
        <w:tblLook w:val="04A0" w:firstRow="1" w:lastRow="0" w:firstColumn="1" w:lastColumn="0" w:noHBand="0" w:noVBand="1"/>
      </w:tblPr>
      <w:tblGrid>
        <w:gridCol w:w="9350"/>
      </w:tblGrid>
      <w:tr w:rsidR="000702CB" w:rsidRPr="00554FAF" w14:paraId="2D163317" w14:textId="77777777" w:rsidTr="003A7429">
        <w:tc>
          <w:tcPr>
            <w:tcW w:w="9350" w:type="dxa"/>
            <w:shd w:val="clear" w:color="auto" w:fill="5B9BD5" w:themeFill="accent1"/>
          </w:tcPr>
          <w:p w14:paraId="6D067DD5" w14:textId="5A8117DE" w:rsidR="000702CB" w:rsidRPr="00554FAF" w:rsidRDefault="000702CB" w:rsidP="000702CB">
            <w:pPr>
              <w:spacing w:after="60"/>
              <w:rPr>
                <w:rFonts w:ascii="Times New Roman" w:hAnsi="Times New Roman" w:cs="Times New Roman"/>
                <w:b/>
                <w:bCs/>
                <w:sz w:val="24"/>
                <w:szCs w:val="24"/>
              </w:rPr>
            </w:pPr>
            <w:r w:rsidRPr="00554FAF">
              <w:rPr>
                <w:rFonts w:ascii="Times New Roman" w:hAnsi="Times New Roman" w:cs="Times New Roman"/>
                <w:b/>
                <w:bCs/>
                <w:sz w:val="24"/>
                <w:szCs w:val="24"/>
              </w:rPr>
              <w:t xml:space="preserve">Masa e reformës </w:t>
            </w:r>
            <w:r w:rsidR="00084691" w:rsidRPr="00554FAF">
              <w:rPr>
                <w:rFonts w:ascii="Times New Roman" w:hAnsi="Times New Roman" w:cs="Times New Roman"/>
                <w:b/>
                <w:bCs/>
                <w:sz w:val="24"/>
                <w:szCs w:val="24"/>
              </w:rPr>
              <w:t>#</w:t>
            </w:r>
            <w:r w:rsidRPr="00554FAF">
              <w:rPr>
                <w:rFonts w:ascii="Times New Roman" w:hAnsi="Times New Roman" w:cs="Times New Roman"/>
                <w:b/>
                <w:bCs/>
                <w:sz w:val="24"/>
                <w:szCs w:val="24"/>
              </w:rPr>
              <w:t xml:space="preserve">20: </w:t>
            </w:r>
            <w:r w:rsidR="004947AC" w:rsidRPr="00554FAF">
              <w:rPr>
                <w:rFonts w:ascii="Times New Roman" w:hAnsi="Times New Roman" w:cs="Times New Roman"/>
                <w:b/>
                <w:bCs/>
                <w:sz w:val="24"/>
                <w:szCs w:val="24"/>
              </w:rPr>
              <w:t xml:space="preserve">Përmirësimi i shërbimeve sociale dhe fuqizimi i grupeve të përjashtuara </w:t>
            </w:r>
          </w:p>
        </w:tc>
      </w:tr>
    </w:tbl>
    <w:p w14:paraId="47B2C39C" w14:textId="08912EA5" w:rsidR="000702CB" w:rsidRPr="00554FAF" w:rsidRDefault="000702CB" w:rsidP="000702CB">
      <w:pPr>
        <w:pStyle w:val="NoSpacing"/>
        <w:spacing w:after="60"/>
        <w:jc w:val="both"/>
        <w:rPr>
          <w:rFonts w:ascii="Times New Roman" w:hAnsi="Times New Roman"/>
          <w:sz w:val="24"/>
          <w:szCs w:val="24"/>
          <w:lang w:val="sq-AL"/>
        </w:rPr>
      </w:pPr>
      <w:r w:rsidRPr="00554FAF">
        <w:rPr>
          <w:rFonts w:ascii="Times New Roman" w:hAnsi="Times New Roman"/>
          <w:b/>
          <w:bCs/>
          <w:sz w:val="24"/>
          <w:szCs w:val="24"/>
          <w:lang w:val="sq-AL"/>
        </w:rPr>
        <w:t xml:space="preserve">1.  Përshkrimi i masës : </w:t>
      </w:r>
      <w:r w:rsidRPr="00554FAF">
        <w:rPr>
          <w:rFonts w:ascii="Times New Roman" w:hAnsi="Times New Roman"/>
          <w:sz w:val="24"/>
          <w:szCs w:val="24"/>
          <w:lang w:val="sq-AL"/>
        </w:rPr>
        <w:t>Mbrojtja sociale, ulja e varfërisë dhe përfshirja e grupeve të përjashtuara në jetën social ekonomike të vendit, mbeten prioritete të qeverisë. Masa është vazhdim i politikave dhe programeve të mëhershme që synojnë të sigurojnë mirëqenien e popullatës, përmes zgjerimit dhe ngritjes së cilësisë së skemave të mbrojtjes dhe shërbimeve sociale. Ajo ndërlidhet ngushtë me</w:t>
      </w:r>
      <w:r w:rsidR="00084691" w:rsidRPr="00554FAF">
        <w:rPr>
          <w:rFonts w:ascii="Times New Roman" w:hAnsi="Times New Roman"/>
          <w:sz w:val="24"/>
          <w:szCs w:val="24"/>
          <w:lang w:val="sq-AL"/>
        </w:rPr>
        <w:t xml:space="preserve"> </w:t>
      </w:r>
      <w:r w:rsidRPr="00554FAF">
        <w:rPr>
          <w:rFonts w:ascii="Times New Roman" w:hAnsi="Times New Roman"/>
          <w:sz w:val="24"/>
          <w:szCs w:val="24"/>
          <w:lang w:val="sq-AL"/>
        </w:rPr>
        <w:t>Programin dhe objektivat strategjike të Qeverisë së Republikës së Kosovës 2017-21</w:t>
      </w:r>
      <w:r w:rsidR="00084691" w:rsidRPr="00554FAF">
        <w:rPr>
          <w:rFonts w:ascii="Times New Roman" w:hAnsi="Times New Roman"/>
          <w:sz w:val="24"/>
          <w:szCs w:val="24"/>
          <w:lang w:val="sq-AL"/>
        </w:rPr>
        <w:t>,</w:t>
      </w:r>
      <w:r w:rsidRPr="00554FAF">
        <w:rPr>
          <w:rFonts w:ascii="Times New Roman" w:hAnsi="Times New Roman"/>
          <w:sz w:val="24"/>
          <w:szCs w:val="24"/>
          <w:lang w:val="sq-AL"/>
        </w:rPr>
        <w:t xml:space="preserve">  Strategji</w:t>
      </w:r>
      <w:r w:rsidR="00084691" w:rsidRPr="00554FAF">
        <w:rPr>
          <w:rFonts w:ascii="Times New Roman" w:hAnsi="Times New Roman"/>
          <w:sz w:val="24"/>
          <w:szCs w:val="24"/>
          <w:lang w:val="sq-AL"/>
        </w:rPr>
        <w:t>n</w:t>
      </w:r>
      <w:r w:rsidRPr="00554FAF">
        <w:rPr>
          <w:rFonts w:ascii="Times New Roman" w:hAnsi="Times New Roman"/>
          <w:sz w:val="24"/>
          <w:szCs w:val="24"/>
          <w:lang w:val="sq-AL"/>
        </w:rPr>
        <w:t>ë Sektoriale të MPMS 2018-2022</w:t>
      </w:r>
      <w:r w:rsidR="00084691" w:rsidRPr="00554FAF">
        <w:rPr>
          <w:rFonts w:ascii="Times New Roman" w:hAnsi="Times New Roman"/>
          <w:sz w:val="24"/>
          <w:szCs w:val="24"/>
          <w:lang w:val="sq-AL"/>
        </w:rPr>
        <w:t>,</w:t>
      </w:r>
      <w:r w:rsidRPr="00554FAF">
        <w:rPr>
          <w:rFonts w:ascii="Times New Roman" w:hAnsi="Times New Roman"/>
          <w:sz w:val="24"/>
          <w:szCs w:val="24"/>
          <w:lang w:val="sq-AL"/>
        </w:rPr>
        <w:t xml:space="preserve"> Planin e </w:t>
      </w:r>
      <w:r w:rsidR="00084691" w:rsidRPr="00554FAF">
        <w:rPr>
          <w:rFonts w:ascii="Times New Roman" w:hAnsi="Times New Roman"/>
          <w:sz w:val="24"/>
          <w:szCs w:val="24"/>
          <w:lang w:val="sq-AL"/>
        </w:rPr>
        <w:t>v</w:t>
      </w:r>
      <w:r w:rsidRPr="00554FAF">
        <w:rPr>
          <w:rFonts w:ascii="Times New Roman" w:hAnsi="Times New Roman"/>
          <w:sz w:val="24"/>
          <w:szCs w:val="24"/>
          <w:lang w:val="sq-AL"/>
        </w:rPr>
        <w:t>eprimit 2018-2022</w:t>
      </w:r>
      <w:r w:rsidR="00084691" w:rsidRPr="00554FAF">
        <w:rPr>
          <w:rFonts w:ascii="Times New Roman" w:hAnsi="Times New Roman"/>
          <w:sz w:val="24"/>
          <w:szCs w:val="24"/>
          <w:lang w:val="sq-AL"/>
        </w:rPr>
        <w:t xml:space="preserve">, </w:t>
      </w:r>
      <w:r w:rsidRPr="00554FAF">
        <w:rPr>
          <w:rFonts w:ascii="Times New Roman" w:hAnsi="Times New Roman"/>
          <w:sz w:val="24"/>
          <w:szCs w:val="24"/>
          <w:lang w:val="sq-AL"/>
        </w:rPr>
        <w:t xml:space="preserve">Strategjinë për </w:t>
      </w:r>
      <w:r w:rsidR="00084691" w:rsidRPr="00554FAF">
        <w:rPr>
          <w:rFonts w:ascii="Times New Roman" w:hAnsi="Times New Roman"/>
          <w:sz w:val="24"/>
          <w:szCs w:val="24"/>
          <w:lang w:val="sq-AL"/>
        </w:rPr>
        <w:t>d</w:t>
      </w:r>
      <w:r w:rsidRPr="00554FAF">
        <w:rPr>
          <w:rFonts w:ascii="Times New Roman" w:hAnsi="Times New Roman"/>
          <w:sz w:val="24"/>
          <w:szCs w:val="24"/>
          <w:lang w:val="sq-AL"/>
        </w:rPr>
        <w:t>ecentralizimin e shërbimeve sociale në Kosovë dhe me PKZMSA</w:t>
      </w:r>
      <w:r w:rsidR="00084691" w:rsidRPr="00554FAF">
        <w:rPr>
          <w:rFonts w:ascii="Times New Roman" w:hAnsi="Times New Roman"/>
          <w:sz w:val="24"/>
          <w:szCs w:val="24"/>
          <w:lang w:val="sq-AL"/>
        </w:rPr>
        <w:t>,</w:t>
      </w:r>
      <w:r w:rsidRPr="00554FAF">
        <w:rPr>
          <w:rFonts w:ascii="Times New Roman" w:hAnsi="Times New Roman"/>
          <w:sz w:val="24"/>
          <w:szCs w:val="24"/>
          <w:lang w:val="sq-AL"/>
        </w:rPr>
        <w:t xml:space="preserve"> Ligji për </w:t>
      </w:r>
      <w:r w:rsidR="00084691" w:rsidRPr="00554FAF">
        <w:rPr>
          <w:rFonts w:ascii="Times New Roman" w:hAnsi="Times New Roman"/>
          <w:sz w:val="24"/>
          <w:szCs w:val="24"/>
          <w:lang w:val="sq-AL"/>
        </w:rPr>
        <w:t>b</w:t>
      </w:r>
      <w:r w:rsidRPr="00554FAF">
        <w:rPr>
          <w:rFonts w:ascii="Times New Roman" w:hAnsi="Times New Roman"/>
          <w:sz w:val="24"/>
          <w:szCs w:val="24"/>
          <w:lang w:val="sq-AL"/>
        </w:rPr>
        <w:t xml:space="preserve">arazi </w:t>
      </w:r>
      <w:r w:rsidR="00084691" w:rsidRPr="00554FAF">
        <w:rPr>
          <w:rFonts w:ascii="Times New Roman" w:hAnsi="Times New Roman"/>
          <w:sz w:val="24"/>
          <w:szCs w:val="24"/>
          <w:lang w:val="sq-AL"/>
        </w:rPr>
        <w:t>g</w:t>
      </w:r>
      <w:r w:rsidRPr="00554FAF">
        <w:rPr>
          <w:rFonts w:ascii="Times New Roman" w:hAnsi="Times New Roman"/>
          <w:sz w:val="24"/>
          <w:szCs w:val="24"/>
          <w:lang w:val="sq-AL"/>
        </w:rPr>
        <w:t xml:space="preserve">jinore 2015, 05/020, neni 5 dhe 6, Strategjia për </w:t>
      </w:r>
      <w:r w:rsidR="009D102F" w:rsidRPr="00554FAF">
        <w:rPr>
          <w:rFonts w:ascii="Times New Roman" w:hAnsi="Times New Roman"/>
          <w:sz w:val="24"/>
          <w:szCs w:val="24"/>
          <w:lang w:val="sq-AL"/>
        </w:rPr>
        <w:t>Komunitetin Romë</w:t>
      </w:r>
      <w:r w:rsidRPr="00554FAF">
        <w:rPr>
          <w:rFonts w:ascii="Times New Roman" w:hAnsi="Times New Roman"/>
          <w:sz w:val="24"/>
          <w:szCs w:val="24"/>
          <w:lang w:val="sq-AL"/>
        </w:rPr>
        <w:t xml:space="preserve"> dhe </w:t>
      </w:r>
      <w:r w:rsidR="009D102F" w:rsidRPr="00554FAF">
        <w:rPr>
          <w:rFonts w:ascii="Times New Roman" w:hAnsi="Times New Roman"/>
          <w:sz w:val="24"/>
          <w:szCs w:val="24"/>
          <w:lang w:val="sq-AL"/>
        </w:rPr>
        <w:t>A</w:t>
      </w:r>
      <w:r w:rsidRPr="00554FAF">
        <w:rPr>
          <w:rFonts w:ascii="Times New Roman" w:hAnsi="Times New Roman"/>
          <w:sz w:val="24"/>
          <w:szCs w:val="24"/>
          <w:lang w:val="sq-AL"/>
        </w:rPr>
        <w:t>shkali 2017-2021.</w:t>
      </w:r>
    </w:p>
    <w:p w14:paraId="300711BD" w14:textId="77777777" w:rsidR="000702CB" w:rsidRPr="00554FAF" w:rsidRDefault="000702CB" w:rsidP="000702CB">
      <w:pPr>
        <w:pStyle w:val="NoSpacing"/>
        <w:spacing w:after="60"/>
        <w:jc w:val="both"/>
        <w:rPr>
          <w:rFonts w:ascii="Times New Roman" w:hAnsi="Times New Roman"/>
          <w:sz w:val="24"/>
          <w:szCs w:val="24"/>
          <w:lang w:val="sq-AL"/>
        </w:rPr>
      </w:pPr>
      <w:r w:rsidRPr="00554FAF">
        <w:rPr>
          <w:rFonts w:ascii="Times New Roman" w:hAnsi="Times New Roman"/>
          <w:sz w:val="24"/>
          <w:szCs w:val="24"/>
          <w:lang w:val="sq-AL"/>
        </w:rPr>
        <w:t>Qëllimi i masës është avancimi i shërbimeve sociale,</w:t>
      </w:r>
      <w:r w:rsidRPr="00554FAF">
        <w:rPr>
          <w:rFonts w:ascii="Times New Roman" w:hAnsi="Times New Roman"/>
          <w:bCs/>
          <w:sz w:val="24"/>
          <w:szCs w:val="24"/>
          <w:lang w:val="sq-AL"/>
        </w:rPr>
        <w:t xml:space="preserve"> rritja </w:t>
      </w:r>
      <w:r w:rsidRPr="00554FAF">
        <w:rPr>
          <w:rFonts w:ascii="Times New Roman" w:hAnsi="Times New Roman"/>
          <w:sz w:val="24"/>
          <w:szCs w:val="24"/>
          <w:lang w:val="sq-AL"/>
        </w:rPr>
        <w:t xml:space="preserve">e mbulueshmërisë së varfërisë nga skema e ndihmës sociale, rritja e numrit dhe cilësisë se  shërbimeve </w:t>
      </w:r>
      <w:r w:rsidRPr="00554FAF">
        <w:rPr>
          <w:rFonts w:ascii="Times New Roman" w:hAnsi="Times New Roman"/>
          <w:bCs/>
          <w:sz w:val="24"/>
          <w:szCs w:val="24"/>
          <w:lang w:val="sq-AL"/>
        </w:rPr>
        <w:t xml:space="preserve">sipas </w:t>
      </w:r>
      <w:r w:rsidRPr="00554FAF">
        <w:rPr>
          <w:rFonts w:ascii="Times New Roman" w:hAnsi="Times New Roman"/>
          <w:sz w:val="24"/>
          <w:szCs w:val="24"/>
          <w:lang w:val="sq-AL"/>
        </w:rPr>
        <w:t>standardeve të shërbimeve sociale dhe rritja e numrit të individëve të punësuar në ndërmarrjet sociale. Kjo masë përsëritet përsëri nga ERP e mëparshme dhe zbatimi i saj efektiv kërkon një qasje më të vendosur.</w:t>
      </w:r>
    </w:p>
    <w:p w14:paraId="1A403FE0" w14:textId="77777777" w:rsidR="000702CB" w:rsidRPr="00554FAF" w:rsidRDefault="000702CB" w:rsidP="000702CB">
      <w:pPr>
        <w:pStyle w:val="NoSpacing"/>
        <w:spacing w:after="60"/>
        <w:jc w:val="both"/>
        <w:rPr>
          <w:rFonts w:ascii="Times New Roman" w:hAnsi="Times New Roman"/>
          <w:bCs/>
          <w:sz w:val="24"/>
          <w:szCs w:val="24"/>
          <w:lang w:val="sq-AL"/>
        </w:rPr>
      </w:pPr>
      <w:r w:rsidRPr="00554FAF">
        <w:rPr>
          <w:rFonts w:ascii="Times New Roman" w:hAnsi="Times New Roman"/>
          <w:bCs/>
          <w:sz w:val="24"/>
          <w:szCs w:val="24"/>
          <w:lang w:val="sq-AL"/>
        </w:rPr>
        <w:t xml:space="preserve">Koncept Dokumenti për Ligjin për Shërbimet Sociale dhe Familjare është aprovuar në vitin 2019, ndërsa Koncept Dokumenti për ndryshimin e Ligjit për Skemën e Ndihmës Sociale është planifikuar të miratohet gjatë vitit 2020, por kostoja financiare e këtyre dy ligjeve nuk është parashikuar në projeksionet e KASH 2020-22. </w:t>
      </w:r>
      <w:r w:rsidRPr="00554FAF">
        <w:rPr>
          <w:rFonts w:ascii="Times New Roman" w:hAnsi="Times New Roman"/>
          <w:sz w:val="24"/>
          <w:szCs w:val="24"/>
          <w:lang w:val="sq-AL"/>
        </w:rPr>
        <w:t xml:space="preserve">Aktivitetet e propozuara kanë të bëjnë me </w:t>
      </w:r>
      <w:r w:rsidRPr="00554FAF">
        <w:rPr>
          <w:rFonts w:ascii="Times New Roman" w:hAnsi="Times New Roman"/>
          <w:bCs/>
          <w:sz w:val="24"/>
          <w:szCs w:val="24"/>
          <w:lang w:val="sq-AL"/>
        </w:rPr>
        <w:t>përmirësime të kornizës ligjore, për shërbimeve sociale dhe ndihmave sociale, fuqizimin e mekanizmave të financimit dhe  decentralizimit të shërbimeve sociale, përmes krijimit të Grantit të Veçantë të Shërbimeve Sociale, reformimin e Skemës së Ndihmës Sociale, mbështetjen e sektorit joqeveritar të licencuar për shërbime sociale, mbështetjen e ndërmarrjeve  sociale të regjistruara  dhe  ngritjen e kapaciteteve të punëtorëve social, përmes zbatimit të programeve të trajnimit.</w:t>
      </w:r>
    </w:p>
    <w:p w14:paraId="096A1F84" w14:textId="3CFEA5E1" w:rsidR="00C8125F" w:rsidRPr="00554FAF" w:rsidRDefault="000702CB" w:rsidP="00C8125F">
      <w:pPr>
        <w:pStyle w:val="NoSpacing"/>
        <w:spacing w:after="60"/>
        <w:rPr>
          <w:rFonts w:ascii="Times New Roman" w:hAnsi="Times New Roman"/>
          <w:b/>
          <w:sz w:val="24"/>
          <w:szCs w:val="24"/>
          <w:lang w:val="sq-AL"/>
        </w:rPr>
      </w:pPr>
      <w:r w:rsidRPr="00554FAF">
        <w:rPr>
          <w:rFonts w:ascii="Times New Roman" w:hAnsi="Times New Roman"/>
          <w:b/>
          <w:sz w:val="24"/>
          <w:szCs w:val="24"/>
          <w:lang w:val="sq-AL"/>
        </w:rPr>
        <w:t xml:space="preserve">a.  </w:t>
      </w:r>
      <w:r w:rsidR="00C8125F" w:rsidRPr="00554FAF">
        <w:rPr>
          <w:rFonts w:ascii="Times New Roman" w:hAnsi="Times New Roman"/>
          <w:b/>
          <w:sz w:val="24"/>
          <w:szCs w:val="24"/>
          <w:lang w:val="sq-AL"/>
        </w:rPr>
        <w:t xml:space="preserve">Aktivitetet e planifikuara për 2020: </w:t>
      </w:r>
    </w:p>
    <w:p w14:paraId="4747D0DC" w14:textId="77777777" w:rsidR="00C8125F" w:rsidRDefault="00C8125F" w:rsidP="00C8125F">
      <w:pPr>
        <w:pStyle w:val="NoSpacing"/>
        <w:numPr>
          <w:ilvl w:val="0"/>
          <w:numId w:val="104"/>
        </w:numPr>
        <w:spacing w:after="60"/>
        <w:rPr>
          <w:rFonts w:ascii="Times New Roman" w:hAnsi="Times New Roman"/>
          <w:sz w:val="24"/>
          <w:szCs w:val="24"/>
          <w:lang w:val="sq-AL"/>
        </w:rPr>
      </w:pPr>
      <w:r w:rsidRPr="00554FAF">
        <w:rPr>
          <w:rFonts w:ascii="Times New Roman" w:hAnsi="Times New Roman"/>
          <w:sz w:val="24"/>
          <w:szCs w:val="24"/>
          <w:lang w:val="sq-AL"/>
        </w:rPr>
        <w:t>Hartimi dhe miratimi i Ligji mbi shërbimet sociale dhe familjare;</w:t>
      </w:r>
      <w:r w:rsidRPr="00D46335">
        <w:rPr>
          <w:rFonts w:ascii="Times New Roman" w:hAnsi="Times New Roman"/>
          <w:sz w:val="24"/>
          <w:szCs w:val="24"/>
          <w:lang w:val="sq-AL"/>
        </w:rPr>
        <w:t xml:space="preserve"> </w:t>
      </w:r>
    </w:p>
    <w:p w14:paraId="292473D2" w14:textId="77777777" w:rsidR="00C8125F" w:rsidRPr="00D46335" w:rsidRDefault="00C8125F" w:rsidP="00C8125F">
      <w:pPr>
        <w:pStyle w:val="NoSpacing"/>
        <w:numPr>
          <w:ilvl w:val="0"/>
          <w:numId w:val="104"/>
        </w:numPr>
        <w:spacing w:after="60"/>
        <w:rPr>
          <w:rFonts w:ascii="Times New Roman" w:hAnsi="Times New Roman"/>
          <w:sz w:val="24"/>
          <w:szCs w:val="24"/>
          <w:lang w:val="sq-AL"/>
        </w:rPr>
      </w:pPr>
      <w:r w:rsidRPr="00554FAF">
        <w:rPr>
          <w:rFonts w:ascii="Times New Roman" w:hAnsi="Times New Roman"/>
          <w:sz w:val="24"/>
          <w:szCs w:val="24"/>
          <w:lang w:val="sq-AL"/>
        </w:rPr>
        <w:t>Hartimi dhe miratimi i Koncept Dokumentit për Ligjin për Skemën e Ndihmës Sociale;</w:t>
      </w:r>
    </w:p>
    <w:p w14:paraId="767C0857" w14:textId="77777777" w:rsidR="00C8125F" w:rsidRPr="00554FAF" w:rsidRDefault="00C8125F" w:rsidP="00C8125F">
      <w:pPr>
        <w:pStyle w:val="NoSpacing"/>
        <w:numPr>
          <w:ilvl w:val="0"/>
          <w:numId w:val="104"/>
        </w:numPr>
        <w:spacing w:after="60"/>
        <w:rPr>
          <w:rFonts w:ascii="Times New Roman" w:hAnsi="Times New Roman"/>
          <w:sz w:val="24"/>
          <w:szCs w:val="24"/>
          <w:lang w:val="sq-AL"/>
        </w:rPr>
      </w:pPr>
      <w:r w:rsidRPr="00554FAF">
        <w:rPr>
          <w:rFonts w:ascii="Times New Roman" w:hAnsi="Times New Roman"/>
          <w:sz w:val="24"/>
          <w:szCs w:val="24"/>
          <w:lang w:val="sq-AL"/>
        </w:rPr>
        <w:t>Miratimi i Ligjit për Financat e pushtetit lokal dhe Udhëzimi Administrativ për formulën e financimit për shërbime sociale dhe familjare;</w:t>
      </w:r>
    </w:p>
    <w:p w14:paraId="0F58F5A2" w14:textId="77777777" w:rsidR="00C8125F" w:rsidRPr="00554FAF" w:rsidRDefault="00C8125F" w:rsidP="00C8125F">
      <w:pPr>
        <w:pStyle w:val="NoSpacing"/>
        <w:numPr>
          <w:ilvl w:val="0"/>
          <w:numId w:val="104"/>
        </w:numPr>
        <w:spacing w:after="60"/>
        <w:rPr>
          <w:rFonts w:ascii="Times New Roman" w:hAnsi="Times New Roman"/>
          <w:sz w:val="24"/>
          <w:szCs w:val="24"/>
          <w:lang w:val="sq-AL"/>
        </w:rPr>
      </w:pPr>
      <w:r w:rsidRPr="00554FAF">
        <w:rPr>
          <w:rFonts w:ascii="Times New Roman" w:hAnsi="Times New Roman"/>
          <w:sz w:val="24"/>
          <w:szCs w:val="24"/>
          <w:lang w:val="sq-AL"/>
        </w:rPr>
        <w:t>Hartimi dhe miratimi i rregulloreve për regjistrimin e ndërmarrjeve sociale ;</w:t>
      </w:r>
    </w:p>
    <w:p w14:paraId="62D3FD6C" w14:textId="77777777" w:rsidR="00C8125F" w:rsidRPr="00554FAF" w:rsidRDefault="00C8125F" w:rsidP="00C8125F">
      <w:pPr>
        <w:pStyle w:val="NoSpacing"/>
        <w:numPr>
          <w:ilvl w:val="0"/>
          <w:numId w:val="104"/>
        </w:numPr>
        <w:spacing w:after="60"/>
        <w:rPr>
          <w:rFonts w:ascii="Times New Roman" w:hAnsi="Times New Roman"/>
          <w:sz w:val="24"/>
          <w:szCs w:val="24"/>
          <w:lang w:val="sq-AL"/>
        </w:rPr>
      </w:pPr>
      <w:r w:rsidRPr="00554FAF">
        <w:rPr>
          <w:rFonts w:ascii="Times New Roman" w:hAnsi="Times New Roman"/>
          <w:sz w:val="24"/>
          <w:szCs w:val="24"/>
          <w:lang w:val="sq-AL"/>
        </w:rPr>
        <w:t>Miratimi i Udhëzimit Administrative për realizimin e Testit të Varfërisë për kategoritë sociale;</w:t>
      </w:r>
    </w:p>
    <w:p w14:paraId="79AE1390" w14:textId="77777777" w:rsidR="00C8125F" w:rsidRPr="00554FAF" w:rsidRDefault="00C8125F" w:rsidP="00C8125F">
      <w:pPr>
        <w:pStyle w:val="NoSpacing"/>
        <w:numPr>
          <w:ilvl w:val="0"/>
          <w:numId w:val="104"/>
        </w:numPr>
        <w:spacing w:after="60"/>
        <w:rPr>
          <w:rFonts w:ascii="Times New Roman" w:hAnsi="Times New Roman"/>
          <w:sz w:val="24"/>
          <w:szCs w:val="24"/>
          <w:lang w:val="sq-AL"/>
        </w:rPr>
      </w:pPr>
      <w:r w:rsidRPr="00554FAF">
        <w:rPr>
          <w:rFonts w:ascii="Times New Roman" w:hAnsi="Times New Roman"/>
          <w:sz w:val="24"/>
          <w:szCs w:val="24"/>
          <w:lang w:val="sq-AL"/>
        </w:rPr>
        <w:t>Mbështetja   sektorit joqeveritar të licencuar, me subvencione  për ofrimin e shërbimeve sociale  ( 50 OJQ të licencuara përfituese);</w:t>
      </w:r>
    </w:p>
    <w:p w14:paraId="26317AC4" w14:textId="77777777" w:rsidR="00C8125F" w:rsidRPr="00554FAF" w:rsidRDefault="00C8125F" w:rsidP="00C8125F">
      <w:pPr>
        <w:pStyle w:val="NoSpacing"/>
        <w:numPr>
          <w:ilvl w:val="0"/>
          <w:numId w:val="104"/>
        </w:numPr>
        <w:spacing w:after="60"/>
        <w:rPr>
          <w:rFonts w:ascii="Times New Roman" w:hAnsi="Times New Roman"/>
          <w:sz w:val="24"/>
          <w:szCs w:val="24"/>
          <w:lang w:val="sq-AL"/>
        </w:rPr>
      </w:pPr>
      <w:r w:rsidRPr="00554FAF">
        <w:rPr>
          <w:rFonts w:ascii="Times New Roman" w:hAnsi="Times New Roman"/>
          <w:sz w:val="24"/>
          <w:szCs w:val="24"/>
          <w:lang w:val="sq-AL"/>
        </w:rPr>
        <w:t>Zhvillimi i programeve për trajnim profesional për punëtoret social;</w:t>
      </w:r>
    </w:p>
    <w:p w14:paraId="533F89FE" w14:textId="77777777" w:rsidR="00C8125F" w:rsidRPr="00554FAF" w:rsidRDefault="00C8125F" w:rsidP="00C8125F">
      <w:pPr>
        <w:pStyle w:val="NoSpacing"/>
        <w:spacing w:after="60"/>
        <w:rPr>
          <w:rFonts w:ascii="Times New Roman" w:hAnsi="Times New Roman"/>
          <w:b/>
          <w:sz w:val="24"/>
          <w:szCs w:val="24"/>
          <w:lang w:val="sq-AL"/>
        </w:rPr>
      </w:pPr>
      <w:r w:rsidRPr="00554FAF">
        <w:rPr>
          <w:rFonts w:ascii="Times New Roman" w:hAnsi="Times New Roman"/>
          <w:b/>
          <w:sz w:val="24"/>
          <w:szCs w:val="24"/>
          <w:lang w:val="sq-AL"/>
        </w:rPr>
        <w:t xml:space="preserve">b.  Aktivitetet e planifikuara për 2021: </w:t>
      </w:r>
    </w:p>
    <w:p w14:paraId="479DB87A" w14:textId="77777777" w:rsidR="00C8125F" w:rsidRDefault="00C8125F" w:rsidP="00C8125F">
      <w:pPr>
        <w:pStyle w:val="NoSpacing"/>
        <w:numPr>
          <w:ilvl w:val="0"/>
          <w:numId w:val="105"/>
        </w:numPr>
        <w:spacing w:after="60"/>
        <w:rPr>
          <w:rFonts w:ascii="Times New Roman" w:hAnsi="Times New Roman"/>
          <w:sz w:val="24"/>
          <w:szCs w:val="24"/>
          <w:lang w:val="sq-AL"/>
        </w:rPr>
      </w:pPr>
      <w:r w:rsidRPr="00554FAF">
        <w:rPr>
          <w:rFonts w:ascii="Times New Roman" w:hAnsi="Times New Roman"/>
          <w:sz w:val="24"/>
          <w:szCs w:val="24"/>
          <w:lang w:val="sq-AL"/>
        </w:rPr>
        <w:t>Hartimi i kornizës dytësore ligjore (15 Udhëzime Administrative) që dalin nga Ligji mbi shërbimet sociale dhe familjare;</w:t>
      </w:r>
      <w:r w:rsidRPr="00D46335">
        <w:rPr>
          <w:rFonts w:ascii="Times New Roman" w:hAnsi="Times New Roman"/>
          <w:sz w:val="24"/>
          <w:szCs w:val="24"/>
          <w:lang w:val="sq-AL"/>
        </w:rPr>
        <w:t xml:space="preserve"> </w:t>
      </w:r>
    </w:p>
    <w:p w14:paraId="08BB0D0C" w14:textId="77777777" w:rsidR="00C8125F" w:rsidRPr="00D46335" w:rsidRDefault="00C8125F" w:rsidP="00C8125F">
      <w:pPr>
        <w:pStyle w:val="NoSpacing"/>
        <w:numPr>
          <w:ilvl w:val="0"/>
          <w:numId w:val="105"/>
        </w:numPr>
        <w:spacing w:after="60"/>
        <w:rPr>
          <w:rFonts w:ascii="Times New Roman" w:hAnsi="Times New Roman"/>
          <w:sz w:val="24"/>
          <w:szCs w:val="24"/>
          <w:lang w:val="sq-AL"/>
        </w:rPr>
      </w:pPr>
      <w:r w:rsidRPr="00554FAF">
        <w:rPr>
          <w:rFonts w:ascii="Times New Roman" w:hAnsi="Times New Roman"/>
          <w:sz w:val="24"/>
          <w:szCs w:val="24"/>
          <w:lang w:val="sq-AL"/>
        </w:rPr>
        <w:t xml:space="preserve">Hartimi dhe miratimi i Ligjit </w:t>
      </w:r>
      <w:r>
        <w:rPr>
          <w:rFonts w:ascii="Times New Roman" w:hAnsi="Times New Roman"/>
          <w:sz w:val="24"/>
          <w:szCs w:val="24"/>
          <w:lang w:val="sq-AL"/>
        </w:rPr>
        <w:t>dhe legjislacionit dyt</w:t>
      </w:r>
      <w:r w:rsidRPr="00554FAF">
        <w:rPr>
          <w:rFonts w:ascii="Times New Roman" w:hAnsi="Times New Roman"/>
          <w:sz w:val="24"/>
          <w:szCs w:val="24"/>
          <w:lang w:val="sq-AL"/>
        </w:rPr>
        <w:t>ë</w:t>
      </w:r>
      <w:r>
        <w:rPr>
          <w:rFonts w:ascii="Times New Roman" w:hAnsi="Times New Roman"/>
          <w:sz w:val="24"/>
          <w:szCs w:val="24"/>
          <w:lang w:val="sq-AL"/>
        </w:rPr>
        <w:t>sor (5 Udh</w:t>
      </w:r>
      <w:r w:rsidRPr="00554FAF">
        <w:rPr>
          <w:rFonts w:ascii="Times New Roman" w:hAnsi="Times New Roman"/>
          <w:sz w:val="24"/>
          <w:szCs w:val="24"/>
          <w:lang w:val="sq-AL"/>
        </w:rPr>
        <w:t>ë</w:t>
      </w:r>
      <w:r>
        <w:rPr>
          <w:rFonts w:ascii="Times New Roman" w:hAnsi="Times New Roman"/>
          <w:sz w:val="24"/>
          <w:szCs w:val="24"/>
          <w:lang w:val="sq-AL"/>
        </w:rPr>
        <w:t xml:space="preserve">zime Administrative) </w:t>
      </w:r>
      <w:r w:rsidRPr="00554FAF">
        <w:rPr>
          <w:rFonts w:ascii="Times New Roman" w:hAnsi="Times New Roman"/>
          <w:sz w:val="24"/>
          <w:szCs w:val="24"/>
          <w:lang w:val="sq-AL"/>
        </w:rPr>
        <w:t>mbi Skemën e asistencë</w:t>
      </w:r>
      <w:r>
        <w:rPr>
          <w:rFonts w:ascii="Times New Roman" w:hAnsi="Times New Roman"/>
          <w:sz w:val="24"/>
          <w:szCs w:val="24"/>
          <w:lang w:val="sq-AL"/>
        </w:rPr>
        <w:t>s</w:t>
      </w:r>
      <w:r w:rsidRPr="00554FAF">
        <w:rPr>
          <w:rFonts w:ascii="Times New Roman" w:hAnsi="Times New Roman"/>
          <w:sz w:val="24"/>
          <w:szCs w:val="24"/>
          <w:lang w:val="sq-AL"/>
        </w:rPr>
        <w:t xml:space="preserve"> sociale;</w:t>
      </w:r>
    </w:p>
    <w:p w14:paraId="0AF027FB" w14:textId="77777777" w:rsidR="00C8125F" w:rsidRPr="00554FAF" w:rsidRDefault="00C8125F" w:rsidP="00C8125F">
      <w:pPr>
        <w:pStyle w:val="NoSpacing"/>
        <w:numPr>
          <w:ilvl w:val="0"/>
          <w:numId w:val="105"/>
        </w:numPr>
        <w:spacing w:after="60"/>
        <w:rPr>
          <w:rFonts w:ascii="Times New Roman" w:hAnsi="Times New Roman"/>
          <w:sz w:val="24"/>
          <w:szCs w:val="24"/>
          <w:lang w:val="sq-AL"/>
        </w:rPr>
      </w:pPr>
      <w:r w:rsidRPr="00554FAF">
        <w:rPr>
          <w:rFonts w:ascii="Times New Roman" w:hAnsi="Times New Roman"/>
          <w:sz w:val="24"/>
          <w:szCs w:val="24"/>
          <w:lang w:val="sq-AL"/>
        </w:rPr>
        <w:t>Mbështetja e sektorit joqeveritar të licencuar, me subvencione  për ofrimin e shërbimeve sociale  (70 OJQ të licencuara përfituese)</w:t>
      </w:r>
    </w:p>
    <w:p w14:paraId="3A3A7883" w14:textId="77777777" w:rsidR="00C8125F" w:rsidRPr="00554FAF" w:rsidRDefault="00C8125F" w:rsidP="00C8125F">
      <w:pPr>
        <w:pStyle w:val="NoSpacing"/>
        <w:numPr>
          <w:ilvl w:val="0"/>
          <w:numId w:val="105"/>
        </w:numPr>
        <w:spacing w:after="60"/>
        <w:rPr>
          <w:rFonts w:ascii="Times New Roman" w:hAnsi="Times New Roman"/>
          <w:sz w:val="24"/>
          <w:szCs w:val="24"/>
          <w:lang w:val="sq-AL"/>
        </w:rPr>
      </w:pPr>
      <w:r w:rsidRPr="00554FAF">
        <w:rPr>
          <w:rFonts w:ascii="Times New Roman" w:hAnsi="Times New Roman"/>
          <w:sz w:val="24"/>
          <w:szCs w:val="24"/>
          <w:lang w:val="sq-AL"/>
        </w:rPr>
        <w:t>Mbështetja e Ndërmarrjeve Sociale të regjistruara me subvencione dhe grante  për punësimin e grupeve të kufizuara ( 20-25 ndërmarrje sociale përfituese)</w:t>
      </w:r>
    </w:p>
    <w:p w14:paraId="702E197F" w14:textId="77777777" w:rsidR="00C8125F" w:rsidRPr="00554FAF" w:rsidRDefault="00C8125F" w:rsidP="00C8125F">
      <w:pPr>
        <w:pStyle w:val="NoSpacing"/>
        <w:spacing w:after="60"/>
        <w:rPr>
          <w:rFonts w:ascii="Times New Roman" w:hAnsi="Times New Roman"/>
          <w:b/>
          <w:sz w:val="24"/>
          <w:szCs w:val="24"/>
          <w:lang w:val="sq-AL"/>
        </w:rPr>
      </w:pPr>
      <w:r w:rsidRPr="00554FAF">
        <w:rPr>
          <w:rFonts w:ascii="Times New Roman" w:hAnsi="Times New Roman"/>
          <w:b/>
          <w:sz w:val="24"/>
          <w:szCs w:val="24"/>
          <w:lang w:val="sq-AL"/>
        </w:rPr>
        <w:t>c.  Aktivitetet e planifikuara për 2022:</w:t>
      </w:r>
    </w:p>
    <w:p w14:paraId="33950A29" w14:textId="77777777" w:rsidR="00C8125F" w:rsidRPr="00554FAF" w:rsidRDefault="00C8125F" w:rsidP="00C8125F">
      <w:pPr>
        <w:pStyle w:val="NoSpacing"/>
        <w:numPr>
          <w:ilvl w:val="0"/>
          <w:numId w:val="106"/>
        </w:numPr>
        <w:spacing w:after="60"/>
        <w:rPr>
          <w:rFonts w:ascii="Times New Roman" w:hAnsi="Times New Roman"/>
          <w:sz w:val="24"/>
          <w:szCs w:val="24"/>
          <w:lang w:val="sq-AL"/>
        </w:rPr>
      </w:pPr>
      <w:r w:rsidRPr="00554FAF">
        <w:rPr>
          <w:rFonts w:ascii="Times New Roman" w:hAnsi="Times New Roman"/>
          <w:sz w:val="24"/>
          <w:szCs w:val="24"/>
          <w:lang w:val="sq-AL"/>
        </w:rPr>
        <w:t>Mbështetja   sektorit joqeveritar të licencuar, me subvencione  për ofrimin e shërbimeve sociale  (100 OJQ të licencuara përfituese)</w:t>
      </w:r>
    </w:p>
    <w:p w14:paraId="77B38575" w14:textId="77777777" w:rsidR="00C8125F" w:rsidRPr="00554FAF" w:rsidRDefault="00C8125F" w:rsidP="00C8125F">
      <w:pPr>
        <w:pStyle w:val="ListParagraph"/>
        <w:numPr>
          <w:ilvl w:val="0"/>
          <w:numId w:val="106"/>
        </w:numPr>
        <w:spacing w:after="60" w:line="240" w:lineRule="auto"/>
        <w:contextualSpacing w:val="0"/>
        <w:rPr>
          <w:rFonts w:ascii="Times New Roman" w:hAnsi="Times New Roman" w:cs="Times New Roman"/>
          <w:sz w:val="24"/>
          <w:szCs w:val="24"/>
        </w:rPr>
      </w:pPr>
      <w:r w:rsidRPr="00554FAF">
        <w:rPr>
          <w:rFonts w:ascii="Times New Roman" w:hAnsi="Times New Roman" w:cs="Times New Roman"/>
          <w:sz w:val="24"/>
          <w:szCs w:val="24"/>
        </w:rPr>
        <w:t xml:space="preserve">Mbështetja e ndërmarrjeve sociale të regjistruara me subvencione dhe grante  për punësimin e grupeve të kufizuara (20-25 ndërmarrje sociale përfituese). </w:t>
      </w:r>
    </w:p>
    <w:p w14:paraId="1F378B7A" w14:textId="67BE4501" w:rsidR="000702CB" w:rsidRPr="00554FAF" w:rsidRDefault="000702CB" w:rsidP="00C8125F">
      <w:pPr>
        <w:pStyle w:val="NoSpacing"/>
        <w:spacing w:after="60"/>
        <w:rPr>
          <w:rFonts w:ascii="Times New Roman" w:hAnsi="Times New Roman"/>
          <w:b/>
          <w:sz w:val="24"/>
          <w:szCs w:val="24"/>
        </w:rPr>
      </w:pPr>
      <w:r w:rsidRPr="00554FAF">
        <w:rPr>
          <w:rFonts w:ascii="Times New Roman" w:hAnsi="Times New Roman"/>
          <w:b/>
          <w:sz w:val="24"/>
          <w:szCs w:val="24"/>
        </w:rPr>
        <w:t xml:space="preserve">2.  Treguesit e rezultateve : </w:t>
      </w:r>
    </w:p>
    <w:tbl>
      <w:tblPr>
        <w:tblStyle w:val="TableGrid"/>
        <w:tblpPr w:leftFromText="180" w:rightFromText="180" w:vertAnchor="text" w:horzAnchor="margin" w:tblpY="79"/>
        <w:tblW w:w="9175" w:type="dxa"/>
        <w:tblLayout w:type="fixed"/>
        <w:tblLook w:val="04A0" w:firstRow="1" w:lastRow="0" w:firstColumn="1" w:lastColumn="0" w:noHBand="0" w:noVBand="1"/>
      </w:tblPr>
      <w:tblGrid>
        <w:gridCol w:w="3685"/>
        <w:gridCol w:w="1260"/>
        <w:gridCol w:w="1530"/>
        <w:gridCol w:w="2700"/>
      </w:tblGrid>
      <w:tr w:rsidR="000702CB" w:rsidRPr="00554FAF" w14:paraId="64E42B14" w14:textId="77777777" w:rsidTr="003A7429">
        <w:tc>
          <w:tcPr>
            <w:tcW w:w="3685" w:type="dxa"/>
          </w:tcPr>
          <w:p w14:paraId="30EE9C11" w14:textId="77777777" w:rsidR="000702CB" w:rsidRPr="00554FAF" w:rsidRDefault="000702CB" w:rsidP="000702CB">
            <w:pPr>
              <w:autoSpaceDE w:val="0"/>
              <w:autoSpaceDN w:val="0"/>
              <w:adjustRightInd w:val="0"/>
              <w:spacing w:after="60"/>
              <w:jc w:val="both"/>
              <w:rPr>
                <w:rFonts w:ascii="Times New Roman" w:hAnsi="Times New Roman" w:cs="Times New Roman"/>
                <w:b/>
                <w:color w:val="000000"/>
                <w:sz w:val="24"/>
                <w:szCs w:val="24"/>
              </w:rPr>
            </w:pPr>
            <w:r w:rsidRPr="00554FAF">
              <w:rPr>
                <w:rFonts w:ascii="Times New Roman" w:hAnsi="Times New Roman" w:cs="Times New Roman"/>
                <w:b/>
                <w:color w:val="000000"/>
                <w:sz w:val="24"/>
                <w:szCs w:val="24"/>
              </w:rPr>
              <w:t xml:space="preserve">Treguesi </w:t>
            </w:r>
          </w:p>
        </w:tc>
        <w:tc>
          <w:tcPr>
            <w:tcW w:w="1260" w:type="dxa"/>
          </w:tcPr>
          <w:p w14:paraId="4CE5FC5C" w14:textId="100E7E9E" w:rsidR="000702CB" w:rsidRPr="00554FAF" w:rsidRDefault="004F2089" w:rsidP="000702CB">
            <w:pPr>
              <w:autoSpaceDE w:val="0"/>
              <w:autoSpaceDN w:val="0"/>
              <w:adjustRightInd w:val="0"/>
              <w:spacing w:after="60"/>
              <w:jc w:val="both"/>
              <w:rPr>
                <w:rFonts w:ascii="Times New Roman" w:hAnsi="Times New Roman" w:cs="Times New Roman"/>
                <w:b/>
                <w:color w:val="000000"/>
                <w:sz w:val="24"/>
                <w:szCs w:val="24"/>
              </w:rPr>
            </w:pPr>
            <w:r w:rsidRPr="00554FAF">
              <w:rPr>
                <w:rFonts w:ascii="Times New Roman" w:hAnsi="Times New Roman" w:cs="Times New Roman"/>
                <w:b/>
                <w:color w:val="000000"/>
                <w:sz w:val="24"/>
                <w:szCs w:val="24"/>
              </w:rPr>
              <w:t>Baza</w:t>
            </w:r>
            <w:r w:rsidR="000702CB" w:rsidRPr="00554FAF">
              <w:rPr>
                <w:rFonts w:ascii="Times New Roman" w:hAnsi="Times New Roman" w:cs="Times New Roman"/>
                <w:b/>
                <w:color w:val="000000"/>
                <w:sz w:val="24"/>
                <w:szCs w:val="24"/>
              </w:rPr>
              <w:t xml:space="preserve">    (2018) </w:t>
            </w:r>
          </w:p>
        </w:tc>
        <w:tc>
          <w:tcPr>
            <w:tcW w:w="1530" w:type="dxa"/>
          </w:tcPr>
          <w:p w14:paraId="2E0F3A80" w14:textId="30DDB096" w:rsidR="000702CB" w:rsidRPr="00554FAF" w:rsidRDefault="004F2089" w:rsidP="000702CB">
            <w:pPr>
              <w:autoSpaceDE w:val="0"/>
              <w:autoSpaceDN w:val="0"/>
              <w:adjustRightInd w:val="0"/>
              <w:spacing w:after="60"/>
              <w:jc w:val="both"/>
              <w:rPr>
                <w:rFonts w:ascii="Times New Roman" w:hAnsi="Times New Roman" w:cs="Times New Roman"/>
                <w:b/>
                <w:color w:val="000000"/>
                <w:sz w:val="24"/>
                <w:szCs w:val="24"/>
              </w:rPr>
            </w:pPr>
            <w:r w:rsidRPr="00554FAF">
              <w:rPr>
                <w:rFonts w:ascii="Times New Roman" w:hAnsi="Times New Roman" w:cs="Times New Roman"/>
                <w:b/>
                <w:color w:val="000000"/>
                <w:sz w:val="24"/>
                <w:szCs w:val="24"/>
              </w:rPr>
              <w:t xml:space="preserve">Synimi </w:t>
            </w:r>
            <w:r w:rsidR="000702CB" w:rsidRPr="00554FAF">
              <w:rPr>
                <w:rFonts w:ascii="Times New Roman" w:hAnsi="Times New Roman" w:cs="Times New Roman"/>
                <w:b/>
                <w:color w:val="000000"/>
                <w:sz w:val="24"/>
                <w:szCs w:val="24"/>
              </w:rPr>
              <w:t xml:space="preserve">2020 </w:t>
            </w:r>
          </w:p>
        </w:tc>
        <w:tc>
          <w:tcPr>
            <w:tcW w:w="2700" w:type="dxa"/>
          </w:tcPr>
          <w:p w14:paraId="19441B9E" w14:textId="0E8BA0DF" w:rsidR="000702CB" w:rsidRPr="00554FAF" w:rsidRDefault="004F2089" w:rsidP="000702CB">
            <w:pPr>
              <w:autoSpaceDE w:val="0"/>
              <w:autoSpaceDN w:val="0"/>
              <w:adjustRightInd w:val="0"/>
              <w:spacing w:after="60"/>
              <w:jc w:val="both"/>
              <w:rPr>
                <w:rFonts w:ascii="Times New Roman" w:hAnsi="Times New Roman" w:cs="Times New Roman"/>
                <w:b/>
                <w:color w:val="000000"/>
                <w:sz w:val="24"/>
                <w:szCs w:val="24"/>
              </w:rPr>
            </w:pPr>
            <w:r w:rsidRPr="00554FAF">
              <w:rPr>
                <w:rFonts w:ascii="Times New Roman" w:hAnsi="Times New Roman" w:cs="Times New Roman"/>
                <w:b/>
                <w:color w:val="000000"/>
                <w:sz w:val="24"/>
                <w:szCs w:val="24"/>
              </w:rPr>
              <w:t xml:space="preserve">Synimi </w:t>
            </w:r>
            <w:r w:rsidR="000702CB" w:rsidRPr="00554FAF">
              <w:rPr>
                <w:rFonts w:ascii="Times New Roman" w:hAnsi="Times New Roman" w:cs="Times New Roman"/>
                <w:b/>
                <w:color w:val="000000"/>
                <w:sz w:val="24"/>
                <w:szCs w:val="24"/>
              </w:rPr>
              <w:t xml:space="preserve">2022 </w:t>
            </w:r>
          </w:p>
        </w:tc>
      </w:tr>
      <w:tr w:rsidR="000702CB" w:rsidRPr="00554FAF" w14:paraId="28740D5F" w14:textId="77777777" w:rsidTr="003A7429">
        <w:tc>
          <w:tcPr>
            <w:tcW w:w="3685" w:type="dxa"/>
          </w:tcPr>
          <w:p w14:paraId="20557E53" w14:textId="787C5507" w:rsidR="000702CB" w:rsidRPr="000D752B" w:rsidRDefault="009D102F" w:rsidP="000D752B">
            <w:pPr>
              <w:spacing w:after="60"/>
              <w:rPr>
                <w:rFonts w:ascii="Times New Roman" w:hAnsi="Times New Roman" w:cs="Times New Roman"/>
                <w:sz w:val="24"/>
                <w:szCs w:val="24"/>
              </w:rPr>
            </w:pPr>
            <w:r w:rsidRPr="000D752B">
              <w:rPr>
                <w:rFonts w:ascii="Times New Roman" w:hAnsi="Times New Roman" w:cs="Times New Roman"/>
                <w:sz w:val="24"/>
                <w:szCs w:val="24"/>
              </w:rPr>
              <w:t>Rritja e shkallës së mbulueshmë</w:t>
            </w:r>
            <w:r w:rsidR="000702CB" w:rsidRPr="000D752B">
              <w:rPr>
                <w:rFonts w:ascii="Times New Roman" w:hAnsi="Times New Roman" w:cs="Times New Roman"/>
                <w:sz w:val="24"/>
                <w:szCs w:val="24"/>
              </w:rPr>
              <w:t>risë së familjeve që jetojnë në varfëri nga skemat e ndihmës sociale.</w:t>
            </w:r>
          </w:p>
        </w:tc>
        <w:tc>
          <w:tcPr>
            <w:tcW w:w="1260" w:type="dxa"/>
          </w:tcPr>
          <w:p w14:paraId="0ADC0AC0" w14:textId="77777777" w:rsidR="000702CB" w:rsidRPr="00554FAF" w:rsidRDefault="000702CB" w:rsidP="000702CB">
            <w:pPr>
              <w:pStyle w:val="ListParagraph"/>
              <w:spacing w:after="60"/>
              <w:ind w:left="0"/>
              <w:contextualSpacing w:val="0"/>
              <w:rPr>
                <w:rFonts w:ascii="Times New Roman" w:hAnsi="Times New Roman" w:cs="Times New Roman"/>
                <w:sz w:val="24"/>
                <w:szCs w:val="24"/>
              </w:rPr>
            </w:pPr>
            <w:r w:rsidRPr="00554FAF">
              <w:rPr>
                <w:rFonts w:ascii="Times New Roman" w:hAnsi="Times New Roman" w:cs="Times New Roman"/>
                <w:sz w:val="24"/>
                <w:szCs w:val="24"/>
              </w:rPr>
              <w:t>50%</w:t>
            </w:r>
          </w:p>
        </w:tc>
        <w:tc>
          <w:tcPr>
            <w:tcW w:w="1530" w:type="dxa"/>
          </w:tcPr>
          <w:p w14:paraId="36951E00" w14:textId="30E4049B" w:rsidR="000702CB" w:rsidRPr="00554FAF" w:rsidRDefault="00BF3B71" w:rsidP="000702CB">
            <w:pPr>
              <w:pStyle w:val="ListParagraph"/>
              <w:spacing w:after="60"/>
              <w:ind w:left="0"/>
              <w:contextualSpacing w:val="0"/>
              <w:rPr>
                <w:rFonts w:ascii="Times New Roman" w:hAnsi="Times New Roman" w:cs="Times New Roman"/>
                <w:sz w:val="24"/>
                <w:szCs w:val="24"/>
              </w:rPr>
            </w:pPr>
            <w:r>
              <w:rPr>
                <w:rFonts w:ascii="Times New Roman" w:hAnsi="Times New Roman" w:cs="Times New Roman"/>
                <w:sz w:val="24"/>
                <w:szCs w:val="24"/>
              </w:rPr>
              <w:t>5</w:t>
            </w:r>
            <w:r w:rsidR="000702CB" w:rsidRPr="00554FAF">
              <w:rPr>
                <w:rFonts w:ascii="Times New Roman" w:hAnsi="Times New Roman" w:cs="Times New Roman"/>
                <w:sz w:val="24"/>
                <w:szCs w:val="24"/>
              </w:rPr>
              <w:t>0%</w:t>
            </w:r>
            <w:r>
              <w:rPr>
                <w:rStyle w:val="FootnoteReference"/>
                <w:rFonts w:ascii="Times New Roman" w:hAnsi="Times New Roman" w:cs="Times New Roman"/>
                <w:sz w:val="24"/>
                <w:szCs w:val="24"/>
              </w:rPr>
              <w:footnoteReference w:id="52"/>
            </w:r>
          </w:p>
        </w:tc>
        <w:tc>
          <w:tcPr>
            <w:tcW w:w="2700" w:type="dxa"/>
          </w:tcPr>
          <w:p w14:paraId="11ACACF6" w14:textId="77777777" w:rsidR="000702CB" w:rsidRPr="00554FAF" w:rsidRDefault="000702CB" w:rsidP="000702CB">
            <w:pPr>
              <w:pStyle w:val="ListParagraph"/>
              <w:spacing w:after="60"/>
              <w:ind w:left="0"/>
              <w:contextualSpacing w:val="0"/>
              <w:rPr>
                <w:rFonts w:ascii="Times New Roman" w:hAnsi="Times New Roman" w:cs="Times New Roman"/>
                <w:sz w:val="24"/>
                <w:szCs w:val="24"/>
              </w:rPr>
            </w:pPr>
            <w:r w:rsidRPr="00554FAF">
              <w:rPr>
                <w:rFonts w:ascii="Times New Roman" w:hAnsi="Times New Roman" w:cs="Times New Roman"/>
                <w:sz w:val="24"/>
                <w:szCs w:val="24"/>
              </w:rPr>
              <w:t>80%</w:t>
            </w:r>
          </w:p>
        </w:tc>
      </w:tr>
      <w:tr w:rsidR="000702CB" w:rsidRPr="00554FAF" w14:paraId="17D64D52" w14:textId="77777777" w:rsidTr="003A7429">
        <w:tc>
          <w:tcPr>
            <w:tcW w:w="3685" w:type="dxa"/>
          </w:tcPr>
          <w:p w14:paraId="0731AB3D" w14:textId="77777777" w:rsidR="000702CB" w:rsidRPr="000D752B" w:rsidRDefault="000702CB" w:rsidP="000D752B">
            <w:pPr>
              <w:spacing w:after="60"/>
              <w:rPr>
                <w:rFonts w:ascii="Times New Roman" w:hAnsi="Times New Roman" w:cs="Times New Roman"/>
                <w:sz w:val="24"/>
                <w:szCs w:val="24"/>
              </w:rPr>
            </w:pPr>
            <w:r w:rsidRPr="000D752B">
              <w:rPr>
                <w:rFonts w:ascii="Times New Roman" w:hAnsi="Times New Roman" w:cs="Times New Roman"/>
                <w:sz w:val="24"/>
                <w:szCs w:val="24"/>
              </w:rPr>
              <w:t>Rritja e cilësisë së ofrimit të shërbimeve sociale përmes sektorit të licencuar joqeveritar</w:t>
            </w:r>
          </w:p>
        </w:tc>
        <w:tc>
          <w:tcPr>
            <w:tcW w:w="1260" w:type="dxa"/>
          </w:tcPr>
          <w:p w14:paraId="1782FFB4" w14:textId="77777777" w:rsidR="000702CB" w:rsidRPr="00554FAF" w:rsidRDefault="000702CB" w:rsidP="000702CB">
            <w:pPr>
              <w:pStyle w:val="ListParagraph"/>
              <w:spacing w:after="60"/>
              <w:ind w:left="0"/>
              <w:contextualSpacing w:val="0"/>
              <w:rPr>
                <w:rFonts w:ascii="Times New Roman" w:hAnsi="Times New Roman" w:cs="Times New Roman"/>
                <w:sz w:val="24"/>
                <w:szCs w:val="24"/>
              </w:rPr>
            </w:pPr>
            <w:r w:rsidRPr="00554FAF">
              <w:rPr>
                <w:rFonts w:ascii="Times New Roman" w:hAnsi="Times New Roman" w:cs="Times New Roman"/>
                <w:sz w:val="24"/>
                <w:szCs w:val="24"/>
              </w:rPr>
              <w:t>30</w:t>
            </w:r>
          </w:p>
        </w:tc>
        <w:tc>
          <w:tcPr>
            <w:tcW w:w="1530" w:type="dxa"/>
          </w:tcPr>
          <w:p w14:paraId="17986D3E" w14:textId="77777777" w:rsidR="000702CB" w:rsidRPr="00554FAF" w:rsidRDefault="000702CB" w:rsidP="000702CB">
            <w:pPr>
              <w:pStyle w:val="ListParagraph"/>
              <w:spacing w:after="60"/>
              <w:ind w:left="0"/>
              <w:contextualSpacing w:val="0"/>
              <w:rPr>
                <w:rFonts w:ascii="Times New Roman" w:hAnsi="Times New Roman" w:cs="Times New Roman"/>
                <w:sz w:val="24"/>
                <w:szCs w:val="24"/>
              </w:rPr>
            </w:pPr>
            <w:r w:rsidRPr="00554FAF">
              <w:rPr>
                <w:rFonts w:ascii="Times New Roman" w:hAnsi="Times New Roman" w:cs="Times New Roman"/>
                <w:sz w:val="24"/>
                <w:szCs w:val="24"/>
              </w:rPr>
              <w:t>50</w:t>
            </w:r>
          </w:p>
        </w:tc>
        <w:tc>
          <w:tcPr>
            <w:tcW w:w="2700" w:type="dxa"/>
          </w:tcPr>
          <w:p w14:paraId="4DA396A0" w14:textId="77777777" w:rsidR="000702CB" w:rsidRPr="00554FAF" w:rsidRDefault="000702CB" w:rsidP="000702CB">
            <w:pPr>
              <w:pStyle w:val="ListParagraph"/>
              <w:spacing w:after="60"/>
              <w:ind w:left="0"/>
              <w:contextualSpacing w:val="0"/>
              <w:rPr>
                <w:rFonts w:ascii="Times New Roman" w:hAnsi="Times New Roman" w:cs="Times New Roman"/>
                <w:sz w:val="24"/>
                <w:szCs w:val="24"/>
              </w:rPr>
            </w:pPr>
            <w:r w:rsidRPr="00554FAF">
              <w:rPr>
                <w:rFonts w:ascii="Times New Roman" w:hAnsi="Times New Roman" w:cs="Times New Roman"/>
                <w:sz w:val="24"/>
                <w:szCs w:val="24"/>
              </w:rPr>
              <w:t>100</w:t>
            </w:r>
          </w:p>
        </w:tc>
      </w:tr>
      <w:tr w:rsidR="000702CB" w:rsidRPr="00554FAF" w14:paraId="37150679" w14:textId="77777777" w:rsidTr="003A7429">
        <w:tc>
          <w:tcPr>
            <w:tcW w:w="3685" w:type="dxa"/>
          </w:tcPr>
          <w:p w14:paraId="13610A6C" w14:textId="77777777" w:rsidR="000702CB" w:rsidRPr="000D752B" w:rsidRDefault="000702CB" w:rsidP="000D752B">
            <w:pPr>
              <w:spacing w:after="60"/>
              <w:rPr>
                <w:rFonts w:ascii="Times New Roman" w:hAnsi="Times New Roman" w:cs="Times New Roman"/>
                <w:sz w:val="24"/>
                <w:szCs w:val="24"/>
              </w:rPr>
            </w:pPr>
            <w:r w:rsidRPr="000D752B">
              <w:rPr>
                <w:rFonts w:ascii="Times New Roman" w:hAnsi="Times New Roman" w:cs="Times New Roman"/>
                <w:sz w:val="24"/>
                <w:szCs w:val="24"/>
              </w:rPr>
              <w:t>Rritja e punësimit të grupeve të margjinalizuara, përmes mbështetjes së ndërmarrjeve sociale</w:t>
            </w:r>
          </w:p>
        </w:tc>
        <w:tc>
          <w:tcPr>
            <w:tcW w:w="1260" w:type="dxa"/>
          </w:tcPr>
          <w:p w14:paraId="0CD99D97" w14:textId="77777777" w:rsidR="000702CB" w:rsidRPr="00554FAF" w:rsidRDefault="000702CB" w:rsidP="000702CB">
            <w:pPr>
              <w:pStyle w:val="ListParagraph"/>
              <w:spacing w:after="60"/>
              <w:ind w:left="0"/>
              <w:contextualSpacing w:val="0"/>
              <w:rPr>
                <w:rFonts w:ascii="Times New Roman" w:hAnsi="Times New Roman" w:cs="Times New Roman"/>
                <w:sz w:val="24"/>
                <w:szCs w:val="24"/>
              </w:rPr>
            </w:pPr>
            <w:r w:rsidRPr="00554FAF">
              <w:rPr>
                <w:rFonts w:ascii="Times New Roman" w:hAnsi="Times New Roman" w:cs="Times New Roman"/>
                <w:sz w:val="24"/>
                <w:szCs w:val="24"/>
              </w:rPr>
              <w:t>0</w:t>
            </w:r>
          </w:p>
        </w:tc>
        <w:tc>
          <w:tcPr>
            <w:tcW w:w="1530" w:type="dxa"/>
          </w:tcPr>
          <w:p w14:paraId="137F60DB" w14:textId="77777777" w:rsidR="000702CB" w:rsidRPr="00554FAF" w:rsidRDefault="000702CB" w:rsidP="000702CB">
            <w:pPr>
              <w:pStyle w:val="ListParagraph"/>
              <w:spacing w:after="60"/>
              <w:ind w:left="0"/>
              <w:contextualSpacing w:val="0"/>
              <w:rPr>
                <w:rFonts w:ascii="Times New Roman" w:hAnsi="Times New Roman" w:cs="Times New Roman"/>
                <w:sz w:val="24"/>
                <w:szCs w:val="24"/>
              </w:rPr>
            </w:pPr>
            <w:r w:rsidRPr="00554FAF">
              <w:rPr>
                <w:rFonts w:ascii="Times New Roman" w:hAnsi="Times New Roman" w:cs="Times New Roman"/>
                <w:sz w:val="24"/>
                <w:szCs w:val="24"/>
              </w:rPr>
              <w:t>0</w:t>
            </w:r>
          </w:p>
        </w:tc>
        <w:tc>
          <w:tcPr>
            <w:tcW w:w="2700" w:type="dxa"/>
          </w:tcPr>
          <w:p w14:paraId="18B3717A" w14:textId="77777777" w:rsidR="000702CB" w:rsidRPr="00554FAF" w:rsidRDefault="000702CB" w:rsidP="000702CB">
            <w:pPr>
              <w:pStyle w:val="ListParagraph"/>
              <w:spacing w:after="60"/>
              <w:ind w:left="0"/>
              <w:contextualSpacing w:val="0"/>
              <w:rPr>
                <w:rFonts w:ascii="Times New Roman" w:hAnsi="Times New Roman" w:cs="Times New Roman"/>
                <w:sz w:val="24"/>
                <w:szCs w:val="24"/>
              </w:rPr>
            </w:pPr>
            <w:r w:rsidRPr="00554FAF">
              <w:rPr>
                <w:rFonts w:ascii="Times New Roman" w:hAnsi="Times New Roman" w:cs="Times New Roman"/>
                <w:sz w:val="24"/>
                <w:szCs w:val="24"/>
              </w:rPr>
              <w:t>25</w:t>
            </w:r>
          </w:p>
        </w:tc>
      </w:tr>
    </w:tbl>
    <w:p w14:paraId="4E843E6F" w14:textId="3893185E" w:rsidR="000702CB" w:rsidRPr="00554FAF" w:rsidRDefault="000702CB" w:rsidP="000702CB">
      <w:pPr>
        <w:pStyle w:val="NoSpacing"/>
        <w:spacing w:after="60"/>
        <w:jc w:val="both"/>
        <w:rPr>
          <w:rFonts w:ascii="Times New Roman" w:hAnsi="Times New Roman"/>
          <w:sz w:val="24"/>
          <w:szCs w:val="24"/>
          <w:lang w:val="sq-AL"/>
        </w:rPr>
      </w:pPr>
      <w:r w:rsidRPr="00554FAF">
        <w:rPr>
          <w:rFonts w:ascii="Times New Roman" w:hAnsi="Times New Roman"/>
          <w:b/>
          <w:bCs/>
          <w:sz w:val="24"/>
          <w:szCs w:val="24"/>
          <w:lang w:val="sq-AL"/>
        </w:rPr>
        <w:t>2. Ndikimi i pritshëm në konkurrueshmëri</w:t>
      </w:r>
      <w:r w:rsidRPr="00554FAF">
        <w:rPr>
          <w:rFonts w:ascii="Times New Roman" w:hAnsi="Times New Roman"/>
          <w:b/>
          <w:bCs/>
          <w:iCs/>
          <w:sz w:val="24"/>
          <w:szCs w:val="24"/>
          <w:lang w:val="sq-AL"/>
        </w:rPr>
        <w:t xml:space="preserve">: </w:t>
      </w:r>
      <w:r w:rsidR="004F2089" w:rsidRPr="00554FAF">
        <w:rPr>
          <w:rFonts w:ascii="Times New Roman" w:hAnsi="Times New Roman"/>
          <w:sz w:val="24"/>
          <w:szCs w:val="24"/>
          <w:lang w:val="sq-AL"/>
        </w:rPr>
        <w:t xml:space="preserve">Ndonëse </w:t>
      </w:r>
      <w:r w:rsidRPr="00554FAF">
        <w:rPr>
          <w:rFonts w:ascii="Times New Roman" w:hAnsi="Times New Roman"/>
          <w:sz w:val="24"/>
          <w:szCs w:val="24"/>
          <w:lang w:val="sq-AL"/>
        </w:rPr>
        <w:t>masa në thelbin e saj është një masë që mbulon fushën sociale,  përmirësimi i shërbimeve sociale do të ndihmon për t</w:t>
      </w:r>
      <w:r w:rsidR="004F2089" w:rsidRPr="00554FAF">
        <w:rPr>
          <w:rFonts w:ascii="Times New Roman" w:hAnsi="Times New Roman"/>
          <w:sz w:val="24"/>
          <w:szCs w:val="24"/>
          <w:lang w:val="sq-AL"/>
        </w:rPr>
        <w:t>ë</w:t>
      </w:r>
      <w:r w:rsidRPr="00554FAF">
        <w:rPr>
          <w:rFonts w:ascii="Times New Roman" w:hAnsi="Times New Roman"/>
          <w:sz w:val="24"/>
          <w:szCs w:val="24"/>
          <w:lang w:val="sq-AL"/>
        </w:rPr>
        <w:t xml:space="preserve"> ulur kostot e ushtrimit të këtyre të drejtave për përfituesit. Një nga kus</w:t>
      </w:r>
      <w:r w:rsidR="009D102F" w:rsidRPr="00554FAF">
        <w:rPr>
          <w:rFonts w:ascii="Times New Roman" w:hAnsi="Times New Roman"/>
          <w:sz w:val="24"/>
          <w:szCs w:val="24"/>
          <w:lang w:val="sq-AL"/>
        </w:rPr>
        <w:t>htet për rritjen e konkurrueshmë</w:t>
      </w:r>
      <w:r w:rsidRPr="00554FAF">
        <w:rPr>
          <w:rFonts w:ascii="Times New Roman" w:hAnsi="Times New Roman"/>
          <w:sz w:val="24"/>
          <w:szCs w:val="24"/>
          <w:lang w:val="sq-AL"/>
        </w:rPr>
        <w:t xml:space="preserve">risë dhe arritjen e rritjes ekonomike është ngritja dhe funksionalizimi i një sistemi që mund të sigurojë të drejtën për mbrojtje sociale të përshtatshme dhe të </w:t>
      </w:r>
      <w:r w:rsidR="004F2089" w:rsidRPr="00554FAF">
        <w:rPr>
          <w:rFonts w:ascii="Times New Roman" w:hAnsi="Times New Roman"/>
          <w:sz w:val="24"/>
          <w:szCs w:val="24"/>
          <w:lang w:val="sq-AL"/>
        </w:rPr>
        <w:t xml:space="preserve">qasshme </w:t>
      </w:r>
      <w:r w:rsidRPr="00554FAF">
        <w:rPr>
          <w:rFonts w:ascii="Times New Roman" w:hAnsi="Times New Roman"/>
          <w:sz w:val="24"/>
          <w:szCs w:val="24"/>
          <w:lang w:val="sq-AL"/>
        </w:rPr>
        <w:t xml:space="preserve">për qytetarët e saj.  </w:t>
      </w:r>
    </w:p>
    <w:p w14:paraId="425C114D" w14:textId="346E2141" w:rsidR="000702CB" w:rsidRPr="00554FAF" w:rsidRDefault="000702CB" w:rsidP="000702CB">
      <w:pPr>
        <w:pStyle w:val="NoSpacing"/>
        <w:spacing w:after="60"/>
        <w:jc w:val="both"/>
        <w:rPr>
          <w:rFonts w:ascii="Times New Roman" w:hAnsi="Times New Roman"/>
          <w:sz w:val="24"/>
          <w:szCs w:val="24"/>
          <w:lang w:val="sq-AL"/>
        </w:rPr>
      </w:pPr>
      <w:r w:rsidRPr="00554FAF">
        <w:rPr>
          <w:rFonts w:ascii="Times New Roman" w:hAnsi="Times New Roman"/>
          <w:sz w:val="24"/>
          <w:szCs w:val="24"/>
          <w:lang w:val="sq-AL"/>
        </w:rPr>
        <w:t>Reforma e mbrojtjes sociale dhe shërbimeve sociale do të përmirësojë kohezionin social</w:t>
      </w:r>
      <w:r w:rsidR="004F2089" w:rsidRPr="00554FAF">
        <w:rPr>
          <w:rFonts w:ascii="Times New Roman" w:hAnsi="Times New Roman"/>
          <w:sz w:val="24"/>
          <w:szCs w:val="24"/>
          <w:lang w:val="sq-AL"/>
        </w:rPr>
        <w:t>.</w:t>
      </w:r>
      <w:r w:rsidRPr="00554FAF">
        <w:rPr>
          <w:rFonts w:ascii="Times New Roman" w:hAnsi="Times New Roman"/>
          <w:sz w:val="24"/>
          <w:szCs w:val="24"/>
          <w:lang w:val="sq-AL"/>
        </w:rPr>
        <w:t xml:space="preserve"> </w:t>
      </w:r>
      <w:r w:rsidR="004F2089" w:rsidRPr="00554FAF">
        <w:rPr>
          <w:rFonts w:ascii="Times New Roman" w:hAnsi="Times New Roman"/>
          <w:sz w:val="24"/>
          <w:szCs w:val="24"/>
          <w:lang w:val="sq-AL"/>
        </w:rPr>
        <w:t>G</w:t>
      </w:r>
      <w:r w:rsidRPr="00554FAF">
        <w:rPr>
          <w:rFonts w:ascii="Times New Roman" w:hAnsi="Times New Roman"/>
          <w:sz w:val="24"/>
          <w:szCs w:val="24"/>
          <w:lang w:val="sq-AL"/>
        </w:rPr>
        <w:t>ratë dhe të rinjtë do të fuqizohen përmes nismave të sipërmarrjes sociale. Qeveria dhe pushteti lokal do të jenë akteret kyç për ofrimin e shërbimeve sociale dhe punësimin e grupeve të përjashtuara duke synuar afrimin e tyre me qytetarët në nevojë. Politikat dhe programet do të përshtaten me nevojat dhe specifikat e grupeve të përjashtuara.</w:t>
      </w:r>
    </w:p>
    <w:p w14:paraId="61107CCE" w14:textId="05E9EECE" w:rsidR="000702CB" w:rsidRPr="00554FAF" w:rsidRDefault="000702CB" w:rsidP="000702CB">
      <w:pPr>
        <w:autoSpaceDE w:val="0"/>
        <w:autoSpaceDN w:val="0"/>
        <w:adjustRightInd w:val="0"/>
        <w:spacing w:after="60" w:line="240" w:lineRule="auto"/>
        <w:jc w:val="both"/>
        <w:rPr>
          <w:rFonts w:ascii="Times New Roman" w:hAnsi="Times New Roman" w:cs="Times New Roman"/>
          <w:sz w:val="24"/>
          <w:szCs w:val="24"/>
        </w:rPr>
      </w:pPr>
      <w:r w:rsidRPr="00554FAF">
        <w:rPr>
          <w:rFonts w:ascii="Times New Roman" w:hAnsi="Times New Roman" w:cs="Times New Roman"/>
          <w:b/>
          <w:bCs/>
          <w:color w:val="000000"/>
          <w:sz w:val="24"/>
          <w:szCs w:val="24"/>
        </w:rPr>
        <w:t>3.</w:t>
      </w:r>
      <w:r w:rsidRPr="00554FAF">
        <w:rPr>
          <w:rFonts w:ascii="Times New Roman" w:hAnsi="Times New Roman" w:cs="Times New Roman"/>
          <w:b/>
          <w:bCs/>
          <w:i/>
          <w:color w:val="000000"/>
          <w:sz w:val="24"/>
          <w:szCs w:val="24"/>
        </w:rPr>
        <w:t xml:space="preserve"> </w:t>
      </w:r>
      <w:r w:rsidRPr="00554FAF">
        <w:rPr>
          <w:rFonts w:ascii="Times New Roman" w:hAnsi="Times New Roman" w:cs="Times New Roman"/>
          <w:b/>
          <w:bCs/>
          <w:color w:val="000000"/>
          <w:sz w:val="24"/>
          <w:szCs w:val="24"/>
        </w:rPr>
        <w:t>Vlerësimi i kostos së aktiviteteve dhe burimet e financimit:</w:t>
      </w:r>
      <w:r w:rsidRPr="00554FAF">
        <w:rPr>
          <w:rFonts w:ascii="Times New Roman" w:hAnsi="Times New Roman" w:cs="Times New Roman"/>
          <w:b/>
          <w:bCs/>
          <w:i/>
          <w:color w:val="000000"/>
          <w:sz w:val="24"/>
          <w:szCs w:val="24"/>
        </w:rPr>
        <w:t xml:space="preserve"> </w:t>
      </w:r>
      <w:r w:rsidRPr="00554FAF">
        <w:rPr>
          <w:rFonts w:ascii="Times New Roman" w:hAnsi="Times New Roman" w:cs="Times New Roman"/>
          <w:sz w:val="24"/>
          <w:szCs w:val="24"/>
        </w:rPr>
        <w:t>Kosto e përgjithshme për zbatim të kësaj mase gjatë viteve 2020-2022 vlerësohet të jetë rreth 25,000,000 EUR. Nga kjo vlere 1,660,000 EUR vlerësohet kosto per vitin 2020, nga e cila 1,250,000 EUR pritet t</w:t>
      </w:r>
      <w:r w:rsidR="004F2089" w:rsidRPr="00554FAF">
        <w:rPr>
          <w:rFonts w:ascii="Times New Roman" w:hAnsi="Times New Roman" w:cs="Times New Roman"/>
          <w:sz w:val="24"/>
          <w:szCs w:val="24"/>
        </w:rPr>
        <w:t>ë</w:t>
      </w:r>
      <w:r w:rsidRPr="00554FAF">
        <w:rPr>
          <w:rFonts w:ascii="Times New Roman" w:hAnsi="Times New Roman" w:cs="Times New Roman"/>
          <w:sz w:val="24"/>
          <w:szCs w:val="24"/>
        </w:rPr>
        <w:t xml:space="preserve"> financohet nga Buxheti i Kosovës dhe 410,000 nga donatorët. P</w:t>
      </w:r>
      <w:r w:rsidR="004F2089" w:rsidRPr="00554FAF">
        <w:rPr>
          <w:rFonts w:ascii="Times New Roman" w:hAnsi="Times New Roman" w:cs="Times New Roman"/>
          <w:sz w:val="24"/>
          <w:szCs w:val="24"/>
        </w:rPr>
        <w:t>ë</w:t>
      </w:r>
      <w:r w:rsidRPr="00554FAF">
        <w:rPr>
          <w:rFonts w:ascii="Times New Roman" w:hAnsi="Times New Roman" w:cs="Times New Roman"/>
          <w:sz w:val="24"/>
          <w:szCs w:val="24"/>
        </w:rPr>
        <w:t>r vitin 2021, kosto vlerësohet t</w:t>
      </w:r>
      <w:r w:rsidR="004F2089" w:rsidRPr="00554FAF">
        <w:rPr>
          <w:rFonts w:ascii="Times New Roman" w:hAnsi="Times New Roman" w:cs="Times New Roman"/>
          <w:sz w:val="24"/>
          <w:szCs w:val="24"/>
        </w:rPr>
        <w:t>ë</w:t>
      </w:r>
      <w:r w:rsidRPr="00554FAF">
        <w:rPr>
          <w:rFonts w:ascii="Times New Roman" w:hAnsi="Times New Roman" w:cs="Times New Roman"/>
          <w:sz w:val="24"/>
          <w:szCs w:val="24"/>
        </w:rPr>
        <w:t xml:space="preserve"> jet</w:t>
      </w:r>
      <w:r w:rsidR="004F2089" w:rsidRPr="00554FAF">
        <w:rPr>
          <w:rFonts w:ascii="Times New Roman" w:hAnsi="Times New Roman" w:cs="Times New Roman"/>
          <w:sz w:val="24"/>
          <w:szCs w:val="24"/>
        </w:rPr>
        <w:t>ë</w:t>
      </w:r>
      <w:r w:rsidRPr="00554FAF">
        <w:rPr>
          <w:rFonts w:ascii="Times New Roman" w:hAnsi="Times New Roman" w:cs="Times New Roman"/>
          <w:sz w:val="24"/>
          <w:szCs w:val="24"/>
        </w:rPr>
        <w:t xml:space="preserve"> rreth 2,350,000 EUR, nga t</w:t>
      </w:r>
      <w:r w:rsidR="004F2089" w:rsidRPr="00554FAF">
        <w:rPr>
          <w:rFonts w:ascii="Times New Roman" w:hAnsi="Times New Roman" w:cs="Times New Roman"/>
          <w:sz w:val="24"/>
          <w:szCs w:val="24"/>
        </w:rPr>
        <w:t>ë</w:t>
      </w:r>
      <w:r w:rsidRPr="00554FAF">
        <w:rPr>
          <w:rFonts w:ascii="Times New Roman" w:hAnsi="Times New Roman" w:cs="Times New Roman"/>
          <w:sz w:val="24"/>
          <w:szCs w:val="24"/>
        </w:rPr>
        <w:t xml:space="preserve"> cilat 1,200,000 EUR pritet t</w:t>
      </w:r>
      <w:r w:rsidR="004F2089" w:rsidRPr="00554FAF">
        <w:rPr>
          <w:rFonts w:ascii="Times New Roman" w:hAnsi="Times New Roman" w:cs="Times New Roman"/>
          <w:sz w:val="24"/>
          <w:szCs w:val="24"/>
        </w:rPr>
        <w:t>ë</w:t>
      </w:r>
      <w:r w:rsidRPr="00554FAF">
        <w:rPr>
          <w:rFonts w:ascii="Times New Roman" w:hAnsi="Times New Roman" w:cs="Times New Roman"/>
          <w:sz w:val="24"/>
          <w:szCs w:val="24"/>
        </w:rPr>
        <w:t xml:space="preserve"> financohen nga Buxheti i Kosovës dhe  1,150,000 EUR nga fondet e BE-së dhe donatorëve të tjerë.</w:t>
      </w:r>
      <w:r w:rsidR="00737AC7" w:rsidRPr="00554FAF">
        <w:rPr>
          <w:rFonts w:ascii="Times New Roman" w:hAnsi="Times New Roman" w:cs="Times New Roman"/>
          <w:sz w:val="24"/>
          <w:szCs w:val="24"/>
        </w:rPr>
        <w:t xml:space="preserve"> Një pjesë e mirë e shpenzimeve që janë planifikuara me buxhet të Kosovës, janë subvencione për sektorin e OJQ-ve për ofrimin e sh♪7rbimeve sociale.</w:t>
      </w:r>
      <w:r w:rsidRPr="00554FAF">
        <w:rPr>
          <w:rFonts w:ascii="Times New Roman" w:hAnsi="Times New Roman" w:cs="Times New Roman"/>
          <w:sz w:val="24"/>
          <w:szCs w:val="24"/>
        </w:rPr>
        <w:t xml:space="preserve"> Ndërsa kosto e vlerësuar p</w:t>
      </w:r>
      <w:r w:rsidR="009D141C" w:rsidRPr="00554FAF">
        <w:rPr>
          <w:rFonts w:ascii="Times New Roman" w:hAnsi="Times New Roman" w:cs="Times New Roman"/>
          <w:sz w:val="24"/>
          <w:szCs w:val="24"/>
        </w:rPr>
        <w:t>ë</w:t>
      </w:r>
      <w:r w:rsidRPr="00554FAF">
        <w:rPr>
          <w:rFonts w:ascii="Times New Roman" w:hAnsi="Times New Roman" w:cs="Times New Roman"/>
          <w:sz w:val="24"/>
          <w:szCs w:val="24"/>
        </w:rPr>
        <w:t>r vitin 2022 është 21,000,000 EUR nga t</w:t>
      </w:r>
      <w:r w:rsidR="009D141C" w:rsidRPr="00554FAF">
        <w:rPr>
          <w:rFonts w:ascii="Times New Roman" w:hAnsi="Times New Roman" w:cs="Times New Roman"/>
          <w:sz w:val="24"/>
          <w:szCs w:val="24"/>
        </w:rPr>
        <w:t>ë</w:t>
      </w:r>
      <w:r w:rsidRPr="00554FAF">
        <w:rPr>
          <w:rFonts w:ascii="Times New Roman" w:hAnsi="Times New Roman" w:cs="Times New Roman"/>
          <w:sz w:val="24"/>
          <w:szCs w:val="24"/>
        </w:rPr>
        <w:t xml:space="preserve"> cilat 20,500,000 pritet t</w:t>
      </w:r>
      <w:r w:rsidR="009D141C" w:rsidRPr="00554FAF">
        <w:rPr>
          <w:rFonts w:ascii="Times New Roman" w:hAnsi="Times New Roman" w:cs="Times New Roman"/>
          <w:sz w:val="24"/>
          <w:szCs w:val="24"/>
        </w:rPr>
        <w:t>ë</w:t>
      </w:r>
      <w:r w:rsidRPr="00554FAF">
        <w:rPr>
          <w:rFonts w:ascii="Times New Roman" w:hAnsi="Times New Roman" w:cs="Times New Roman"/>
          <w:sz w:val="24"/>
          <w:szCs w:val="24"/>
        </w:rPr>
        <w:t xml:space="preserve"> financohen nga Buxheti i Kosovës dhe pjesa tjetër nga donatorët. Kostoja e kësaj mase ndërlidhet me zbatimin e Ligjit të ri për Skemën e </w:t>
      </w:r>
      <w:r w:rsidR="009D141C" w:rsidRPr="00554FAF">
        <w:rPr>
          <w:rFonts w:ascii="Times New Roman" w:hAnsi="Times New Roman" w:cs="Times New Roman"/>
          <w:sz w:val="24"/>
          <w:szCs w:val="24"/>
        </w:rPr>
        <w:t>n</w:t>
      </w:r>
      <w:r w:rsidRPr="00554FAF">
        <w:rPr>
          <w:rFonts w:ascii="Times New Roman" w:hAnsi="Times New Roman" w:cs="Times New Roman"/>
          <w:sz w:val="24"/>
          <w:szCs w:val="24"/>
        </w:rPr>
        <w:t xml:space="preserve">dihmës </w:t>
      </w:r>
      <w:r w:rsidR="009D141C" w:rsidRPr="00554FAF">
        <w:rPr>
          <w:rFonts w:ascii="Times New Roman" w:hAnsi="Times New Roman" w:cs="Times New Roman"/>
          <w:sz w:val="24"/>
          <w:szCs w:val="24"/>
        </w:rPr>
        <w:t>f</w:t>
      </w:r>
      <w:r w:rsidRPr="00554FAF">
        <w:rPr>
          <w:rFonts w:ascii="Times New Roman" w:hAnsi="Times New Roman" w:cs="Times New Roman"/>
          <w:sz w:val="24"/>
          <w:szCs w:val="24"/>
        </w:rPr>
        <w:t xml:space="preserve">inanciare. </w:t>
      </w:r>
    </w:p>
    <w:p w14:paraId="5090CFC3" w14:textId="5EFA5FB6" w:rsidR="000702CB" w:rsidRPr="00554FAF" w:rsidRDefault="000702CB" w:rsidP="000702CB">
      <w:pPr>
        <w:pStyle w:val="NoSpacing"/>
        <w:spacing w:after="60"/>
        <w:jc w:val="both"/>
        <w:rPr>
          <w:rFonts w:ascii="Times New Roman" w:hAnsi="Times New Roman"/>
          <w:bCs/>
          <w:iCs/>
          <w:sz w:val="24"/>
          <w:szCs w:val="24"/>
          <w:lang w:val="sq-AL"/>
        </w:rPr>
      </w:pPr>
      <w:r w:rsidRPr="00554FAF">
        <w:rPr>
          <w:rFonts w:ascii="Times New Roman" w:hAnsi="Times New Roman"/>
          <w:b/>
          <w:bCs/>
          <w:iCs/>
          <w:sz w:val="24"/>
          <w:szCs w:val="24"/>
          <w:lang w:val="sq-AL"/>
        </w:rPr>
        <w:t xml:space="preserve">4. Ndikimet e pritshme mbi rezultatet sociale, të tilla si punësimi, reduktimi i varfërisë, barazia gjinore: </w:t>
      </w:r>
      <w:r w:rsidRPr="00554FAF">
        <w:rPr>
          <w:rFonts w:ascii="Times New Roman" w:hAnsi="Times New Roman"/>
          <w:bCs/>
          <w:iCs/>
          <w:sz w:val="24"/>
          <w:szCs w:val="24"/>
          <w:lang w:val="sq-AL"/>
        </w:rPr>
        <w:t xml:space="preserve">Mundësia e përdorimit të shërbimeve sociale për një numër të madh të përfituesve (veçanërisht fëmijëve, personave me aftësi të kufizuara, të moshuarit) si rezultat i përmirësimit të skemës së ndihmës sociale dhe nga ana tjetër ngritja e cilësisë së shërbimeve sociale, po ashtu me krijimin e vendeve të punës si rezultat i punësimit ne ndërmarrjet sociale të individëve nga familjet ne nevoje do të ketë ndikimi  pozitiv në situatën socio-ekonomike të segmenteve më të prekura të popullsisë. Përmirësimet në kuadrin ligjor do të sjellin kushte më të mira të jetesës, punës, ushqimit, edukimit, frekuentimit të programeve të trajnimit profesional për individët me nevoja të veçanta. Ngritja e kapaciteteve dhe kualifikimi nëpërmjet trajnimeve të akredituara të punëtoreve social do të sjellë rritje të efikasitetit të punës në Qendrat e </w:t>
      </w:r>
      <w:r w:rsidR="009D141C" w:rsidRPr="00554FAF">
        <w:rPr>
          <w:rFonts w:ascii="Times New Roman" w:hAnsi="Times New Roman"/>
          <w:bCs/>
          <w:iCs/>
          <w:sz w:val="24"/>
          <w:szCs w:val="24"/>
          <w:lang w:val="sq-AL"/>
        </w:rPr>
        <w:t>p</w:t>
      </w:r>
      <w:r w:rsidRPr="00554FAF">
        <w:rPr>
          <w:rFonts w:ascii="Times New Roman" w:hAnsi="Times New Roman"/>
          <w:bCs/>
          <w:iCs/>
          <w:sz w:val="24"/>
          <w:szCs w:val="24"/>
          <w:lang w:val="sq-AL"/>
        </w:rPr>
        <w:t xml:space="preserve">unës </w:t>
      </w:r>
      <w:r w:rsidR="009D141C" w:rsidRPr="00554FAF">
        <w:rPr>
          <w:rFonts w:ascii="Times New Roman" w:hAnsi="Times New Roman"/>
          <w:bCs/>
          <w:iCs/>
          <w:sz w:val="24"/>
          <w:szCs w:val="24"/>
          <w:lang w:val="sq-AL"/>
        </w:rPr>
        <w:t>s</w:t>
      </w:r>
      <w:r w:rsidRPr="00554FAF">
        <w:rPr>
          <w:rFonts w:ascii="Times New Roman" w:hAnsi="Times New Roman"/>
          <w:bCs/>
          <w:iCs/>
          <w:sz w:val="24"/>
          <w:szCs w:val="24"/>
          <w:lang w:val="sq-AL"/>
        </w:rPr>
        <w:t>ociale dhe sektorit joqeveritar të licencuar.</w:t>
      </w:r>
    </w:p>
    <w:p w14:paraId="5E7F5F61" w14:textId="3E12A941" w:rsidR="000702CB" w:rsidRPr="00554FAF" w:rsidRDefault="000702CB" w:rsidP="000702CB">
      <w:pPr>
        <w:pStyle w:val="NoSpacing"/>
        <w:spacing w:after="60"/>
        <w:jc w:val="both"/>
        <w:rPr>
          <w:rFonts w:ascii="Times New Roman" w:hAnsi="Times New Roman"/>
          <w:bCs/>
          <w:iCs/>
          <w:sz w:val="24"/>
          <w:szCs w:val="24"/>
          <w:lang w:val="sq-AL"/>
        </w:rPr>
      </w:pPr>
      <w:r w:rsidRPr="00554FAF">
        <w:rPr>
          <w:rFonts w:ascii="Times New Roman" w:hAnsi="Times New Roman"/>
          <w:b/>
          <w:bCs/>
          <w:iCs/>
          <w:sz w:val="24"/>
          <w:szCs w:val="24"/>
          <w:lang w:val="sq-AL"/>
        </w:rPr>
        <w:t>5. Ndikimi i pritshëm në mjedis:</w:t>
      </w:r>
      <w:r w:rsidRPr="00554FAF">
        <w:rPr>
          <w:rFonts w:ascii="Times New Roman" w:hAnsi="Times New Roman"/>
          <w:b/>
          <w:bCs/>
          <w:i/>
          <w:iCs/>
          <w:sz w:val="24"/>
          <w:szCs w:val="24"/>
          <w:lang w:val="sq-AL"/>
        </w:rPr>
        <w:t xml:space="preserve"> </w:t>
      </w:r>
      <w:r w:rsidRPr="00554FAF">
        <w:rPr>
          <w:rFonts w:ascii="Times New Roman" w:hAnsi="Times New Roman"/>
          <w:bCs/>
          <w:iCs/>
          <w:sz w:val="24"/>
          <w:szCs w:val="24"/>
          <w:lang w:val="sq-AL"/>
        </w:rPr>
        <w:t>Mirëqenia sociale është gjithmonë e lidhur pozitivisht me shkallën e preferencës së gjelbër të konsumatorit. Grupe me nivel të ulët socio-ekonomike krijojnë  probleme mjedisore gjatë konsumit të mallrave dhe shërbimeve. Kështu</w:t>
      </w:r>
      <w:r w:rsidR="009D141C" w:rsidRPr="00554FAF">
        <w:rPr>
          <w:rFonts w:ascii="Times New Roman" w:hAnsi="Times New Roman"/>
          <w:bCs/>
          <w:iCs/>
          <w:sz w:val="24"/>
          <w:szCs w:val="24"/>
          <w:lang w:val="sq-AL"/>
        </w:rPr>
        <w:t>,</w:t>
      </w:r>
      <w:r w:rsidRPr="00554FAF">
        <w:rPr>
          <w:rFonts w:ascii="Times New Roman" w:hAnsi="Times New Roman"/>
          <w:bCs/>
          <w:iCs/>
          <w:sz w:val="24"/>
          <w:szCs w:val="24"/>
          <w:lang w:val="sq-AL"/>
        </w:rPr>
        <w:t xml:space="preserve"> ulja e varfërisë </w:t>
      </w:r>
      <w:r w:rsidR="009D141C" w:rsidRPr="00554FAF">
        <w:rPr>
          <w:rFonts w:ascii="Times New Roman" w:hAnsi="Times New Roman"/>
          <w:bCs/>
          <w:iCs/>
          <w:sz w:val="24"/>
          <w:szCs w:val="24"/>
          <w:lang w:val="sq-AL"/>
        </w:rPr>
        <w:t>dhe p</w:t>
      </w:r>
      <w:r w:rsidRPr="00554FAF">
        <w:rPr>
          <w:rFonts w:ascii="Times New Roman" w:hAnsi="Times New Roman"/>
          <w:bCs/>
          <w:iCs/>
          <w:sz w:val="24"/>
          <w:szCs w:val="24"/>
          <w:lang w:val="sq-AL"/>
        </w:rPr>
        <w:t>ërmirësimi i cilësisë së jetës së komuniteteve të caktuara</w:t>
      </w:r>
      <w:r w:rsidR="009D141C" w:rsidRPr="00554FAF">
        <w:rPr>
          <w:rFonts w:ascii="Times New Roman" w:hAnsi="Times New Roman"/>
          <w:bCs/>
          <w:iCs/>
          <w:sz w:val="24"/>
          <w:szCs w:val="24"/>
          <w:lang w:val="sq-AL"/>
        </w:rPr>
        <w:t>,</w:t>
      </w:r>
      <w:r w:rsidRPr="00554FAF">
        <w:rPr>
          <w:rFonts w:ascii="Times New Roman" w:hAnsi="Times New Roman"/>
          <w:bCs/>
          <w:iCs/>
          <w:sz w:val="24"/>
          <w:szCs w:val="24"/>
          <w:lang w:val="sq-AL"/>
        </w:rPr>
        <w:t xml:space="preserve"> do të ketë ndikim në përmirësimin e mjedisit ku ata jetojnë.</w:t>
      </w:r>
    </w:p>
    <w:p w14:paraId="577AE986" w14:textId="7E627736" w:rsidR="000702CB" w:rsidRPr="00554FAF" w:rsidRDefault="000D752B" w:rsidP="000702CB">
      <w:pPr>
        <w:pStyle w:val="NoSpacing"/>
        <w:spacing w:after="60"/>
        <w:jc w:val="both"/>
        <w:rPr>
          <w:rFonts w:ascii="Times New Roman" w:hAnsi="Times New Roman"/>
          <w:b/>
          <w:sz w:val="24"/>
          <w:szCs w:val="24"/>
          <w:lang w:val="sq-AL"/>
        </w:rPr>
      </w:pPr>
      <w:r>
        <w:rPr>
          <w:rFonts w:ascii="Times New Roman" w:hAnsi="Times New Roman"/>
          <w:b/>
          <w:sz w:val="24"/>
          <w:szCs w:val="24"/>
          <w:lang w:val="sq-AL"/>
        </w:rPr>
        <w:t>6. Rreziqet potenciale</w:t>
      </w:r>
      <w:r w:rsidR="000702CB" w:rsidRPr="00554FAF">
        <w:rPr>
          <w:rFonts w:ascii="Times New Roman" w:hAnsi="Times New Roman"/>
          <w:b/>
          <w:sz w:val="24"/>
          <w:szCs w:val="24"/>
          <w:lang w:val="sq-AL"/>
        </w:rPr>
        <w:t xml:space="preserve">: </w:t>
      </w:r>
    </w:p>
    <w:tbl>
      <w:tblPr>
        <w:tblStyle w:val="TableGrid"/>
        <w:tblW w:w="9355" w:type="dxa"/>
        <w:tblLayout w:type="fixed"/>
        <w:tblLook w:val="04A0" w:firstRow="1" w:lastRow="0" w:firstColumn="1" w:lastColumn="0" w:noHBand="0" w:noVBand="1"/>
      </w:tblPr>
      <w:tblGrid>
        <w:gridCol w:w="4405"/>
        <w:gridCol w:w="1620"/>
        <w:gridCol w:w="3330"/>
      </w:tblGrid>
      <w:tr w:rsidR="000702CB" w:rsidRPr="00554FAF" w14:paraId="27E2474E" w14:textId="77777777" w:rsidTr="000D752B">
        <w:trPr>
          <w:trHeight w:val="800"/>
        </w:trPr>
        <w:tc>
          <w:tcPr>
            <w:tcW w:w="4405" w:type="dxa"/>
          </w:tcPr>
          <w:p w14:paraId="215D98FE" w14:textId="77777777" w:rsidR="000702CB" w:rsidRPr="00554FAF" w:rsidRDefault="000702CB" w:rsidP="000702CB">
            <w:pPr>
              <w:autoSpaceDE w:val="0"/>
              <w:autoSpaceDN w:val="0"/>
              <w:adjustRightInd w:val="0"/>
              <w:spacing w:after="60"/>
              <w:jc w:val="both"/>
              <w:rPr>
                <w:rFonts w:ascii="Times New Roman" w:hAnsi="Times New Roman" w:cs="Times New Roman"/>
                <w:color w:val="000000"/>
                <w:sz w:val="24"/>
                <w:szCs w:val="24"/>
              </w:rPr>
            </w:pPr>
            <w:r w:rsidRPr="00554FAF">
              <w:rPr>
                <w:rFonts w:ascii="Times New Roman" w:hAnsi="Times New Roman" w:cs="Times New Roman"/>
                <w:b/>
                <w:bCs/>
                <w:color w:val="000000"/>
                <w:sz w:val="24"/>
                <w:szCs w:val="24"/>
              </w:rPr>
              <w:t xml:space="preserve">Rreziku </w:t>
            </w:r>
          </w:p>
          <w:p w14:paraId="1EC2FD8D" w14:textId="77777777" w:rsidR="000702CB" w:rsidRPr="00554FAF" w:rsidRDefault="000702CB" w:rsidP="000702CB">
            <w:pPr>
              <w:autoSpaceDE w:val="0"/>
              <w:autoSpaceDN w:val="0"/>
              <w:adjustRightInd w:val="0"/>
              <w:spacing w:after="60"/>
              <w:jc w:val="both"/>
              <w:rPr>
                <w:rFonts w:ascii="Times New Roman" w:hAnsi="Times New Roman" w:cs="Times New Roman"/>
                <w:color w:val="000000"/>
                <w:sz w:val="24"/>
                <w:szCs w:val="24"/>
              </w:rPr>
            </w:pPr>
          </w:p>
        </w:tc>
        <w:tc>
          <w:tcPr>
            <w:tcW w:w="1620" w:type="dxa"/>
          </w:tcPr>
          <w:p w14:paraId="3985C352" w14:textId="77777777" w:rsidR="000702CB" w:rsidRPr="00554FAF" w:rsidRDefault="000702CB" w:rsidP="000702CB">
            <w:pPr>
              <w:autoSpaceDE w:val="0"/>
              <w:autoSpaceDN w:val="0"/>
              <w:adjustRightInd w:val="0"/>
              <w:spacing w:after="60"/>
              <w:ind w:right="-122"/>
              <w:rPr>
                <w:rFonts w:ascii="Times New Roman" w:hAnsi="Times New Roman" w:cs="Times New Roman"/>
                <w:b/>
                <w:bCs/>
                <w:color w:val="000000"/>
                <w:sz w:val="24"/>
                <w:szCs w:val="24"/>
              </w:rPr>
            </w:pPr>
            <w:r w:rsidRPr="00554FAF">
              <w:rPr>
                <w:rFonts w:ascii="Times New Roman" w:hAnsi="Times New Roman" w:cs="Times New Roman"/>
                <w:b/>
                <w:bCs/>
                <w:color w:val="000000"/>
                <w:sz w:val="24"/>
                <w:szCs w:val="24"/>
              </w:rPr>
              <w:t xml:space="preserve">Probabiliteti </w:t>
            </w:r>
          </w:p>
          <w:p w14:paraId="5BA2E400" w14:textId="77777777" w:rsidR="000702CB" w:rsidRPr="00554FAF" w:rsidRDefault="000702CB" w:rsidP="000702CB">
            <w:pPr>
              <w:autoSpaceDE w:val="0"/>
              <w:autoSpaceDN w:val="0"/>
              <w:adjustRightInd w:val="0"/>
              <w:spacing w:after="60"/>
              <w:ind w:right="-122"/>
              <w:rPr>
                <w:rFonts w:ascii="Times New Roman" w:hAnsi="Times New Roman" w:cs="Times New Roman"/>
                <w:color w:val="000000"/>
                <w:sz w:val="24"/>
                <w:szCs w:val="24"/>
              </w:rPr>
            </w:pPr>
            <w:r w:rsidRPr="00554FAF">
              <w:rPr>
                <w:rFonts w:ascii="Times New Roman" w:hAnsi="Times New Roman" w:cs="Times New Roman"/>
                <w:b/>
                <w:bCs/>
                <w:color w:val="000000"/>
                <w:sz w:val="24"/>
                <w:szCs w:val="24"/>
              </w:rPr>
              <w:t xml:space="preserve">(i ulët ose i lartë) </w:t>
            </w:r>
          </w:p>
        </w:tc>
        <w:tc>
          <w:tcPr>
            <w:tcW w:w="3330" w:type="dxa"/>
          </w:tcPr>
          <w:p w14:paraId="1311AB38" w14:textId="77777777" w:rsidR="000702CB" w:rsidRPr="00554FAF" w:rsidRDefault="000702CB" w:rsidP="000702CB">
            <w:pPr>
              <w:autoSpaceDE w:val="0"/>
              <w:autoSpaceDN w:val="0"/>
              <w:adjustRightInd w:val="0"/>
              <w:spacing w:after="60"/>
              <w:rPr>
                <w:rFonts w:ascii="Times New Roman" w:hAnsi="Times New Roman" w:cs="Times New Roman"/>
                <w:color w:val="000000"/>
                <w:sz w:val="24"/>
                <w:szCs w:val="24"/>
              </w:rPr>
            </w:pPr>
            <w:r w:rsidRPr="00554FAF">
              <w:rPr>
                <w:rFonts w:ascii="Times New Roman" w:hAnsi="Times New Roman" w:cs="Times New Roman"/>
                <w:b/>
                <w:bCs/>
                <w:color w:val="000000"/>
                <w:sz w:val="24"/>
                <w:szCs w:val="24"/>
              </w:rPr>
              <w:t xml:space="preserve">Veprimi lehtësues i planifikuar </w:t>
            </w:r>
          </w:p>
        </w:tc>
      </w:tr>
      <w:tr w:rsidR="000702CB" w:rsidRPr="00554FAF" w14:paraId="598AA352" w14:textId="77777777" w:rsidTr="003A7429">
        <w:tc>
          <w:tcPr>
            <w:tcW w:w="4405" w:type="dxa"/>
          </w:tcPr>
          <w:p w14:paraId="2ED64B83" w14:textId="3E95738D" w:rsidR="000702CB" w:rsidRPr="00554FAF" w:rsidRDefault="000702CB" w:rsidP="00802FB3">
            <w:pPr>
              <w:pStyle w:val="ListParagraph"/>
              <w:numPr>
                <w:ilvl w:val="0"/>
                <w:numId w:val="27"/>
              </w:numPr>
              <w:autoSpaceDE w:val="0"/>
              <w:autoSpaceDN w:val="0"/>
              <w:adjustRightInd w:val="0"/>
              <w:spacing w:after="60"/>
              <w:contextualSpacing w:val="0"/>
              <w:jc w:val="both"/>
              <w:rPr>
                <w:rFonts w:ascii="Times New Roman" w:hAnsi="Times New Roman" w:cs="Times New Roman"/>
                <w:color w:val="000000"/>
                <w:sz w:val="24"/>
                <w:szCs w:val="24"/>
              </w:rPr>
            </w:pPr>
            <w:r w:rsidRPr="00554FAF">
              <w:rPr>
                <w:rFonts w:ascii="Times New Roman" w:hAnsi="Times New Roman" w:cs="Times New Roman"/>
                <w:color w:val="000000"/>
                <w:sz w:val="24"/>
                <w:szCs w:val="24"/>
              </w:rPr>
              <w:t>Vonesat n</w:t>
            </w:r>
            <w:r w:rsidR="009D141C" w:rsidRPr="00554FAF">
              <w:rPr>
                <w:rFonts w:ascii="Times New Roman" w:hAnsi="Times New Roman" w:cs="Times New Roman"/>
                <w:color w:val="000000"/>
                <w:sz w:val="24"/>
                <w:szCs w:val="24"/>
              </w:rPr>
              <w:t>ë</w:t>
            </w:r>
            <w:r w:rsidRPr="00554FAF">
              <w:rPr>
                <w:rFonts w:ascii="Times New Roman" w:hAnsi="Times New Roman" w:cs="Times New Roman"/>
                <w:color w:val="000000"/>
                <w:sz w:val="24"/>
                <w:szCs w:val="24"/>
              </w:rPr>
              <w:t xml:space="preserve"> miratimin e kornizës ligjore </w:t>
            </w:r>
            <w:r w:rsidR="009D141C" w:rsidRPr="00554FAF">
              <w:rPr>
                <w:rFonts w:ascii="Times New Roman" w:hAnsi="Times New Roman" w:cs="Times New Roman"/>
                <w:color w:val="000000"/>
                <w:sz w:val="24"/>
                <w:szCs w:val="24"/>
              </w:rPr>
              <w:t xml:space="preserve">parësore </w:t>
            </w:r>
            <w:r w:rsidRPr="00554FAF">
              <w:rPr>
                <w:rFonts w:ascii="Times New Roman" w:hAnsi="Times New Roman" w:cs="Times New Roman"/>
                <w:color w:val="000000"/>
                <w:sz w:val="24"/>
                <w:szCs w:val="24"/>
              </w:rPr>
              <w:t xml:space="preserve">dhe </w:t>
            </w:r>
            <w:r w:rsidR="009D141C" w:rsidRPr="00554FAF">
              <w:rPr>
                <w:rFonts w:ascii="Times New Roman" w:hAnsi="Times New Roman" w:cs="Times New Roman"/>
                <w:color w:val="000000"/>
                <w:sz w:val="24"/>
                <w:szCs w:val="24"/>
              </w:rPr>
              <w:t>dytësore</w:t>
            </w:r>
          </w:p>
        </w:tc>
        <w:tc>
          <w:tcPr>
            <w:tcW w:w="1620" w:type="dxa"/>
          </w:tcPr>
          <w:p w14:paraId="6E1BA1B3" w14:textId="77777777" w:rsidR="000702CB" w:rsidRPr="00554FAF" w:rsidRDefault="000702CB" w:rsidP="000702CB">
            <w:pPr>
              <w:autoSpaceDE w:val="0"/>
              <w:autoSpaceDN w:val="0"/>
              <w:adjustRightInd w:val="0"/>
              <w:spacing w:after="60"/>
              <w:jc w:val="both"/>
              <w:rPr>
                <w:rFonts w:ascii="Times New Roman" w:hAnsi="Times New Roman" w:cs="Times New Roman"/>
                <w:color w:val="000000"/>
                <w:sz w:val="24"/>
                <w:szCs w:val="24"/>
              </w:rPr>
            </w:pPr>
            <w:r w:rsidRPr="00554FAF">
              <w:rPr>
                <w:rFonts w:ascii="Times New Roman" w:hAnsi="Times New Roman" w:cs="Times New Roman"/>
                <w:color w:val="000000"/>
                <w:sz w:val="24"/>
                <w:szCs w:val="24"/>
              </w:rPr>
              <w:t>I ulët</w:t>
            </w:r>
          </w:p>
        </w:tc>
        <w:tc>
          <w:tcPr>
            <w:tcW w:w="3330" w:type="dxa"/>
          </w:tcPr>
          <w:p w14:paraId="35174A50" w14:textId="743BFAA9" w:rsidR="000702CB" w:rsidRPr="00554FAF" w:rsidRDefault="000702CB" w:rsidP="009D102F">
            <w:pPr>
              <w:autoSpaceDE w:val="0"/>
              <w:autoSpaceDN w:val="0"/>
              <w:adjustRightInd w:val="0"/>
              <w:spacing w:after="60"/>
              <w:jc w:val="both"/>
              <w:rPr>
                <w:rFonts w:ascii="Times New Roman" w:hAnsi="Times New Roman" w:cs="Times New Roman"/>
                <w:color w:val="000000"/>
                <w:sz w:val="24"/>
                <w:szCs w:val="24"/>
              </w:rPr>
            </w:pPr>
            <w:r w:rsidRPr="00554FAF">
              <w:rPr>
                <w:rFonts w:ascii="Times New Roman" w:hAnsi="Times New Roman" w:cs="Times New Roman"/>
                <w:color w:val="000000"/>
                <w:sz w:val="24"/>
                <w:szCs w:val="24"/>
              </w:rPr>
              <w:t xml:space="preserve">Ligjet janë </w:t>
            </w:r>
            <w:r w:rsidR="009D102F" w:rsidRPr="00554FAF">
              <w:rPr>
                <w:rFonts w:ascii="Times New Roman" w:hAnsi="Times New Roman" w:cs="Times New Roman"/>
                <w:color w:val="000000"/>
                <w:sz w:val="24"/>
                <w:szCs w:val="24"/>
              </w:rPr>
              <w:t>hartuar teknikisht dhe është marrë</w:t>
            </w:r>
            <w:r w:rsidRPr="00554FAF">
              <w:rPr>
                <w:rFonts w:ascii="Times New Roman" w:hAnsi="Times New Roman" w:cs="Times New Roman"/>
                <w:color w:val="000000"/>
                <w:sz w:val="24"/>
                <w:szCs w:val="24"/>
              </w:rPr>
              <w:t xml:space="preserve"> konsensusi i stafit teknik të MPMS. Ligji është parashikua</w:t>
            </w:r>
            <w:r w:rsidR="00EA0B1C" w:rsidRPr="00554FAF">
              <w:rPr>
                <w:rFonts w:ascii="Times New Roman" w:hAnsi="Times New Roman" w:cs="Times New Roman"/>
                <w:color w:val="000000"/>
                <w:sz w:val="24"/>
                <w:szCs w:val="24"/>
              </w:rPr>
              <w:t>r edhe në</w:t>
            </w:r>
            <w:r w:rsidRPr="00554FAF">
              <w:rPr>
                <w:rFonts w:ascii="Times New Roman" w:hAnsi="Times New Roman" w:cs="Times New Roman"/>
                <w:color w:val="000000"/>
                <w:sz w:val="24"/>
                <w:szCs w:val="24"/>
              </w:rPr>
              <w:t xml:space="preserve"> strategjinë sektoriale.  </w:t>
            </w:r>
          </w:p>
        </w:tc>
      </w:tr>
    </w:tbl>
    <w:p w14:paraId="36A86CD6" w14:textId="77777777" w:rsidR="000702CB" w:rsidRPr="00554FAF" w:rsidRDefault="000702CB" w:rsidP="000702CB">
      <w:pPr>
        <w:spacing w:after="60" w:line="240" w:lineRule="auto"/>
        <w:jc w:val="both"/>
        <w:rPr>
          <w:rFonts w:ascii="Times New Roman" w:hAnsi="Times New Roman" w:cs="Times New Roman"/>
          <w:sz w:val="24"/>
          <w:szCs w:val="24"/>
        </w:rPr>
      </w:pPr>
    </w:p>
    <w:p w14:paraId="5564135C" w14:textId="77777777" w:rsidR="00E3413B" w:rsidRPr="00554FAF" w:rsidRDefault="00E3413B" w:rsidP="000702CB">
      <w:pPr>
        <w:spacing w:after="60" w:line="240" w:lineRule="auto"/>
        <w:rPr>
          <w:rFonts w:ascii="Times New Roman" w:hAnsi="Times New Roman" w:cs="Times New Roman"/>
          <w:sz w:val="24"/>
          <w:szCs w:val="24"/>
        </w:rPr>
      </w:pPr>
    </w:p>
    <w:p w14:paraId="3360DCA6" w14:textId="77777777" w:rsidR="00DA39C9" w:rsidRPr="00554FAF" w:rsidRDefault="00DA39C9" w:rsidP="00085F16">
      <w:pPr>
        <w:pStyle w:val="ERPL1"/>
      </w:pPr>
      <w:bookmarkStart w:id="219" w:name="_Toc13127900"/>
      <w:bookmarkStart w:id="220" w:name="_Toc25533250"/>
      <w:bookmarkStart w:id="221" w:name="_Toc25873756"/>
      <w:r w:rsidRPr="00554FAF">
        <w:t>6. KOSTOT DHE FINANCIMI I REFORMAVE STRUKTURORE</w:t>
      </w:r>
      <w:bookmarkEnd w:id="219"/>
      <w:bookmarkEnd w:id="220"/>
      <w:bookmarkEnd w:id="221"/>
    </w:p>
    <w:p w14:paraId="5037CCDC" w14:textId="47255C25" w:rsidR="00E74716" w:rsidRPr="00E74716" w:rsidRDefault="00E74716" w:rsidP="00E74716">
      <w:pPr>
        <w:spacing w:after="120" w:line="240" w:lineRule="auto"/>
        <w:jc w:val="both"/>
        <w:rPr>
          <w:rFonts w:ascii="Times New Roman" w:eastAsia="Times New Roman" w:hAnsi="Times New Roman" w:cs="Times New Roman"/>
          <w:sz w:val="24"/>
          <w:szCs w:val="24"/>
          <w:lang w:val="en-US"/>
        </w:rPr>
      </w:pPr>
      <w:r w:rsidRPr="00E74716">
        <w:rPr>
          <w:rFonts w:ascii="Times New Roman" w:eastAsia="Times New Roman" w:hAnsi="Times New Roman" w:cs="Times New Roman"/>
          <w:sz w:val="24"/>
          <w:szCs w:val="24"/>
          <w:lang w:val="en-US"/>
        </w:rPr>
        <w:t>Reformat e identifikuara në seksionin e kaluar përmbajnë politika ekzistuese dhe të reja të Qeverisë për të adresuar pengesat kryesore për rritjen ekonomike, konkurrueshm</w:t>
      </w:r>
      <w:r w:rsidR="00AB7469">
        <w:rPr>
          <w:rFonts w:ascii="Times New Roman" w:eastAsia="Times New Roman" w:hAnsi="Times New Roman" w:cs="Times New Roman"/>
          <w:sz w:val="24"/>
          <w:szCs w:val="24"/>
          <w:lang w:val="en-US"/>
        </w:rPr>
        <w:t>ë</w:t>
      </w:r>
      <w:r w:rsidRPr="00E74716">
        <w:rPr>
          <w:rFonts w:ascii="Times New Roman" w:eastAsia="Times New Roman" w:hAnsi="Times New Roman" w:cs="Times New Roman"/>
          <w:sz w:val="24"/>
          <w:szCs w:val="24"/>
          <w:lang w:val="en-US"/>
        </w:rPr>
        <w:t>rin</w:t>
      </w:r>
      <w:r w:rsidR="00AB7469">
        <w:rPr>
          <w:rFonts w:ascii="Times New Roman" w:eastAsia="Times New Roman" w:hAnsi="Times New Roman" w:cs="Times New Roman"/>
          <w:sz w:val="24"/>
          <w:szCs w:val="24"/>
          <w:lang w:val="en-US"/>
        </w:rPr>
        <w:t>ë</w:t>
      </w:r>
      <w:r w:rsidRPr="00E74716">
        <w:rPr>
          <w:rFonts w:ascii="Times New Roman" w:eastAsia="Times New Roman" w:hAnsi="Times New Roman" w:cs="Times New Roman"/>
          <w:sz w:val="24"/>
          <w:szCs w:val="24"/>
          <w:lang w:val="en-US"/>
        </w:rPr>
        <w:t xml:space="preserve"> dhe krijimin e vendeve të punës. Kostoja totale e parashikuar e 20 masave prioritare të reformës të paraqitura në Kapitullin 4 të PRE 2020-2022 vlerësohet të jetë </w:t>
      </w:r>
      <w:r w:rsidRPr="00E74716">
        <w:rPr>
          <w:rFonts w:ascii="Times New Roman" w:eastAsia="Times New Roman" w:hAnsi="Times New Roman" w:cs="Times New Roman"/>
          <w:b/>
          <w:sz w:val="24"/>
          <w:szCs w:val="24"/>
          <w:lang w:val="en-US"/>
        </w:rPr>
        <w:t>661,738,296 EUR</w:t>
      </w:r>
      <w:r w:rsidRPr="00E74716">
        <w:rPr>
          <w:rFonts w:ascii="Times New Roman" w:eastAsia="Times New Roman" w:hAnsi="Times New Roman" w:cs="Times New Roman"/>
          <w:sz w:val="24"/>
          <w:szCs w:val="24"/>
          <w:lang w:val="en-US"/>
        </w:rPr>
        <w:t xml:space="preserve"> (përfshirë shpenzimet e drejtpërdrejta të buxhetit, kreditë, fondet IPA dhe të tjerët). Këto reforma pritet të financohen përmes buxhetit të Kosovës duke përfshirë KEDS dhe sektorin privat, por edhe financime të jashtme nga institucionet financiare, grante dhe asistencë teknike nga partnerët zhvillimorë.</w:t>
      </w:r>
    </w:p>
    <w:p w14:paraId="07BB030B" w14:textId="77777777" w:rsidR="00E74716" w:rsidRPr="00E74716" w:rsidRDefault="00E74716" w:rsidP="00E74716">
      <w:pPr>
        <w:spacing w:after="120" w:line="240" w:lineRule="auto"/>
        <w:jc w:val="both"/>
        <w:rPr>
          <w:rFonts w:ascii="Times New Roman" w:eastAsia="Times New Roman" w:hAnsi="Times New Roman" w:cs="Times New Roman"/>
          <w:sz w:val="24"/>
          <w:szCs w:val="24"/>
          <w:lang w:val="en-US"/>
        </w:rPr>
      </w:pPr>
      <w:r w:rsidRPr="00E74716">
        <w:rPr>
          <w:rFonts w:ascii="Times New Roman" w:eastAsia="Times New Roman" w:hAnsi="Times New Roman" w:cs="Times New Roman"/>
          <w:sz w:val="24"/>
          <w:szCs w:val="24"/>
          <w:lang w:val="en-US"/>
        </w:rPr>
        <w:t>Ndikimi i drejtpërdrejtë i përgjithshëm buxhetor që vjen nga zbatimi i 20 reformave strukturore të parashikuara arrin në 227,316,332.000 EUR për periudhën 2020-2022. Investimet e pritura kapitale nga sektori privat dhe KEDS, kryesisht të lidhura me zbatimin e Masa strukturore # 1: Ulja e konsumit të energjisë përmes masave të efikasitetit të energjisë dhe masa e reformës # 2: Rritja e diversitetit të burimeve të energjisë, pritet të jetë 338.021.960 EUR.</w:t>
      </w:r>
    </w:p>
    <w:p w14:paraId="2C707EC9" w14:textId="2ACEB9EF" w:rsidR="00E74716" w:rsidRPr="00FC648F" w:rsidRDefault="00E74716" w:rsidP="00E74716">
      <w:pPr>
        <w:spacing w:after="120" w:line="240" w:lineRule="auto"/>
        <w:jc w:val="both"/>
        <w:rPr>
          <w:rFonts w:ascii="Times New Roman" w:eastAsia="Times New Roman" w:hAnsi="Times New Roman" w:cs="Times New Roman"/>
          <w:sz w:val="24"/>
          <w:szCs w:val="24"/>
          <w:lang w:val="fr-BE"/>
        </w:rPr>
      </w:pPr>
      <w:r w:rsidRPr="00E74716">
        <w:rPr>
          <w:rFonts w:ascii="Times New Roman" w:eastAsia="Times New Roman" w:hAnsi="Times New Roman" w:cs="Times New Roman"/>
          <w:sz w:val="24"/>
          <w:szCs w:val="24"/>
          <w:lang w:val="en-US"/>
        </w:rPr>
        <w:t>Një total prej 53,726,319.00 EUR pritet të jetë mbështetje nga donatorët gjatë viteve 2020-2022. Mbështetja është e përqendruar n</w:t>
      </w:r>
      <w:r w:rsidR="00AB7469">
        <w:rPr>
          <w:rFonts w:ascii="Times New Roman" w:eastAsia="Times New Roman" w:hAnsi="Times New Roman" w:cs="Times New Roman"/>
          <w:sz w:val="24"/>
          <w:szCs w:val="24"/>
          <w:lang w:val="en-US"/>
        </w:rPr>
        <w:t>ë</w:t>
      </w:r>
      <w:r w:rsidRPr="00E74716">
        <w:rPr>
          <w:rFonts w:ascii="Times New Roman" w:eastAsia="Times New Roman" w:hAnsi="Times New Roman" w:cs="Times New Roman"/>
          <w:sz w:val="24"/>
          <w:szCs w:val="24"/>
          <w:lang w:val="en-US"/>
        </w:rPr>
        <w:t xml:space="preserve"> avancimin e mëtutjeshm</w:t>
      </w:r>
      <w:r w:rsidR="00AB7469">
        <w:rPr>
          <w:rFonts w:ascii="Times New Roman" w:eastAsia="Times New Roman" w:hAnsi="Times New Roman" w:cs="Times New Roman"/>
          <w:sz w:val="24"/>
          <w:szCs w:val="24"/>
          <w:lang w:val="en-US"/>
        </w:rPr>
        <w:t>ë</w:t>
      </w:r>
      <w:r w:rsidRPr="00E74716">
        <w:rPr>
          <w:rFonts w:ascii="Times New Roman" w:eastAsia="Times New Roman" w:hAnsi="Times New Roman" w:cs="Times New Roman"/>
          <w:sz w:val="24"/>
          <w:szCs w:val="24"/>
          <w:lang w:val="en-US"/>
        </w:rPr>
        <w:t xml:space="preserve">m të reformave të reja. Një sasi e konsiderueshme e granteve nga partnerët e zhvillimor si BB, MCC dhe BE do të sigurohen për të zbatuar masën e efikasitetit të energjisë nën masën # 1: Ulja e konsumit të energjisë përmes masave të efikasitetit të energjisë. Pjesa tjetër e mbështetjes së donatorëve është përqendruar kryesisht në mbështetjen e nismave të ndryshme legjislative në formë të ndihmës teknike. </w:t>
      </w:r>
      <w:r w:rsidRPr="00FC648F">
        <w:rPr>
          <w:rFonts w:ascii="Times New Roman" w:eastAsia="Times New Roman" w:hAnsi="Times New Roman" w:cs="Times New Roman"/>
          <w:sz w:val="24"/>
          <w:szCs w:val="24"/>
          <w:lang w:val="fr-BE"/>
        </w:rPr>
        <w:t>Një shtesë prej 7,429,400.00 EUR pritet si mbështetje nga fondet IPA. Pjesa më e madhe e kësaj mbështetje ka të bëjë me zbatimin e aktiviteteve nën masën 13. Masa # 13 Zgjerimi i rrjeteve përkatëse të TIK-ut dhe infrastruktura e shërbimeve për zhvillimin socio-ekonomik.</w:t>
      </w:r>
    </w:p>
    <w:p w14:paraId="6902BE5B" w14:textId="35233172" w:rsidR="00E74716" w:rsidRPr="00FC648F" w:rsidRDefault="00E74716" w:rsidP="00E74716">
      <w:pPr>
        <w:spacing w:after="120" w:line="240" w:lineRule="auto"/>
        <w:jc w:val="both"/>
        <w:rPr>
          <w:rFonts w:ascii="Times New Roman" w:eastAsia="Times New Roman" w:hAnsi="Times New Roman" w:cs="Times New Roman"/>
          <w:sz w:val="24"/>
          <w:szCs w:val="24"/>
          <w:lang w:val="fr-BE"/>
        </w:rPr>
      </w:pPr>
      <w:r w:rsidRPr="00FC648F">
        <w:rPr>
          <w:rFonts w:ascii="Times New Roman" w:eastAsia="Times New Roman" w:hAnsi="Times New Roman" w:cs="Times New Roman"/>
          <w:sz w:val="24"/>
          <w:szCs w:val="24"/>
          <w:lang w:val="fr-BE"/>
        </w:rPr>
        <w:t>Një numër i konsiderueshëm aktivitetesh të ndërlidhura me masat e efikasitetit të energjisë, përmirësimin e ujitjes, inspektimin dhe shtrirjen e rrjetit me brez të gjerë, pritet të financohen përmes kredive. Ndikimi i përgjithshëm i huave për vitet 2020-2022, të cilat tashmë janë aprovuar dhe janë pjesë e Buxhetit të vitit 2020, janë në 36,594,618.00 EUR</w:t>
      </w:r>
    </w:p>
    <w:p w14:paraId="74494F81" w14:textId="3128C171" w:rsidR="00E74716" w:rsidRDefault="00E74716" w:rsidP="00E74716">
      <w:pPr>
        <w:pStyle w:val="Caption"/>
        <w:keepNext/>
      </w:pPr>
      <w:r>
        <w:t>Figura 2 Implikimet buxhetore t</w:t>
      </w:r>
      <w:r w:rsidR="00AB7469">
        <w:t>ë</w:t>
      </w:r>
      <w:r>
        <w:t xml:space="preserve"> reformave strukturore 2020-2022, sipas burimeve t</w:t>
      </w:r>
      <w:r w:rsidR="00AB7469">
        <w:t>ë</w:t>
      </w:r>
      <w:r>
        <w:t xml:space="preserve"> financimit </w:t>
      </w:r>
    </w:p>
    <w:tbl>
      <w:tblPr>
        <w:tblW w:w="10075" w:type="dxa"/>
        <w:tblLook w:val="04A0" w:firstRow="1" w:lastRow="0" w:firstColumn="1" w:lastColumn="0" w:noHBand="0" w:noVBand="1"/>
      </w:tblPr>
      <w:tblGrid>
        <w:gridCol w:w="857"/>
        <w:gridCol w:w="1341"/>
        <w:gridCol w:w="897"/>
        <w:gridCol w:w="1006"/>
        <w:gridCol w:w="1161"/>
        <w:gridCol w:w="1251"/>
        <w:gridCol w:w="1251"/>
        <w:gridCol w:w="1341"/>
        <w:gridCol w:w="1341"/>
      </w:tblGrid>
      <w:tr w:rsidR="00E74716" w:rsidRPr="0097002E" w14:paraId="783A9196" w14:textId="77777777" w:rsidTr="00085F16">
        <w:trPr>
          <w:trHeight w:val="571"/>
        </w:trPr>
        <w:tc>
          <w:tcPr>
            <w:tcW w:w="857"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3B7C0E6F" w14:textId="074D77FE" w:rsidR="00E74716" w:rsidRPr="0097002E" w:rsidRDefault="00E74716" w:rsidP="00085F16">
            <w:pPr>
              <w:jc w:val="both"/>
              <w:rPr>
                <w:rFonts w:ascii="Times New Roman" w:eastAsia="Times New Roman" w:hAnsi="Times New Roman" w:cs="Times New Roman"/>
                <w:b/>
                <w:color w:val="000000"/>
                <w:sz w:val="18"/>
                <w:szCs w:val="18"/>
                <w:lang w:val="en-US"/>
              </w:rPr>
            </w:pPr>
            <w:r>
              <w:rPr>
                <w:rFonts w:ascii="Times New Roman" w:eastAsia="Times New Roman" w:hAnsi="Times New Roman" w:cs="Times New Roman"/>
                <w:b/>
                <w:color w:val="000000"/>
                <w:sz w:val="18"/>
                <w:szCs w:val="18"/>
                <w:lang w:val="en-US"/>
              </w:rPr>
              <w:t>Viti</w:t>
            </w:r>
          </w:p>
        </w:tc>
        <w:tc>
          <w:tcPr>
            <w:tcW w:w="134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1429ADB" w14:textId="3C3F71A7" w:rsidR="00E74716" w:rsidRPr="0097002E" w:rsidRDefault="00E74716" w:rsidP="00085F16">
            <w:pPr>
              <w:jc w:val="both"/>
              <w:rPr>
                <w:rFonts w:ascii="Times New Roman" w:eastAsia="Times New Roman" w:hAnsi="Times New Roman" w:cs="Times New Roman"/>
                <w:b/>
                <w:color w:val="000000"/>
                <w:sz w:val="18"/>
                <w:szCs w:val="18"/>
                <w:lang w:val="en-US"/>
              </w:rPr>
            </w:pPr>
            <w:r>
              <w:rPr>
                <w:rFonts w:ascii="Times New Roman" w:eastAsia="Times New Roman" w:hAnsi="Times New Roman" w:cs="Times New Roman"/>
                <w:b/>
                <w:color w:val="000000"/>
                <w:sz w:val="18"/>
                <w:szCs w:val="18"/>
                <w:lang w:val="en-US"/>
              </w:rPr>
              <w:t>Buxheti qendror</w:t>
            </w:r>
          </w:p>
        </w:tc>
        <w:tc>
          <w:tcPr>
            <w:tcW w:w="100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33B97EE" w14:textId="0B98B7CE" w:rsidR="00E74716" w:rsidRPr="0097002E" w:rsidRDefault="00E74716" w:rsidP="00085F16">
            <w:pPr>
              <w:jc w:val="both"/>
              <w:rPr>
                <w:rFonts w:ascii="Times New Roman" w:eastAsia="Times New Roman" w:hAnsi="Times New Roman" w:cs="Times New Roman"/>
                <w:b/>
                <w:color w:val="000000"/>
                <w:sz w:val="18"/>
                <w:szCs w:val="18"/>
                <w:lang w:val="en-US"/>
              </w:rPr>
            </w:pPr>
            <w:r>
              <w:rPr>
                <w:rFonts w:ascii="Times New Roman" w:eastAsia="Times New Roman" w:hAnsi="Times New Roman" w:cs="Times New Roman"/>
                <w:b/>
                <w:color w:val="000000"/>
                <w:sz w:val="18"/>
                <w:szCs w:val="18"/>
                <w:lang w:val="en-US"/>
              </w:rPr>
              <w:t>Buxheti komunal</w:t>
            </w:r>
          </w:p>
        </w:tc>
        <w:tc>
          <w:tcPr>
            <w:tcW w:w="8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0404D2A" w14:textId="6137AB07" w:rsidR="00E74716" w:rsidRPr="0097002E" w:rsidRDefault="00E74716" w:rsidP="00085F16">
            <w:pPr>
              <w:jc w:val="both"/>
              <w:rPr>
                <w:rFonts w:ascii="Times New Roman" w:eastAsia="Times New Roman" w:hAnsi="Times New Roman" w:cs="Times New Roman"/>
                <w:b/>
                <w:color w:val="000000"/>
                <w:sz w:val="18"/>
                <w:szCs w:val="18"/>
                <w:lang w:val="en-US"/>
              </w:rPr>
            </w:pPr>
            <w:r>
              <w:rPr>
                <w:rFonts w:ascii="Times New Roman" w:eastAsia="Times New Roman" w:hAnsi="Times New Roman" w:cs="Times New Roman"/>
                <w:b/>
                <w:color w:val="000000"/>
                <w:sz w:val="18"/>
                <w:szCs w:val="18"/>
                <w:lang w:val="en-US"/>
              </w:rPr>
              <w:t>Burime të tjera të financimit publik</w:t>
            </w:r>
          </w:p>
        </w:tc>
        <w:tc>
          <w:tcPr>
            <w:tcW w:w="116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DDD3DF0" w14:textId="048AB7E5" w:rsidR="00E74716" w:rsidRPr="0097002E" w:rsidRDefault="00E74716" w:rsidP="00085F16">
            <w:pPr>
              <w:jc w:val="both"/>
              <w:rPr>
                <w:rFonts w:ascii="Times New Roman" w:eastAsia="Times New Roman" w:hAnsi="Times New Roman" w:cs="Times New Roman"/>
                <w:b/>
                <w:color w:val="000000"/>
                <w:sz w:val="18"/>
                <w:szCs w:val="18"/>
                <w:lang w:val="en-US"/>
              </w:rPr>
            </w:pPr>
            <w:r>
              <w:rPr>
                <w:rFonts w:ascii="Times New Roman" w:eastAsia="Times New Roman" w:hAnsi="Times New Roman" w:cs="Times New Roman"/>
                <w:b/>
                <w:color w:val="000000"/>
                <w:sz w:val="18"/>
                <w:szCs w:val="18"/>
                <w:lang w:val="en-US"/>
              </w:rPr>
              <w:t>Fondet IPA</w:t>
            </w:r>
          </w:p>
        </w:tc>
        <w:tc>
          <w:tcPr>
            <w:tcW w:w="12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B9E1FCA" w14:textId="5FE7C0FB" w:rsidR="00E74716" w:rsidRPr="0097002E" w:rsidRDefault="00E74716" w:rsidP="00085F16">
            <w:pPr>
              <w:jc w:val="both"/>
              <w:rPr>
                <w:rFonts w:ascii="Times New Roman" w:eastAsia="Times New Roman" w:hAnsi="Times New Roman" w:cs="Times New Roman"/>
                <w:b/>
                <w:color w:val="000000"/>
                <w:sz w:val="18"/>
                <w:szCs w:val="18"/>
                <w:lang w:val="en-US"/>
              </w:rPr>
            </w:pPr>
            <w:r>
              <w:rPr>
                <w:rFonts w:ascii="Times New Roman" w:eastAsia="Times New Roman" w:hAnsi="Times New Roman" w:cs="Times New Roman"/>
                <w:b/>
                <w:color w:val="000000"/>
                <w:sz w:val="18"/>
                <w:szCs w:val="18"/>
                <w:lang w:val="en-US"/>
              </w:rPr>
              <w:t>Grante të tjera</w:t>
            </w:r>
          </w:p>
        </w:tc>
        <w:tc>
          <w:tcPr>
            <w:tcW w:w="12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C366F1C" w14:textId="0D3B12A7" w:rsidR="00E74716" w:rsidRPr="0097002E" w:rsidRDefault="00E74716" w:rsidP="00085F16">
            <w:pPr>
              <w:jc w:val="both"/>
              <w:rPr>
                <w:rFonts w:ascii="Times New Roman" w:eastAsia="Times New Roman" w:hAnsi="Times New Roman" w:cs="Times New Roman"/>
                <w:b/>
                <w:color w:val="000000"/>
                <w:sz w:val="18"/>
                <w:szCs w:val="18"/>
                <w:lang w:val="en-US"/>
              </w:rPr>
            </w:pPr>
            <w:r>
              <w:rPr>
                <w:rFonts w:ascii="Times New Roman" w:eastAsia="Times New Roman" w:hAnsi="Times New Roman" w:cs="Times New Roman"/>
                <w:b/>
                <w:color w:val="000000"/>
                <w:sz w:val="18"/>
                <w:szCs w:val="18"/>
                <w:lang w:val="en-US"/>
              </w:rPr>
              <w:t>Huatë</w:t>
            </w:r>
          </w:p>
        </w:tc>
        <w:tc>
          <w:tcPr>
            <w:tcW w:w="134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F516023" w14:textId="6D829178" w:rsidR="00E74716" w:rsidRPr="00FC648F" w:rsidRDefault="00E74716" w:rsidP="00E74716">
            <w:pPr>
              <w:jc w:val="both"/>
              <w:rPr>
                <w:rFonts w:ascii="Times New Roman" w:eastAsia="Times New Roman" w:hAnsi="Times New Roman" w:cs="Times New Roman"/>
                <w:b/>
                <w:color w:val="000000"/>
                <w:sz w:val="18"/>
                <w:szCs w:val="18"/>
                <w:lang w:val="fr-BE"/>
              </w:rPr>
            </w:pPr>
            <w:r w:rsidRPr="00FC648F">
              <w:rPr>
                <w:rFonts w:ascii="Times New Roman" w:eastAsia="Times New Roman" w:hAnsi="Times New Roman" w:cs="Times New Roman"/>
                <w:b/>
                <w:color w:val="000000"/>
                <w:sz w:val="18"/>
                <w:szCs w:val="18"/>
                <w:lang w:val="fr-BE"/>
              </w:rPr>
              <w:t xml:space="preserve">Për tu përcaktuar (KEDS dhe sektori privat) </w:t>
            </w:r>
          </w:p>
        </w:tc>
        <w:tc>
          <w:tcPr>
            <w:tcW w:w="104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FE1E5D2" w14:textId="7F55EDE0" w:rsidR="00E74716" w:rsidRPr="0097002E" w:rsidRDefault="00E74716" w:rsidP="00085F16">
            <w:pPr>
              <w:rPr>
                <w:rFonts w:ascii="Times New Roman" w:eastAsia="Times New Roman" w:hAnsi="Times New Roman" w:cs="Times New Roman"/>
                <w:b/>
                <w:color w:val="000000"/>
                <w:sz w:val="18"/>
                <w:szCs w:val="18"/>
                <w:lang w:val="en-US"/>
              </w:rPr>
            </w:pPr>
            <w:r>
              <w:rPr>
                <w:rFonts w:ascii="Times New Roman" w:eastAsia="Times New Roman" w:hAnsi="Times New Roman" w:cs="Times New Roman"/>
                <w:b/>
                <w:color w:val="000000"/>
                <w:sz w:val="18"/>
                <w:szCs w:val="18"/>
                <w:lang w:val="en-US"/>
              </w:rPr>
              <w:t>Totali</w:t>
            </w:r>
          </w:p>
        </w:tc>
      </w:tr>
      <w:tr w:rsidR="00E74716" w:rsidRPr="0097002E" w14:paraId="0DB85990" w14:textId="77777777" w:rsidTr="00085F16">
        <w:trPr>
          <w:trHeight w:val="383"/>
        </w:trPr>
        <w:tc>
          <w:tcPr>
            <w:tcW w:w="857" w:type="dxa"/>
            <w:vMerge/>
            <w:tcBorders>
              <w:top w:val="single" w:sz="8" w:space="0" w:color="auto"/>
              <w:left w:val="single" w:sz="4" w:space="0" w:color="auto"/>
              <w:bottom w:val="single" w:sz="8" w:space="0" w:color="000000"/>
              <w:right w:val="single" w:sz="8" w:space="0" w:color="auto"/>
            </w:tcBorders>
            <w:vAlign w:val="center"/>
            <w:hideMark/>
          </w:tcPr>
          <w:p w14:paraId="79F021B2" w14:textId="77777777" w:rsidR="00E74716" w:rsidRPr="0097002E" w:rsidRDefault="00E74716" w:rsidP="00085F16">
            <w:pPr>
              <w:rPr>
                <w:rFonts w:ascii="Times New Roman" w:eastAsia="Times New Roman" w:hAnsi="Times New Roman" w:cs="Times New Roman"/>
                <w:color w:val="000000"/>
                <w:sz w:val="18"/>
                <w:szCs w:val="18"/>
                <w:lang w:val="en-US"/>
              </w:rPr>
            </w:pPr>
          </w:p>
        </w:tc>
        <w:tc>
          <w:tcPr>
            <w:tcW w:w="1341" w:type="dxa"/>
            <w:vMerge/>
            <w:tcBorders>
              <w:top w:val="single" w:sz="8" w:space="0" w:color="auto"/>
              <w:left w:val="single" w:sz="8" w:space="0" w:color="auto"/>
              <w:bottom w:val="single" w:sz="8" w:space="0" w:color="000000"/>
              <w:right w:val="single" w:sz="8" w:space="0" w:color="auto"/>
            </w:tcBorders>
            <w:vAlign w:val="center"/>
            <w:hideMark/>
          </w:tcPr>
          <w:p w14:paraId="0C49B3C3" w14:textId="77777777" w:rsidR="00E74716" w:rsidRPr="0097002E" w:rsidRDefault="00E74716" w:rsidP="00085F16">
            <w:pPr>
              <w:rPr>
                <w:rFonts w:ascii="Times New Roman" w:eastAsia="Times New Roman" w:hAnsi="Times New Roman" w:cs="Times New Roman"/>
                <w:color w:val="000000"/>
                <w:sz w:val="18"/>
                <w:szCs w:val="18"/>
                <w:lang w:val="en-US"/>
              </w:rPr>
            </w:pPr>
          </w:p>
        </w:tc>
        <w:tc>
          <w:tcPr>
            <w:tcW w:w="1007" w:type="dxa"/>
            <w:vMerge/>
            <w:tcBorders>
              <w:top w:val="single" w:sz="8" w:space="0" w:color="auto"/>
              <w:left w:val="single" w:sz="8" w:space="0" w:color="auto"/>
              <w:bottom w:val="single" w:sz="8" w:space="0" w:color="000000"/>
              <w:right w:val="single" w:sz="8" w:space="0" w:color="auto"/>
            </w:tcBorders>
            <w:vAlign w:val="center"/>
            <w:hideMark/>
          </w:tcPr>
          <w:p w14:paraId="0281EA54" w14:textId="77777777" w:rsidR="00E74716" w:rsidRPr="0097002E" w:rsidRDefault="00E74716" w:rsidP="00085F16">
            <w:pPr>
              <w:rPr>
                <w:rFonts w:ascii="Times New Roman" w:eastAsia="Times New Roman" w:hAnsi="Times New Roman" w:cs="Times New Roman"/>
                <w:color w:val="000000"/>
                <w:sz w:val="18"/>
                <w:szCs w:val="18"/>
                <w:lang w:val="en-US"/>
              </w:rPr>
            </w:pPr>
          </w:p>
        </w:tc>
        <w:tc>
          <w:tcPr>
            <w:tcW w:w="817" w:type="dxa"/>
            <w:vMerge/>
            <w:tcBorders>
              <w:top w:val="single" w:sz="8" w:space="0" w:color="auto"/>
              <w:left w:val="single" w:sz="8" w:space="0" w:color="auto"/>
              <w:bottom w:val="single" w:sz="8" w:space="0" w:color="000000"/>
              <w:right w:val="single" w:sz="8" w:space="0" w:color="auto"/>
            </w:tcBorders>
            <w:vAlign w:val="center"/>
            <w:hideMark/>
          </w:tcPr>
          <w:p w14:paraId="4D074B9E" w14:textId="77777777" w:rsidR="00E74716" w:rsidRPr="0097002E" w:rsidRDefault="00E74716" w:rsidP="00085F16">
            <w:pPr>
              <w:rPr>
                <w:rFonts w:ascii="Times New Roman" w:eastAsia="Times New Roman" w:hAnsi="Times New Roman" w:cs="Times New Roman"/>
                <w:color w:val="000000"/>
                <w:sz w:val="18"/>
                <w:szCs w:val="18"/>
                <w:lang w:val="en-US"/>
              </w:rPr>
            </w:pPr>
          </w:p>
        </w:tc>
        <w:tc>
          <w:tcPr>
            <w:tcW w:w="1161" w:type="dxa"/>
            <w:vMerge/>
            <w:tcBorders>
              <w:top w:val="single" w:sz="8" w:space="0" w:color="auto"/>
              <w:left w:val="single" w:sz="8" w:space="0" w:color="auto"/>
              <w:bottom w:val="single" w:sz="8" w:space="0" w:color="000000"/>
              <w:right w:val="single" w:sz="8" w:space="0" w:color="auto"/>
            </w:tcBorders>
            <w:vAlign w:val="center"/>
            <w:hideMark/>
          </w:tcPr>
          <w:p w14:paraId="2BECC199" w14:textId="77777777" w:rsidR="00E74716" w:rsidRPr="0097002E" w:rsidRDefault="00E74716" w:rsidP="00085F16">
            <w:pPr>
              <w:rPr>
                <w:rFonts w:ascii="Times New Roman" w:eastAsia="Times New Roman" w:hAnsi="Times New Roman" w:cs="Times New Roman"/>
                <w:color w:val="000000"/>
                <w:sz w:val="18"/>
                <w:szCs w:val="18"/>
                <w:lang w:val="en-US"/>
              </w:rPr>
            </w:pPr>
          </w:p>
        </w:tc>
        <w:tc>
          <w:tcPr>
            <w:tcW w:w="1251" w:type="dxa"/>
            <w:vMerge/>
            <w:tcBorders>
              <w:top w:val="single" w:sz="8" w:space="0" w:color="auto"/>
              <w:left w:val="single" w:sz="8" w:space="0" w:color="auto"/>
              <w:bottom w:val="single" w:sz="8" w:space="0" w:color="000000"/>
              <w:right w:val="single" w:sz="8" w:space="0" w:color="auto"/>
            </w:tcBorders>
            <w:vAlign w:val="center"/>
            <w:hideMark/>
          </w:tcPr>
          <w:p w14:paraId="34CBC2DB" w14:textId="77777777" w:rsidR="00E74716" w:rsidRPr="0097002E" w:rsidRDefault="00E74716" w:rsidP="00085F16">
            <w:pPr>
              <w:rPr>
                <w:rFonts w:ascii="Times New Roman" w:eastAsia="Times New Roman" w:hAnsi="Times New Roman" w:cs="Times New Roman"/>
                <w:color w:val="000000"/>
                <w:sz w:val="18"/>
                <w:szCs w:val="18"/>
                <w:lang w:val="en-US"/>
              </w:rPr>
            </w:pPr>
          </w:p>
        </w:tc>
        <w:tc>
          <w:tcPr>
            <w:tcW w:w="1251" w:type="dxa"/>
            <w:vMerge/>
            <w:tcBorders>
              <w:top w:val="single" w:sz="8" w:space="0" w:color="auto"/>
              <w:left w:val="single" w:sz="8" w:space="0" w:color="auto"/>
              <w:bottom w:val="single" w:sz="8" w:space="0" w:color="000000"/>
              <w:right w:val="single" w:sz="8" w:space="0" w:color="auto"/>
            </w:tcBorders>
            <w:vAlign w:val="center"/>
            <w:hideMark/>
          </w:tcPr>
          <w:p w14:paraId="07FF0ED9" w14:textId="77777777" w:rsidR="00E74716" w:rsidRPr="0097002E" w:rsidRDefault="00E74716" w:rsidP="00085F16">
            <w:pPr>
              <w:rPr>
                <w:rFonts w:ascii="Times New Roman" w:eastAsia="Times New Roman" w:hAnsi="Times New Roman" w:cs="Times New Roman"/>
                <w:color w:val="000000"/>
                <w:sz w:val="18"/>
                <w:szCs w:val="18"/>
                <w:lang w:val="en-US"/>
              </w:rPr>
            </w:pPr>
          </w:p>
        </w:tc>
        <w:tc>
          <w:tcPr>
            <w:tcW w:w="1341" w:type="dxa"/>
            <w:vMerge/>
            <w:tcBorders>
              <w:top w:val="single" w:sz="8" w:space="0" w:color="auto"/>
              <w:left w:val="single" w:sz="8" w:space="0" w:color="auto"/>
              <w:bottom w:val="single" w:sz="8" w:space="0" w:color="000000"/>
              <w:right w:val="single" w:sz="8" w:space="0" w:color="auto"/>
            </w:tcBorders>
            <w:vAlign w:val="center"/>
            <w:hideMark/>
          </w:tcPr>
          <w:p w14:paraId="5EE952A7" w14:textId="77777777" w:rsidR="00E74716" w:rsidRPr="0097002E" w:rsidRDefault="00E74716" w:rsidP="00085F16">
            <w:pPr>
              <w:rPr>
                <w:rFonts w:ascii="Times New Roman" w:eastAsia="Times New Roman" w:hAnsi="Times New Roman" w:cs="Times New Roman"/>
                <w:color w:val="000000"/>
                <w:sz w:val="18"/>
                <w:szCs w:val="18"/>
                <w:lang w:val="en-US"/>
              </w:rPr>
            </w:pPr>
          </w:p>
        </w:tc>
        <w:tc>
          <w:tcPr>
            <w:tcW w:w="1049" w:type="dxa"/>
            <w:vMerge/>
            <w:tcBorders>
              <w:top w:val="single" w:sz="8" w:space="0" w:color="auto"/>
              <w:left w:val="single" w:sz="8" w:space="0" w:color="auto"/>
              <w:bottom w:val="single" w:sz="8" w:space="0" w:color="000000"/>
              <w:right w:val="single" w:sz="8" w:space="0" w:color="auto"/>
            </w:tcBorders>
            <w:vAlign w:val="center"/>
            <w:hideMark/>
          </w:tcPr>
          <w:p w14:paraId="3814B6DF" w14:textId="77777777" w:rsidR="00E74716" w:rsidRPr="0097002E" w:rsidRDefault="00E74716" w:rsidP="00085F16">
            <w:pPr>
              <w:rPr>
                <w:rFonts w:ascii="Times New Roman" w:eastAsia="Times New Roman" w:hAnsi="Times New Roman" w:cs="Times New Roman"/>
                <w:color w:val="000000"/>
                <w:sz w:val="18"/>
                <w:szCs w:val="18"/>
                <w:lang w:val="en-US"/>
              </w:rPr>
            </w:pPr>
          </w:p>
        </w:tc>
      </w:tr>
      <w:tr w:rsidR="00E74716" w:rsidRPr="0097002E" w14:paraId="58B95469" w14:textId="77777777" w:rsidTr="00085F16">
        <w:trPr>
          <w:trHeight w:val="359"/>
        </w:trPr>
        <w:tc>
          <w:tcPr>
            <w:tcW w:w="857" w:type="dxa"/>
            <w:tcBorders>
              <w:top w:val="nil"/>
              <w:left w:val="single" w:sz="4" w:space="0" w:color="auto"/>
              <w:bottom w:val="single" w:sz="8" w:space="0" w:color="auto"/>
              <w:right w:val="single" w:sz="8" w:space="0" w:color="auto"/>
            </w:tcBorders>
            <w:shd w:val="clear" w:color="auto" w:fill="auto"/>
            <w:vAlign w:val="center"/>
            <w:hideMark/>
          </w:tcPr>
          <w:p w14:paraId="7450A6E7" w14:textId="77777777" w:rsidR="00E74716" w:rsidRPr="0097002E" w:rsidRDefault="00E74716" w:rsidP="00085F16">
            <w:pPr>
              <w:jc w:val="both"/>
              <w:rPr>
                <w:rFonts w:ascii="Times New Roman" w:eastAsia="Times New Roman" w:hAnsi="Times New Roman" w:cs="Times New Roman"/>
                <w:color w:val="000000"/>
                <w:sz w:val="18"/>
                <w:szCs w:val="18"/>
                <w:lang w:val="en-US"/>
              </w:rPr>
            </w:pPr>
            <w:r w:rsidRPr="0097002E">
              <w:rPr>
                <w:rFonts w:ascii="Times New Roman" w:eastAsia="Times New Roman" w:hAnsi="Times New Roman" w:cs="Times New Roman"/>
                <w:color w:val="000000"/>
                <w:sz w:val="18"/>
                <w:szCs w:val="18"/>
                <w:lang w:val="en-US"/>
              </w:rPr>
              <w:t>2020</w:t>
            </w:r>
          </w:p>
        </w:tc>
        <w:tc>
          <w:tcPr>
            <w:tcW w:w="1341" w:type="dxa"/>
            <w:tcBorders>
              <w:top w:val="nil"/>
              <w:left w:val="nil"/>
              <w:bottom w:val="single" w:sz="8" w:space="0" w:color="auto"/>
              <w:right w:val="single" w:sz="8" w:space="0" w:color="auto"/>
            </w:tcBorders>
            <w:shd w:val="clear" w:color="auto" w:fill="auto"/>
            <w:vAlign w:val="center"/>
            <w:hideMark/>
          </w:tcPr>
          <w:p w14:paraId="551FD198" w14:textId="77777777" w:rsidR="00E74716" w:rsidRPr="0097002E" w:rsidRDefault="00E74716" w:rsidP="00085F16">
            <w:pPr>
              <w:jc w:val="both"/>
              <w:rPr>
                <w:rFonts w:ascii="Book Antiqua" w:eastAsia="Times New Roman" w:hAnsi="Book Antiqua" w:cs="Calibri"/>
                <w:color w:val="000000"/>
                <w:sz w:val="18"/>
                <w:szCs w:val="18"/>
                <w:lang w:val="en-US"/>
              </w:rPr>
            </w:pPr>
            <w:r w:rsidRPr="0097002E">
              <w:rPr>
                <w:rFonts w:ascii="Book Antiqua" w:eastAsia="Times New Roman" w:hAnsi="Book Antiqua" w:cs="Calibri"/>
                <w:color w:val="000000"/>
                <w:sz w:val="18"/>
                <w:szCs w:val="18"/>
                <w:lang w:val="en-US"/>
              </w:rPr>
              <w:t>72,800,636.00</w:t>
            </w:r>
          </w:p>
        </w:tc>
        <w:tc>
          <w:tcPr>
            <w:tcW w:w="1007" w:type="dxa"/>
            <w:tcBorders>
              <w:top w:val="nil"/>
              <w:left w:val="nil"/>
              <w:bottom w:val="single" w:sz="8" w:space="0" w:color="auto"/>
              <w:right w:val="single" w:sz="8" w:space="0" w:color="auto"/>
            </w:tcBorders>
            <w:shd w:val="clear" w:color="auto" w:fill="auto"/>
            <w:vAlign w:val="center"/>
            <w:hideMark/>
          </w:tcPr>
          <w:p w14:paraId="40B8A0CA" w14:textId="77777777" w:rsidR="00E74716" w:rsidRPr="0097002E" w:rsidRDefault="00E74716" w:rsidP="00085F16">
            <w:pPr>
              <w:jc w:val="both"/>
              <w:rPr>
                <w:rFonts w:ascii="Book Antiqua" w:eastAsia="Times New Roman" w:hAnsi="Book Antiqua" w:cs="Calibri"/>
                <w:color w:val="000000"/>
                <w:sz w:val="18"/>
                <w:szCs w:val="18"/>
                <w:lang w:val="en-US"/>
              </w:rPr>
            </w:pPr>
            <w:r w:rsidRPr="0097002E">
              <w:rPr>
                <w:rFonts w:ascii="Book Antiqua" w:eastAsia="Times New Roman" w:hAnsi="Book Antiqua" w:cs="Calibri"/>
                <w:color w:val="000000"/>
                <w:sz w:val="18"/>
                <w:szCs w:val="18"/>
                <w:lang w:val="en-US"/>
              </w:rPr>
              <w:t>0.00</w:t>
            </w:r>
          </w:p>
        </w:tc>
        <w:tc>
          <w:tcPr>
            <w:tcW w:w="817" w:type="dxa"/>
            <w:tcBorders>
              <w:top w:val="nil"/>
              <w:left w:val="nil"/>
              <w:bottom w:val="single" w:sz="8" w:space="0" w:color="auto"/>
              <w:right w:val="single" w:sz="8" w:space="0" w:color="auto"/>
            </w:tcBorders>
            <w:shd w:val="clear" w:color="auto" w:fill="auto"/>
            <w:vAlign w:val="center"/>
            <w:hideMark/>
          </w:tcPr>
          <w:p w14:paraId="05FD46CB" w14:textId="77777777" w:rsidR="00E74716" w:rsidRPr="0097002E" w:rsidRDefault="00E74716" w:rsidP="00085F16">
            <w:pPr>
              <w:jc w:val="both"/>
              <w:rPr>
                <w:rFonts w:ascii="Book Antiqua" w:eastAsia="Times New Roman" w:hAnsi="Book Antiqua" w:cs="Calibri"/>
                <w:color w:val="000000"/>
                <w:sz w:val="18"/>
                <w:szCs w:val="18"/>
                <w:lang w:val="en-US"/>
              </w:rPr>
            </w:pPr>
            <w:r w:rsidRPr="0097002E">
              <w:rPr>
                <w:rFonts w:ascii="Book Antiqua" w:eastAsia="Times New Roman" w:hAnsi="Book Antiqua" w:cs="Calibri"/>
                <w:color w:val="000000"/>
                <w:sz w:val="18"/>
                <w:szCs w:val="18"/>
                <w:lang w:val="en-US"/>
              </w:rPr>
              <w:t>0.00</w:t>
            </w:r>
          </w:p>
        </w:tc>
        <w:tc>
          <w:tcPr>
            <w:tcW w:w="1161" w:type="dxa"/>
            <w:tcBorders>
              <w:top w:val="nil"/>
              <w:left w:val="nil"/>
              <w:bottom w:val="single" w:sz="8" w:space="0" w:color="auto"/>
              <w:right w:val="single" w:sz="8" w:space="0" w:color="auto"/>
            </w:tcBorders>
            <w:shd w:val="clear" w:color="auto" w:fill="auto"/>
            <w:vAlign w:val="center"/>
            <w:hideMark/>
          </w:tcPr>
          <w:p w14:paraId="60919251" w14:textId="77777777" w:rsidR="00E74716" w:rsidRPr="0097002E" w:rsidRDefault="00E74716" w:rsidP="00085F16">
            <w:pPr>
              <w:jc w:val="both"/>
              <w:rPr>
                <w:rFonts w:ascii="Book Antiqua" w:eastAsia="Times New Roman" w:hAnsi="Book Antiqua" w:cs="Calibri"/>
                <w:color w:val="000000"/>
                <w:sz w:val="18"/>
                <w:szCs w:val="18"/>
                <w:lang w:val="en-US"/>
              </w:rPr>
            </w:pPr>
            <w:r w:rsidRPr="0097002E">
              <w:rPr>
                <w:rFonts w:ascii="Book Antiqua" w:eastAsia="Times New Roman" w:hAnsi="Book Antiqua" w:cs="Calibri"/>
                <w:color w:val="000000"/>
                <w:sz w:val="18"/>
                <w:szCs w:val="18"/>
                <w:lang w:val="en-US"/>
              </w:rPr>
              <w:t>2,976,800.00</w:t>
            </w:r>
          </w:p>
        </w:tc>
        <w:tc>
          <w:tcPr>
            <w:tcW w:w="1251" w:type="dxa"/>
            <w:tcBorders>
              <w:top w:val="nil"/>
              <w:left w:val="nil"/>
              <w:bottom w:val="single" w:sz="8" w:space="0" w:color="auto"/>
              <w:right w:val="single" w:sz="8" w:space="0" w:color="auto"/>
            </w:tcBorders>
            <w:shd w:val="clear" w:color="auto" w:fill="auto"/>
            <w:vAlign w:val="center"/>
            <w:hideMark/>
          </w:tcPr>
          <w:p w14:paraId="4BA70C96" w14:textId="77777777" w:rsidR="00E74716" w:rsidRPr="0097002E" w:rsidRDefault="00E74716" w:rsidP="00085F16">
            <w:pPr>
              <w:jc w:val="both"/>
              <w:rPr>
                <w:rFonts w:ascii="Book Antiqua" w:eastAsia="Times New Roman" w:hAnsi="Book Antiqua" w:cs="Calibri"/>
                <w:color w:val="000000"/>
                <w:sz w:val="18"/>
                <w:szCs w:val="18"/>
                <w:lang w:val="en-US"/>
              </w:rPr>
            </w:pPr>
            <w:r w:rsidRPr="0097002E">
              <w:rPr>
                <w:rFonts w:ascii="Book Antiqua" w:eastAsia="Times New Roman" w:hAnsi="Book Antiqua" w:cs="Calibri"/>
                <w:color w:val="000000"/>
                <w:sz w:val="18"/>
                <w:szCs w:val="18"/>
                <w:lang w:val="en-US"/>
              </w:rPr>
              <w:t>21,558,411.00</w:t>
            </w:r>
          </w:p>
        </w:tc>
        <w:tc>
          <w:tcPr>
            <w:tcW w:w="1251" w:type="dxa"/>
            <w:tcBorders>
              <w:top w:val="nil"/>
              <w:left w:val="nil"/>
              <w:bottom w:val="single" w:sz="8" w:space="0" w:color="auto"/>
              <w:right w:val="single" w:sz="8" w:space="0" w:color="auto"/>
            </w:tcBorders>
            <w:shd w:val="clear" w:color="auto" w:fill="auto"/>
            <w:vAlign w:val="center"/>
            <w:hideMark/>
          </w:tcPr>
          <w:p w14:paraId="629AA431" w14:textId="77777777" w:rsidR="00E74716" w:rsidRPr="0097002E" w:rsidRDefault="00E74716" w:rsidP="00085F16">
            <w:pPr>
              <w:jc w:val="both"/>
              <w:rPr>
                <w:rFonts w:ascii="Book Antiqua" w:eastAsia="Times New Roman" w:hAnsi="Book Antiqua" w:cs="Calibri"/>
                <w:color w:val="000000"/>
                <w:sz w:val="18"/>
                <w:szCs w:val="18"/>
                <w:lang w:val="en-US"/>
              </w:rPr>
            </w:pPr>
            <w:r w:rsidRPr="0097002E">
              <w:rPr>
                <w:rFonts w:ascii="Book Antiqua" w:eastAsia="Times New Roman" w:hAnsi="Book Antiqua" w:cs="Calibri"/>
                <w:color w:val="000000"/>
                <w:sz w:val="18"/>
                <w:szCs w:val="18"/>
                <w:lang w:val="en-US"/>
              </w:rPr>
              <w:t>19,894,402.00</w:t>
            </w:r>
          </w:p>
        </w:tc>
        <w:tc>
          <w:tcPr>
            <w:tcW w:w="1341" w:type="dxa"/>
            <w:tcBorders>
              <w:top w:val="nil"/>
              <w:left w:val="nil"/>
              <w:bottom w:val="single" w:sz="8" w:space="0" w:color="auto"/>
              <w:right w:val="single" w:sz="8" w:space="0" w:color="auto"/>
            </w:tcBorders>
            <w:shd w:val="clear" w:color="auto" w:fill="auto"/>
            <w:vAlign w:val="center"/>
            <w:hideMark/>
          </w:tcPr>
          <w:p w14:paraId="6199D380" w14:textId="77777777" w:rsidR="00E74716" w:rsidRPr="0097002E" w:rsidRDefault="00E74716" w:rsidP="00085F16">
            <w:pPr>
              <w:jc w:val="both"/>
              <w:rPr>
                <w:rFonts w:ascii="Book Antiqua" w:eastAsia="Times New Roman" w:hAnsi="Book Antiqua" w:cs="Calibri"/>
                <w:color w:val="000000"/>
                <w:sz w:val="18"/>
                <w:szCs w:val="18"/>
                <w:lang w:val="en-US"/>
              </w:rPr>
            </w:pPr>
            <w:r w:rsidRPr="0097002E">
              <w:rPr>
                <w:rFonts w:ascii="Book Antiqua" w:eastAsia="Times New Roman" w:hAnsi="Book Antiqua" w:cs="Calibri"/>
                <w:color w:val="000000"/>
                <w:sz w:val="18"/>
                <w:szCs w:val="18"/>
                <w:lang w:val="en-US"/>
              </w:rPr>
              <w:t>203,578,000.00</w:t>
            </w:r>
          </w:p>
        </w:tc>
        <w:tc>
          <w:tcPr>
            <w:tcW w:w="1049" w:type="dxa"/>
            <w:tcBorders>
              <w:top w:val="nil"/>
              <w:left w:val="nil"/>
              <w:bottom w:val="single" w:sz="8" w:space="0" w:color="auto"/>
              <w:right w:val="single" w:sz="8" w:space="0" w:color="auto"/>
            </w:tcBorders>
            <w:shd w:val="clear" w:color="auto" w:fill="auto"/>
            <w:vAlign w:val="center"/>
            <w:hideMark/>
          </w:tcPr>
          <w:p w14:paraId="6553BE53" w14:textId="77777777" w:rsidR="00E74716" w:rsidRPr="0097002E" w:rsidRDefault="00E74716" w:rsidP="00085F16">
            <w:pPr>
              <w:jc w:val="both"/>
              <w:rPr>
                <w:rFonts w:ascii="Book Antiqua" w:eastAsia="Times New Roman" w:hAnsi="Book Antiqua" w:cs="Calibri"/>
                <w:b/>
                <w:bCs/>
                <w:color w:val="000000"/>
                <w:sz w:val="18"/>
                <w:szCs w:val="18"/>
                <w:lang w:val="en-US"/>
              </w:rPr>
            </w:pPr>
            <w:r w:rsidRPr="0097002E">
              <w:rPr>
                <w:rFonts w:ascii="Book Antiqua" w:eastAsia="Times New Roman" w:hAnsi="Book Antiqua" w:cs="Calibri"/>
                <w:b/>
                <w:bCs/>
                <w:color w:val="000000"/>
                <w:sz w:val="18"/>
                <w:szCs w:val="18"/>
                <w:lang w:val="en-US"/>
              </w:rPr>
              <w:t>319,457,916.00</w:t>
            </w:r>
          </w:p>
        </w:tc>
      </w:tr>
      <w:tr w:rsidR="00E74716" w:rsidRPr="0097002E" w14:paraId="58A6148F" w14:textId="77777777" w:rsidTr="00085F16">
        <w:trPr>
          <w:trHeight w:val="359"/>
        </w:trPr>
        <w:tc>
          <w:tcPr>
            <w:tcW w:w="857" w:type="dxa"/>
            <w:tcBorders>
              <w:top w:val="nil"/>
              <w:left w:val="single" w:sz="4" w:space="0" w:color="auto"/>
              <w:bottom w:val="single" w:sz="8" w:space="0" w:color="auto"/>
              <w:right w:val="single" w:sz="8" w:space="0" w:color="auto"/>
            </w:tcBorders>
            <w:shd w:val="clear" w:color="auto" w:fill="auto"/>
            <w:vAlign w:val="center"/>
            <w:hideMark/>
          </w:tcPr>
          <w:p w14:paraId="58E82D50" w14:textId="77777777" w:rsidR="00E74716" w:rsidRPr="0097002E" w:rsidRDefault="00E74716" w:rsidP="00085F16">
            <w:pPr>
              <w:jc w:val="both"/>
              <w:rPr>
                <w:rFonts w:ascii="Times New Roman" w:eastAsia="Times New Roman" w:hAnsi="Times New Roman" w:cs="Times New Roman"/>
                <w:color w:val="000000"/>
                <w:sz w:val="18"/>
                <w:szCs w:val="18"/>
                <w:lang w:val="en-US"/>
              </w:rPr>
            </w:pPr>
            <w:r w:rsidRPr="0097002E">
              <w:rPr>
                <w:rFonts w:ascii="Times New Roman" w:eastAsia="Times New Roman" w:hAnsi="Times New Roman" w:cs="Times New Roman"/>
                <w:color w:val="000000"/>
                <w:sz w:val="18"/>
                <w:szCs w:val="18"/>
                <w:lang w:val="en-US"/>
              </w:rPr>
              <w:t>2021</w:t>
            </w:r>
          </w:p>
        </w:tc>
        <w:tc>
          <w:tcPr>
            <w:tcW w:w="1341" w:type="dxa"/>
            <w:tcBorders>
              <w:top w:val="nil"/>
              <w:left w:val="nil"/>
              <w:bottom w:val="single" w:sz="8" w:space="0" w:color="auto"/>
              <w:right w:val="single" w:sz="8" w:space="0" w:color="auto"/>
            </w:tcBorders>
            <w:shd w:val="clear" w:color="auto" w:fill="auto"/>
            <w:vAlign w:val="center"/>
            <w:hideMark/>
          </w:tcPr>
          <w:p w14:paraId="5E1F48DA" w14:textId="77777777" w:rsidR="00E74716" w:rsidRPr="0097002E" w:rsidRDefault="00E74716" w:rsidP="00085F16">
            <w:pPr>
              <w:jc w:val="both"/>
              <w:rPr>
                <w:rFonts w:ascii="Book Antiqua" w:eastAsia="Times New Roman" w:hAnsi="Book Antiqua" w:cs="Calibri"/>
                <w:color w:val="000000"/>
                <w:sz w:val="18"/>
                <w:szCs w:val="18"/>
                <w:lang w:val="en-US"/>
              </w:rPr>
            </w:pPr>
            <w:r w:rsidRPr="0097002E">
              <w:rPr>
                <w:rFonts w:ascii="Book Antiqua" w:eastAsia="Times New Roman" w:hAnsi="Book Antiqua" w:cs="Calibri"/>
                <w:color w:val="000000"/>
                <w:sz w:val="18"/>
                <w:szCs w:val="18"/>
                <w:lang w:val="en-US"/>
              </w:rPr>
              <w:t>67,742,485.00</w:t>
            </w:r>
          </w:p>
        </w:tc>
        <w:tc>
          <w:tcPr>
            <w:tcW w:w="1007" w:type="dxa"/>
            <w:tcBorders>
              <w:top w:val="nil"/>
              <w:left w:val="nil"/>
              <w:bottom w:val="single" w:sz="8" w:space="0" w:color="auto"/>
              <w:right w:val="single" w:sz="8" w:space="0" w:color="auto"/>
            </w:tcBorders>
            <w:shd w:val="clear" w:color="auto" w:fill="auto"/>
            <w:vAlign w:val="center"/>
            <w:hideMark/>
          </w:tcPr>
          <w:p w14:paraId="713AB786" w14:textId="77777777" w:rsidR="00E74716" w:rsidRPr="0097002E" w:rsidRDefault="00E74716" w:rsidP="00085F16">
            <w:pPr>
              <w:jc w:val="both"/>
              <w:rPr>
                <w:rFonts w:ascii="Book Antiqua" w:eastAsia="Times New Roman" w:hAnsi="Book Antiqua" w:cs="Calibri"/>
                <w:color w:val="000000"/>
                <w:sz w:val="18"/>
                <w:szCs w:val="18"/>
                <w:lang w:val="en-US"/>
              </w:rPr>
            </w:pPr>
            <w:r w:rsidRPr="0097002E">
              <w:rPr>
                <w:rFonts w:ascii="Book Antiqua" w:eastAsia="Times New Roman" w:hAnsi="Book Antiqua" w:cs="Calibri"/>
                <w:color w:val="000000"/>
                <w:sz w:val="18"/>
                <w:szCs w:val="18"/>
                <w:lang w:val="en-US"/>
              </w:rPr>
              <w:t>0.00</w:t>
            </w:r>
          </w:p>
        </w:tc>
        <w:tc>
          <w:tcPr>
            <w:tcW w:w="817" w:type="dxa"/>
            <w:tcBorders>
              <w:top w:val="nil"/>
              <w:left w:val="nil"/>
              <w:bottom w:val="single" w:sz="8" w:space="0" w:color="auto"/>
              <w:right w:val="single" w:sz="8" w:space="0" w:color="auto"/>
            </w:tcBorders>
            <w:shd w:val="clear" w:color="auto" w:fill="auto"/>
            <w:vAlign w:val="center"/>
            <w:hideMark/>
          </w:tcPr>
          <w:p w14:paraId="749F71D5" w14:textId="77777777" w:rsidR="00E74716" w:rsidRPr="0097002E" w:rsidRDefault="00E74716" w:rsidP="00085F16">
            <w:pPr>
              <w:jc w:val="both"/>
              <w:rPr>
                <w:rFonts w:ascii="Book Antiqua" w:eastAsia="Times New Roman" w:hAnsi="Book Antiqua" w:cs="Calibri"/>
                <w:color w:val="000000"/>
                <w:sz w:val="18"/>
                <w:szCs w:val="18"/>
                <w:lang w:val="en-US"/>
              </w:rPr>
            </w:pPr>
            <w:r w:rsidRPr="0097002E">
              <w:rPr>
                <w:rFonts w:ascii="Book Antiqua" w:eastAsia="Times New Roman" w:hAnsi="Book Antiqua" w:cs="Calibri"/>
                <w:color w:val="000000"/>
                <w:sz w:val="18"/>
                <w:szCs w:val="18"/>
                <w:lang w:val="en-US"/>
              </w:rPr>
              <w:t>0.00</w:t>
            </w:r>
          </w:p>
        </w:tc>
        <w:tc>
          <w:tcPr>
            <w:tcW w:w="1161" w:type="dxa"/>
            <w:tcBorders>
              <w:top w:val="nil"/>
              <w:left w:val="nil"/>
              <w:bottom w:val="single" w:sz="8" w:space="0" w:color="auto"/>
              <w:right w:val="single" w:sz="8" w:space="0" w:color="auto"/>
            </w:tcBorders>
            <w:shd w:val="clear" w:color="auto" w:fill="auto"/>
            <w:vAlign w:val="center"/>
            <w:hideMark/>
          </w:tcPr>
          <w:p w14:paraId="23DEF6C9" w14:textId="77777777" w:rsidR="00E74716" w:rsidRPr="0097002E" w:rsidRDefault="00E74716" w:rsidP="00085F16">
            <w:pPr>
              <w:jc w:val="both"/>
              <w:rPr>
                <w:rFonts w:ascii="Book Antiqua" w:eastAsia="Times New Roman" w:hAnsi="Book Antiqua" w:cs="Calibri"/>
                <w:color w:val="000000"/>
                <w:sz w:val="18"/>
                <w:szCs w:val="18"/>
                <w:lang w:val="en-US"/>
              </w:rPr>
            </w:pPr>
            <w:r w:rsidRPr="0097002E">
              <w:rPr>
                <w:rFonts w:ascii="Book Antiqua" w:eastAsia="Times New Roman" w:hAnsi="Book Antiqua" w:cs="Calibri"/>
                <w:color w:val="000000"/>
                <w:sz w:val="18"/>
                <w:szCs w:val="18"/>
                <w:lang w:val="en-US"/>
              </w:rPr>
              <w:t>2,338,800.00</w:t>
            </w:r>
          </w:p>
        </w:tc>
        <w:tc>
          <w:tcPr>
            <w:tcW w:w="1251" w:type="dxa"/>
            <w:tcBorders>
              <w:top w:val="nil"/>
              <w:left w:val="nil"/>
              <w:bottom w:val="single" w:sz="8" w:space="0" w:color="auto"/>
              <w:right w:val="single" w:sz="8" w:space="0" w:color="auto"/>
            </w:tcBorders>
            <w:shd w:val="clear" w:color="auto" w:fill="auto"/>
            <w:vAlign w:val="center"/>
            <w:hideMark/>
          </w:tcPr>
          <w:p w14:paraId="3BAE40FB" w14:textId="77777777" w:rsidR="00E74716" w:rsidRPr="0097002E" w:rsidRDefault="00E74716" w:rsidP="00085F16">
            <w:pPr>
              <w:jc w:val="both"/>
              <w:rPr>
                <w:rFonts w:ascii="Book Antiqua" w:eastAsia="Times New Roman" w:hAnsi="Book Antiqua" w:cs="Calibri"/>
                <w:color w:val="000000"/>
                <w:sz w:val="18"/>
                <w:szCs w:val="18"/>
                <w:lang w:val="en-US"/>
              </w:rPr>
            </w:pPr>
            <w:r w:rsidRPr="0097002E">
              <w:rPr>
                <w:rFonts w:ascii="Book Antiqua" w:eastAsia="Times New Roman" w:hAnsi="Book Antiqua" w:cs="Calibri"/>
                <w:color w:val="000000"/>
                <w:sz w:val="18"/>
                <w:szCs w:val="18"/>
                <w:lang w:val="en-US"/>
              </w:rPr>
              <w:t>18,981,997.00</w:t>
            </w:r>
          </w:p>
        </w:tc>
        <w:tc>
          <w:tcPr>
            <w:tcW w:w="1251" w:type="dxa"/>
            <w:tcBorders>
              <w:top w:val="nil"/>
              <w:left w:val="nil"/>
              <w:bottom w:val="single" w:sz="8" w:space="0" w:color="auto"/>
              <w:right w:val="single" w:sz="8" w:space="0" w:color="auto"/>
            </w:tcBorders>
            <w:shd w:val="clear" w:color="auto" w:fill="auto"/>
            <w:vAlign w:val="center"/>
            <w:hideMark/>
          </w:tcPr>
          <w:p w14:paraId="26FFAD5C" w14:textId="77777777" w:rsidR="00E74716" w:rsidRPr="0097002E" w:rsidRDefault="00E74716" w:rsidP="00085F16">
            <w:pPr>
              <w:jc w:val="both"/>
              <w:rPr>
                <w:rFonts w:ascii="Book Antiqua" w:eastAsia="Times New Roman" w:hAnsi="Book Antiqua" w:cs="Calibri"/>
                <w:color w:val="000000"/>
                <w:sz w:val="18"/>
                <w:szCs w:val="18"/>
                <w:lang w:val="en-US"/>
              </w:rPr>
            </w:pPr>
            <w:r w:rsidRPr="0097002E">
              <w:rPr>
                <w:rFonts w:ascii="Book Antiqua" w:eastAsia="Times New Roman" w:hAnsi="Book Antiqua" w:cs="Calibri"/>
                <w:color w:val="000000"/>
                <w:sz w:val="18"/>
                <w:szCs w:val="18"/>
                <w:lang w:val="en-US"/>
              </w:rPr>
              <w:t>12,088,203.00</w:t>
            </w:r>
          </w:p>
        </w:tc>
        <w:tc>
          <w:tcPr>
            <w:tcW w:w="1341" w:type="dxa"/>
            <w:tcBorders>
              <w:top w:val="nil"/>
              <w:left w:val="nil"/>
              <w:bottom w:val="single" w:sz="8" w:space="0" w:color="auto"/>
              <w:right w:val="single" w:sz="8" w:space="0" w:color="auto"/>
            </w:tcBorders>
            <w:shd w:val="clear" w:color="auto" w:fill="auto"/>
            <w:vAlign w:val="center"/>
            <w:hideMark/>
          </w:tcPr>
          <w:p w14:paraId="39AA6389" w14:textId="77777777" w:rsidR="00E74716" w:rsidRPr="0097002E" w:rsidRDefault="00E74716" w:rsidP="00085F16">
            <w:pPr>
              <w:jc w:val="both"/>
              <w:rPr>
                <w:rFonts w:ascii="Book Antiqua" w:eastAsia="Times New Roman" w:hAnsi="Book Antiqua" w:cs="Calibri"/>
                <w:color w:val="000000"/>
                <w:sz w:val="18"/>
                <w:szCs w:val="18"/>
                <w:lang w:val="en-US"/>
              </w:rPr>
            </w:pPr>
            <w:r w:rsidRPr="0097002E">
              <w:rPr>
                <w:rFonts w:ascii="Book Antiqua" w:eastAsia="Times New Roman" w:hAnsi="Book Antiqua" w:cs="Calibri"/>
                <w:color w:val="000000"/>
                <w:sz w:val="18"/>
                <w:szCs w:val="18"/>
                <w:lang w:val="en-US"/>
              </w:rPr>
              <w:t>89,753,000.00</w:t>
            </w:r>
          </w:p>
        </w:tc>
        <w:tc>
          <w:tcPr>
            <w:tcW w:w="1049" w:type="dxa"/>
            <w:tcBorders>
              <w:top w:val="nil"/>
              <w:left w:val="nil"/>
              <w:bottom w:val="single" w:sz="8" w:space="0" w:color="auto"/>
              <w:right w:val="single" w:sz="8" w:space="0" w:color="auto"/>
            </w:tcBorders>
            <w:shd w:val="clear" w:color="auto" w:fill="auto"/>
            <w:vAlign w:val="center"/>
            <w:hideMark/>
          </w:tcPr>
          <w:p w14:paraId="58B952B0" w14:textId="77777777" w:rsidR="00E74716" w:rsidRPr="0097002E" w:rsidRDefault="00E74716" w:rsidP="00085F16">
            <w:pPr>
              <w:jc w:val="both"/>
              <w:rPr>
                <w:rFonts w:ascii="Book Antiqua" w:eastAsia="Times New Roman" w:hAnsi="Book Antiqua" w:cs="Calibri"/>
                <w:b/>
                <w:bCs/>
                <w:color w:val="000000"/>
                <w:sz w:val="18"/>
                <w:szCs w:val="18"/>
                <w:lang w:val="en-US"/>
              </w:rPr>
            </w:pPr>
            <w:r w:rsidRPr="0097002E">
              <w:rPr>
                <w:rFonts w:ascii="Book Antiqua" w:eastAsia="Times New Roman" w:hAnsi="Book Antiqua" w:cs="Calibri"/>
                <w:b/>
                <w:bCs/>
                <w:color w:val="000000"/>
                <w:sz w:val="18"/>
                <w:szCs w:val="18"/>
                <w:lang w:val="en-US"/>
              </w:rPr>
              <w:t>190,904,485.00</w:t>
            </w:r>
          </w:p>
        </w:tc>
      </w:tr>
      <w:tr w:rsidR="00E74716" w:rsidRPr="0097002E" w14:paraId="53BCB4A5" w14:textId="77777777" w:rsidTr="00085F16">
        <w:trPr>
          <w:trHeight w:val="359"/>
        </w:trPr>
        <w:tc>
          <w:tcPr>
            <w:tcW w:w="857" w:type="dxa"/>
            <w:tcBorders>
              <w:top w:val="nil"/>
              <w:left w:val="single" w:sz="4" w:space="0" w:color="auto"/>
              <w:bottom w:val="single" w:sz="8" w:space="0" w:color="auto"/>
              <w:right w:val="single" w:sz="8" w:space="0" w:color="auto"/>
            </w:tcBorders>
            <w:shd w:val="clear" w:color="auto" w:fill="auto"/>
            <w:vAlign w:val="center"/>
            <w:hideMark/>
          </w:tcPr>
          <w:p w14:paraId="766F9DFE" w14:textId="77777777" w:rsidR="00E74716" w:rsidRPr="0097002E" w:rsidRDefault="00E74716" w:rsidP="00085F16">
            <w:pPr>
              <w:jc w:val="both"/>
              <w:rPr>
                <w:rFonts w:ascii="Times New Roman" w:eastAsia="Times New Roman" w:hAnsi="Times New Roman" w:cs="Times New Roman"/>
                <w:color w:val="000000"/>
                <w:sz w:val="18"/>
                <w:szCs w:val="18"/>
                <w:lang w:val="en-US"/>
              </w:rPr>
            </w:pPr>
            <w:r w:rsidRPr="0097002E">
              <w:rPr>
                <w:rFonts w:ascii="Times New Roman" w:eastAsia="Times New Roman" w:hAnsi="Times New Roman" w:cs="Times New Roman"/>
                <w:color w:val="000000"/>
                <w:sz w:val="18"/>
                <w:szCs w:val="18"/>
                <w:lang w:val="en-US"/>
              </w:rPr>
              <w:t>2022</w:t>
            </w:r>
          </w:p>
        </w:tc>
        <w:tc>
          <w:tcPr>
            <w:tcW w:w="1341" w:type="dxa"/>
            <w:tcBorders>
              <w:top w:val="nil"/>
              <w:left w:val="nil"/>
              <w:bottom w:val="single" w:sz="8" w:space="0" w:color="auto"/>
              <w:right w:val="single" w:sz="8" w:space="0" w:color="auto"/>
            </w:tcBorders>
            <w:shd w:val="clear" w:color="auto" w:fill="auto"/>
            <w:vAlign w:val="center"/>
            <w:hideMark/>
          </w:tcPr>
          <w:p w14:paraId="330D16A1" w14:textId="77777777" w:rsidR="00E74716" w:rsidRPr="0097002E" w:rsidRDefault="00E74716" w:rsidP="00085F16">
            <w:pPr>
              <w:jc w:val="both"/>
              <w:rPr>
                <w:rFonts w:ascii="Book Antiqua" w:eastAsia="Times New Roman" w:hAnsi="Book Antiqua" w:cs="Calibri"/>
                <w:color w:val="000000"/>
                <w:sz w:val="18"/>
                <w:szCs w:val="18"/>
                <w:lang w:val="en-US"/>
              </w:rPr>
            </w:pPr>
            <w:r w:rsidRPr="0097002E">
              <w:rPr>
                <w:rFonts w:ascii="Book Antiqua" w:eastAsia="Times New Roman" w:hAnsi="Book Antiqua" w:cs="Calibri"/>
                <w:color w:val="000000"/>
                <w:sz w:val="18"/>
                <w:szCs w:val="18"/>
                <w:lang w:val="en-US"/>
              </w:rPr>
              <w:t>86,773,211.00</w:t>
            </w:r>
          </w:p>
        </w:tc>
        <w:tc>
          <w:tcPr>
            <w:tcW w:w="1007" w:type="dxa"/>
            <w:tcBorders>
              <w:top w:val="nil"/>
              <w:left w:val="nil"/>
              <w:bottom w:val="single" w:sz="8" w:space="0" w:color="auto"/>
              <w:right w:val="single" w:sz="8" w:space="0" w:color="auto"/>
            </w:tcBorders>
            <w:shd w:val="clear" w:color="auto" w:fill="auto"/>
            <w:vAlign w:val="center"/>
            <w:hideMark/>
          </w:tcPr>
          <w:p w14:paraId="1829F3FC" w14:textId="77777777" w:rsidR="00E74716" w:rsidRPr="0097002E" w:rsidRDefault="00E74716" w:rsidP="00085F16">
            <w:pPr>
              <w:jc w:val="both"/>
              <w:rPr>
                <w:rFonts w:ascii="Book Antiqua" w:eastAsia="Times New Roman" w:hAnsi="Book Antiqua" w:cs="Calibri"/>
                <w:color w:val="000000"/>
                <w:sz w:val="18"/>
                <w:szCs w:val="18"/>
                <w:lang w:val="en-US"/>
              </w:rPr>
            </w:pPr>
            <w:r w:rsidRPr="0097002E">
              <w:rPr>
                <w:rFonts w:ascii="Book Antiqua" w:eastAsia="Times New Roman" w:hAnsi="Book Antiqua" w:cs="Calibri"/>
                <w:color w:val="000000"/>
                <w:sz w:val="18"/>
                <w:szCs w:val="18"/>
                <w:lang w:val="en-US"/>
              </w:rPr>
              <w:t>0.00</w:t>
            </w:r>
          </w:p>
        </w:tc>
        <w:tc>
          <w:tcPr>
            <w:tcW w:w="817" w:type="dxa"/>
            <w:tcBorders>
              <w:top w:val="nil"/>
              <w:left w:val="nil"/>
              <w:bottom w:val="single" w:sz="8" w:space="0" w:color="auto"/>
              <w:right w:val="single" w:sz="8" w:space="0" w:color="auto"/>
            </w:tcBorders>
            <w:shd w:val="clear" w:color="auto" w:fill="auto"/>
            <w:vAlign w:val="center"/>
            <w:hideMark/>
          </w:tcPr>
          <w:p w14:paraId="1C81C7B1" w14:textId="77777777" w:rsidR="00E74716" w:rsidRPr="0097002E" w:rsidRDefault="00E74716" w:rsidP="00085F16">
            <w:pPr>
              <w:jc w:val="both"/>
              <w:rPr>
                <w:rFonts w:ascii="Book Antiqua" w:eastAsia="Times New Roman" w:hAnsi="Book Antiqua" w:cs="Calibri"/>
                <w:color w:val="000000"/>
                <w:sz w:val="18"/>
                <w:szCs w:val="18"/>
                <w:lang w:val="en-US"/>
              </w:rPr>
            </w:pPr>
            <w:r w:rsidRPr="0097002E">
              <w:rPr>
                <w:rFonts w:ascii="Book Antiqua" w:eastAsia="Times New Roman" w:hAnsi="Book Antiqua" w:cs="Calibri"/>
                <w:color w:val="000000"/>
                <w:sz w:val="18"/>
                <w:szCs w:val="18"/>
                <w:lang w:val="en-US"/>
              </w:rPr>
              <w:t>0.00</w:t>
            </w:r>
          </w:p>
        </w:tc>
        <w:tc>
          <w:tcPr>
            <w:tcW w:w="1161" w:type="dxa"/>
            <w:tcBorders>
              <w:top w:val="nil"/>
              <w:left w:val="nil"/>
              <w:bottom w:val="single" w:sz="8" w:space="0" w:color="auto"/>
              <w:right w:val="single" w:sz="8" w:space="0" w:color="auto"/>
            </w:tcBorders>
            <w:shd w:val="clear" w:color="auto" w:fill="auto"/>
            <w:vAlign w:val="center"/>
            <w:hideMark/>
          </w:tcPr>
          <w:p w14:paraId="39D68D2B" w14:textId="77777777" w:rsidR="00E74716" w:rsidRPr="0097002E" w:rsidRDefault="00E74716" w:rsidP="00085F16">
            <w:pPr>
              <w:jc w:val="both"/>
              <w:rPr>
                <w:rFonts w:ascii="Book Antiqua" w:eastAsia="Times New Roman" w:hAnsi="Book Antiqua" w:cs="Calibri"/>
                <w:color w:val="000000"/>
                <w:sz w:val="18"/>
                <w:szCs w:val="18"/>
                <w:lang w:val="en-US"/>
              </w:rPr>
            </w:pPr>
            <w:r w:rsidRPr="0097002E">
              <w:rPr>
                <w:rFonts w:ascii="Book Antiqua" w:eastAsia="Times New Roman" w:hAnsi="Book Antiqua" w:cs="Calibri"/>
                <w:color w:val="000000"/>
                <w:sz w:val="18"/>
                <w:szCs w:val="18"/>
                <w:lang w:val="en-US"/>
              </w:rPr>
              <w:t>2,113,800.00</w:t>
            </w:r>
          </w:p>
        </w:tc>
        <w:tc>
          <w:tcPr>
            <w:tcW w:w="1251" w:type="dxa"/>
            <w:tcBorders>
              <w:top w:val="nil"/>
              <w:left w:val="nil"/>
              <w:bottom w:val="single" w:sz="8" w:space="0" w:color="auto"/>
              <w:right w:val="single" w:sz="8" w:space="0" w:color="auto"/>
            </w:tcBorders>
            <w:shd w:val="clear" w:color="auto" w:fill="auto"/>
            <w:vAlign w:val="center"/>
            <w:hideMark/>
          </w:tcPr>
          <w:p w14:paraId="76F2897A" w14:textId="77777777" w:rsidR="00E74716" w:rsidRPr="0097002E" w:rsidRDefault="00E74716" w:rsidP="00085F16">
            <w:pPr>
              <w:jc w:val="both"/>
              <w:rPr>
                <w:rFonts w:ascii="Book Antiqua" w:eastAsia="Times New Roman" w:hAnsi="Book Antiqua" w:cs="Calibri"/>
                <w:color w:val="000000"/>
                <w:sz w:val="18"/>
                <w:szCs w:val="18"/>
                <w:lang w:val="en-US"/>
              </w:rPr>
            </w:pPr>
            <w:r w:rsidRPr="0097002E">
              <w:rPr>
                <w:rFonts w:ascii="Book Antiqua" w:eastAsia="Times New Roman" w:hAnsi="Book Antiqua" w:cs="Calibri"/>
                <w:color w:val="000000"/>
                <w:sz w:val="18"/>
                <w:szCs w:val="18"/>
                <w:lang w:val="en-US"/>
              </w:rPr>
              <w:t>13,185,911.00</w:t>
            </w:r>
          </w:p>
        </w:tc>
        <w:tc>
          <w:tcPr>
            <w:tcW w:w="1251" w:type="dxa"/>
            <w:tcBorders>
              <w:top w:val="nil"/>
              <w:left w:val="nil"/>
              <w:bottom w:val="single" w:sz="8" w:space="0" w:color="auto"/>
              <w:right w:val="single" w:sz="8" w:space="0" w:color="auto"/>
            </w:tcBorders>
            <w:shd w:val="clear" w:color="auto" w:fill="auto"/>
            <w:vAlign w:val="center"/>
            <w:hideMark/>
          </w:tcPr>
          <w:p w14:paraId="51910BE0" w14:textId="77777777" w:rsidR="00E74716" w:rsidRPr="0097002E" w:rsidRDefault="00E74716" w:rsidP="00085F16">
            <w:pPr>
              <w:jc w:val="both"/>
              <w:rPr>
                <w:rFonts w:ascii="Book Antiqua" w:eastAsia="Times New Roman" w:hAnsi="Book Antiqua" w:cs="Calibri"/>
                <w:color w:val="000000"/>
                <w:sz w:val="18"/>
                <w:szCs w:val="18"/>
                <w:lang w:val="en-US"/>
              </w:rPr>
            </w:pPr>
            <w:r w:rsidRPr="0097002E">
              <w:rPr>
                <w:rFonts w:ascii="Book Antiqua" w:eastAsia="Times New Roman" w:hAnsi="Book Antiqua" w:cs="Calibri"/>
                <w:color w:val="000000"/>
                <w:sz w:val="18"/>
                <w:szCs w:val="18"/>
                <w:lang w:val="en-US"/>
              </w:rPr>
              <w:t>4,612,013.00</w:t>
            </w:r>
          </w:p>
        </w:tc>
        <w:tc>
          <w:tcPr>
            <w:tcW w:w="1341" w:type="dxa"/>
            <w:tcBorders>
              <w:top w:val="nil"/>
              <w:left w:val="nil"/>
              <w:bottom w:val="single" w:sz="8" w:space="0" w:color="auto"/>
              <w:right w:val="single" w:sz="8" w:space="0" w:color="auto"/>
            </w:tcBorders>
            <w:shd w:val="clear" w:color="auto" w:fill="auto"/>
            <w:vAlign w:val="center"/>
            <w:hideMark/>
          </w:tcPr>
          <w:p w14:paraId="44816246" w14:textId="77777777" w:rsidR="00E74716" w:rsidRPr="0097002E" w:rsidRDefault="00E74716" w:rsidP="00085F16">
            <w:pPr>
              <w:jc w:val="both"/>
              <w:rPr>
                <w:rFonts w:ascii="Book Antiqua" w:eastAsia="Times New Roman" w:hAnsi="Book Antiqua" w:cs="Calibri"/>
                <w:color w:val="000000"/>
                <w:sz w:val="18"/>
                <w:szCs w:val="18"/>
                <w:lang w:val="en-US"/>
              </w:rPr>
            </w:pPr>
            <w:r w:rsidRPr="0097002E">
              <w:rPr>
                <w:rFonts w:ascii="Book Antiqua" w:eastAsia="Times New Roman" w:hAnsi="Book Antiqua" w:cs="Calibri"/>
                <w:color w:val="000000"/>
                <w:sz w:val="18"/>
                <w:szCs w:val="18"/>
                <w:lang w:val="en-US"/>
              </w:rPr>
              <w:t>44,690,960.00</w:t>
            </w:r>
          </w:p>
        </w:tc>
        <w:tc>
          <w:tcPr>
            <w:tcW w:w="1049" w:type="dxa"/>
            <w:tcBorders>
              <w:top w:val="nil"/>
              <w:left w:val="nil"/>
              <w:bottom w:val="single" w:sz="8" w:space="0" w:color="auto"/>
              <w:right w:val="single" w:sz="8" w:space="0" w:color="auto"/>
            </w:tcBorders>
            <w:shd w:val="clear" w:color="auto" w:fill="auto"/>
            <w:vAlign w:val="center"/>
            <w:hideMark/>
          </w:tcPr>
          <w:p w14:paraId="32A3DF5D" w14:textId="77777777" w:rsidR="00E74716" w:rsidRPr="0097002E" w:rsidRDefault="00E74716" w:rsidP="00085F16">
            <w:pPr>
              <w:jc w:val="both"/>
              <w:rPr>
                <w:rFonts w:ascii="Book Antiqua" w:eastAsia="Times New Roman" w:hAnsi="Book Antiqua" w:cs="Calibri"/>
                <w:b/>
                <w:bCs/>
                <w:color w:val="000000"/>
                <w:sz w:val="18"/>
                <w:szCs w:val="18"/>
                <w:lang w:val="en-US"/>
              </w:rPr>
            </w:pPr>
            <w:r w:rsidRPr="0097002E">
              <w:rPr>
                <w:rFonts w:ascii="Book Antiqua" w:eastAsia="Times New Roman" w:hAnsi="Book Antiqua" w:cs="Calibri"/>
                <w:b/>
                <w:bCs/>
                <w:color w:val="000000"/>
                <w:sz w:val="18"/>
                <w:szCs w:val="18"/>
                <w:lang w:val="en-US"/>
              </w:rPr>
              <w:t>151,375,895.00</w:t>
            </w:r>
          </w:p>
        </w:tc>
      </w:tr>
      <w:tr w:rsidR="00E74716" w:rsidRPr="0097002E" w14:paraId="053721BE" w14:textId="77777777" w:rsidTr="00085F16">
        <w:trPr>
          <w:trHeight w:val="359"/>
        </w:trPr>
        <w:tc>
          <w:tcPr>
            <w:tcW w:w="857" w:type="dxa"/>
            <w:tcBorders>
              <w:top w:val="nil"/>
              <w:left w:val="single" w:sz="4" w:space="0" w:color="auto"/>
              <w:bottom w:val="single" w:sz="8" w:space="0" w:color="auto"/>
              <w:right w:val="single" w:sz="8" w:space="0" w:color="auto"/>
            </w:tcBorders>
            <w:shd w:val="clear" w:color="auto" w:fill="auto"/>
            <w:vAlign w:val="center"/>
            <w:hideMark/>
          </w:tcPr>
          <w:p w14:paraId="096B112F" w14:textId="77777777" w:rsidR="00E74716" w:rsidRPr="00CB0869" w:rsidRDefault="00E74716" w:rsidP="00085F16">
            <w:pPr>
              <w:jc w:val="both"/>
              <w:rPr>
                <w:rFonts w:ascii="Book Antiqua" w:eastAsia="Times New Roman" w:hAnsi="Book Antiqua" w:cs="Calibri"/>
                <w:b/>
                <w:bCs/>
                <w:color w:val="000000"/>
                <w:sz w:val="18"/>
                <w:szCs w:val="18"/>
                <w:lang w:val="en-US"/>
              </w:rPr>
            </w:pPr>
            <w:r w:rsidRPr="00CB0869">
              <w:rPr>
                <w:rFonts w:ascii="Book Antiqua" w:eastAsia="Times New Roman" w:hAnsi="Book Antiqua" w:cs="Calibri"/>
                <w:b/>
                <w:bCs/>
                <w:color w:val="000000"/>
                <w:sz w:val="18"/>
                <w:szCs w:val="18"/>
                <w:lang w:val="en-US"/>
              </w:rPr>
              <w:t xml:space="preserve">TOTAL </w:t>
            </w:r>
          </w:p>
        </w:tc>
        <w:tc>
          <w:tcPr>
            <w:tcW w:w="1341" w:type="dxa"/>
            <w:tcBorders>
              <w:top w:val="nil"/>
              <w:left w:val="nil"/>
              <w:bottom w:val="single" w:sz="8" w:space="0" w:color="auto"/>
              <w:right w:val="single" w:sz="8" w:space="0" w:color="auto"/>
            </w:tcBorders>
            <w:shd w:val="clear" w:color="auto" w:fill="auto"/>
            <w:vAlign w:val="center"/>
            <w:hideMark/>
          </w:tcPr>
          <w:p w14:paraId="6B7EF97C" w14:textId="77777777" w:rsidR="00E74716" w:rsidRPr="00CB0869" w:rsidRDefault="00E74716" w:rsidP="00085F16">
            <w:pPr>
              <w:jc w:val="both"/>
              <w:rPr>
                <w:rFonts w:ascii="Book Antiqua" w:eastAsia="Times New Roman" w:hAnsi="Book Antiqua" w:cs="Calibri"/>
                <w:b/>
                <w:bCs/>
                <w:color w:val="000000"/>
                <w:sz w:val="18"/>
                <w:szCs w:val="18"/>
                <w:lang w:val="en-US"/>
              </w:rPr>
            </w:pPr>
            <w:r w:rsidRPr="00CB0869">
              <w:rPr>
                <w:rFonts w:ascii="Book Antiqua" w:eastAsia="Times New Roman" w:hAnsi="Book Antiqua" w:cs="Calibri"/>
                <w:b/>
                <w:bCs/>
                <w:color w:val="000000"/>
                <w:sz w:val="18"/>
                <w:szCs w:val="18"/>
                <w:lang w:val="en-US"/>
              </w:rPr>
              <w:t>227,316,332.00</w:t>
            </w:r>
          </w:p>
        </w:tc>
        <w:tc>
          <w:tcPr>
            <w:tcW w:w="1007" w:type="dxa"/>
            <w:tcBorders>
              <w:top w:val="nil"/>
              <w:left w:val="nil"/>
              <w:bottom w:val="single" w:sz="8" w:space="0" w:color="auto"/>
              <w:right w:val="single" w:sz="8" w:space="0" w:color="auto"/>
            </w:tcBorders>
            <w:shd w:val="clear" w:color="auto" w:fill="auto"/>
            <w:vAlign w:val="center"/>
            <w:hideMark/>
          </w:tcPr>
          <w:p w14:paraId="0135F9D8" w14:textId="77777777" w:rsidR="00E74716" w:rsidRPr="00CB0869" w:rsidRDefault="00E74716" w:rsidP="00085F16">
            <w:pPr>
              <w:jc w:val="both"/>
              <w:rPr>
                <w:rFonts w:ascii="Book Antiqua" w:eastAsia="Times New Roman" w:hAnsi="Book Antiqua" w:cs="Calibri"/>
                <w:b/>
                <w:bCs/>
                <w:color w:val="000000"/>
                <w:sz w:val="18"/>
                <w:szCs w:val="18"/>
                <w:lang w:val="en-US"/>
              </w:rPr>
            </w:pPr>
            <w:r w:rsidRPr="00CB0869">
              <w:rPr>
                <w:rFonts w:ascii="Book Antiqua" w:eastAsia="Times New Roman" w:hAnsi="Book Antiqua" w:cs="Calibri"/>
                <w:b/>
                <w:bCs/>
                <w:color w:val="000000"/>
                <w:sz w:val="18"/>
                <w:szCs w:val="18"/>
                <w:lang w:val="en-US"/>
              </w:rPr>
              <w:t>0.00</w:t>
            </w:r>
          </w:p>
        </w:tc>
        <w:tc>
          <w:tcPr>
            <w:tcW w:w="817" w:type="dxa"/>
            <w:tcBorders>
              <w:top w:val="nil"/>
              <w:left w:val="nil"/>
              <w:bottom w:val="single" w:sz="8" w:space="0" w:color="auto"/>
              <w:right w:val="single" w:sz="8" w:space="0" w:color="auto"/>
            </w:tcBorders>
            <w:shd w:val="clear" w:color="auto" w:fill="auto"/>
            <w:vAlign w:val="center"/>
            <w:hideMark/>
          </w:tcPr>
          <w:p w14:paraId="0EBE873F" w14:textId="77777777" w:rsidR="00E74716" w:rsidRPr="00CB0869" w:rsidRDefault="00E74716" w:rsidP="00085F16">
            <w:pPr>
              <w:jc w:val="both"/>
              <w:rPr>
                <w:rFonts w:ascii="Book Antiqua" w:eastAsia="Times New Roman" w:hAnsi="Book Antiqua" w:cs="Calibri"/>
                <w:b/>
                <w:bCs/>
                <w:color w:val="000000"/>
                <w:sz w:val="18"/>
                <w:szCs w:val="18"/>
                <w:lang w:val="en-US"/>
              </w:rPr>
            </w:pPr>
            <w:r w:rsidRPr="00CB0869">
              <w:rPr>
                <w:rFonts w:ascii="Book Antiqua" w:eastAsia="Times New Roman" w:hAnsi="Book Antiqua" w:cs="Calibri"/>
                <w:b/>
                <w:bCs/>
                <w:color w:val="000000"/>
                <w:sz w:val="18"/>
                <w:szCs w:val="18"/>
                <w:lang w:val="en-US"/>
              </w:rPr>
              <w:t>0.00</w:t>
            </w:r>
          </w:p>
        </w:tc>
        <w:tc>
          <w:tcPr>
            <w:tcW w:w="1161" w:type="dxa"/>
            <w:tcBorders>
              <w:top w:val="nil"/>
              <w:left w:val="nil"/>
              <w:bottom w:val="single" w:sz="8" w:space="0" w:color="auto"/>
              <w:right w:val="single" w:sz="8" w:space="0" w:color="auto"/>
            </w:tcBorders>
            <w:shd w:val="clear" w:color="auto" w:fill="auto"/>
            <w:vAlign w:val="center"/>
            <w:hideMark/>
          </w:tcPr>
          <w:p w14:paraId="3E574312" w14:textId="77777777" w:rsidR="00E74716" w:rsidRPr="00CB0869" w:rsidRDefault="00E74716" w:rsidP="00085F16">
            <w:pPr>
              <w:jc w:val="both"/>
              <w:rPr>
                <w:rFonts w:ascii="Book Antiqua" w:eastAsia="Times New Roman" w:hAnsi="Book Antiqua" w:cs="Calibri"/>
                <w:b/>
                <w:bCs/>
                <w:color w:val="000000"/>
                <w:sz w:val="18"/>
                <w:szCs w:val="18"/>
                <w:lang w:val="en-US"/>
              </w:rPr>
            </w:pPr>
            <w:r w:rsidRPr="00CB0869">
              <w:rPr>
                <w:rFonts w:ascii="Book Antiqua" w:eastAsia="Times New Roman" w:hAnsi="Book Antiqua" w:cs="Calibri"/>
                <w:b/>
                <w:bCs/>
                <w:color w:val="000000"/>
                <w:sz w:val="18"/>
                <w:szCs w:val="18"/>
                <w:lang w:val="en-US"/>
              </w:rPr>
              <w:t>7,429,400.00</w:t>
            </w:r>
          </w:p>
        </w:tc>
        <w:tc>
          <w:tcPr>
            <w:tcW w:w="1251" w:type="dxa"/>
            <w:tcBorders>
              <w:top w:val="nil"/>
              <w:left w:val="nil"/>
              <w:bottom w:val="single" w:sz="8" w:space="0" w:color="auto"/>
              <w:right w:val="single" w:sz="8" w:space="0" w:color="auto"/>
            </w:tcBorders>
            <w:shd w:val="clear" w:color="auto" w:fill="auto"/>
            <w:vAlign w:val="center"/>
            <w:hideMark/>
          </w:tcPr>
          <w:p w14:paraId="34B4DDF2" w14:textId="77777777" w:rsidR="00E74716" w:rsidRPr="00CB0869" w:rsidRDefault="00E74716" w:rsidP="00085F16">
            <w:pPr>
              <w:jc w:val="both"/>
              <w:rPr>
                <w:rFonts w:ascii="Book Antiqua" w:eastAsia="Times New Roman" w:hAnsi="Book Antiqua" w:cs="Calibri"/>
                <w:b/>
                <w:bCs/>
                <w:color w:val="000000"/>
                <w:sz w:val="18"/>
                <w:szCs w:val="18"/>
                <w:lang w:val="en-US"/>
              </w:rPr>
            </w:pPr>
            <w:r w:rsidRPr="00CB0869">
              <w:rPr>
                <w:rFonts w:ascii="Book Antiqua" w:eastAsia="Times New Roman" w:hAnsi="Book Antiqua" w:cs="Calibri"/>
                <w:b/>
                <w:bCs/>
                <w:color w:val="000000"/>
                <w:sz w:val="18"/>
                <w:szCs w:val="18"/>
                <w:lang w:val="en-US"/>
              </w:rPr>
              <w:t>53,726,319.00</w:t>
            </w:r>
          </w:p>
        </w:tc>
        <w:tc>
          <w:tcPr>
            <w:tcW w:w="1251" w:type="dxa"/>
            <w:tcBorders>
              <w:top w:val="nil"/>
              <w:left w:val="nil"/>
              <w:bottom w:val="single" w:sz="8" w:space="0" w:color="auto"/>
              <w:right w:val="single" w:sz="8" w:space="0" w:color="auto"/>
            </w:tcBorders>
            <w:shd w:val="clear" w:color="auto" w:fill="auto"/>
            <w:vAlign w:val="center"/>
            <w:hideMark/>
          </w:tcPr>
          <w:p w14:paraId="19B36B54" w14:textId="77777777" w:rsidR="00E74716" w:rsidRPr="00CB0869" w:rsidRDefault="00E74716" w:rsidP="00085F16">
            <w:pPr>
              <w:jc w:val="both"/>
              <w:rPr>
                <w:rFonts w:ascii="Book Antiqua" w:eastAsia="Times New Roman" w:hAnsi="Book Antiqua" w:cs="Calibri"/>
                <w:b/>
                <w:bCs/>
                <w:color w:val="000000"/>
                <w:sz w:val="18"/>
                <w:szCs w:val="18"/>
                <w:lang w:val="en-US"/>
              </w:rPr>
            </w:pPr>
            <w:r w:rsidRPr="00CB0869">
              <w:rPr>
                <w:rFonts w:ascii="Book Antiqua" w:eastAsia="Times New Roman" w:hAnsi="Book Antiqua" w:cs="Calibri"/>
                <w:b/>
                <w:bCs/>
                <w:color w:val="000000"/>
                <w:sz w:val="18"/>
                <w:szCs w:val="18"/>
                <w:lang w:val="en-US"/>
              </w:rPr>
              <w:t>36,594,618.00</w:t>
            </w:r>
          </w:p>
        </w:tc>
        <w:tc>
          <w:tcPr>
            <w:tcW w:w="1341" w:type="dxa"/>
            <w:tcBorders>
              <w:top w:val="nil"/>
              <w:left w:val="nil"/>
              <w:bottom w:val="single" w:sz="8" w:space="0" w:color="auto"/>
              <w:right w:val="single" w:sz="8" w:space="0" w:color="auto"/>
            </w:tcBorders>
            <w:shd w:val="clear" w:color="auto" w:fill="auto"/>
            <w:vAlign w:val="center"/>
            <w:hideMark/>
          </w:tcPr>
          <w:p w14:paraId="132923E6" w14:textId="77777777" w:rsidR="00E74716" w:rsidRPr="00CB0869" w:rsidRDefault="00E74716" w:rsidP="00085F16">
            <w:pPr>
              <w:jc w:val="both"/>
              <w:rPr>
                <w:rFonts w:ascii="Book Antiqua" w:eastAsia="Times New Roman" w:hAnsi="Book Antiqua" w:cs="Calibri"/>
                <w:b/>
                <w:bCs/>
                <w:color w:val="000000"/>
                <w:sz w:val="18"/>
                <w:szCs w:val="18"/>
                <w:lang w:val="en-US"/>
              </w:rPr>
            </w:pPr>
            <w:r w:rsidRPr="00CB0869">
              <w:rPr>
                <w:rFonts w:ascii="Book Antiqua" w:eastAsia="Times New Roman" w:hAnsi="Book Antiqua" w:cs="Calibri"/>
                <w:b/>
                <w:bCs/>
                <w:color w:val="000000"/>
                <w:sz w:val="18"/>
                <w:szCs w:val="18"/>
                <w:lang w:val="en-US"/>
              </w:rPr>
              <w:t>338,021,960.00</w:t>
            </w:r>
          </w:p>
        </w:tc>
        <w:tc>
          <w:tcPr>
            <w:tcW w:w="1049" w:type="dxa"/>
            <w:tcBorders>
              <w:top w:val="nil"/>
              <w:left w:val="nil"/>
              <w:bottom w:val="single" w:sz="8" w:space="0" w:color="auto"/>
              <w:right w:val="single" w:sz="8" w:space="0" w:color="auto"/>
            </w:tcBorders>
            <w:shd w:val="clear" w:color="auto" w:fill="auto"/>
            <w:vAlign w:val="center"/>
            <w:hideMark/>
          </w:tcPr>
          <w:p w14:paraId="2C52F2BE" w14:textId="77777777" w:rsidR="00E74716" w:rsidRPr="00CB0869" w:rsidRDefault="00E74716" w:rsidP="00085F16">
            <w:pPr>
              <w:jc w:val="both"/>
              <w:rPr>
                <w:rFonts w:ascii="Book Antiqua" w:eastAsia="Times New Roman" w:hAnsi="Book Antiqua" w:cs="Calibri"/>
                <w:b/>
                <w:bCs/>
                <w:color w:val="000000"/>
                <w:sz w:val="18"/>
                <w:szCs w:val="18"/>
                <w:lang w:val="en-US"/>
              </w:rPr>
            </w:pPr>
            <w:r w:rsidRPr="00CB0869">
              <w:rPr>
                <w:rFonts w:ascii="Book Antiqua" w:eastAsia="Times New Roman" w:hAnsi="Book Antiqua" w:cs="Calibri"/>
                <w:b/>
                <w:bCs/>
                <w:color w:val="000000"/>
                <w:sz w:val="18"/>
                <w:szCs w:val="18"/>
                <w:lang w:val="en-US"/>
              </w:rPr>
              <w:t>661,738,296.00</w:t>
            </w:r>
          </w:p>
        </w:tc>
      </w:tr>
    </w:tbl>
    <w:p w14:paraId="2F162AC6" w14:textId="77777777" w:rsidR="00E74716" w:rsidRDefault="00E74716" w:rsidP="00E74716"/>
    <w:p w14:paraId="2776C7CE" w14:textId="2C1A7AEA" w:rsidR="00E74716" w:rsidRPr="00FC648F" w:rsidRDefault="00E74716" w:rsidP="00E74716">
      <w:pPr>
        <w:jc w:val="both"/>
        <w:rPr>
          <w:rFonts w:ascii="Times New Roman" w:eastAsia="Times New Roman" w:hAnsi="Times New Roman" w:cs="Times New Roman"/>
          <w:sz w:val="24"/>
          <w:szCs w:val="24"/>
        </w:rPr>
      </w:pPr>
      <w:r w:rsidRPr="00FC648F">
        <w:rPr>
          <w:rFonts w:ascii="Times New Roman" w:eastAsia="Times New Roman" w:hAnsi="Times New Roman" w:cs="Times New Roman"/>
          <w:sz w:val="24"/>
          <w:szCs w:val="24"/>
        </w:rPr>
        <w:t>Sa i përket kategorive të shpenzimeve, pjesa më e madhe ose rreth 55% e totalit janë shpenzimet kapitale, e ndjekur nga subvencionet me 38%. Pagat, Mëditjet dhe Mallrat dhe Shërbimet, përbëjnë rreth 7% të shpenzimeve të përgjithshme të pritshme për vitet 2020-2022.</w:t>
      </w:r>
    </w:p>
    <w:p w14:paraId="740BAA83" w14:textId="102FE1DD" w:rsidR="00E74716" w:rsidRPr="00F6187E" w:rsidRDefault="00E74716" w:rsidP="00E74716">
      <w:pPr>
        <w:pStyle w:val="Caption"/>
        <w:keepNext/>
        <w:rPr>
          <w:b/>
          <w:i w:val="0"/>
        </w:rPr>
      </w:pPr>
      <w:r w:rsidRPr="00F6187E">
        <w:rPr>
          <w:b/>
          <w:i w:val="0"/>
        </w:rPr>
        <w:t>Figur</w:t>
      </w:r>
      <w:r>
        <w:rPr>
          <w:b/>
          <w:i w:val="0"/>
        </w:rPr>
        <w:t>a</w:t>
      </w:r>
      <w:r w:rsidRPr="00F6187E">
        <w:rPr>
          <w:b/>
          <w:i w:val="0"/>
        </w:rPr>
        <w:t xml:space="preserve"> </w:t>
      </w:r>
      <w:r w:rsidRPr="00F6187E">
        <w:rPr>
          <w:b/>
          <w:i w:val="0"/>
        </w:rPr>
        <w:fldChar w:fldCharType="begin"/>
      </w:r>
      <w:r w:rsidRPr="00F6187E">
        <w:rPr>
          <w:b/>
          <w:i w:val="0"/>
        </w:rPr>
        <w:instrText xml:space="preserve"> SEQ Figure \* ARABIC </w:instrText>
      </w:r>
      <w:r w:rsidRPr="00F6187E">
        <w:rPr>
          <w:b/>
          <w:i w:val="0"/>
        </w:rPr>
        <w:fldChar w:fldCharType="separate"/>
      </w:r>
      <w:r>
        <w:rPr>
          <w:b/>
          <w:i w:val="0"/>
          <w:noProof/>
        </w:rPr>
        <w:t>2</w:t>
      </w:r>
      <w:r w:rsidRPr="00F6187E">
        <w:rPr>
          <w:b/>
          <w:i w:val="0"/>
        </w:rPr>
        <w:fldChar w:fldCharType="end"/>
      </w:r>
      <w:r w:rsidRPr="00F6187E">
        <w:rPr>
          <w:b/>
          <w:i w:val="0"/>
        </w:rPr>
        <w:t>.</w:t>
      </w:r>
      <w:r w:rsidRPr="00F6187E">
        <w:t xml:space="preserve"> </w:t>
      </w:r>
      <w:r>
        <w:t>Implikimet buxhetore t</w:t>
      </w:r>
      <w:r w:rsidR="00AB7469">
        <w:t>ë</w:t>
      </w:r>
      <w:r>
        <w:t xml:space="preserve"> reformave strukturore 2020-2022: sipas kategorive buxhetore </w:t>
      </w:r>
      <w:r w:rsidRPr="00F6187E">
        <w:rPr>
          <w:b/>
          <w:i w:val="0"/>
        </w:rPr>
        <w:t>es</w:t>
      </w:r>
    </w:p>
    <w:p w14:paraId="66A1D8B8" w14:textId="7BFDF510" w:rsidR="004C209E" w:rsidRPr="00FC648F" w:rsidRDefault="00E74716" w:rsidP="00FC648F">
      <w:r w:rsidRPr="00641125">
        <w:rPr>
          <w:noProof/>
          <w:lang w:val="en-US"/>
        </w:rPr>
        <w:drawing>
          <wp:inline distT="0" distB="0" distL="0" distR="0" wp14:anchorId="574B64D5" wp14:editId="01B90FD9">
            <wp:extent cx="5985510" cy="3051810"/>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F8B033A" w14:textId="77777777" w:rsidR="00DA39C9" w:rsidRPr="00554FAF" w:rsidRDefault="00DA39C9" w:rsidP="000702CB">
      <w:pPr>
        <w:widowControl w:val="0"/>
        <w:spacing w:after="60" w:line="240" w:lineRule="auto"/>
        <w:rPr>
          <w:rFonts w:ascii="Times New Roman" w:eastAsia="Calibri" w:hAnsi="Times New Roman" w:cs="Times New Roman"/>
          <w:sz w:val="24"/>
          <w:szCs w:val="24"/>
        </w:rPr>
      </w:pPr>
    </w:p>
    <w:p w14:paraId="63078C41" w14:textId="77777777" w:rsidR="00DA39C9" w:rsidRPr="00FC648F" w:rsidRDefault="00DA39C9" w:rsidP="00085F16">
      <w:pPr>
        <w:pStyle w:val="ERPL1"/>
        <w:rPr>
          <w:lang w:val="sq-AL"/>
        </w:rPr>
      </w:pPr>
      <w:bookmarkStart w:id="222" w:name="_bookmark32"/>
      <w:bookmarkStart w:id="223" w:name="_Toc25533251"/>
      <w:bookmarkStart w:id="224" w:name="_Toc25873757"/>
      <w:bookmarkStart w:id="225" w:name="_Toc13127901"/>
      <w:bookmarkEnd w:id="222"/>
      <w:r w:rsidRPr="00FC648F">
        <w:rPr>
          <w:lang w:val="sq-AL"/>
        </w:rPr>
        <w:t>7. ÇËSHTJET INSTITUCIONALE DHE PËRFSHIRJA E PALËVE TË INTERESIT</w:t>
      </w:r>
      <w:bookmarkEnd w:id="223"/>
      <w:bookmarkEnd w:id="224"/>
      <w:r w:rsidRPr="00FC648F">
        <w:rPr>
          <w:lang w:val="sq-AL"/>
        </w:rPr>
        <w:t xml:space="preserve"> </w:t>
      </w:r>
      <w:bookmarkEnd w:id="225"/>
    </w:p>
    <w:p w14:paraId="7E18D2D5" w14:textId="77777777" w:rsidR="000702CB" w:rsidRPr="00554FAF" w:rsidRDefault="000702CB" w:rsidP="00085F16">
      <w:pPr>
        <w:pStyle w:val="BodyText"/>
        <w:spacing w:after="60"/>
        <w:jc w:val="both"/>
        <w:rPr>
          <w:sz w:val="24"/>
          <w:szCs w:val="24"/>
        </w:rPr>
      </w:pPr>
      <w:r w:rsidRPr="00554FAF">
        <w:rPr>
          <w:sz w:val="24"/>
          <w:szCs w:val="24"/>
        </w:rPr>
        <w:t>Ky sektor paraqet procesin e përgatitjes dhe miratimin e Programit për Reforma në Ekonomi 2020-2022 si dhe konsultimi hisedarëve të ndryshëm gjatë procesit të përgatitjes së këtij programi si pjesë e dialogut për qeverisje ekonomike ndërmjet BE-së dhe Republikës së Kosovës.</w:t>
      </w:r>
    </w:p>
    <w:p w14:paraId="195D2C4B" w14:textId="77777777" w:rsidR="000702CB" w:rsidRPr="00554FAF" w:rsidRDefault="000702CB" w:rsidP="00085F16">
      <w:pPr>
        <w:pStyle w:val="BodyText"/>
        <w:spacing w:after="60"/>
        <w:jc w:val="both"/>
        <w:rPr>
          <w:sz w:val="24"/>
          <w:szCs w:val="24"/>
        </w:rPr>
      </w:pPr>
      <w:r w:rsidRPr="00554FAF">
        <w:rPr>
          <w:sz w:val="24"/>
          <w:szCs w:val="24"/>
        </w:rPr>
        <w:t>Sipas Vendimit të Qeverisë Nr.06/108 së datës 25 qershor 2019, Ministri i Financave është emëruar si Koordinator Nacional për PRE, puna e të cilit</w:t>
      </w:r>
      <w:r w:rsidRPr="00554FAF">
        <w:rPr>
          <w:spacing w:val="-12"/>
          <w:sz w:val="24"/>
          <w:szCs w:val="24"/>
        </w:rPr>
        <w:t xml:space="preserve"> </w:t>
      </w:r>
      <w:r w:rsidRPr="00554FAF">
        <w:rPr>
          <w:sz w:val="24"/>
          <w:szCs w:val="24"/>
        </w:rPr>
        <w:t>mbështetet</w:t>
      </w:r>
      <w:r w:rsidRPr="00554FAF">
        <w:rPr>
          <w:spacing w:val="-12"/>
          <w:sz w:val="24"/>
          <w:szCs w:val="24"/>
        </w:rPr>
        <w:t xml:space="preserve"> </w:t>
      </w:r>
      <w:r w:rsidRPr="00554FAF">
        <w:rPr>
          <w:sz w:val="24"/>
          <w:szCs w:val="24"/>
        </w:rPr>
        <w:t>nga</w:t>
      </w:r>
      <w:r w:rsidRPr="00554FAF">
        <w:rPr>
          <w:spacing w:val="-13"/>
          <w:sz w:val="24"/>
          <w:szCs w:val="24"/>
        </w:rPr>
        <w:t xml:space="preserve"> </w:t>
      </w:r>
      <w:r w:rsidRPr="00554FAF">
        <w:rPr>
          <w:sz w:val="24"/>
          <w:szCs w:val="24"/>
        </w:rPr>
        <w:t>Zyra</w:t>
      </w:r>
      <w:r w:rsidRPr="00554FAF">
        <w:rPr>
          <w:spacing w:val="-11"/>
          <w:sz w:val="24"/>
          <w:szCs w:val="24"/>
        </w:rPr>
        <w:t xml:space="preserve"> </w:t>
      </w:r>
      <w:r w:rsidRPr="00554FAF">
        <w:rPr>
          <w:sz w:val="24"/>
          <w:szCs w:val="24"/>
        </w:rPr>
        <w:t>për</w:t>
      </w:r>
      <w:r w:rsidRPr="00554FAF">
        <w:rPr>
          <w:spacing w:val="-13"/>
          <w:sz w:val="24"/>
          <w:szCs w:val="24"/>
        </w:rPr>
        <w:t xml:space="preserve"> </w:t>
      </w:r>
      <w:r w:rsidRPr="00554FAF">
        <w:rPr>
          <w:sz w:val="24"/>
          <w:szCs w:val="24"/>
        </w:rPr>
        <w:t>Planifikim</w:t>
      </w:r>
      <w:r w:rsidRPr="00554FAF">
        <w:rPr>
          <w:spacing w:val="-12"/>
          <w:sz w:val="24"/>
          <w:szCs w:val="24"/>
        </w:rPr>
        <w:t xml:space="preserve"> </w:t>
      </w:r>
      <w:r w:rsidRPr="00554FAF">
        <w:rPr>
          <w:sz w:val="24"/>
          <w:szCs w:val="24"/>
        </w:rPr>
        <w:t>Strategjik</w:t>
      </w:r>
      <w:r w:rsidRPr="00554FAF">
        <w:rPr>
          <w:spacing w:val="-13"/>
          <w:sz w:val="24"/>
          <w:szCs w:val="24"/>
        </w:rPr>
        <w:t xml:space="preserve"> </w:t>
      </w:r>
      <w:r w:rsidRPr="00554FAF">
        <w:rPr>
          <w:sz w:val="24"/>
          <w:szCs w:val="24"/>
        </w:rPr>
        <w:t>e</w:t>
      </w:r>
      <w:r w:rsidRPr="00554FAF">
        <w:rPr>
          <w:spacing w:val="-13"/>
          <w:sz w:val="24"/>
          <w:szCs w:val="24"/>
        </w:rPr>
        <w:t xml:space="preserve"> </w:t>
      </w:r>
      <w:r w:rsidRPr="00554FAF">
        <w:rPr>
          <w:sz w:val="24"/>
          <w:szCs w:val="24"/>
        </w:rPr>
        <w:t>Zyrës</w:t>
      </w:r>
      <w:r w:rsidRPr="00554FAF">
        <w:rPr>
          <w:spacing w:val="-12"/>
          <w:sz w:val="24"/>
          <w:szCs w:val="24"/>
        </w:rPr>
        <w:t xml:space="preserve"> </w:t>
      </w:r>
      <w:r w:rsidRPr="00554FAF">
        <w:rPr>
          <w:sz w:val="24"/>
          <w:szCs w:val="24"/>
        </w:rPr>
        <w:t>së</w:t>
      </w:r>
      <w:r w:rsidRPr="00554FAF">
        <w:rPr>
          <w:spacing w:val="-13"/>
          <w:sz w:val="24"/>
          <w:szCs w:val="24"/>
        </w:rPr>
        <w:t xml:space="preserve"> </w:t>
      </w:r>
      <w:r w:rsidRPr="00554FAF">
        <w:rPr>
          <w:sz w:val="24"/>
          <w:szCs w:val="24"/>
        </w:rPr>
        <w:t>Kryeministrit;</w:t>
      </w:r>
      <w:r w:rsidRPr="00554FAF">
        <w:rPr>
          <w:spacing w:val="-11"/>
          <w:sz w:val="24"/>
          <w:szCs w:val="24"/>
        </w:rPr>
        <w:t xml:space="preserve"> </w:t>
      </w:r>
      <w:r w:rsidRPr="00554FAF">
        <w:rPr>
          <w:sz w:val="24"/>
          <w:szCs w:val="24"/>
        </w:rPr>
        <w:t>Departamentit</w:t>
      </w:r>
      <w:r w:rsidRPr="00554FAF">
        <w:rPr>
          <w:spacing w:val="-12"/>
          <w:sz w:val="24"/>
          <w:szCs w:val="24"/>
        </w:rPr>
        <w:t xml:space="preserve"> </w:t>
      </w:r>
      <w:r w:rsidRPr="00554FAF">
        <w:rPr>
          <w:sz w:val="24"/>
          <w:szCs w:val="24"/>
        </w:rPr>
        <w:t>për</w:t>
      </w:r>
      <w:r w:rsidRPr="00554FAF">
        <w:rPr>
          <w:spacing w:val="-13"/>
          <w:sz w:val="24"/>
          <w:szCs w:val="24"/>
        </w:rPr>
        <w:t xml:space="preserve"> </w:t>
      </w:r>
      <w:r w:rsidRPr="00554FAF">
        <w:rPr>
          <w:sz w:val="24"/>
          <w:szCs w:val="24"/>
        </w:rPr>
        <w:t>Politika Ekonomike dhe Publike dhe Bashkëpunimin Ndërkombëtar Financiar në Ministrinë e Financave; dhe koordinatorët e fushave përkatëse në kuadër të ministrive të linjës: Ministria e Financave, Ministria e Zhvillimit Ekonomik, Ministria e Tregtisë dhe Industrisë, Ministria e Bujqësisë, Pylltarisë dhe Zhvillimit Rural, Ministria e Arsimit, Shkencës dhe Teknologjisë, Ministria e Punës dhe Mirëqenies Sociale, Ministria e Administratës Publike, Ministria e Mjedisit dhe Planifikimit Hapësinor,</w:t>
      </w:r>
      <w:r w:rsidRPr="00554FAF">
        <w:rPr>
          <w:spacing w:val="-27"/>
          <w:sz w:val="24"/>
          <w:szCs w:val="24"/>
        </w:rPr>
        <w:t xml:space="preserve"> </w:t>
      </w:r>
      <w:r w:rsidRPr="00554FAF">
        <w:rPr>
          <w:sz w:val="24"/>
          <w:szCs w:val="24"/>
        </w:rPr>
        <w:t>Ministria e Drejtësisë, Ministria e Infrastrukturës, dhe Ministria e Integrimit Evropian dhe organe dhe të tjera mbështetëse.</w:t>
      </w:r>
    </w:p>
    <w:p w14:paraId="2678F6EA" w14:textId="77777777" w:rsidR="000702CB" w:rsidRPr="00554FAF" w:rsidRDefault="000702CB" w:rsidP="00085F16">
      <w:pPr>
        <w:pStyle w:val="BodyText"/>
        <w:spacing w:after="60"/>
        <w:jc w:val="both"/>
        <w:rPr>
          <w:sz w:val="24"/>
          <w:szCs w:val="24"/>
        </w:rPr>
      </w:pPr>
      <w:r w:rsidRPr="00554FAF">
        <w:rPr>
          <w:sz w:val="24"/>
          <w:szCs w:val="24"/>
        </w:rPr>
        <w:t xml:space="preserve">Bazuar në udhëzimet e Koordinatorit Nacional, më 02 korrik  2019, ZPS ka ftuar ministritë dhe institucionet tjera për takimin iniciues, në mënyrë që të kërkoj kontributet për procesin e hartimit të PRE-së. Andaj, më 09 korrik 2019 është mbajtur një takim i nivelit të lartë lidhur me Programin për Reforma në Ekonomi, që është udhëhequr nga Ministri i Financave. Pjesëmarrës  të këtij takimi ishin  ministrat e përfshirë në proces, përfaqësuesit e BE-së, ambasadat e vendeve anëtare të BE, partnerët zhvillimor dhe institucionet ndërkombëtare financiare, përfaqësues nga shoqëria civile dhe sektori privat. </w:t>
      </w:r>
    </w:p>
    <w:p w14:paraId="09A5354B" w14:textId="77777777" w:rsidR="000702CB" w:rsidRPr="00554FAF" w:rsidRDefault="000702CB" w:rsidP="00085F16">
      <w:pPr>
        <w:pStyle w:val="BodyText"/>
        <w:spacing w:after="60"/>
        <w:jc w:val="both"/>
        <w:rPr>
          <w:sz w:val="24"/>
          <w:szCs w:val="24"/>
        </w:rPr>
      </w:pPr>
      <w:r w:rsidRPr="00554FAF">
        <w:rPr>
          <w:sz w:val="24"/>
          <w:szCs w:val="24"/>
        </w:rPr>
        <w:t>Sipas kalendarit të punës të prezantuar në takimin lansues, Zyra për Planifikim Strategjik me mbështetjen e Projektit të Komisionit Evropian “Mbështetje për Zyrën për Planifikim Strategjik”,  ka zhvilluar këto aktivitete:</w:t>
      </w:r>
    </w:p>
    <w:p w14:paraId="21FA4043" w14:textId="77777777" w:rsidR="000702CB" w:rsidRPr="00554FAF" w:rsidRDefault="000702CB" w:rsidP="00802FB3">
      <w:pPr>
        <w:pStyle w:val="BodyText"/>
        <w:numPr>
          <w:ilvl w:val="0"/>
          <w:numId w:val="29"/>
        </w:numPr>
        <w:autoSpaceDE w:val="0"/>
        <w:autoSpaceDN w:val="0"/>
        <w:spacing w:after="60"/>
        <w:jc w:val="both"/>
        <w:rPr>
          <w:b/>
          <w:i/>
          <w:sz w:val="24"/>
          <w:szCs w:val="24"/>
        </w:rPr>
      </w:pPr>
      <w:r w:rsidRPr="00554FAF">
        <w:rPr>
          <w:sz w:val="24"/>
          <w:szCs w:val="24"/>
        </w:rPr>
        <w:t xml:space="preserve">Më 23- 24 korrik 2019 organizimi i punëtorisë për Përgatitjen e Programit për Reforma në Ekonomi 2020-2022. </w:t>
      </w:r>
    </w:p>
    <w:p w14:paraId="187FFECB" w14:textId="77777777" w:rsidR="000702CB" w:rsidRPr="00554FAF" w:rsidRDefault="000702CB" w:rsidP="00802FB3">
      <w:pPr>
        <w:pStyle w:val="BodyText"/>
        <w:numPr>
          <w:ilvl w:val="0"/>
          <w:numId w:val="29"/>
        </w:numPr>
        <w:autoSpaceDE w:val="0"/>
        <w:autoSpaceDN w:val="0"/>
        <w:spacing w:after="60"/>
        <w:jc w:val="both"/>
        <w:rPr>
          <w:sz w:val="24"/>
          <w:szCs w:val="24"/>
        </w:rPr>
      </w:pPr>
      <w:r w:rsidRPr="00554FAF">
        <w:rPr>
          <w:sz w:val="24"/>
          <w:szCs w:val="24"/>
        </w:rPr>
        <w:t>Përgatitja e propozimeve të para të prioriteteve të reformave strukturore duke u bazuar në kriteret e Udhëzuesit të Komisionit Evropian dhe instruksioneve përkatëse.</w:t>
      </w:r>
    </w:p>
    <w:p w14:paraId="015E6AEC" w14:textId="77777777" w:rsidR="000702CB" w:rsidRPr="00554FAF" w:rsidRDefault="000702CB" w:rsidP="00802FB3">
      <w:pPr>
        <w:pStyle w:val="BodyText"/>
        <w:numPr>
          <w:ilvl w:val="0"/>
          <w:numId w:val="29"/>
        </w:numPr>
        <w:autoSpaceDE w:val="0"/>
        <w:autoSpaceDN w:val="0"/>
        <w:spacing w:after="60"/>
        <w:jc w:val="both"/>
        <w:rPr>
          <w:sz w:val="24"/>
          <w:szCs w:val="24"/>
        </w:rPr>
      </w:pPr>
      <w:r w:rsidRPr="00554FAF">
        <w:rPr>
          <w:sz w:val="24"/>
          <w:szCs w:val="24"/>
        </w:rPr>
        <w:t>Punëtoria e dytë, dy ditore për shqyrtimin e masave të propozuara sa i përket cilësisë së prezantimit të objektivave, aktiviteteve, treguesve, kostos indikative dhe ndikimit të masës.</w:t>
      </w:r>
    </w:p>
    <w:p w14:paraId="1E38838D" w14:textId="77777777" w:rsidR="000702CB" w:rsidRPr="00554FAF" w:rsidRDefault="000702CB" w:rsidP="00802FB3">
      <w:pPr>
        <w:pStyle w:val="BodyText"/>
        <w:numPr>
          <w:ilvl w:val="0"/>
          <w:numId w:val="29"/>
        </w:numPr>
        <w:autoSpaceDE w:val="0"/>
        <w:autoSpaceDN w:val="0"/>
        <w:spacing w:after="60"/>
        <w:jc w:val="both"/>
        <w:rPr>
          <w:sz w:val="24"/>
          <w:szCs w:val="24"/>
        </w:rPr>
      </w:pPr>
      <w:r w:rsidRPr="00554FAF">
        <w:rPr>
          <w:sz w:val="24"/>
          <w:szCs w:val="24"/>
        </w:rPr>
        <w:t>Më 25 tetor 2019, i është dërguar KE-së drafti i parë i kapitullit të reformave strukturore.</w:t>
      </w:r>
    </w:p>
    <w:p w14:paraId="791B8B51" w14:textId="77777777" w:rsidR="000702CB" w:rsidRPr="00554FAF" w:rsidRDefault="000702CB" w:rsidP="00802FB3">
      <w:pPr>
        <w:pStyle w:val="BodyText"/>
        <w:numPr>
          <w:ilvl w:val="0"/>
          <w:numId w:val="29"/>
        </w:numPr>
        <w:autoSpaceDE w:val="0"/>
        <w:autoSpaceDN w:val="0"/>
        <w:spacing w:after="60"/>
        <w:jc w:val="both"/>
        <w:rPr>
          <w:sz w:val="24"/>
          <w:szCs w:val="24"/>
        </w:rPr>
      </w:pPr>
      <w:r w:rsidRPr="00554FAF">
        <w:rPr>
          <w:sz w:val="24"/>
          <w:szCs w:val="24"/>
        </w:rPr>
        <w:t xml:space="preserve">Më 07 nëntor 2019, është mbajtur takimi me  delegacionin e Komisionit Evropian për vlerësimin  e  draftit të parë të Programit për Reforma në Ekonomi 2020-2022.Në kuadër të këtij misioni u mbajtën edhe takime tematike për sfida të caktuara që janë identifikuar nga Vlerësimi i Komisionit Evropian për PRE 2019-2021. </w:t>
      </w:r>
    </w:p>
    <w:p w14:paraId="30BC98A0" w14:textId="77777777" w:rsidR="000702CB" w:rsidRPr="00554FAF" w:rsidRDefault="000702CB" w:rsidP="00802FB3">
      <w:pPr>
        <w:pStyle w:val="BodyText"/>
        <w:numPr>
          <w:ilvl w:val="0"/>
          <w:numId w:val="29"/>
        </w:numPr>
        <w:autoSpaceDE w:val="0"/>
        <w:autoSpaceDN w:val="0"/>
        <w:spacing w:after="60"/>
        <w:jc w:val="both"/>
        <w:rPr>
          <w:sz w:val="24"/>
          <w:szCs w:val="24"/>
        </w:rPr>
      </w:pPr>
      <w:r w:rsidRPr="00554FAF">
        <w:rPr>
          <w:sz w:val="24"/>
          <w:szCs w:val="24"/>
        </w:rPr>
        <w:t>Më 20-21 nëntor, mbajtja e  punëtorisë dy-ditore për koston e reformave strukturore: PRE për periudhën 2020-2022 e organizuar nga Qendra e Ekselencës në Financa.</w:t>
      </w:r>
    </w:p>
    <w:p w14:paraId="4F7C060A" w14:textId="77777777" w:rsidR="00D52DCE" w:rsidRDefault="00D52DCE" w:rsidP="00085F16">
      <w:pPr>
        <w:spacing w:after="120"/>
        <w:rPr>
          <w:rFonts w:ascii="Times New Roman" w:hAnsi="Times New Roman" w:cs="Times New Roman"/>
          <w:sz w:val="24"/>
          <w:szCs w:val="24"/>
        </w:rPr>
      </w:pPr>
    </w:p>
    <w:p w14:paraId="4AB0DDE3" w14:textId="77777777" w:rsidR="009D6D4E" w:rsidRDefault="009D6D4E" w:rsidP="00085F16">
      <w:pPr>
        <w:spacing w:after="120"/>
        <w:rPr>
          <w:rFonts w:ascii="Times New Roman" w:hAnsi="Times New Roman" w:cs="Times New Roman"/>
          <w:sz w:val="24"/>
          <w:szCs w:val="24"/>
        </w:rPr>
      </w:pPr>
    </w:p>
    <w:p w14:paraId="16A14885" w14:textId="77777777" w:rsidR="009D6D4E" w:rsidRDefault="009D6D4E" w:rsidP="00085F16">
      <w:pPr>
        <w:spacing w:after="120"/>
        <w:rPr>
          <w:rFonts w:ascii="Times New Roman" w:hAnsi="Times New Roman" w:cs="Times New Roman"/>
          <w:sz w:val="24"/>
          <w:szCs w:val="24"/>
        </w:rPr>
      </w:pPr>
    </w:p>
    <w:p w14:paraId="4467D269" w14:textId="77777777" w:rsidR="009D6D4E" w:rsidRDefault="009D6D4E" w:rsidP="00085F16">
      <w:pPr>
        <w:spacing w:after="120"/>
        <w:rPr>
          <w:rFonts w:ascii="Times New Roman" w:hAnsi="Times New Roman" w:cs="Times New Roman"/>
          <w:sz w:val="24"/>
          <w:szCs w:val="24"/>
        </w:rPr>
      </w:pPr>
    </w:p>
    <w:p w14:paraId="5DFFD38B" w14:textId="77777777" w:rsidR="009D6D4E" w:rsidRDefault="009D6D4E" w:rsidP="00085F16">
      <w:pPr>
        <w:spacing w:after="120"/>
        <w:rPr>
          <w:rFonts w:ascii="Times New Roman" w:hAnsi="Times New Roman" w:cs="Times New Roman"/>
          <w:sz w:val="24"/>
          <w:szCs w:val="24"/>
        </w:rPr>
      </w:pPr>
    </w:p>
    <w:p w14:paraId="3A636DB0" w14:textId="77777777" w:rsidR="009D6D4E" w:rsidRDefault="009D6D4E" w:rsidP="00085F16">
      <w:pPr>
        <w:spacing w:after="120"/>
        <w:rPr>
          <w:rFonts w:ascii="Times New Roman" w:hAnsi="Times New Roman" w:cs="Times New Roman"/>
          <w:sz w:val="24"/>
          <w:szCs w:val="24"/>
        </w:rPr>
      </w:pPr>
    </w:p>
    <w:p w14:paraId="1373CBE3" w14:textId="77777777" w:rsidR="009D6D4E" w:rsidRDefault="009D6D4E" w:rsidP="00085F16">
      <w:pPr>
        <w:spacing w:after="120"/>
        <w:rPr>
          <w:rFonts w:ascii="Times New Roman" w:hAnsi="Times New Roman" w:cs="Times New Roman"/>
          <w:sz w:val="24"/>
          <w:szCs w:val="24"/>
        </w:rPr>
      </w:pPr>
    </w:p>
    <w:p w14:paraId="5C6179DD" w14:textId="77777777" w:rsidR="009D6D4E" w:rsidRDefault="009D6D4E" w:rsidP="00085F16">
      <w:pPr>
        <w:spacing w:after="120"/>
        <w:rPr>
          <w:rFonts w:ascii="Times New Roman" w:hAnsi="Times New Roman" w:cs="Times New Roman"/>
          <w:sz w:val="24"/>
          <w:szCs w:val="24"/>
        </w:rPr>
      </w:pPr>
    </w:p>
    <w:p w14:paraId="571B3446" w14:textId="77777777" w:rsidR="009D6D4E" w:rsidRPr="0052584D" w:rsidRDefault="009D6D4E" w:rsidP="009D6D4E">
      <w:pPr>
        <w:pStyle w:val="ERPL1"/>
        <w:ind w:left="66"/>
      </w:pPr>
      <w:bookmarkStart w:id="226" w:name="_Toc25673438"/>
      <w:r>
        <w:t>Shtojca 1</w:t>
      </w:r>
      <w:bookmarkEnd w:id="226"/>
    </w:p>
    <w:p w14:paraId="49B14C0D" w14:textId="77777777" w:rsidR="009D6D4E" w:rsidRDefault="009D6D4E" w:rsidP="009D6D4E">
      <w:r w:rsidRPr="00B95A17">
        <w:rPr>
          <w:rFonts w:asciiTheme="majorBidi" w:hAnsiTheme="majorBidi"/>
          <w:noProof/>
          <w:lang w:val="en-US"/>
        </w:rPr>
        <mc:AlternateContent>
          <mc:Choice Requires="wps">
            <w:drawing>
              <wp:inline distT="0" distB="0" distL="0" distR="0" wp14:anchorId="2066B6A6" wp14:editId="1F79B11C">
                <wp:extent cx="5732145" cy="7459137"/>
                <wp:effectExtent l="0" t="0" r="20955"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7459137"/>
                        </a:xfrm>
                        <a:prstGeom prst="rect">
                          <a:avLst/>
                        </a:prstGeom>
                        <a:solidFill>
                          <a:schemeClr val="accent1">
                            <a:lumMod val="20000"/>
                            <a:lumOff val="80000"/>
                          </a:schemeClr>
                        </a:solidFill>
                        <a:ln w="9525">
                          <a:solidFill>
                            <a:srgbClr val="000000"/>
                          </a:solidFill>
                          <a:miter lim="800000"/>
                          <a:headEnd/>
                          <a:tailEnd/>
                        </a:ln>
                      </wps:spPr>
                      <wps:txbx>
                        <w:txbxContent>
                          <w:p w14:paraId="12B3FED6" w14:textId="77777777" w:rsidR="00FC648F" w:rsidRPr="00934272" w:rsidRDefault="00FC648F" w:rsidP="009D6D4E">
                            <w:pPr>
                              <w:widowControl w:val="0"/>
                              <w:autoSpaceDE w:val="0"/>
                              <w:autoSpaceDN w:val="0"/>
                              <w:adjustRightInd w:val="0"/>
                              <w:rPr>
                                <w:rFonts w:cs="TimesNewRoman"/>
                                <w:b/>
                                <w:bCs/>
                                <w:sz w:val="21"/>
                                <w:szCs w:val="21"/>
                              </w:rPr>
                            </w:pPr>
                            <w:r>
                              <w:rPr>
                                <w:rFonts w:cs="TimesNewRoman"/>
                                <w:b/>
                                <w:bCs/>
                                <w:sz w:val="21"/>
                                <w:szCs w:val="21"/>
                              </w:rPr>
                              <w:t>Hapësira informuese 1. Modeli i Llogaritshëm i Ekuilibrit të P</w:t>
                            </w:r>
                            <w:r w:rsidRPr="001670F6">
                              <w:rPr>
                                <w:rFonts w:cs="TimesNewRoman"/>
                                <w:b/>
                                <w:bCs/>
                                <w:sz w:val="21"/>
                                <w:szCs w:val="21"/>
                              </w:rPr>
                              <w:t>ërgjithshëm</w:t>
                            </w:r>
                            <w:r>
                              <w:rPr>
                                <w:rFonts w:cs="TimesNewRoman"/>
                                <w:b/>
                                <w:bCs/>
                                <w:sz w:val="21"/>
                                <w:szCs w:val="21"/>
                              </w:rPr>
                              <w:t xml:space="preserve"> (CGE)</w:t>
                            </w:r>
                            <w:r w:rsidRPr="001670F6">
                              <w:rPr>
                                <w:rFonts w:cs="TimesNewRoman"/>
                                <w:b/>
                                <w:bCs/>
                                <w:sz w:val="21"/>
                                <w:szCs w:val="21"/>
                              </w:rPr>
                              <w:t xml:space="preserve"> të Kosovës</w:t>
                            </w:r>
                          </w:p>
                          <w:p w14:paraId="1E440E38" w14:textId="77777777" w:rsidR="00FC648F" w:rsidRPr="00934272" w:rsidRDefault="00FC648F" w:rsidP="009D6D4E">
                            <w:pPr>
                              <w:widowControl w:val="0"/>
                              <w:autoSpaceDE w:val="0"/>
                              <w:autoSpaceDN w:val="0"/>
                              <w:adjustRightInd w:val="0"/>
                              <w:jc w:val="both"/>
                              <w:rPr>
                                <w:rFonts w:cs="TimesNewRoman"/>
                                <w:sz w:val="21"/>
                                <w:szCs w:val="21"/>
                              </w:rPr>
                            </w:pPr>
                            <w:r>
                              <w:rPr>
                                <w:rFonts w:cs="TimesNewRoman"/>
                                <w:sz w:val="21"/>
                                <w:szCs w:val="21"/>
                              </w:rPr>
                              <w:t>Është</w:t>
                            </w:r>
                            <w:r w:rsidRPr="001670F6">
                              <w:rPr>
                                <w:rFonts w:cs="TimesNewRoman"/>
                                <w:sz w:val="21"/>
                                <w:szCs w:val="21"/>
                              </w:rPr>
                              <w:t xml:space="preserve"> zhvilluar një </w:t>
                            </w:r>
                            <w:r>
                              <w:rPr>
                                <w:rFonts w:cs="TimesNewRoman"/>
                                <w:sz w:val="21"/>
                                <w:szCs w:val="21"/>
                              </w:rPr>
                              <w:t>model</w:t>
                            </w:r>
                            <w:r w:rsidRPr="001670F6">
                              <w:rPr>
                                <w:rFonts w:cs="TimesNewRoman"/>
                                <w:sz w:val="21"/>
                                <w:szCs w:val="21"/>
                              </w:rPr>
                              <w:t xml:space="preserve"> dinamik </w:t>
                            </w:r>
                            <w:r>
                              <w:rPr>
                                <w:rFonts w:cs="TimesNewRoman"/>
                                <w:sz w:val="21"/>
                                <w:szCs w:val="21"/>
                              </w:rPr>
                              <w:t>përsëritës i L</w:t>
                            </w:r>
                            <w:r w:rsidRPr="001670F6">
                              <w:rPr>
                                <w:rFonts w:cs="TimesNewRoman"/>
                                <w:sz w:val="21"/>
                                <w:szCs w:val="21"/>
                              </w:rPr>
                              <w:t xml:space="preserve">logaritshëm </w:t>
                            </w:r>
                            <w:r>
                              <w:rPr>
                                <w:rFonts w:cs="TimesNewRoman"/>
                                <w:sz w:val="21"/>
                                <w:szCs w:val="21"/>
                              </w:rPr>
                              <w:t>i Ekuilibrit të P</w:t>
                            </w:r>
                            <w:r w:rsidRPr="001670F6">
                              <w:rPr>
                                <w:rFonts w:cs="TimesNewRoman"/>
                                <w:sz w:val="21"/>
                                <w:szCs w:val="21"/>
                              </w:rPr>
                              <w:t xml:space="preserve">ërgjithshëm (CGE) të Ekonomisë së Kosovës. Modeli ka </w:t>
                            </w:r>
                            <w:r>
                              <w:rPr>
                                <w:rFonts w:cs="TimesNewRoman"/>
                                <w:sz w:val="21"/>
                                <w:szCs w:val="21"/>
                              </w:rPr>
                              <w:t>sektore të zbërthera dhe përfaqësim</w:t>
                            </w:r>
                            <w:r w:rsidRPr="001670F6">
                              <w:rPr>
                                <w:rFonts w:cs="TimesNewRoman"/>
                                <w:sz w:val="21"/>
                                <w:szCs w:val="21"/>
                              </w:rPr>
                              <w:t xml:space="preserve"> </w:t>
                            </w:r>
                            <w:r>
                              <w:rPr>
                                <w:rFonts w:cs="TimesNewRoman"/>
                                <w:sz w:val="21"/>
                                <w:szCs w:val="21"/>
                              </w:rPr>
                              <w:t>të</w:t>
                            </w:r>
                            <w:r w:rsidRPr="001670F6">
                              <w:rPr>
                                <w:rFonts w:cs="TimesNewRoman"/>
                                <w:sz w:val="21"/>
                                <w:szCs w:val="21"/>
                              </w:rPr>
                              <w:t xml:space="preserve"> mallrave. Ky model është </w:t>
                            </w:r>
                            <w:r>
                              <w:rPr>
                                <w:rFonts w:cs="TimesNewRoman"/>
                                <w:sz w:val="21"/>
                                <w:szCs w:val="21"/>
                              </w:rPr>
                              <w:t>zhvilluar</w:t>
                            </w:r>
                            <w:r w:rsidRPr="001670F6">
                              <w:rPr>
                                <w:rFonts w:cs="TimesNewRoman"/>
                                <w:sz w:val="21"/>
                                <w:szCs w:val="21"/>
                              </w:rPr>
                              <w:t xml:space="preserve"> për të analizuar implikimet në mbarë ekonominë e masave specifike të politikave në fushat fiskale dhe në fushat e tjera të përqendrimit të reformave si në izolim ashtu edhe për çdo efekt të rëndësishëm të kombinuar. Duke aplikuar qasjen CGE, analiza përpiqet të kapërcejë tej-thjeshtëzimin dhe/ose konkluzionet e gabuara që gjenden duke shikuar vetëm rezultate</w:t>
                            </w:r>
                            <w:r>
                              <w:rPr>
                                <w:rFonts w:cs="TimesNewRoman"/>
                                <w:sz w:val="21"/>
                                <w:szCs w:val="21"/>
                              </w:rPr>
                              <w:t>t</w:t>
                            </w:r>
                            <w:r w:rsidRPr="001670F6">
                              <w:rPr>
                                <w:rFonts w:cs="TimesNewRoman"/>
                                <w:sz w:val="21"/>
                                <w:szCs w:val="21"/>
                              </w:rPr>
                              <w:t xml:space="preserve"> </w:t>
                            </w:r>
                            <w:r>
                              <w:rPr>
                                <w:rFonts w:cs="TimesNewRoman"/>
                                <w:sz w:val="21"/>
                                <w:szCs w:val="21"/>
                              </w:rPr>
                              <w:t xml:space="preserve">e </w:t>
                            </w:r>
                            <w:r w:rsidRPr="001670F6">
                              <w:rPr>
                                <w:rFonts w:cs="TimesNewRoman"/>
                                <w:sz w:val="21"/>
                                <w:szCs w:val="21"/>
                              </w:rPr>
                              <w:t>ekuilibri</w:t>
                            </w:r>
                            <w:r>
                              <w:rPr>
                                <w:rFonts w:cs="TimesNewRoman"/>
                                <w:sz w:val="21"/>
                                <w:szCs w:val="21"/>
                              </w:rPr>
                              <w:t>t</w:t>
                            </w:r>
                            <w:r w:rsidRPr="001670F6">
                              <w:rPr>
                                <w:rFonts w:cs="TimesNewRoman"/>
                                <w:sz w:val="21"/>
                                <w:szCs w:val="21"/>
                              </w:rPr>
                              <w:t xml:space="preserve"> të pjesshëm, efekte të </w:t>
                            </w:r>
                            <w:r>
                              <w:rPr>
                                <w:rFonts w:cs="TimesNewRoman"/>
                                <w:sz w:val="21"/>
                                <w:szCs w:val="21"/>
                              </w:rPr>
                              <w:t>agreguara</w:t>
                            </w:r>
                            <w:r w:rsidRPr="001670F6">
                              <w:rPr>
                                <w:rFonts w:cs="TimesNewRoman"/>
                                <w:sz w:val="21"/>
                                <w:szCs w:val="21"/>
                              </w:rPr>
                              <w:t xml:space="preserve"> ose të thjeshta të raundi</w:t>
                            </w:r>
                            <w:r>
                              <w:rPr>
                                <w:rFonts w:cs="TimesNewRoman"/>
                                <w:sz w:val="21"/>
                                <w:szCs w:val="21"/>
                              </w:rPr>
                              <w:t>t të parë të masave të politikave</w:t>
                            </w:r>
                            <w:r w:rsidRPr="001670F6">
                              <w:rPr>
                                <w:rFonts w:cs="TimesNewRoman"/>
                                <w:sz w:val="21"/>
                                <w:szCs w:val="21"/>
                              </w:rPr>
                              <w:t xml:space="preserve"> ekonomike</w:t>
                            </w:r>
                            <w:r w:rsidRPr="00934272">
                              <w:rPr>
                                <w:rFonts w:cs="TimesNewRoman"/>
                                <w:sz w:val="21"/>
                                <w:szCs w:val="21"/>
                              </w:rPr>
                              <w:t>.</w:t>
                            </w:r>
                          </w:p>
                          <w:p w14:paraId="33E22FD8" w14:textId="77777777" w:rsidR="00FC648F" w:rsidRPr="00934272" w:rsidRDefault="00FC648F" w:rsidP="009D6D4E">
                            <w:pPr>
                              <w:widowControl w:val="0"/>
                              <w:autoSpaceDE w:val="0"/>
                              <w:autoSpaceDN w:val="0"/>
                              <w:adjustRightInd w:val="0"/>
                              <w:jc w:val="both"/>
                              <w:rPr>
                                <w:rFonts w:cs="TimesNewRoman"/>
                                <w:sz w:val="21"/>
                                <w:szCs w:val="21"/>
                              </w:rPr>
                            </w:pPr>
                          </w:p>
                          <w:p w14:paraId="07523F79" w14:textId="77777777" w:rsidR="00FC648F" w:rsidRPr="00934272" w:rsidRDefault="00FC648F" w:rsidP="009D6D4E">
                            <w:pPr>
                              <w:widowControl w:val="0"/>
                              <w:autoSpaceDE w:val="0"/>
                              <w:autoSpaceDN w:val="0"/>
                              <w:adjustRightInd w:val="0"/>
                              <w:jc w:val="center"/>
                              <w:rPr>
                                <w:rFonts w:cs="TimesNewRoman"/>
                                <w:sz w:val="21"/>
                                <w:szCs w:val="21"/>
                              </w:rPr>
                            </w:pPr>
                            <w:r w:rsidRPr="00934272">
                              <w:rPr>
                                <w:noProof/>
                                <w:sz w:val="21"/>
                                <w:szCs w:val="21"/>
                                <w:lang w:val="en-US"/>
                              </w:rPr>
                              <w:drawing>
                                <wp:inline distT="0" distB="0" distL="0" distR="0" wp14:anchorId="0A1207CC" wp14:editId="70C1D527">
                                  <wp:extent cx="5469147" cy="2728595"/>
                                  <wp:effectExtent l="0" t="0" r="0" b="0"/>
                                  <wp:docPr id="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72289" cy="2730163"/>
                                          </a:xfrm>
                                          <a:prstGeom prst="rect">
                                            <a:avLst/>
                                          </a:prstGeom>
                                          <a:noFill/>
                                          <a:ln>
                                            <a:noFill/>
                                          </a:ln>
                                        </pic:spPr>
                                      </pic:pic>
                                    </a:graphicData>
                                  </a:graphic>
                                </wp:inline>
                              </w:drawing>
                            </w:r>
                          </w:p>
                          <w:p w14:paraId="7959BBCD" w14:textId="77777777" w:rsidR="00FC648F" w:rsidRDefault="00FC648F" w:rsidP="009D6D4E">
                            <w:pPr>
                              <w:widowControl w:val="0"/>
                              <w:autoSpaceDE w:val="0"/>
                              <w:autoSpaceDN w:val="0"/>
                              <w:adjustRightInd w:val="0"/>
                              <w:jc w:val="both"/>
                              <w:rPr>
                                <w:rFonts w:cs="TimesNewRoman"/>
                                <w:sz w:val="21"/>
                                <w:szCs w:val="21"/>
                              </w:rPr>
                            </w:pPr>
                            <w:r>
                              <w:rPr>
                                <w:rFonts w:cs="TimesNewRoman"/>
                                <w:sz w:val="21"/>
                                <w:szCs w:val="21"/>
                              </w:rPr>
                              <w:t>Fakti që ky model përfshin mbarë ekonominë</w:t>
                            </w:r>
                            <w:r w:rsidRPr="001670F6">
                              <w:rPr>
                                <w:rFonts w:cs="TimesNewRoman"/>
                                <w:sz w:val="21"/>
                                <w:szCs w:val="21"/>
                              </w:rPr>
                              <w:t xml:space="preserve"> nënkupton që modeli ka një nivel specifik të grumbullimit në të gjithë sektorët e ekonomisë së Kosovës. Specifikimi CGE nënkupton që modeli është një specifikim numerikisht i marrëdhënieve të kërkesës dhe prodhimit, marrëdhëniet midis tyre, dhe zgjidhet njëkohësisht për çmimet në të gjitha tregjet. Modeli përfshin 20 sektorë prodhues</w:t>
                            </w:r>
                            <w:r>
                              <w:rPr>
                                <w:rFonts w:cs="TimesNewRoman"/>
                                <w:sz w:val="21"/>
                                <w:szCs w:val="21"/>
                              </w:rPr>
                              <w:t>;</w:t>
                            </w:r>
                            <w:r w:rsidRPr="001670F6">
                              <w:rPr>
                                <w:rFonts w:cs="TimesNewRoman"/>
                                <w:sz w:val="21"/>
                                <w:szCs w:val="21"/>
                              </w:rPr>
                              <w:t xml:space="preserve"> </w:t>
                            </w:r>
                            <w:r>
                              <w:rPr>
                                <w:rFonts w:cs="TimesNewRoman"/>
                                <w:sz w:val="21"/>
                                <w:szCs w:val="21"/>
                              </w:rPr>
                              <w:t xml:space="preserve">ku </w:t>
                            </w:r>
                            <w:r w:rsidRPr="001670F6">
                              <w:rPr>
                                <w:rFonts w:cs="TimesNewRoman"/>
                                <w:sz w:val="21"/>
                                <w:szCs w:val="21"/>
                              </w:rPr>
                              <w:t xml:space="preserve">secili prodhon një mall unik që tregtohet brenda vendit dhe në konkurrencë me mallrat e importuara dhe/ose eksportohet ndërkombëtarisht. </w:t>
                            </w:r>
                            <w:r>
                              <w:rPr>
                                <w:rFonts w:cs="TimesNewRoman"/>
                                <w:sz w:val="21"/>
                                <w:szCs w:val="21"/>
                              </w:rPr>
                              <w:t>Njësia shkëmbyese</w:t>
                            </w:r>
                            <w:r w:rsidRPr="00934272">
                              <w:rPr>
                                <w:rFonts w:cs="TimesNewRoman"/>
                                <w:sz w:val="21"/>
                                <w:szCs w:val="21"/>
                              </w:rPr>
                              <w:t xml:space="preserve"> </w:t>
                            </w:r>
                            <w:r>
                              <w:rPr>
                                <w:rFonts w:cs="TimesNewRoman"/>
                                <w:sz w:val="21"/>
                                <w:szCs w:val="21"/>
                              </w:rPr>
                              <w:t>(</w:t>
                            </w:r>
                            <w:r w:rsidRPr="001670F6">
                              <w:rPr>
                                <w:rFonts w:cs="TimesNewRoman"/>
                                <w:i/>
                                <w:sz w:val="21"/>
                                <w:szCs w:val="21"/>
                              </w:rPr>
                              <w:t>numeraire</w:t>
                            </w:r>
                            <w:r>
                              <w:rPr>
                                <w:rFonts w:cs="TimesNewRoman"/>
                                <w:sz w:val="21"/>
                                <w:szCs w:val="21"/>
                              </w:rPr>
                              <w:t>)</w:t>
                            </w:r>
                            <w:r w:rsidRPr="001670F6">
                              <w:rPr>
                                <w:rFonts w:cs="TimesNewRoman"/>
                                <w:sz w:val="21"/>
                                <w:szCs w:val="21"/>
                              </w:rPr>
                              <w:t xml:space="preserve"> në model është deflatori i </w:t>
                            </w:r>
                            <w:r>
                              <w:rPr>
                                <w:rFonts w:cs="TimesNewRoman"/>
                                <w:sz w:val="21"/>
                                <w:szCs w:val="21"/>
                              </w:rPr>
                              <w:t>BPV</w:t>
                            </w:r>
                            <w:r w:rsidRPr="001670F6">
                              <w:rPr>
                                <w:rFonts w:cs="TimesNewRoman"/>
                                <w:sz w:val="21"/>
                                <w:szCs w:val="21"/>
                              </w:rPr>
                              <w:t>-së.</w:t>
                            </w:r>
                          </w:p>
                          <w:p w14:paraId="0286A62E" w14:textId="77777777" w:rsidR="00FC648F" w:rsidRPr="00934272" w:rsidRDefault="00FC648F" w:rsidP="009D6D4E">
                            <w:pPr>
                              <w:widowControl w:val="0"/>
                              <w:autoSpaceDE w:val="0"/>
                              <w:autoSpaceDN w:val="0"/>
                              <w:adjustRightInd w:val="0"/>
                              <w:jc w:val="both"/>
                              <w:rPr>
                                <w:rFonts w:cs="TimesNewRoman"/>
                                <w:sz w:val="21"/>
                                <w:szCs w:val="21"/>
                              </w:rPr>
                            </w:pPr>
                          </w:p>
                          <w:p w14:paraId="02A1EC2F" w14:textId="77777777" w:rsidR="00FC648F" w:rsidRDefault="00FC648F" w:rsidP="009D6D4E">
                            <w:pPr>
                              <w:widowControl w:val="0"/>
                              <w:autoSpaceDE w:val="0"/>
                              <w:autoSpaceDN w:val="0"/>
                              <w:adjustRightInd w:val="0"/>
                              <w:jc w:val="both"/>
                              <w:rPr>
                                <w:rFonts w:cs="TimesNewRoman"/>
                                <w:sz w:val="21"/>
                                <w:szCs w:val="21"/>
                              </w:rPr>
                            </w:pPr>
                            <w:r w:rsidRPr="001670F6">
                              <w:rPr>
                                <w:rFonts w:cs="TimesNewRoman"/>
                                <w:sz w:val="21"/>
                                <w:szCs w:val="21"/>
                              </w:rPr>
                              <w:t xml:space="preserve">Sistemet e të </w:t>
                            </w:r>
                            <w:r>
                              <w:rPr>
                                <w:rFonts w:cs="TimesNewRoman"/>
                                <w:sz w:val="21"/>
                                <w:szCs w:val="21"/>
                              </w:rPr>
                              <w:t>hyrave</w:t>
                            </w:r>
                            <w:r w:rsidRPr="001670F6">
                              <w:rPr>
                                <w:rFonts w:cs="TimesNewRoman"/>
                                <w:sz w:val="21"/>
                                <w:szCs w:val="21"/>
                              </w:rPr>
                              <w:t xml:space="preserve"> të qeverisë së Kosovës janë marrë në konsideratë specifike. Qeveria mbledh taksat direkte mbi të </w:t>
                            </w:r>
                            <w:r>
                              <w:rPr>
                                <w:rFonts w:cs="TimesNewRoman"/>
                                <w:sz w:val="21"/>
                                <w:szCs w:val="21"/>
                              </w:rPr>
                              <w:t>hyrat</w:t>
                            </w:r>
                            <w:r w:rsidRPr="001670F6">
                              <w:rPr>
                                <w:rFonts w:cs="TimesNewRoman"/>
                                <w:sz w:val="21"/>
                                <w:szCs w:val="21"/>
                              </w:rPr>
                              <w:t xml:space="preserve"> e faktorëve, si dhe </w:t>
                            </w:r>
                            <w:r>
                              <w:rPr>
                                <w:rFonts w:cs="TimesNewRoman"/>
                                <w:sz w:val="21"/>
                                <w:szCs w:val="21"/>
                              </w:rPr>
                              <w:t>pjesët (</w:t>
                            </w:r>
                            <w:r w:rsidRPr="001670F6">
                              <w:rPr>
                                <w:rFonts w:cs="TimesNewRoman"/>
                                <w:i/>
                                <w:sz w:val="21"/>
                                <w:szCs w:val="21"/>
                              </w:rPr>
                              <w:t>hiset</w:t>
                            </w:r>
                            <w:r>
                              <w:rPr>
                                <w:rFonts w:cs="TimesNewRoman"/>
                                <w:sz w:val="21"/>
                                <w:szCs w:val="21"/>
                              </w:rPr>
                              <w:t>)</w:t>
                            </w:r>
                            <w:r w:rsidRPr="001670F6">
                              <w:rPr>
                                <w:rFonts w:cs="TimesNewRoman"/>
                                <w:sz w:val="21"/>
                                <w:szCs w:val="21"/>
                              </w:rPr>
                              <w:t xml:space="preserve"> e qirave të kapitalit nga </w:t>
                            </w:r>
                            <w:r>
                              <w:rPr>
                                <w:rFonts w:cs="TimesNewRoman"/>
                                <w:sz w:val="21"/>
                                <w:szCs w:val="21"/>
                              </w:rPr>
                              <w:t>ndërmarrjet shoqërore</w:t>
                            </w:r>
                            <w:r w:rsidRPr="001670F6">
                              <w:rPr>
                                <w:rFonts w:cs="TimesNewRoman"/>
                                <w:sz w:val="21"/>
                                <w:szCs w:val="21"/>
                              </w:rPr>
                              <w:t xml:space="preserve">. Qeveria mbledh gjithashtu taksa indirekte </w:t>
                            </w:r>
                            <w:r>
                              <w:rPr>
                                <w:rFonts w:cs="TimesNewRoman"/>
                                <w:sz w:val="21"/>
                                <w:szCs w:val="21"/>
                              </w:rPr>
                              <w:t>nga</w:t>
                            </w:r>
                            <w:r w:rsidRPr="001670F6">
                              <w:rPr>
                                <w:rFonts w:cs="TimesNewRoman"/>
                                <w:sz w:val="21"/>
                                <w:szCs w:val="21"/>
                              </w:rPr>
                              <w:t xml:space="preserve"> shpenzimet dhe importet e konsumit të ndërmjetëm dhe të fundit. </w:t>
                            </w:r>
                            <w:r>
                              <w:rPr>
                                <w:rFonts w:cs="TimesNewRoman"/>
                                <w:sz w:val="21"/>
                                <w:szCs w:val="21"/>
                              </w:rPr>
                              <w:t>Së fundi</w:t>
                            </w:r>
                            <w:r w:rsidRPr="001670F6">
                              <w:rPr>
                                <w:rFonts w:cs="TimesNewRoman"/>
                                <w:sz w:val="21"/>
                                <w:szCs w:val="21"/>
                              </w:rPr>
                              <w:t xml:space="preserve">, qeveria </w:t>
                            </w:r>
                            <w:r>
                              <w:rPr>
                                <w:rFonts w:cs="TimesNewRoman"/>
                                <w:sz w:val="21"/>
                                <w:szCs w:val="21"/>
                              </w:rPr>
                              <w:t>pranon</w:t>
                            </w:r>
                            <w:r w:rsidRPr="001670F6">
                              <w:rPr>
                                <w:rFonts w:cs="TimesNewRoman"/>
                                <w:sz w:val="21"/>
                                <w:szCs w:val="21"/>
                              </w:rPr>
                              <w:t xml:space="preserve"> tarifa dhe gjoba nga familjet. Subvencionet e Qeverisë janë llogaritur dhe bazohen në tarifat e subvencionimit </w:t>
                            </w:r>
                            <w:r w:rsidRPr="001670F6">
                              <w:rPr>
                                <w:rFonts w:cs="TimesNewRoman"/>
                                <w:i/>
                                <w:sz w:val="21"/>
                                <w:szCs w:val="21"/>
                              </w:rPr>
                              <w:t>ad valorem</w:t>
                            </w:r>
                            <w:r w:rsidRPr="001670F6">
                              <w:rPr>
                                <w:rFonts w:cs="TimesNewRoman"/>
                                <w:sz w:val="21"/>
                                <w:szCs w:val="21"/>
                              </w:rPr>
                              <w:t xml:space="preserve"> ose çmimet fikse. Shpenzimet e konsumit, investimet dhe transferimet e qeverisë për familjet jepen në mënyrë ekzogjene.</w:t>
                            </w:r>
                          </w:p>
                          <w:p w14:paraId="18EE86C5" w14:textId="77777777" w:rsidR="00FC648F" w:rsidRDefault="00FC648F" w:rsidP="009D6D4E">
                            <w:pPr>
                              <w:widowControl w:val="0"/>
                              <w:autoSpaceDE w:val="0"/>
                              <w:autoSpaceDN w:val="0"/>
                              <w:adjustRightInd w:val="0"/>
                              <w:jc w:val="both"/>
                              <w:rPr>
                                <w:rFonts w:cs="TimesNewRoman"/>
                                <w:sz w:val="21"/>
                                <w:szCs w:val="21"/>
                              </w:rPr>
                            </w:pPr>
                          </w:p>
                          <w:p w14:paraId="11B4E6D1" w14:textId="77777777" w:rsidR="00FC648F" w:rsidRPr="006C367E" w:rsidRDefault="00FC648F" w:rsidP="009D6D4E">
                            <w:pPr>
                              <w:widowControl w:val="0"/>
                              <w:autoSpaceDE w:val="0"/>
                              <w:autoSpaceDN w:val="0"/>
                              <w:adjustRightInd w:val="0"/>
                              <w:jc w:val="both"/>
                              <w:rPr>
                                <w:rFonts w:cs="TimesNewRoman"/>
                                <w:sz w:val="21"/>
                                <w:szCs w:val="21"/>
                              </w:rPr>
                            </w:pPr>
                            <w:r w:rsidRPr="001670F6">
                              <w:rPr>
                                <w:rFonts w:cs="TimesNewRoman"/>
                                <w:sz w:val="21"/>
                                <w:szCs w:val="21"/>
                              </w:rPr>
                              <w:t xml:space="preserve">Marrëdhënia me pjesën tjetër të botës </w:t>
                            </w:r>
                            <w:r>
                              <w:rPr>
                                <w:rFonts w:cs="TimesNewRoman"/>
                                <w:sz w:val="21"/>
                                <w:szCs w:val="21"/>
                              </w:rPr>
                              <w:t>paraqitet</w:t>
                            </w:r>
                            <w:r w:rsidRPr="001670F6">
                              <w:rPr>
                                <w:rFonts w:cs="TimesNewRoman"/>
                                <w:sz w:val="21"/>
                                <w:szCs w:val="21"/>
                              </w:rPr>
                              <w:t xml:space="preserve"> nga importet dhe eksportet e secilit mall, si dhe nga të</w:t>
                            </w:r>
                            <w:r>
                              <w:rPr>
                                <w:rFonts w:cs="TimesNewRoman"/>
                                <w:sz w:val="21"/>
                                <w:szCs w:val="21"/>
                              </w:rPr>
                              <w:t xml:space="preserve"> ardhurat neto dhe transferet nga jashtë </w:t>
                            </w:r>
                            <w:r w:rsidRPr="001670F6">
                              <w:rPr>
                                <w:rFonts w:cs="TimesNewRoman"/>
                                <w:sz w:val="21"/>
                                <w:szCs w:val="21"/>
                              </w:rPr>
                              <w:t xml:space="preserve">për qeverinë dhe/ose </w:t>
                            </w:r>
                            <w:r>
                              <w:rPr>
                                <w:rFonts w:cs="TimesNewRoman"/>
                                <w:sz w:val="21"/>
                                <w:szCs w:val="21"/>
                              </w:rPr>
                              <w:t>ekonomitë familjare</w:t>
                            </w:r>
                            <w:r w:rsidRPr="001670F6">
                              <w:rPr>
                                <w:rFonts w:cs="TimesNewRoman"/>
                                <w:sz w:val="21"/>
                                <w:szCs w:val="21"/>
                              </w:rPr>
                              <w:t xml:space="preserve">. Kursi nominal efektiv i këmbimit është </w:t>
                            </w:r>
                            <w:r>
                              <w:rPr>
                                <w:rFonts w:cs="TimesNewRoman"/>
                                <w:sz w:val="21"/>
                                <w:szCs w:val="21"/>
                              </w:rPr>
                              <w:t>i fiksuar,</w:t>
                            </w:r>
                            <w:r w:rsidRPr="001670F6">
                              <w:rPr>
                                <w:rFonts w:cs="TimesNewRoman"/>
                                <w:sz w:val="21"/>
                                <w:szCs w:val="21"/>
                              </w:rPr>
                              <w:t xml:space="preserve"> </w:t>
                            </w:r>
                            <w:r>
                              <w:rPr>
                                <w:rFonts w:cs="TimesNewRoman"/>
                                <w:sz w:val="21"/>
                                <w:szCs w:val="21"/>
                              </w:rPr>
                              <w:t xml:space="preserve">ku kursi </w:t>
                            </w:r>
                            <w:r w:rsidRPr="001670F6">
                              <w:rPr>
                                <w:rFonts w:cs="TimesNewRoman"/>
                                <w:sz w:val="21"/>
                                <w:szCs w:val="21"/>
                              </w:rPr>
                              <w:t xml:space="preserve">real </w:t>
                            </w:r>
                            <w:r>
                              <w:rPr>
                                <w:rFonts w:cs="TimesNewRoman"/>
                                <w:sz w:val="21"/>
                                <w:szCs w:val="21"/>
                              </w:rPr>
                              <w:t>i</w:t>
                            </w:r>
                            <w:r w:rsidRPr="001670F6">
                              <w:rPr>
                                <w:rFonts w:cs="TimesNewRoman"/>
                                <w:sz w:val="21"/>
                                <w:szCs w:val="21"/>
                              </w:rPr>
                              <w:t xml:space="preserve"> këmbimit lëviz drejt ekuilibrimit të bilancit të llogarisë rrjedhëse të jashtme. Modeli supozon çmime të faktorëve plotësisht </w:t>
                            </w:r>
                            <w:r>
                              <w:rPr>
                                <w:rFonts w:cs="TimesNewRoman"/>
                                <w:sz w:val="21"/>
                                <w:szCs w:val="21"/>
                              </w:rPr>
                              <w:t>fleksibile</w:t>
                            </w:r>
                            <w:r w:rsidRPr="001670F6">
                              <w:rPr>
                                <w:rFonts w:cs="TimesNewRoman"/>
                                <w:sz w:val="21"/>
                                <w:szCs w:val="21"/>
                              </w:rPr>
                              <w:t xml:space="preserve"> dhe </w:t>
                            </w:r>
                            <w:r>
                              <w:rPr>
                                <w:rFonts w:cs="TimesNewRoman"/>
                                <w:sz w:val="21"/>
                                <w:szCs w:val="21"/>
                              </w:rPr>
                              <w:t>rrjedhimisht punësimi të</w:t>
                            </w:r>
                            <w:r w:rsidRPr="001670F6">
                              <w:rPr>
                                <w:rFonts w:cs="TimesNewRoman"/>
                                <w:sz w:val="21"/>
                                <w:szCs w:val="21"/>
                              </w:rPr>
                              <w:t xml:space="preserve"> plotë të forcës aktive të punës. Kjo mund të ndryshohet për të simuluar sjelljen më të shkurtër</w:t>
                            </w:r>
                            <w:r>
                              <w:rPr>
                                <w:rFonts w:cs="TimesNewRoman"/>
                                <w:sz w:val="21"/>
                                <w:szCs w:val="21"/>
                              </w:rPr>
                              <w:t xml:space="preserve"> </w:t>
                            </w:r>
                            <w:r w:rsidRPr="006C367E">
                              <w:rPr>
                                <w:rFonts w:cs="TimesNewRoman"/>
                                <w:sz w:val="21"/>
                                <w:szCs w:val="21"/>
                              </w:rPr>
                              <w:t>(</w:t>
                            </w:r>
                            <w:r>
                              <w:rPr>
                                <w:rFonts w:cs="TimesNewRoman"/>
                                <w:i/>
                                <w:sz w:val="21"/>
                                <w:szCs w:val="21"/>
                              </w:rPr>
                              <w:t>shorter-run behaviour</w:t>
                            </w:r>
                            <w:r w:rsidRPr="006C367E">
                              <w:rPr>
                                <w:rFonts w:cs="TimesNewRoman"/>
                                <w:sz w:val="21"/>
                                <w:szCs w:val="21"/>
                              </w:rPr>
                              <w:t>)</w:t>
                            </w:r>
                            <w:r w:rsidRPr="001670F6">
                              <w:rPr>
                                <w:rFonts w:cs="TimesNewRoman"/>
                                <w:sz w:val="21"/>
                                <w:szCs w:val="21"/>
                              </w:rPr>
                              <w:t xml:space="preserve"> përmes kufizimit të fleksibilitetit të </w:t>
                            </w:r>
                            <w:r>
                              <w:rPr>
                                <w:rFonts w:cs="TimesNewRoman"/>
                                <w:sz w:val="21"/>
                                <w:szCs w:val="21"/>
                              </w:rPr>
                              <w:t>çmimit</w:t>
                            </w:r>
                            <w:r w:rsidRPr="001670F6">
                              <w:rPr>
                                <w:rFonts w:cs="TimesNewRoman"/>
                                <w:sz w:val="21"/>
                                <w:szCs w:val="21"/>
                              </w:rPr>
                              <w:t xml:space="preserve"> të faktorit me rregullimet e bëra në vend të faktorit të punësimit. Një </w:t>
                            </w:r>
                            <w:r>
                              <w:rPr>
                                <w:rFonts w:cs="TimesNewRoman"/>
                                <w:sz w:val="21"/>
                                <w:szCs w:val="21"/>
                              </w:rPr>
                              <w:t>shtjellim</w:t>
                            </w:r>
                            <w:r w:rsidRPr="001670F6">
                              <w:rPr>
                                <w:rFonts w:cs="TimesNewRoman"/>
                                <w:sz w:val="21"/>
                                <w:szCs w:val="21"/>
                              </w:rPr>
                              <w:t xml:space="preserve"> i hollësishëm i modelit CGE mund të merret nga Ministria e Financave, Departamenti i Makroekonomisë.</w:t>
                            </w:r>
                          </w:p>
                          <w:p w14:paraId="64079511" w14:textId="77777777" w:rsidR="00FC648F" w:rsidRPr="00934272" w:rsidRDefault="00FC648F" w:rsidP="009D6D4E">
                            <w:pPr>
                              <w:jc w:val="center"/>
                              <w:rPr>
                                <w:rFonts w:asciiTheme="majorBidi" w:hAnsiTheme="majorBidi" w:cstheme="majorBidi"/>
                                <w:sz w:val="21"/>
                                <w:szCs w:val="21"/>
                              </w:rPr>
                            </w:pPr>
                          </w:p>
                        </w:txbxContent>
                      </wps:txbx>
                      <wps:bodyPr rot="0" vert="horz" wrap="square" lIns="91440" tIns="45720" rIns="91440" bIns="45720" anchor="t" anchorCtr="0">
                        <a:noAutofit/>
                      </wps:bodyPr>
                    </wps:wsp>
                  </a:graphicData>
                </a:graphic>
              </wp:inline>
            </w:drawing>
          </mc:Choice>
          <mc:Fallback>
            <w:pict>
              <v:shape w14:anchorId="2066B6A6" id="Text Box 2" o:spid="_x0000_s1038" type="#_x0000_t202" style="width:451.35pt;height:58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" fillcolor="#deeaf6 [660]">
                <v:textbox>
                  <w:txbxContent>
                    <w:p w14:paraId="12B3FED6" w14:textId="77777777" w:rsidR="00FC648F" w:rsidRPr="00934272" w:rsidRDefault="00FC648F" w:rsidP="009D6D4E">
                      <w:pPr>
                        <w:widowControl w:val="0"/>
                        <w:autoSpaceDE w:val="0"/>
                        <w:autoSpaceDN w:val="0"/>
                        <w:adjustRightInd w:val="0"/>
                        <w:rPr>
                          <w:rFonts w:cs="TimesNewRoman"/>
                          <w:b/>
                          <w:bCs/>
                          <w:sz w:val="21"/>
                          <w:szCs w:val="21"/>
                        </w:rPr>
                      </w:pPr>
                      <w:r>
                        <w:rPr>
                          <w:rFonts w:cs="TimesNewRoman"/>
                          <w:b/>
                          <w:bCs/>
                          <w:sz w:val="21"/>
                          <w:szCs w:val="21"/>
                        </w:rPr>
                        <w:t>Hapësira informuese 1. Modeli i Llogaritshëm i Ekuilibrit të P</w:t>
                      </w:r>
                      <w:r w:rsidRPr="001670F6">
                        <w:rPr>
                          <w:rFonts w:cs="TimesNewRoman"/>
                          <w:b/>
                          <w:bCs/>
                          <w:sz w:val="21"/>
                          <w:szCs w:val="21"/>
                        </w:rPr>
                        <w:t>ërgjithshëm</w:t>
                      </w:r>
                      <w:r>
                        <w:rPr>
                          <w:rFonts w:cs="TimesNewRoman"/>
                          <w:b/>
                          <w:bCs/>
                          <w:sz w:val="21"/>
                          <w:szCs w:val="21"/>
                        </w:rPr>
                        <w:t xml:space="preserve"> (CGE)</w:t>
                      </w:r>
                      <w:r w:rsidRPr="001670F6">
                        <w:rPr>
                          <w:rFonts w:cs="TimesNewRoman"/>
                          <w:b/>
                          <w:bCs/>
                          <w:sz w:val="21"/>
                          <w:szCs w:val="21"/>
                        </w:rPr>
                        <w:t xml:space="preserve"> të Kosovës</w:t>
                      </w:r>
                    </w:p>
                    <w:p w14:paraId="1E440E38" w14:textId="77777777" w:rsidR="00FC648F" w:rsidRPr="00934272" w:rsidRDefault="00FC648F" w:rsidP="009D6D4E">
                      <w:pPr>
                        <w:widowControl w:val="0"/>
                        <w:autoSpaceDE w:val="0"/>
                        <w:autoSpaceDN w:val="0"/>
                        <w:adjustRightInd w:val="0"/>
                        <w:jc w:val="both"/>
                        <w:rPr>
                          <w:rFonts w:cs="TimesNewRoman"/>
                          <w:sz w:val="21"/>
                          <w:szCs w:val="21"/>
                        </w:rPr>
                      </w:pPr>
                      <w:r>
                        <w:rPr>
                          <w:rFonts w:cs="TimesNewRoman"/>
                          <w:sz w:val="21"/>
                          <w:szCs w:val="21"/>
                        </w:rPr>
                        <w:t>Është</w:t>
                      </w:r>
                      <w:r w:rsidRPr="001670F6">
                        <w:rPr>
                          <w:rFonts w:cs="TimesNewRoman"/>
                          <w:sz w:val="21"/>
                          <w:szCs w:val="21"/>
                        </w:rPr>
                        <w:t xml:space="preserve"> zhvilluar një </w:t>
                      </w:r>
                      <w:r>
                        <w:rPr>
                          <w:rFonts w:cs="TimesNewRoman"/>
                          <w:sz w:val="21"/>
                          <w:szCs w:val="21"/>
                        </w:rPr>
                        <w:t>model</w:t>
                      </w:r>
                      <w:r w:rsidRPr="001670F6">
                        <w:rPr>
                          <w:rFonts w:cs="TimesNewRoman"/>
                          <w:sz w:val="21"/>
                          <w:szCs w:val="21"/>
                        </w:rPr>
                        <w:t xml:space="preserve"> dinamik </w:t>
                      </w:r>
                      <w:r>
                        <w:rPr>
                          <w:rFonts w:cs="TimesNewRoman"/>
                          <w:sz w:val="21"/>
                          <w:szCs w:val="21"/>
                        </w:rPr>
                        <w:t>përsëritës i L</w:t>
                      </w:r>
                      <w:r w:rsidRPr="001670F6">
                        <w:rPr>
                          <w:rFonts w:cs="TimesNewRoman"/>
                          <w:sz w:val="21"/>
                          <w:szCs w:val="21"/>
                        </w:rPr>
                        <w:t xml:space="preserve">logaritshëm </w:t>
                      </w:r>
                      <w:r>
                        <w:rPr>
                          <w:rFonts w:cs="TimesNewRoman"/>
                          <w:sz w:val="21"/>
                          <w:szCs w:val="21"/>
                        </w:rPr>
                        <w:t>i Ekuilibrit të P</w:t>
                      </w:r>
                      <w:r w:rsidRPr="001670F6">
                        <w:rPr>
                          <w:rFonts w:cs="TimesNewRoman"/>
                          <w:sz w:val="21"/>
                          <w:szCs w:val="21"/>
                        </w:rPr>
                        <w:t xml:space="preserve">ërgjithshëm (CGE) të Ekonomisë së Kosovës. Modeli ka </w:t>
                      </w:r>
                      <w:r>
                        <w:rPr>
                          <w:rFonts w:cs="TimesNewRoman"/>
                          <w:sz w:val="21"/>
                          <w:szCs w:val="21"/>
                        </w:rPr>
                        <w:t>sektore të zbërthera dhe përfaqësim</w:t>
                      </w:r>
                      <w:r w:rsidRPr="001670F6">
                        <w:rPr>
                          <w:rFonts w:cs="TimesNewRoman"/>
                          <w:sz w:val="21"/>
                          <w:szCs w:val="21"/>
                        </w:rPr>
                        <w:t xml:space="preserve"> </w:t>
                      </w:r>
                      <w:r>
                        <w:rPr>
                          <w:rFonts w:cs="TimesNewRoman"/>
                          <w:sz w:val="21"/>
                          <w:szCs w:val="21"/>
                        </w:rPr>
                        <w:t>të</w:t>
                      </w:r>
                      <w:r w:rsidRPr="001670F6">
                        <w:rPr>
                          <w:rFonts w:cs="TimesNewRoman"/>
                          <w:sz w:val="21"/>
                          <w:szCs w:val="21"/>
                        </w:rPr>
                        <w:t xml:space="preserve"> mallrave. Ky model është </w:t>
                      </w:r>
                      <w:r>
                        <w:rPr>
                          <w:rFonts w:cs="TimesNewRoman"/>
                          <w:sz w:val="21"/>
                          <w:szCs w:val="21"/>
                        </w:rPr>
                        <w:t>zhvilluar</w:t>
                      </w:r>
                      <w:r w:rsidRPr="001670F6">
                        <w:rPr>
                          <w:rFonts w:cs="TimesNewRoman"/>
                          <w:sz w:val="21"/>
                          <w:szCs w:val="21"/>
                        </w:rPr>
                        <w:t xml:space="preserve"> për të analizuar implikimet në mbarë ekonominë e masave specifike të politikave në fushat fiskale dhe në fushat e tjera të përqendrimit të reformave si në izolim ashtu edhe për çdo efekt të rëndësishëm të kombinuar. Duke aplikuar qasjen CGE, analiza përpiqet të kapërcejë tej-thjeshtëzimin dhe/ose konkluzionet e gabuara që gjenden duke shikuar vetëm rezultate</w:t>
                      </w:r>
                      <w:r>
                        <w:rPr>
                          <w:rFonts w:cs="TimesNewRoman"/>
                          <w:sz w:val="21"/>
                          <w:szCs w:val="21"/>
                        </w:rPr>
                        <w:t>t</w:t>
                      </w:r>
                      <w:r w:rsidRPr="001670F6">
                        <w:rPr>
                          <w:rFonts w:cs="TimesNewRoman"/>
                          <w:sz w:val="21"/>
                          <w:szCs w:val="21"/>
                        </w:rPr>
                        <w:t xml:space="preserve"> </w:t>
                      </w:r>
                      <w:r>
                        <w:rPr>
                          <w:rFonts w:cs="TimesNewRoman"/>
                          <w:sz w:val="21"/>
                          <w:szCs w:val="21"/>
                        </w:rPr>
                        <w:t xml:space="preserve">e </w:t>
                      </w:r>
                      <w:r w:rsidRPr="001670F6">
                        <w:rPr>
                          <w:rFonts w:cs="TimesNewRoman"/>
                          <w:sz w:val="21"/>
                          <w:szCs w:val="21"/>
                        </w:rPr>
                        <w:t>ekuilibri</w:t>
                      </w:r>
                      <w:r>
                        <w:rPr>
                          <w:rFonts w:cs="TimesNewRoman"/>
                          <w:sz w:val="21"/>
                          <w:szCs w:val="21"/>
                        </w:rPr>
                        <w:t>t</w:t>
                      </w:r>
                      <w:r w:rsidRPr="001670F6">
                        <w:rPr>
                          <w:rFonts w:cs="TimesNewRoman"/>
                          <w:sz w:val="21"/>
                          <w:szCs w:val="21"/>
                        </w:rPr>
                        <w:t xml:space="preserve"> të pjesshëm, efekte të </w:t>
                      </w:r>
                      <w:r>
                        <w:rPr>
                          <w:rFonts w:cs="TimesNewRoman"/>
                          <w:sz w:val="21"/>
                          <w:szCs w:val="21"/>
                        </w:rPr>
                        <w:t>agreguara</w:t>
                      </w:r>
                      <w:r w:rsidRPr="001670F6">
                        <w:rPr>
                          <w:rFonts w:cs="TimesNewRoman"/>
                          <w:sz w:val="21"/>
                          <w:szCs w:val="21"/>
                        </w:rPr>
                        <w:t xml:space="preserve"> ose të thjeshta të raundi</w:t>
                      </w:r>
                      <w:r>
                        <w:rPr>
                          <w:rFonts w:cs="TimesNewRoman"/>
                          <w:sz w:val="21"/>
                          <w:szCs w:val="21"/>
                        </w:rPr>
                        <w:t>t të parë të masave të politikave</w:t>
                      </w:r>
                      <w:r w:rsidRPr="001670F6">
                        <w:rPr>
                          <w:rFonts w:cs="TimesNewRoman"/>
                          <w:sz w:val="21"/>
                          <w:szCs w:val="21"/>
                        </w:rPr>
                        <w:t xml:space="preserve"> ekonomike</w:t>
                      </w:r>
                      <w:r w:rsidRPr="00934272">
                        <w:rPr>
                          <w:rFonts w:cs="TimesNewRoman"/>
                          <w:sz w:val="21"/>
                          <w:szCs w:val="21"/>
                        </w:rPr>
                        <w:t>.</w:t>
                      </w:r>
                    </w:p>
                    <w:p w14:paraId="33E22FD8" w14:textId="77777777" w:rsidR="00FC648F" w:rsidRPr="00934272" w:rsidRDefault="00FC648F" w:rsidP="009D6D4E">
                      <w:pPr>
                        <w:widowControl w:val="0"/>
                        <w:autoSpaceDE w:val="0"/>
                        <w:autoSpaceDN w:val="0"/>
                        <w:adjustRightInd w:val="0"/>
                        <w:jc w:val="both"/>
                        <w:rPr>
                          <w:rFonts w:cs="TimesNewRoman"/>
                          <w:sz w:val="21"/>
                          <w:szCs w:val="21"/>
                        </w:rPr>
                      </w:pPr>
                    </w:p>
                    <w:p w14:paraId="07523F79" w14:textId="77777777" w:rsidR="00FC648F" w:rsidRPr="00934272" w:rsidRDefault="00FC648F" w:rsidP="009D6D4E">
                      <w:pPr>
                        <w:widowControl w:val="0"/>
                        <w:autoSpaceDE w:val="0"/>
                        <w:autoSpaceDN w:val="0"/>
                        <w:adjustRightInd w:val="0"/>
                        <w:jc w:val="center"/>
                        <w:rPr>
                          <w:rFonts w:cs="TimesNewRoman"/>
                          <w:sz w:val="21"/>
                          <w:szCs w:val="21"/>
                        </w:rPr>
                      </w:pPr>
                      <w:r w:rsidRPr="00934272">
                        <w:rPr>
                          <w:noProof/>
                          <w:sz w:val="21"/>
                          <w:szCs w:val="21"/>
                          <w:lang w:val="en-US"/>
                        </w:rPr>
                        <w:drawing>
                          <wp:inline distT="0" distB="0" distL="0" distR="0" wp14:anchorId="0A1207CC" wp14:editId="70C1D527">
                            <wp:extent cx="5469147" cy="2728595"/>
                            <wp:effectExtent l="0" t="0" r="0" b="0"/>
                            <wp:docPr id="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72289" cy="2730163"/>
                                    </a:xfrm>
                                    <a:prstGeom prst="rect">
                                      <a:avLst/>
                                    </a:prstGeom>
                                    <a:noFill/>
                                    <a:ln>
                                      <a:noFill/>
                                    </a:ln>
                                  </pic:spPr>
                                </pic:pic>
                              </a:graphicData>
                            </a:graphic>
                          </wp:inline>
                        </w:drawing>
                      </w:r>
                    </w:p>
                    <w:p w14:paraId="7959BBCD" w14:textId="77777777" w:rsidR="00FC648F" w:rsidRDefault="00FC648F" w:rsidP="009D6D4E">
                      <w:pPr>
                        <w:widowControl w:val="0"/>
                        <w:autoSpaceDE w:val="0"/>
                        <w:autoSpaceDN w:val="0"/>
                        <w:adjustRightInd w:val="0"/>
                        <w:jc w:val="both"/>
                        <w:rPr>
                          <w:rFonts w:cs="TimesNewRoman"/>
                          <w:sz w:val="21"/>
                          <w:szCs w:val="21"/>
                        </w:rPr>
                      </w:pPr>
                      <w:r>
                        <w:rPr>
                          <w:rFonts w:cs="TimesNewRoman"/>
                          <w:sz w:val="21"/>
                          <w:szCs w:val="21"/>
                        </w:rPr>
                        <w:t>Fakti që ky model përfshin mbarë ekonominë</w:t>
                      </w:r>
                      <w:r w:rsidRPr="001670F6">
                        <w:rPr>
                          <w:rFonts w:cs="TimesNewRoman"/>
                          <w:sz w:val="21"/>
                          <w:szCs w:val="21"/>
                        </w:rPr>
                        <w:t xml:space="preserve"> nënkupton që modeli ka një nivel specifik të grumbullimit në të gjithë sektorët e ekonomisë së Kosovës. Specifikimi CGE nënkupton që modeli është një specifikim numerikisht i marrëdhënieve të kërkesës dhe prodhimit, marrëdhëniet midis tyre, dhe zgjidhet njëkohësisht për çmimet në të gjitha tregjet. Modeli përfshin 20 sektorë prodhues</w:t>
                      </w:r>
                      <w:r>
                        <w:rPr>
                          <w:rFonts w:cs="TimesNewRoman"/>
                          <w:sz w:val="21"/>
                          <w:szCs w:val="21"/>
                        </w:rPr>
                        <w:t>;</w:t>
                      </w:r>
                      <w:r w:rsidRPr="001670F6">
                        <w:rPr>
                          <w:rFonts w:cs="TimesNewRoman"/>
                          <w:sz w:val="21"/>
                          <w:szCs w:val="21"/>
                        </w:rPr>
                        <w:t xml:space="preserve"> </w:t>
                      </w:r>
                      <w:r>
                        <w:rPr>
                          <w:rFonts w:cs="TimesNewRoman"/>
                          <w:sz w:val="21"/>
                          <w:szCs w:val="21"/>
                        </w:rPr>
                        <w:t xml:space="preserve">ku </w:t>
                      </w:r>
                      <w:r w:rsidRPr="001670F6">
                        <w:rPr>
                          <w:rFonts w:cs="TimesNewRoman"/>
                          <w:sz w:val="21"/>
                          <w:szCs w:val="21"/>
                        </w:rPr>
                        <w:t xml:space="preserve">secili prodhon një mall unik që tregtohet brenda vendit dhe në konkurrencë me mallrat e importuara dhe/ose eksportohet ndërkombëtarisht. </w:t>
                      </w:r>
                      <w:r>
                        <w:rPr>
                          <w:rFonts w:cs="TimesNewRoman"/>
                          <w:sz w:val="21"/>
                          <w:szCs w:val="21"/>
                        </w:rPr>
                        <w:t>Njësia shkëmbyese</w:t>
                      </w:r>
                      <w:r w:rsidRPr="00934272">
                        <w:rPr>
                          <w:rFonts w:cs="TimesNewRoman"/>
                          <w:sz w:val="21"/>
                          <w:szCs w:val="21"/>
                        </w:rPr>
                        <w:t xml:space="preserve"> </w:t>
                      </w:r>
                      <w:r>
                        <w:rPr>
                          <w:rFonts w:cs="TimesNewRoman"/>
                          <w:sz w:val="21"/>
                          <w:szCs w:val="21"/>
                        </w:rPr>
                        <w:t>(</w:t>
                      </w:r>
                      <w:r w:rsidRPr="001670F6">
                        <w:rPr>
                          <w:rFonts w:cs="TimesNewRoman"/>
                          <w:i/>
                          <w:sz w:val="21"/>
                          <w:szCs w:val="21"/>
                        </w:rPr>
                        <w:t>numeraire</w:t>
                      </w:r>
                      <w:r>
                        <w:rPr>
                          <w:rFonts w:cs="TimesNewRoman"/>
                          <w:sz w:val="21"/>
                          <w:szCs w:val="21"/>
                        </w:rPr>
                        <w:t>)</w:t>
                      </w:r>
                      <w:r w:rsidRPr="001670F6">
                        <w:rPr>
                          <w:rFonts w:cs="TimesNewRoman"/>
                          <w:sz w:val="21"/>
                          <w:szCs w:val="21"/>
                        </w:rPr>
                        <w:t xml:space="preserve"> në model është deflatori i </w:t>
                      </w:r>
                      <w:r>
                        <w:rPr>
                          <w:rFonts w:cs="TimesNewRoman"/>
                          <w:sz w:val="21"/>
                          <w:szCs w:val="21"/>
                        </w:rPr>
                        <w:t>BPV</w:t>
                      </w:r>
                      <w:r w:rsidRPr="001670F6">
                        <w:rPr>
                          <w:rFonts w:cs="TimesNewRoman"/>
                          <w:sz w:val="21"/>
                          <w:szCs w:val="21"/>
                        </w:rPr>
                        <w:t>-së.</w:t>
                      </w:r>
                    </w:p>
                    <w:p w14:paraId="0286A62E" w14:textId="77777777" w:rsidR="00FC648F" w:rsidRPr="00934272" w:rsidRDefault="00FC648F" w:rsidP="009D6D4E">
                      <w:pPr>
                        <w:widowControl w:val="0"/>
                        <w:autoSpaceDE w:val="0"/>
                        <w:autoSpaceDN w:val="0"/>
                        <w:adjustRightInd w:val="0"/>
                        <w:jc w:val="both"/>
                        <w:rPr>
                          <w:rFonts w:cs="TimesNewRoman"/>
                          <w:sz w:val="21"/>
                          <w:szCs w:val="21"/>
                        </w:rPr>
                      </w:pPr>
                    </w:p>
                    <w:p w14:paraId="02A1EC2F" w14:textId="77777777" w:rsidR="00FC648F" w:rsidRDefault="00FC648F" w:rsidP="009D6D4E">
                      <w:pPr>
                        <w:widowControl w:val="0"/>
                        <w:autoSpaceDE w:val="0"/>
                        <w:autoSpaceDN w:val="0"/>
                        <w:adjustRightInd w:val="0"/>
                        <w:jc w:val="both"/>
                        <w:rPr>
                          <w:rFonts w:cs="TimesNewRoman"/>
                          <w:sz w:val="21"/>
                          <w:szCs w:val="21"/>
                        </w:rPr>
                      </w:pPr>
                      <w:r w:rsidRPr="001670F6">
                        <w:rPr>
                          <w:rFonts w:cs="TimesNewRoman"/>
                          <w:sz w:val="21"/>
                          <w:szCs w:val="21"/>
                        </w:rPr>
                        <w:t xml:space="preserve">Sistemet e të </w:t>
                      </w:r>
                      <w:r>
                        <w:rPr>
                          <w:rFonts w:cs="TimesNewRoman"/>
                          <w:sz w:val="21"/>
                          <w:szCs w:val="21"/>
                        </w:rPr>
                        <w:t>hyrave</w:t>
                      </w:r>
                      <w:r w:rsidRPr="001670F6">
                        <w:rPr>
                          <w:rFonts w:cs="TimesNewRoman"/>
                          <w:sz w:val="21"/>
                          <w:szCs w:val="21"/>
                        </w:rPr>
                        <w:t xml:space="preserve"> të qeverisë së Kosovës janë marrë në konsideratë specifike. Qeveria mbledh taksat direkte mbi të </w:t>
                      </w:r>
                      <w:r>
                        <w:rPr>
                          <w:rFonts w:cs="TimesNewRoman"/>
                          <w:sz w:val="21"/>
                          <w:szCs w:val="21"/>
                        </w:rPr>
                        <w:t>hyrat</w:t>
                      </w:r>
                      <w:r w:rsidRPr="001670F6">
                        <w:rPr>
                          <w:rFonts w:cs="TimesNewRoman"/>
                          <w:sz w:val="21"/>
                          <w:szCs w:val="21"/>
                        </w:rPr>
                        <w:t xml:space="preserve"> e faktorëve, si dhe </w:t>
                      </w:r>
                      <w:r>
                        <w:rPr>
                          <w:rFonts w:cs="TimesNewRoman"/>
                          <w:sz w:val="21"/>
                          <w:szCs w:val="21"/>
                        </w:rPr>
                        <w:t>pjesët (</w:t>
                      </w:r>
                      <w:r w:rsidRPr="001670F6">
                        <w:rPr>
                          <w:rFonts w:cs="TimesNewRoman"/>
                          <w:i/>
                          <w:sz w:val="21"/>
                          <w:szCs w:val="21"/>
                        </w:rPr>
                        <w:t>hiset</w:t>
                      </w:r>
                      <w:r>
                        <w:rPr>
                          <w:rFonts w:cs="TimesNewRoman"/>
                          <w:sz w:val="21"/>
                          <w:szCs w:val="21"/>
                        </w:rPr>
                        <w:t>)</w:t>
                      </w:r>
                      <w:r w:rsidRPr="001670F6">
                        <w:rPr>
                          <w:rFonts w:cs="TimesNewRoman"/>
                          <w:sz w:val="21"/>
                          <w:szCs w:val="21"/>
                        </w:rPr>
                        <w:t xml:space="preserve"> e qirave të kapitalit nga </w:t>
                      </w:r>
                      <w:r>
                        <w:rPr>
                          <w:rFonts w:cs="TimesNewRoman"/>
                          <w:sz w:val="21"/>
                          <w:szCs w:val="21"/>
                        </w:rPr>
                        <w:t>ndërmarrjet shoqërore</w:t>
                      </w:r>
                      <w:r w:rsidRPr="001670F6">
                        <w:rPr>
                          <w:rFonts w:cs="TimesNewRoman"/>
                          <w:sz w:val="21"/>
                          <w:szCs w:val="21"/>
                        </w:rPr>
                        <w:t xml:space="preserve">. Qeveria mbledh gjithashtu taksa indirekte </w:t>
                      </w:r>
                      <w:r>
                        <w:rPr>
                          <w:rFonts w:cs="TimesNewRoman"/>
                          <w:sz w:val="21"/>
                          <w:szCs w:val="21"/>
                        </w:rPr>
                        <w:t>nga</w:t>
                      </w:r>
                      <w:r w:rsidRPr="001670F6">
                        <w:rPr>
                          <w:rFonts w:cs="TimesNewRoman"/>
                          <w:sz w:val="21"/>
                          <w:szCs w:val="21"/>
                        </w:rPr>
                        <w:t xml:space="preserve"> shpenzimet dhe importet e konsumit të ndërmjetëm dhe të fundit. </w:t>
                      </w:r>
                      <w:r>
                        <w:rPr>
                          <w:rFonts w:cs="TimesNewRoman"/>
                          <w:sz w:val="21"/>
                          <w:szCs w:val="21"/>
                        </w:rPr>
                        <w:t>Së fundi</w:t>
                      </w:r>
                      <w:r w:rsidRPr="001670F6">
                        <w:rPr>
                          <w:rFonts w:cs="TimesNewRoman"/>
                          <w:sz w:val="21"/>
                          <w:szCs w:val="21"/>
                        </w:rPr>
                        <w:t xml:space="preserve">, qeveria </w:t>
                      </w:r>
                      <w:r>
                        <w:rPr>
                          <w:rFonts w:cs="TimesNewRoman"/>
                          <w:sz w:val="21"/>
                          <w:szCs w:val="21"/>
                        </w:rPr>
                        <w:t>pranon</w:t>
                      </w:r>
                      <w:r w:rsidRPr="001670F6">
                        <w:rPr>
                          <w:rFonts w:cs="TimesNewRoman"/>
                          <w:sz w:val="21"/>
                          <w:szCs w:val="21"/>
                        </w:rPr>
                        <w:t xml:space="preserve"> tarifa dhe gjoba nga familjet. Subvencionet e Qeverisë janë llogaritur dhe bazohen në tarifat e subvencionimit </w:t>
                      </w:r>
                      <w:r w:rsidRPr="001670F6">
                        <w:rPr>
                          <w:rFonts w:cs="TimesNewRoman"/>
                          <w:i/>
                          <w:sz w:val="21"/>
                          <w:szCs w:val="21"/>
                        </w:rPr>
                        <w:t>ad valorem</w:t>
                      </w:r>
                      <w:r w:rsidRPr="001670F6">
                        <w:rPr>
                          <w:rFonts w:cs="TimesNewRoman"/>
                          <w:sz w:val="21"/>
                          <w:szCs w:val="21"/>
                        </w:rPr>
                        <w:t xml:space="preserve"> ose çmimet fikse. Shpenzimet e konsumit, investimet dhe transferimet e qeverisë për familjet jepen në mënyrë ekzogjene.</w:t>
                      </w:r>
                    </w:p>
                    <w:p w14:paraId="18EE86C5" w14:textId="77777777" w:rsidR="00FC648F" w:rsidRDefault="00FC648F" w:rsidP="009D6D4E">
                      <w:pPr>
                        <w:widowControl w:val="0"/>
                        <w:autoSpaceDE w:val="0"/>
                        <w:autoSpaceDN w:val="0"/>
                        <w:adjustRightInd w:val="0"/>
                        <w:jc w:val="both"/>
                        <w:rPr>
                          <w:rFonts w:cs="TimesNewRoman"/>
                          <w:sz w:val="21"/>
                          <w:szCs w:val="21"/>
                        </w:rPr>
                      </w:pPr>
                    </w:p>
                    <w:p w14:paraId="11B4E6D1" w14:textId="77777777" w:rsidR="00FC648F" w:rsidRPr="006C367E" w:rsidRDefault="00FC648F" w:rsidP="009D6D4E">
                      <w:pPr>
                        <w:widowControl w:val="0"/>
                        <w:autoSpaceDE w:val="0"/>
                        <w:autoSpaceDN w:val="0"/>
                        <w:adjustRightInd w:val="0"/>
                        <w:jc w:val="both"/>
                        <w:rPr>
                          <w:rFonts w:cs="TimesNewRoman"/>
                          <w:sz w:val="21"/>
                          <w:szCs w:val="21"/>
                        </w:rPr>
                      </w:pPr>
                      <w:r w:rsidRPr="001670F6">
                        <w:rPr>
                          <w:rFonts w:cs="TimesNewRoman"/>
                          <w:sz w:val="21"/>
                          <w:szCs w:val="21"/>
                        </w:rPr>
                        <w:t xml:space="preserve">Marrëdhënia me pjesën tjetër të botës </w:t>
                      </w:r>
                      <w:r>
                        <w:rPr>
                          <w:rFonts w:cs="TimesNewRoman"/>
                          <w:sz w:val="21"/>
                          <w:szCs w:val="21"/>
                        </w:rPr>
                        <w:t>paraqitet</w:t>
                      </w:r>
                      <w:r w:rsidRPr="001670F6">
                        <w:rPr>
                          <w:rFonts w:cs="TimesNewRoman"/>
                          <w:sz w:val="21"/>
                          <w:szCs w:val="21"/>
                        </w:rPr>
                        <w:t xml:space="preserve"> nga importet dhe eksportet e secilit mall, si dhe nga të</w:t>
                      </w:r>
                      <w:r>
                        <w:rPr>
                          <w:rFonts w:cs="TimesNewRoman"/>
                          <w:sz w:val="21"/>
                          <w:szCs w:val="21"/>
                        </w:rPr>
                        <w:t xml:space="preserve"> ardhurat neto dhe transferet nga jashtë </w:t>
                      </w:r>
                      <w:r w:rsidRPr="001670F6">
                        <w:rPr>
                          <w:rFonts w:cs="TimesNewRoman"/>
                          <w:sz w:val="21"/>
                          <w:szCs w:val="21"/>
                        </w:rPr>
                        <w:t xml:space="preserve">për qeverinë dhe/ose </w:t>
                      </w:r>
                      <w:r>
                        <w:rPr>
                          <w:rFonts w:cs="TimesNewRoman"/>
                          <w:sz w:val="21"/>
                          <w:szCs w:val="21"/>
                        </w:rPr>
                        <w:t>ekonomitë familjare</w:t>
                      </w:r>
                      <w:r w:rsidRPr="001670F6">
                        <w:rPr>
                          <w:rFonts w:cs="TimesNewRoman"/>
                          <w:sz w:val="21"/>
                          <w:szCs w:val="21"/>
                        </w:rPr>
                        <w:t xml:space="preserve">. Kursi nominal efektiv i këmbimit është </w:t>
                      </w:r>
                      <w:r>
                        <w:rPr>
                          <w:rFonts w:cs="TimesNewRoman"/>
                          <w:sz w:val="21"/>
                          <w:szCs w:val="21"/>
                        </w:rPr>
                        <w:t>i fiksuar,</w:t>
                      </w:r>
                      <w:r w:rsidRPr="001670F6">
                        <w:rPr>
                          <w:rFonts w:cs="TimesNewRoman"/>
                          <w:sz w:val="21"/>
                          <w:szCs w:val="21"/>
                        </w:rPr>
                        <w:t xml:space="preserve"> </w:t>
                      </w:r>
                      <w:r>
                        <w:rPr>
                          <w:rFonts w:cs="TimesNewRoman"/>
                          <w:sz w:val="21"/>
                          <w:szCs w:val="21"/>
                        </w:rPr>
                        <w:t xml:space="preserve">ku kursi </w:t>
                      </w:r>
                      <w:r w:rsidRPr="001670F6">
                        <w:rPr>
                          <w:rFonts w:cs="TimesNewRoman"/>
                          <w:sz w:val="21"/>
                          <w:szCs w:val="21"/>
                        </w:rPr>
                        <w:t xml:space="preserve">real </w:t>
                      </w:r>
                      <w:r>
                        <w:rPr>
                          <w:rFonts w:cs="TimesNewRoman"/>
                          <w:sz w:val="21"/>
                          <w:szCs w:val="21"/>
                        </w:rPr>
                        <w:t>i</w:t>
                      </w:r>
                      <w:r w:rsidRPr="001670F6">
                        <w:rPr>
                          <w:rFonts w:cs="TimesNewRoman"/>
                          <w:sz w:val="21"/>
                          <w:szCs w:val="21"/>
                        </w:rPr>
                        <w:t xml:space="preserve"> këmbimit lëviz drejt ekuilibrimit të bilancit të llogarisë rrjedhëse të jashtme. Modeli supozon çmime të faktorëve plotësisht </w:t>
                      </w:r>
                      <w:r>
                        <w:rPr>
                          <w:rFonts w:cs="TimesNewRoman"/>
                          <w:sz w:val="21"/>
                          <w:szCs w:val="21"/>
                        </w:rPr>
                        <w:t>fleksibile</w:t>
                      </w:r>
                      <w:r w:rsidRPr="001670F6">
                        <w:rPr>
                          <w:rFonts w:cs="TimesNewRoman"/>
                          <w:sz w:val="21"/>
                          <w:szCs w:val="21"/>
                        </w:rPr>
                        <w:t xml:space="preserve"> dhe </w:t>
                      </w:r>
                      <w:r>
                        <w:rPr>
                          <w:rFonts w:cs="TimesNewRoman"/>
                          <w:sz w:val="21"/>
                          <w:szCs w:val="21"/>
                        </w:rPr>
                        <w:t>rrjedhimisht punësimi të</w:t>
                      </w:r>
                      <w:r w:rsidRPr="001670F6">
                        <w:rPr>
                          <w:rFonts w:cs="TimesNewRoman"/>
                          <w:sz w:val="21"/>
                          <w:szCs w:val="21"/>
                        </w:rPr>
                        <w:t xml:space="preserve"> plotë të forcës aktive të punës. Kjo mund të ndryshohet për të simuluar sjelljen më të shkurtër</w:t>
                      </w:r>
                      <w:r>
                        <w:rPr>
                          <w:rFonts w:cs="TimesNewRoman"/>
                          <w:sz w:val="21"/>
                          <w:szCs w:val="21"/>
                        </w:rPr>
                        <w:t xml:space="preserve"> </w:t>
                      </w:r>
                      <w:r w:rsidRPr="006C367E">
                        <w:rPr>
                          <w:rFonts w:cs="TimesNewRoman"/>
                          <w:sz w:val="21"/>
                          <w:szCs w:val="21"/>
                        </w:rPr>
                        <w:t>(</w:t>
                      </w:r>
                      <w:r>
                        <w:rPr>
                          <w:rFonts w:cs="TimesNewRoman"/>
                          <w:i/>
                          <w:sz w:val="21"/>
                          <w:szCs w:val="21"/>
                        </w:rPr>
                        <w:t>shorter-run behaviour</w:t>
                      </w:r>
                      <w:r w:rsidRPr="006C367E">
                        <w:rPr>
                          <w:rFonts w:cs="TimesNewRoman"/>
                          <w:sz w:val="21"/>
                          <w:szCs w:val="21"/>
                        </w:rPr>
                        <w:t>)</w:t>
                      </w:r>
                      <w:r w:rsidRPr="001670F6">
                        <w:rPr>
                          <w:rFonts w:cs="TimesNewRoman"/>
                          <w:sz w:val="21"/>
                          <w:szCs w:val="21"/>
                        </w:rPr>
                        <w:t xml:space="preserve"> përmes kufizimit të fleksibilitetit të </w:t>
                      </w:r>
                      <w:r>
                        <w:rPr>
                          <w:rFonts w:cs="TimesNewRoman"/>
                          <w:sz w:val="21"/>
                          <w:szCs w:val="21"/>
                        </w:rPr>
                        <w:t>çmimit</w:t>
                      </w:r>
                      <w:r w:rsidRPr="001670F6">
                        <w:rPr>
                          <w:rFonts w:cs="TimesNewRoman"/>
                          <w:sz w:val="21"/>
                          <w:szCs w:val="21"/>
                        </w:rPr>
                        <w:t xml:space="preserve"> të faktorit me rregullimet e bëra në vend të faktorit të punësimit. Një </w:t>
                      </w:r>
                      <w:r>
                        <w:rPr>
                          <w:rFonts w:cs="TimesNewRoman"/>
                          <w:sz w:val="21"/>
                          <w:szCs w:val="21"/>
                        </w:rPr>
                        <w:t>shtjellim</w:t>
                      </w:r>
                      <w:r w:rsidRPr="001670F6">
                        <w:rPr>
                          <w:rFonts w:cs="TimesNewRoman"/>
                          <w:sz w:val="21"/>
                          <w:szCs w:val="21"/>
                        </w:rPr>
                        <w:t xml:space="preserve"> i hollësishëm i modelit CGE mund të merret nga Ministria e Financave, Departamenti i Makroekonomisë.</w:t>
                      </w:r>
                    </w:p>
                    <w:p w14:paraId="64079511" w14:textId="77777777" w:rsidR="00FC648F" w:rsidRPr="00934272" w:rsidRDefault="00FC648F" w:rsidP="009D6D4E">
                      <w:pPr>
                        <w:jc w:val="center"/>
                        <w:rPr>
                          <w:rFonts w:asciiTheme="majorBidi" w:hAnsiTheme="majorBidi" w:cstheme="majorBidi"/>
                          <w:sz w:val="21"/>
                          <w:szCs w:val="21"/>
                        </w:rPr>
                      </w:pPr>
                    </w:p>
                  </w:txbxContent>
                </v:textbox>
                <w10:anchorlock/>
              </v:shape>
            </w:pict>
          </mc:Fallback>
        </mc:AlternateContent>
      </w:r>
    </w:p>
    <w:p w14:paraId="31BF7AC5" w14:textId="77777777" w:rsidR="009D6D4E" w:rsidRDefault="009D6D4E" w:rsidP="009D6D4E">
      <w:pPr>
        <w:tabs>
          <w:tab w:val="left" w:pos="5910"/>
        </w:tabs>
      </w:pPr>
    </w:p>
    <w:p w14:paraId="19D5AE90" w14:textId="77777777" w:rsidR="009D6D4E" w:rsidRDefault="009D6D4E" w:rsidP="009D6D4E">
      <w:pPr>
        <w:tabs>
          <w:tab w:val="left" w:pos="5910"/>
        </w:tabs>
      </w:pPr>
      <w:r>
        <w:tab/>
      </w:r>
    </w:p>
    <w:p w14:paraId="3596795E" w14:textId="77777777" w:rsidR="009D6D4E" w:rsidRDefault="009D6D4E" w:rsidP="009D6D4E">
      <w:pPr>
        <w:tabs>
          <w:tab w:val="left" w:pos="5910"/>
        </w:tabs>
      </w:pPr>
      <w:r w:rsidRPr="009F66F4">
        <w:br w:type="page"/>
      </w:r>
      <w:r>
        <w:tab/>
      </w:r>
    </w:p>
    <w:tbl>
      <w:tblPr>
        <w:tblStyle w:val="TableGrid"/>
        <w:tblW w:w="5000" w:type="pct"/>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shd w:val="clear" w:color="auto" w:fill="DEEAF6" w:themeFill="accent1" w:themeFillTint="33"/>
        <w:tblLook w:val="04A0" w:firstRow="1" w:lastRow="0" w:firstColumn="1" w:lastColumn="0" w:noHBand="0" w:noVBand="1"/>
      </w:tblPr>
      <w:tblGrid>
        <w:gridCol w:w="9350"/>
      </w:tblGrid>
      <w:tr w:rsidR="009D6D4E" w:rsidRPr="00D17519" w14:paraId="65570AED" w14:textId="77777777" w:rsidTr="00BF3B71">
        <w:trPr>
          <w:trHeight w:val="429"/>
        </w:trPr>
        <w:tc>
          <w:tcPr>
            <w:tcW w:w="5000" w:type="pct"/>
            <w:shd w:val="clear" w:color="auto" w:fill="DEEAF6" w:themeFill="accent1" w:themeFillTint="33"/>
            <w:vAlign w:val="center"/>
          </w:tcPr>
          <w:p w14:paraId="68BAE7AF" w14:textId="77777777" w:rsidR="009D6D4E" w:rsidRPr="00D17519" w:rsidRDefault="009D6D4E" w:rsidP="00BF3B71">
            <w:pPr>
              <w:rPr>
                <w:b/>
                <w:i/>
                <w:sz w:val="26"/>
                <w:szCs w:val="26"/>
              </w:rPr>
            </w:pPr>
            <w:r>
              <w:rPr>
                <w:b/>
                <w:i/>
                <w:szCs w:val="26"/>
              </w:rPr>
              <w:t>Kutia</w:t>
            </w:r>
            <w:r w:rsidRPr="006D33A1">
              <w:rPr>
                <w:b/>
                <w:i/>
                <w:szCs w:val="26"/>
              </w:rPr>
              <w:t xml:space="preserve"> </w:t>
            </w:r>
            <w:r>
              <w:rPr>
                <w:b/>
                <w:i/>
                <w:szCs w:val="26"/>
              </w:rPr>
              <w:t>2</w:t>
            </w:r>
            <w:r w:rsidRPr="006D33A1">
              <w:rPr>
                <w:b/>
                <w:i/>
                <w:szCs w:val="26"/>
              </w:rPr>
              <w:t xml:space="preserve">. </w:t>
            </w:r>
            <w:r w:rsidRPr="003B4B0A">
              <w:rPr>
                <w:b/>
                <w:i/>
                <w:szCs w:val="26"/>
              </w:rPr>
              <w:t>Klauzola për Investime</w:t>
            </w:r>
          </w:p>
        </w:tc>
      </w:tr>
      <w:tr w:rsidR="009D6D4E" w:rsidRPr="00BE44FE" w14:paraId="2BE8CD16" w14:textId="77777777" w:rsidTr="00BF3B71">
        <w:tc>
          <w:tcPr>
            <w:tcW w:w="5000" w:type="pct"/>
            <w:shd w:val="clear" w:color="auto" w:fill="DEEAF6" w:themeFill="accent1" w:themeFillTint="33"/>
          </w:tcPr>
          <w:p w14:paraId="574B0495" w14:textId="77777777" w:rsidR="009D6D4E" w:rsidRPr="00B8557B" w:rsidRDefault="009D6D4E" w:rsidP="00BF3B71">
            <w:pPr>
              <w:spacing w:after="200"/>
              <w:jc w:val="both"/>
              <w:rPr>
                <w:rFonts w:eastAsiaTheme="minorEastAsia"/>
                <w:lang w:eastAsia="sq-AL"/>
              </w:rPr>
            </w:pPr>
            <w:r w:rsidRPr="00B8557B">
              <w:rPr>
                <w:rFonts w:eastAsiaTheme="minorEastAsia"/>
                <w:lang w:eastAsia="sq-AL"/>
              </w:rPr>
              <w:t xml:space="preserve">Në vitin 2012, si pjesë e programit të atëhershëm me Fondin Monetar Ndërkombëtar (FMN), Kuvendi i Kosovës pati aprovuar amandamentet e Ligjit për Menaxhimin e Financave Publike dhe Përgjegjësitë, përfshirë edhe rregullën fiskale. Ndër të tjera, kjo nënkupton një kufizim vjetor të huamarrjes shtetërore në maksimum 2% të Bruto Produktit Vendor (BPV), pa marrë parasysh kapacitetin e Qeverisë për të siguruar më shumë financim të jashtëm për projekte kapitale me rëndësi publike. </w:t>
            </w:r>
          </w:p>
          <w:p w14:paraId="73FBA3D7" w14:textId="77777777" w:rsidR="009D6D4E" w:rsidRPr="00B8557B" w:rsidRDefault="009D6D4E" w:rsidP="00BF3B71">
            <w:pPr>
              <w:spacing w:after="200"/>
              <w:jc w:val="both"/>
              <w:rPr>
                <w:rFonts w:eastAsiaTheme="minorEastAsia"/>
                <w:lang w:eastAsia="sq-AL"/>
              </w:rPr>
            </w:pPr>
            <w:r w:rsidRPr="00B8557B">
              <w:rPr>
                <w:rFonts w:eastAsiaTheme="minorEastAsia"/>
                <w:lang w:eastAsia="sq-AL"/>
              </w:rPr>
              <w:t>Në të njëjtën kohë, Qeveria e Kosovës identifikoi nevojën për hapësirë shtesë për financim të projekteve të mëdha kapitale dhe në 2015 filloi negociatat për një program të tretë të FMN-së, i cili mes të tjerash, do të lejonte relaksimin e rregullës fiskale. Me fjalë të tjera, për projekte të mëdha kapitale me rëndësi strategjike, Qeveria do të ishte në gjendje të hynte në borxh përtej rregullës fiskale prej 2% për një periudhë 10 vjeçare, me kushtin kryesor që të mos tejkalohet 30% i borxhit total të vendit. Kjo do të jepte mundësinë që Qeveria e Kosovës të kishte hapësirë fiskale shtesë prej afërsisht 1.8% mbi 2% të përcaktuar me rregullën fiskale. Në fakt, kjo ishte njohur si “amandamenti i klauzolës për investime” që paraqiti aprovimin e ndryshimeve të nevojshme legjislative nga Kuvendi, në janar 2016.</w:t>
            </w:r>
          </w:p>
          <w:p w14:paraId="17C95589" w14:textId="77777777" w:rsidR="009D6D4E" w:rsidRPr="00B8557B" w:rsidRDefault="009D6D4E" w:rsidP="00BF3B71">
            <w:pPr>
              <w:spacing w:after="200"/>
              <w:jc w:val="both"/>
              <w:rPr>
                <w:rFonts w:eastAsiaTheme="minorEastAsia"/>
                <w:lang w:eastAsia="sq-AL"/>
              </w:rPr>
            </w:pPr>
            <w:r w:rsidRPr="00B8557B">
              <w:rPr>
                <w:rFonts w:eastAsiaTheme="minorEastAsia"/>
                <w:lang w:eastAsia="sq-AL"/>
              </w:rPr>
              <w:t xml:space="preserve">Qeveria e Kosovës mbetet e përkushtuar që në mënyrë të balancuar të përfshijë në procesin e buxhetit projekte kapitale të implementuara përmes “klauzolës për investime”, ashtu që analizimi i financimit të projekteve të tilla të bazohet në analizat për qëndrueshmërinë afatgjatë të borxhit publik. </w:t>
            </w:r>
          </w:p>
          <w:p w14:paraId="21E327F0" w14:textId="77777777" w:rsidR="009D6D4E" w:rsidRPr="00B8557B" w:rsidRDefault="009D6D4E" w:rsidP="00BF3B71">
            <w:pPr>
              <w:spacing w:after="200"/>
              <w:jc w:val="both"/>
              <w:rPr>
                <w:rFonts w:eastAsiaTheme="minorEastAsia"/>
                <w:lang w:eastAsia="sq-AL"/>
              </w:rPr>
            </w:pPr>
            <w:r w:rsidRPr="00B8557B">
              <w:rPr>
                <w:rFonts w:eastAsiaTheme="minorEastAsia"/>
                <w:lang w:eastAsia="sq-AL"/>
              </w:rPr>
              <w:t xml:space="preserve">Një kusht tjetër i paraparë me dispozitat e klauzolës për investime është që Ministria e Financave të përgatisë dy herë në vit një raport narrativ për implementimin e projekteve nën këtë dispozitë. Raporti i fundit i përgatitur mbi këtë instrument ka përfshirë 7 projekte, ndërsa raporti që do të përgatitet në janar të vitit 20120 do të përfshijë projektet në vijim të cilat janë pjesë e tabelave të buxhetit për 2020. Vlen të theksohet se përfshirja e projekteve në klauzolën për investime realizohet në bazë se sa një projekt ka maturitet për implementim në 2020. </w:t>
            </w:r>
          </w:p>
          <w:p w14:paraId="227FDA63" w14:textId="77777777" w:rsidR="009D6D4E" w:rsidRPr="00D17519" w:rsidRDefault="009D6D4E" w:rsidP="00BF3B71">
            <w:pPr>
              <w:spacing w:after="120"/>
              <w:jc w:val="both"/>
              <w:rPr>
                <w:rFonts w:eastAsiaTheme="minorEastAsia"/>
                <w:lang w:eastAsia="sq-AL"/>
              </w:rPr>
            </w:pPr>
            <w:r w:rsidRPr="00B8557B">
              <w:rPr>
                <w:rFonts w:eastAsiaTheme="minorEastAsia"/>
                <w:lang w:eastAsia="sq-AL"/>
              </w:rPr>
              <w:t>Projektet që janë të përfshira në klauzolën investive janë të përmbledhura shkurtimisht në vijim:</w:t>
            </w:r>
          </w:p>
          <w:p w14:paraId="1DE9C449" w14:textId="77777777" w:rsidR="009D6D4E" w:rsidRPr="003B4B0A" w:rsidRDefault="009D6D4E" w:rsidP="009D6D4E">
            <w:pPr>
              <w:pStyle w:val="ListParagraph"/>
              <w:numPr>
                <w:ilvl w:val="0"/>
                <w:numId w:val="100"/>
              </w:numPr>
              <w:spacing w:after="120"/>
              <w:jc w:val="both"/>
              <w:rPr>
                <w:rFonts w:ascii="Times New Roman" w:hAnsi="Times New Roman"/>
                <w:sz w:val="24"/>
                <w:szCs w:val="24"/>
              </w:rPr>
            </w:pPr>
            <w:r w:rsidRPr="003B4B0A">
              <w:rPr>
                <w:rFonts w:ascii="Times New Roman" w:hAnsi="Times New Roman"/>
                <w:b/>
                <w:sz w:val="24"/>
                <w:szCs w:val="24"/>
              </w:rPr>
              <w:t>Rehabilitimi i Linjës Hekurudhore 10</w:t>
            </w:r>
            <w:r w:rsidRPr="003B4B0A">
              <w:rPr>
                <w:rFonts w:ascii="Times New Roman" w:hAnsi="Times New Roman"/>
                <w:sz w:val="24"/>
                <w:szCs w:val="24"/>
              </w:rPr>
              <w:t xml:space="preserve"> – institucioni implementues për këtë projekt është Ndërmarrja Publike “Infrakos” Prishtina. Totali i kostos së projektit pritet të jetë rreth 194.5 milion EUR. BERZH dhe BEI financojnë gjysmën ndërsa Bashkimi Evropian gjysmën tjetër të këtij projekti. Marrëveshjet financiare me BERZH dhe BEI janë nënshkruar dhe ratifikuar. Për sa i përket kontributit të BE-së, marrëveshja e parë dhe e dytë e grantit tanimë është nënshkruar dhe ratifikuar. Punët civile për Fazën 1 kanë filluar në fillim të vitit 2019, ndërsa për Fazën 2 pritet të fillojnë në 2020. Procedurat e tenderimit dhe prokurimit për Fazën 3 pritet të fillojnë në fund të 2020, ndërsa punët pritet të fillojnë në 2021 dhe të përfundojnë në 2024. </w:t>
            </w:r>
          </w:p>
          <w:p w14:paraId="2C1BE077" w14:textId="77777777" w:rsidR="009D6D4E" w:rsidRPr="003B4B0A" w:rsidRDefault="009D6D4E" w:rsidP="009D6D4E">
            <w:pPr>
              <w:pStyle w:val="ListParagraph"/>
              <w:numPr>
                <w:ilvl w:val="0"/>
                <w:numId w:val="100"/>
              </w:numPr>
              <w:spacing w:after="120"/>
              <w:jc w:val="both"/>
              <w:rPr>
                <w:rFonts w:ascii="Times New Roman" w:hAnsi="Times New Roman"/>
                <w:sz w:val="24"/>
                <w:szCs w:val="24"/>
              </w:rPr>
            </w:pPr>
            <w:r w:rsidRPr="003B4B0A">
              <w:rPr>
                <w:rFonts w:ascii="Times New Roman" w:hAnsi="Times New Roman"/>
                <w:b/>
                <w:sz w:val="24"/>
                <w:szCs w:val="24"/>
              </w:rPr>
              <w:t>Rehabilitimi i Ibër-Lepencit</w:t>
            </w:r>
            <w:r w:rsidRPr="003B4B0A">
              <w:rPr>
                <w:rFonts w:ascii="Times New Roman" w:hAnsi="Times New Roman"/>
                <w:sz w:val="24"/>
                <w:szCs w:val="24"/>
              </w:rPr>
              <w:t xml:space="preserve"> – institucioni implementues për këtë projekt është Ndërmarrja Publike “Ibër Lepenci” dhe vlerësimi i kostos së projektit është 25 milion EUR. Marrëveshja financiare mes Republikës së Kosovës dhe Bankës Botërore është ratifikuar në vitin 2017 ndërsa disbursimi i parë është bërë në Janar 2018. </w:t>
            </w:r>
          </w:p>
          <w:p w14:paraId="447EF4B2" w14:textId="77777777" w:rsidR="009D6D4E" w:rsidRPr="003B4B0A" w:rsidRDefault="009D6D4E" w:rsidP="009D6D4E">
            <w:pPr>
              <w:pStyle w:val="ListParagraph"/>
              <w:numPr>
                <w:ilvl w:val="0"/>
                <w:numId w:val="100"/>
              </w:numPr>
              <w:spacing w:after="120"/>
              <w:jc w:val="both"/>
              <w:rPr>
                <w:rFonts w:ascii="Times New Roman" w:hAnsi="Times New Roman"/>
                <w:sz w:val="24"/>
                <w:szCs w:val="24"/>
              </w:rPr>
            </w:pPr>
            <w:r w:rsidRPr="003B4B0A">
              <w:rPr>
                <w:rFonts w:ascii="Times New Roman" w:hAnsi="Times New Roman"/>
                <w:b/>
                <w:sz w:val="24"/>
                <w:szCs w:val="24"/>
              </w:rPr>
              <w:t>Rehabilitimi i Rrugëve Rajonale</w:t>
            </w:r>
            <w:r w:rsidRPr="003B4B0A">
              <w:rPr>
                <w:rFonts w:ascii="Times New Roman" w:hAnsi="Times New Roman"/>
                <w:sz w:val="24"/>
                <w:szCs w:val="24"/>
              </w:rPr>
              <w:t xml:space="preserve"> - institucioni implementues për këtë projekt është Ministria e Infrastrukturës. Marrëveshja financiare është nënshkruar dhe ratifikuar, dhe projekti ka vlerën prej 29 milion EUR, me financim nga BERZH. Punët në terren kanë filluar në Maj të 2019-ës. </w:t>
            </w:r>
          </w:p>
          <w:p w14:paraId="557E24BC" w14:textId="77777777" w:rsidR="009D6D4E" w:rsidRPr="003B4B0A" w:rsidRDefault="009D6D4E" w:rsidP="009D6D4E">
            <w:pPr>
              <w:pStyle w:val="ListParagraph"/>
              <w:numPr>
                <w:ilvl w:val="0"/>
                <w:numId w:val="100"/>
              </w:numPr>
              <w:spacing w:after="120"/>
              <w:jc w:val="both"/>
              <w:rPr>
                <w:rFonts w:ascii="Times New Roman" w:hAnsi="Times New Roman"/>
                <w:sz w:val="24"/>
                <w:szCs w:val="24"/>
              </w:rPr>
            </w:pPr>
            <w:r w:rsidRPr="003B4B0A">
              <w:rPr>
                <w:rFonts w:ascii="Times New Roman" w:hAnsi="Times New Roman"/>
                <w:b/>
                <w:sz w:val="24"/>
                <w:szCs w:val="24"/>
              </w:rPr>
              <w:t>Ndërtimi i Autostradës N9 Prishtinë - Pejë (SEETO Route 6 A)</w:t>
            </w:r>
            <w:r w:rsidRPr="003B4B0A">
              <w:rPr>
                <w:rFonts w:ascii="Times New Roman" w:hAnsi="Times New Roman"/>
                <w:sz w:val="24"/>
                <w:szCs w:val="24"/>
              </w:rPr>
              <w:t xml:space="preserve"> segmenti Kijevë -Klinë deri në Zahaq - institucioni implementues për këtë projekt është Ministria e Infrastrukturës. Kosto e projektit është 193 milion EUR. Marrëveshja e Kredisë me BERZH është nënshkruar në 2017 dhe BEI në pjesën e dytë të vitit 2018. Në janar 2019, marrëveshja prej 1 milion EUR është nënshkruar mes Republikës së Kosovës dhe BEI si pjesë e Iniciativës ERI për mbështetje gjatë implementimit. Punët civile pritet të fillojnë në vitin 2019.</w:t>
            </w:r>
          </w:p>
          <w:p w14:paraId="6354127E" w14:textId="77777777" w:rsidR="009D6D4E" w:rsidRPr="003B4B0A" w:rsidRDefault="009D6D4E" w:rsidP="009D6D4E">
            <w:pPr>
              <w:pStyle w:val="ListParagraph"/>
              <w:numPr>
                <w:ilvl w:val="0"/>
                <w:numId w:val="100"/>
              </w:numPr>
              <w:spacing w:after="120"/>
              <w:jc w:val="both"/>
              <w:rPr>
                <w:rFonts w:ascii="Times New Roman" w:hAnsi="Times New Roman"/>
                <w:sz w:val="24"/>
                <w:szCs w:val="24"/>
              </w:rPr>
            </w:pPr>
            <w:r w:rsidRPr="003B4B0A">
              <w:rPr>
                <w:rFonts w:ascii="Times New Roman" w:hAnsi="Times New Roman"/>
                <w:b/>
                <w:sz w:val="24"/>
                <w:szCs w:val="24"/>
              </w:rPr>
              <w:t>Projekti për Konkurrueshmëri dhe Gatishmëri për Eksport</w:t>
            </w:r>
            <w:r w:rsidRPr="003B4B0A">
              <w:rPr>
                <w:rFonts w:ascii="Times New Roman" w:hAnsi="Times New Roman"/>
                <w:sz w:val="24"/>
                <w:szCs w:val="24"/>
              </w:rPr>
              <w:t xml:space="preserve"> - institucioni implementues për këtë projekt është Ministria e Tregtisë dhe Industrisë dhe Ministria e Punës dhe Mirëqenies Sociale. Projekti prej 14.3 milion EUR financohet nga Banka Botërore dhe disbursimi i parë është bërë në Mars 2019.</w:t>
            </w:r>
          </w:p>
          <w:p w14:paraId="2B564F94" w14:textId="77777777" w:rsidR="009D6D4E" w:rsidRPr="003B4B0A" w:rsidRDefault="009D6D4E" w:rsidP="009D6D4E">
            <w:pPr>
              <w:pStyle w:val="ListParagraph"/>
              <w:numPr>
                <w:ilvl w:val="0"/>
                <w:numId w:val="100"/>
              </w:numPr>
              <w:spacing w:after="120"/>
              <w:jc w:val="both"/>
              <w:rPr>
                <w:rFonts w:ascii="Times New Roman" w:hAnsi="Times New Roman"/>
                <w:sz w:val="24"/>
                <w:szCs w:val="24"/>
              </w:rPr>
            </w:pPr>
            <w:r w:rsidRPr="003B4B0A">
              <w:rPr>
                <w:rFonts w:ascii="Times New Roman" w:hAnsi="Times New Roman"/>
                <w:b/>
                <w:sz w:val="24"/>
                <w:szCs w:val="24"/>
              </w:rPr>
              <w:t>Financimi Shtesë për Projektin e Bujqësisë dhe Zhvillimit Rural</w:t>
            </w:r>
            <w:r w:rsidRPr="003B4B0A">
              <w:rPr>
                <w:rFonts w:ascii="Times New Roman" w:hAnsi="Times New Roman"/>
                <w:sz w:val="24"/>
                <w:szCs w:val="24"/>
              </w:rPr>
              <w:t xml:space="preserve"> – marrëveshja për këtë projekt është nënshkruar me Agjencinë Ndërkombëtare për Zhvillim – Bankën Botërore, në 2017, dhe tanimë është ratifikuar nga Kuvendi. Kostoja e paraparë e projektit është 20.8 milion EUR dhe disbursimi i parë është bërë në mars të 2019-ës.</w:t>
            </w:r>
          </w:p>
          <w:p w14:paraId="2937B882" w14:textId="77777777" w:rsidR="009D6D4E" w:rsidRPr="003B4B0A" w:rsidRDefault="009D6D4E" w:rsidP="009D6D4E">
            <w:pPr>
              <w:pStyle w:val="ListParagraph"/>
              <w:numPr>
                <w:ilvl w:val="0"/>
                <w:numId w:val="100"/>
              </w:numPr>
              <w:spacing w:after="120"/>
              <w:jc w:val="both"/>
              <w:rPr>
                <w:rFonts w:ascii="Times New Roman" w:hAnsi="Times New Roman"/>
                <w:sz w:val="24"/>
                <w:szCs w:val="24"/>
              </w:rPr>
            </w:pPr>
            <w:r w:rsidRPr="003B4B0A">
              <w:rPr>
                <w:rFonts w:ascii="Times New Roman" w:hAnsi="Times New Roman"/>
                <w:b/>
                <w:sz w:val="24"/>
                <w:szCs w:val="24"/>
              </w:rPr>
              <w:t>Trajtimi i Ujërave të Zeza në Prishtinë</w:t>
            </w:r>
            <w:r w:rsidRPr="003B4B0A">
              <w:rPr>
                <w:rFonts w:ascii="Times New Roman" w:hAnsi="Times New Roman"/>
                <w:sz w:val="24"/>
                <w:szCs w:val="24"/>
              </w:rPr>
              <w:t xml:space="preserve"> </w:t>
            </w:r>
            <w:r w:rsidRPr="003B4B0A">
              <w:rPr>
                <w:rFonts w:ascii="Times New Roman" w:hAnsi="Times New Roman"/>
                <w:b/>
                <w:sz w:val="24"/>
                <w:szCs w:val="24"/>
              </w:rPr>
              <w:t>(Ndërtimi i Impiantit për Trajtimin e Ujërave të Zeza në rajonin e Prishtinës)</w:t>
            </w:r>
            <w:r w:rsidRPr="003B4B0A">
              <w:rPr>
                <w:rFonts w:ascii="Times New Roman" w:hAnsi="Times New Roman"/>
                <w:sz w:val="24"/>
                <w:szCs w:val="24"/>
              </w:rPr>
              <w:t xml:space="preserve"> – Ministria e Mjedisit dhe Planifikimit Hapësinor është institucioni implementues i këtij projekti. Financimi i projektit do të sigurohet përmes një marrëveshje kornizë mes Qeverisë së Republikës së Kosovës dhe Qeverisë së Republikës së Francës, e cila u pat ratifikuar gjatë 2017. Bazuar në marrëveshjen, projekti ka vlerën 86 milion EUR. Implementimi pritet të fillojë në tre-mujorin e dytë të 2020.</w:t>
            </w:r>
          </w:p>
          <w:p w14:paraId="59AE219A" w14:textId="77777777" w:rsidR="009D6D4E" w:rsidRPr="003B4B0A" w:rsidRDefault="009D6D4E" w:rsidP="009D6D4E">
            <w:pPr>
              <w:pStyle w:val="ListParagraph"/>
              <w:numPr>
                <w:ilvl w:val="0"/>
                <w:numId w:val="100"/>
              </w:numPr>
              <w:spacing w:after="120"/>
              <w:jc w:val="both"/>
              <w:rPr>
                <w:rFonts w:ascii="Times New Roman" w:hAnsi="Times New Roman"/>
                <w:sz w:val="24"/>
                <w:szCs w:val="24"/>
              </w:rPr>
            </w:pPr>
            <w:r w:rsidRPr="003B4B0A">
              <w:rPr>
                <w:rFonts w:ascii="Times New Roman" w:hAnsi="Times New Roman"/>
                <w:b/>
                <w:sz w:val="24"/>
                <w:szCs w:val="24"/>
              </w:rPr>
              <w:t>Ndërtimi i Qarkores së Prishtinës</w:t>
            </w:r>
            <w:r w:rsidRPr="003B4B0A">
              <w:rPr>
                <w:rFonts w:ascii="Times New Roman" w:hAnsi="Times New Roman"/>
                <w:sz w:val="24"/>
                <w:szCs w:val="24"/>
              </w:rPr>
              <w:t xml:space="preserve"> – institucioni implementues për këtë projekt është Komuna e Prishtinës. Projekti është në proces të vlerësimit nga Bankat, BERZH dhe BEI. Punët civile pritet të fillojnë në 2020.</w:t>
            </w:r>
          </w:p>
          <w:p w14:paraId="084BEAA3" w14:textId="77777777" w:rsidR="009D6D4E" w:rsidRPr="003B4B0A" w:rsidRDefault="009D6D4E" w:rsidP="009D6D4E">
            <w:pPr>
              <w:pStyle w:val="ListParagraph"/>
              <w:numPr>
                <w:ilvl w:val="0"/>
                <w:numId w:val="100"/>
              </w:numPr>
              <w:spacing w:after="120"/>
              <w:jc w:val="both"/>
              <w:rPr>
                <w:rFonts w:ascii="Times New Roman" w:hAnsi="Times New Roman"/>
                <w:sz w:val="24"/>
                <w:szCs w:val="24"/>
              </w:rPr>
            </w:pPr>
            <w:r w:rsidRPr="003B4B0A">
              <w:rPr>
                <w:rFonts w:ascii="Times New Roman" w:hAnsi="Times New Roman"/>
                <w:b/>
                <w:sz w:val="24"/>
                <w:szCs w:val="24"/>
              </w:rPr>
              <w:t>Ekonomia Digjitale në Kosovë (KODE)</w:t>
            </w:r>
            <w:r w:rsidRPr="003B4B0A">
              <w:rPr>
                <w:rFonts w:ascii="Times New Roman" w:hAnsi="Times New Roman"/>
                <w:sz w:val="24"/>
                <w:szCs w:val="24"/>
              </w:rPr>
              <w:t xml:space="preserve"> – Ministria e Zhvillimit Ekonomik është institucioni implementues për këtë projekt. Vlera e paraparë e projektit është 25 milion dollarë amerikan, i cili do të financohet potencialisht nga Banka Botërore. Disbursimi i parë është bërë në Nëntor 2019.</w:t>
            </w:r>
          </w:p>
          <w:p w14:paraId="637532F3" w14:textId="77777777" w:rsidR="009D6D4E" w:rsidRPr="003B4B0A" w:rsidRDefault="009D6D4E" w:rsidP="009D6D4E">
            <w:pPr>
              <w:pStyle w:val="ListParagraph"/>
              <w:numPr>
                <w:ilvl w:val="0"/>
                <w:numId w:val="100"/>
              </w:numPr>
              <w:spacing w:after="120"/>
              <w:jc w:val="both"/>
              <w:rPr>
                <w:rFonts w:ascii="Times New Roman" w:hAnsi="Times New Roman"/>
                <w:sz w:val="24"/>
                <w:szCs w:val="24"/>
              </w:rPr>
            </w:pPr>
            <w:r w:rsidRPr="003B4B0A">
              <w:rPr>
                <w:rFonts w:ascii="Times New Roman" w:hAnsi="Times New Roman"/>
                <w:b/>
                <w:sz w:val="24"/>
                <w:szCs w:val="24"/>
              </w:rPr>
              <w:t>Ndërtimi i Impianteve për Trajtim të Ujërave të Zeza në Mitrovicë</w:t>
            </w:r>
            <w:r w:rsidRPr="003B4B0A">
              <w:rPr>
                <w:rFonts w:ascii="Times New Roman" w:hAnsi="Times New Roman"/>
                <w:sz w:val="24"/>
                <w:szCs w:val="24"/>
              </w:rPr>
              <w:t xml:space="preserve"> – kompania rajonale e ujit të Mitrovicës është institucioni implementues për këtë projekt. Projekti është në proces të vlerësimit nga BERZH (si institucion kryesor financiar) dhe BEI, të cilët do të financojnë projektin së bashku, ndërsa do të mbështetet edhe nga një grant nga Korniza Investuese e Ballkanit Perëndimor (</w:t>
            </w:r>
            <w:r>
              <w:rPr>
                <w:rFonts w:ascii="Times New Roman" w:hAnsi="Times New Roman"/>
                <w:sz w:val="24"/>
                <w:szCs w:val="24"/>
              </w:rPr>
              <w:t>Ë</w:t>
            </w:r>
            <w:r w:rsidRPr="003B4B0A">
              <w:rPr>
                <w:rFonts w:ascii="Times New Roman" w:hAnsi="Times New Roman"/>
                <w:sz w:val="24"/>
                <w:szCs w:val="24"/>
              </w:rPr>
              <w:t>BIF). Pas nënshkrimit dhe ratifikimit të marrëveshjeve, implementimi pritet të fillojë në 2020.</w:t>
            </w:r>
          </w:p>
          <w:p w14:paraId="223075E9" w14:textId="77777777" w:rsidR="009D6D4E" w:rsidRPr="003B4B0A" w:rsidRDefault="009D6D4E" w:rsidP="009D6D4E">
            <w:pPr>
              <w:pStyle w:val="ListParagraph"/>
              <w:numPr>
                <w:ilvl w:val="0"/>
                <w:numId w:val="100"/>
              </w:numPr>
              <w:spacing w:after="120"/>
              <w:jc w:val="both"/>
              <w:rPr>
                <w:rFonts w:ascii="Times New Roman" w:hAnsi="Times New Roman"/>
                <w:sz w:val="24"/>
                <w:szCs w:val="24"/>
              </w:rPr>
            </w:pPr>
            <w:r w:rsidRPr="003B4B0A">
              <w:rPr>
                <w:rFonts w:ascii="Times New Roman" w:hAnsi="Times New Roman"/>
                <w:b/>
                <w:sz w:val="24"/>
                <w:szCs w:val="24"/>
              </w:rPr>
              <w:t>Projekti i Zhvillimit të Trajtimit të Ujërave të Zeza në Gjilan</w:t>
            </w:r>
            <w:r w:rsidRPr="003B4B0A">
              <w:rPr>
                <w:rFonts w:ascii="Times New Roman" w:hAnsi="Times New Roman"/>
                <w:sz w:val="24"/>
                <w:szCs w:val="24"/>
              </w:rPr>
              <w:t xml:space="preserve"> - kompania rajonale e ujit të Gjilanit është institucioni implementues për këtë projekt, i cili ka një vlerë të paraparë prej 23 milion EUR, që do të financohet prej BERZH dhe BEI. Marrëveshja financiare prej 10 milion EUR me BERZH është nënshkruar në Maj të 2020-ës dhe është në pritje të ratifikimit, ndërsa marrëveshja prej 11 milion EUR me BEI do të nënshkruhet në fund të 2019-ës ose në fillim të 2020-ës. Projekti pritet të implementohet gjatë periudhës 2019-2024.</w:t>
            </w:r>
          </w:p>
          <w:p w14:paraId="3828391F" w14:textId="77777777" w:rsidR="009D6D4E" w:rsidRPr="003B4B0A" w:rsidRDefault="009D6D4E" w:rsidP="009D6D4E">
            <w:pPr>
              <w:pStyle w:val="ListParagraph"/>
              <w:numPr>
                <w:ilvl w:val="0"/>
                <w:numId w:val="100"/>
              </w:numPr>
              <w:spacing w:after="120"/>
              <w:jc w:val="both"/>
              <w:rPr>
                <w:rFonts w:ascii="Times New Roman" w:hAnsi="Times New Roman"/>
                <w:sz w:val="24"/>
                <w:szCs w:val="24"/>
              </w:rPr>
            </w:pPr>
            <w:r w:rsidRPr="003B4B0A">
              <w:rPr>
                <w:rFonts w:ascii="Times New Roman" w:hAnsi="Times New Roman"/>
                <w:b/>
                <w:sz w:val="24"/>
                <w:szCs w:val="24"/>
              </w:rPr>
              <w:t>Projekti për Trajtimin e Ujërave të Zeza në Komunën e Podujevës</w:t>
            </w:r>
            <w:r w:rsidRPr="003B4B0A">
              <w:rPr>
                <w:rFonts w:ascii="Times New Roman" w:hAnsi="Times New Roman"/>
                <w:sz w:val="24"/>
                <w:szCs w:val="24"/>
              </w:rPr>
              <w:t xml:space="preserve"> – komuna e Podujevës është institucioni implementues i këtij projekti, i cili ka në vlerë të paraparë prej 5,349 EUR. Marrëveshja financiare është nënshkruar me UniCredit Bank Austria AG, në emër të Ministrisë së Financave të Austrisë. Marrëveshja është ratifikuar dhe është bërë efektive në qershor 2019. Disbursimi i parë për projektin është bërë në 2019. </w:t>
            </w:r>
          </w:p>
          <w:p w14:paraId="7A242D0E" w14:textId="77777777" w:rsidR="009D6D4E" w:rsidRPr="003B4B0A" w:rsidRDefault="009D6D4E" w:rsidP="009D6D4E">
            <w:pPr>
              <w:pStyle w:val="ListParagraph"/>
              <w:numPr>
                <w:ilvl w:val="0"/>
                <w:numId w:val="100"/>
              </w:numPr>
              <w:spacing w:after="120"/>
              <w:jc w:val="both"/>
              <w:rPr>
                <w:rFonts w:ascii="Times New Roman" w:hAnsi="Times New Roman"/>
                <w:sz w:val="24"/>
                <w:szCs w:val="24"/>
              </w:rPr>
            </w:pPr>
            <w:r w:rsidRPr="003B4B0A">
              <w:rPr>
                <w:rFonts w:ascii="Times New Roman" w:hAnsi="Times New Roman"/>
                <w:b/>
                <w:sz w:val="24"/>
                <w:szCs w:val="24"/>
              </w:rPr>
              <w:t>Ndërtimi i Skemës për Furnizim me Ujë në Komunën e Ferizajt</w:t>
            </w:r>
            <w:r w:rsidRPr="003B4B0A">
              <w:rPr>
                <w:rFonts w:ascii="Times New Roman" w:hAnsi="Times New Roman"/>
                <w:sz w:val="24"/>
                <w:szCs w:val="24"/>
              </w:rPr>
              <w:t xml:space="preserve"> – Komuna e Ferizajt është institucioni implementues për këtë projekt, me kosto totale të vlerësuar prej 5,125 milion euro. Marrëveshja financiare është nënshkruar në nëntor të vitit 2018 me Raiffeisen Bank International, e cila vepron në emër të Ministrisë së Financave të Austrisë. Marrëveshja është ratifikuar dhe është bërë efektive në qershor të vitit 2019. Disbursimi i parë për këtë projekt është bërë në 2019. </w:t>
            </w:r>
          </w:p>
          <w:p w14:paraId="58E16746" w14:textId="77777777" w:rsidR="009D6D4E" w:rsidRPr="003B4B0A" w:rsidRDefault="009D6D4E" w:rsidP="009D6D4E">
            <w:pPr>
              <w:pStyle w:val="ListParagraph"/>
              <w:numPr>
                <w:ilvl w:val="0"/>
                <w:numId w:val="100"/>
              </w:numPr>
              <w:spacing w:after="120"/>
              <w:jc w:val="both"/>
              <w:rPr>
                <w:rFonts w:ascii="Times New Roman" w:hAnsi="Times New Roman"/>
                <w:sz w:val="24"/>
                <w:szCs w:val="24"/>
              </w:rPr>
            </w:pPr>
            <w:r w:rsidRPr="003B4B0A">
              <w:rPr>
                <w:rFonts w:ascii="Times New Roman" w:hAnsi="Times New Roman"/>
                <w:b/>
                <w:sz w:val="24"/>
                <w:szCs w:val="24"/>
              </w:rPr>
              <w:t>Ndërtimi i Skemës për Furnizim me Ujë në Komunën e Istogut</w:t>
            </w:r>
            <w:r w:rsidRPr="003B4B0A">
              <w:rPr>
                <w:rFonts w:ascii="Times New Roman" w:hAnsi="Times New Roman"/>
                <w:sz w:val="24"/>
                <w:szCs w:val="24"/>
              </w:rPr>
              <w:t xml:space="preserve"> – Komuna e Istogut është institucioni implementues për këtë projekt, me kosto totale të vlerësuar prej 5,094 milion euro. Marrëveshja financiare është nënshkruar në nëntor të vitit 2018 me UniCredit Bank Austria AG, e cila vepron në emër të Ministrisë së Financave të Austrisë. Marrëveshja është ratifikuar dhe është bërë efektive në qershor të vitit 2019. Disbursimi i parë për këtë projekt është bërë në 2019. </w:t>
            </w:r>
          </w:p>
          <w:p w14:paraId="5A43C590" w14:textId="77777777" w:rsidR="009D6D4E" w:rsidRPr="003B4B0A" w:rsidRDefault="009D6D4E" w:rsidP="009D6D4E">
            <w:pPr>
              <w:pStyle w:val="ListParagraph"/>
              <w:numPr>
                <w:ilvl w:val="0"/>
                <w:numId w:val="100"/>
              </w:numPr>
              <w:spacing w:after="120"/>
              <w:jc w:val="both"/>
              <w:rPr>
                <w:rFonts w:ascii="Times New Roman" w:hAnsi="Times New Roman"/>
                <w:sz w:val="24"/>
                <w:szCs w:val="24"/>
              </w:rPr>
            </w:pPr>
            <w:r w:rsidRPr="003B4B0A">
              <w:rPr>
                <w:rFonts w:ascii="Times New Roman" w:hAnsi="Times New Roman"/>
                <w:b/>
                <w:sz w:val="24"/>
                <w:szCs w:val="24"/>
              </w:rPr>
              <w:t>Projekti për Trajtimin e Ujërave të Zeza në Komunën e Shtimes</w:t>
            </w:r>
            <w:r w:rsidRPr="003B4B0A">
              <w:rPr>
                <w:rFonts w:ascii="Times New Roman" w:hAnsi="Times New Roman"/>
                <w:sz w:val="24"/>
                <w:szCs w:val="24"/>
              </w:rPr>
              <w:t xml:space="preserve"> – Komuna e Shtimes është institucioni implementues për këtë projekt, me kosto totale të vlerësuar prej 2,385 milion euro. Marrëveshja financiare është nënshkruar në nëntor të vitit 2018 me UniCredit Bank Austria AG, e cila vepron në emër të Ministrisë së Financave të Austrisë. Marrëveshja është ratifikuar dhe është bërë efektive në qershor të vitit 2019. Disbursimi i parë për këtë projekt është bërë në 2019. </w:t>
            </w:r>
          </w:p>
          <w:p w14:paraId="74FF1D0C" w14:textId="77777777" w:rsidR="009D6D4E" w:rsidRPr="003B4B0A" w:rsidRDefault="009D6D4E" w:rsidP="009D6D4E">
            <w:pPr>
              <w:pStyle w:val="ListParagraph"/>
              <w:numPr>
                <w:ilvl w:val="0"/>
                <w:numId w:val="100"/>
              </w:numPr>
              <w:spacing w:after="120"/>
              <w:jc w:val="both"/>
              <w:rPr>
                <w:rFonts w:ascii="Times New Roman" w:hAnsi="Times New Roman"/>
                <w:sz w:val="24"/>
                <w:szCs w:val="24"/>
              </w:rPr>
            </w:pPr>
            <w:r w:rsidRPr="003B4B0A">
              <w:rPr>
                <w:rFonts w:ascii="Times New Roman" w:hAnsi="Times New Roman"/>
                <w:b/>
                <w:sz w:val="24"/>
                <w:szCs w:val="24"/>
              </w:rPr>
              <w:t>Ndërtimi i Skemës për Furnizim me Ujë në Komunën e Graçanicës</w:t>
            </w:r>
            <w:r w:rsidRPr="003B4B0A">
              <w:rPr>
                <w:rFonts w:ascii="Times New Roman" w:hAnsi="Times New Roman"/>
                <w:sz w:val="24"/>
                <w:szCs w:val="24"/>
              </w:rPr>
              <w:t xml:space="preserve"> – Komuna e Graçanicës është institucioni implementues për këtë projekt, me kosto totale të vlerësuar prej 5,115 milion euro. Marrëveshja financiare është nënshkruar në nëntor të vitit 2018 me UniCredit Bank Austria AG, e cila vepron në emër të Ministrisë së Financave të Austrisë. Marrëveshja është ratifikuar dhe është bërë efektive në qershor të vitit 2019. Disbursimi i parë për këtë projekt është bërë në 2019. </w:t>
            </w:r>
          </w:p>
          <w:p w14:paraId="7A0A393C" w14:textId="77777777" w:rsidR="009D6D4E" w:rsidRPr="003B4B0A" w:rsidRDefault="009D6D4E" w:rsidP="009D6D4E">
            <w:pPr>
              <w:pStyle w:val="ListParagraph"/>
              <w:numPr>
                <w:ilvl w:val="0"/>
                <w:numId w:val="100"/>
              </w:numPr>
              <w:spacing w:after="120"/>
              <w:jc w:val="both"/>
              <w:rPr>
                <w:rFonts w:ascii="Times New Roman" w:hAnsi="Times New Roman"/>
                <w:sz w:val="24"/>
                <w:szCs w:val="24"/>
              </w:rPr>
            </w:pPr>
            <w:r w:rsidRPr="003B4B0A">
              <w:rPr>
                <w:rFonts w:ascii="Times New Roman" w:hAnsi="Times New Roman"/>
                <w:sz w:val="24"/>
                <w:szCs w:val="24"/>
              </w:rPr>
              <w:t>P</w:t>
            </w:r>
            <w:r w:rsidRPr="003B4B0A">
              <w:rPr>
                <w:rFonts w:ascii="Times New Roman" w:hAnsi="Times New Roman"/>
                <w:b/>
                <w:sz w:val="24"/>
                <w:szCs w:val="24"/>
              </w:rPr>
              <w:t xml:space="preserve">rojekti i Kadastrës së Patundshmërisë dhe Infrastrukturës Hapësinore (REGIP) </w:t>
            </w:r>
            <w:r w:rsidRPr="003B4B0A">
              <w:rPr>
                <w:rFonts w:ascii="Times New Roman" w:hAnsi="Times New Roman"/>
                <w:sz w:val="24"/>
                <w:szCs w:val="24"/>
              </w:rPr>
              <w:t xml:space="preserve">- institucioni zbatues i ketij projekti është Agjencia Kosovare e Kadastrës. Vlerësimi i kostos totale të projektit është 16.5 milionë dollarë amerikanë. Marrëveshja e financimit (FA) ndërmjet Qeverisë së Kosovës dhe Shoqatës Ndërkombëtare për Zhvillim (IDA </w:t>
            </w:r>
            <w:r>
              <w:rPr>
                <w:rFonts w:ascii="Times New Roman" w:hAnsi="Times New Roman"/>
                <w:sz w:val="24"/>
                <w:szCs w:val="24"/>
              </w:rPr>
              <w:t>Ë</w:t>
            </w:r>
            <w:r w:rsidRPr="003B4B0A">
              <w:rPr>
                <w:rFonts w:ascii="Times New Roman" w:hAnsi="Times New Roman"/>
                <w:sz w:val="24"/>
                <w:szCs w:val="24"/>
              </w:rPr>
              <w:t>B) është nënshkruar në shkurt të vitit 2019. Implementimi i projektit pritet të filloj në 2020.</w:t>
            </w:r>
          </w:p>
          <w:p w14:paraId="7542B7F1" w14:textId="77777777" w:rsidR="009D6D4E" w:rsidRPr="003B4B0A" w:rsidRDefault="009D6D4E" w:rsidP="009D6D4E">
            <w:pPr>
              <w:pStyle w:val="ListParagraph"/>
              <w:numPr>
                <w:ilvl w:val="0"/>
                <w:numId w:val="100"/>
              </w:numPr>
              <w:spacing w:after="120"/>
              <w:jc w:val="both"/>
              <w:rPr>
                <w:rFonts w:ascii="Times New Roman" w:hAnsi="Times New Roman"/>
                <w:sz w:val="24"/>
                <w:szCs w:val="24"/>
              </w:rPr>
            </w:pPr>
            <w:r w:rsidRPr="003B4B0A">
              <w:rPr>
                <w:rFonts w:ascii="Times New Roman" w:hAnsi="Times New Roman"/>
                <w:b/>
                <w:sz w:val="24"/>
                <w:szCs w:val="24"/>
              </w:rPr>
              <w:t>Projekti i Transportit Publik, Komuna e Prishtinës</w:t>
            </w:r>
            <w:r w:rsidRPr="003B4B0A">
              <w:rPr>
                <w:rFonts w:ascii="Times New Roman" w:hAnsi="Times New Roman"/>
                <w:sz w:val="24"/>
                <w:szCs w:val="24"/>
              </w:rPr>
              <w:t xml:space="preserve"> - Ndërmarrja Publike e Prishtinës ‘Trafiku Urban’ është institucioni zbatues për këtë projekt, i cili ka një kosto totale të vlerësuar prej 10 milion EUR. Projekti është financuar nga BERZH dhe implementimi i tij ka filluar në vitin 2016.</w:t>
            </w:r>
          </w:p>
          <w:p w14:paraId="1B979037" w14:textId="77777777" w:rsidR="009D6D4E" w:rsidRPr="003B4B0A" w:rsidRDefault="009D6D4E" w:rsidP="009D6D4E">
            <w:pPr>
              <w:pStyle w:val="ListParagraph"/>
              <w:numPr>
                <w:ilvl w:val="0"/>
                <w:numId w:val="100"/>
              </w:numPr>
              <w:spacing w:after="120"/>
              <w:jc w:val="both"/>
              <w:rPr>
                <w:rFonts w:ascii="Times New Roman" w:hAnsi="Times New Roman"/>
                <w:sz w:val="24"/>
                <w:szCs w:val="24"/>
              </w:rPr>
            </w:pPr>
            <w:r w:rsidRPr="003B4B0A">
              <w:rPr>
                <w:rFonts w:ascii="Times New Roman" w:hAnsi="Times New Roman"/>
                <w:b/>
                <w:sz w:val="24"/>
                <w:szCs w:val="24"/>
              </w:rPr>
              <w:t>Projekti i Transportit dhe Sigurisë ne Trafik</w:t>
            </w:r>
            <w:r w:rsidRPr="003B4B0A">
              <w:rPr>
                <w:rFonts w:ascii="Times New Roman" w:hAnsi="Times New Roman"/>
                <w:sz w:val="24"/>
                <w:szCs w:val="24"/>
              </w:rPr>
              <w:t xml:space="preserve"> -Sistemi i Kontrollit do të kryejë detyrat komplekse të zbatimit të trafikut me Stacionet Zbatuese Fikse, Stacionet e Zbatimit të Telefonisë Celulare, Pajisjet e Zbatimit të Telefonisë Celulare, Njësitë e Zbatimit të Telefonisë Celulare dhe Njësitë e Zbatimit të Pajisjeve Lëvizëse. Projekti është miratuar nga Komiteti Kombëtar i Investimeve (NIC) që do të financohet përmes Marrëveshjes ndërmjet Qeverisë së Republikës së Kosovës dhe Qeverisë së Hungarisë për Themelimin e Programit Kuadër për Bashkëpunim Financiar (Ligji Nr. 05 / L-153). Projekti është në draftim e sipër nga Ministria e Infrastrukturës si agjenci zbatuese.</w:t>
            </w:r>
          </w:p>
          <w:p w14:paraId="2084449B" w14:textId="77777777" w:rsidR="009D6D4E" w:rsidRPr="003B4B0A" w:rsidRDefault="009D6D4E" w:rsidP="009D6D4E">
            <w:pPr>
              <w:pStyle w:val="ListParagraph"/>
              <w:numPr>
                <w:ilvl w:val="0"/>
                <w:numId w:val="100"/>
              </w:numPr>
              <w:spacing w:after="120"/>
              <w:jc w:val="both"/>
              <w:rPr>
                <w:rFonts w:ascii="Times New Roman" w:hAnsi="Times New Roman"/>
                <w:sz w:val="24"/>
                <w:szCs w:val="24"/>
              </w:rPr>
            </w:pPr>
            <w:r w:rsidRPr="003B4B0A">
              <w:rPr>
                <w:rFonts w:ascii="Times New Roman" w:hAnsi="Times New Roman"/>
                <w:b/>
                <w:sz w:val="24"/>
                <w:szCs w:val="24"/>
              </w:rPr>
              <w:t>Ndërrimi i gypave të asbestit – çementit në Komunën e Gjakovës</w:t>
            </w:r>
            <w:r w:rsidRPr="003B4B0A">
              <w:rPr>
                <w:rFonts w:ascii="Times New Roman" w:hAnsi="Times New Roman"/>
                <w:sz w:val="24"/>
                <w:szCs w:val="24"/>
              </w:rPr>
              <w:t xml:space="preserve"> - Ndërrimi i linjave të tubave të furnizimit me ujë të asbestit - material nga çimento, të cilat janë instaluar 55 vjet më parë, në qytetin e Gjakovës. Ky investim do të plotësojë nevojën për të mbështetur furnizimin me ujë të pijshëm nga rubineti për 30 vitet e ardhshme. Agjencia e zbatimit është Komuna e Gjakovës. Projekti është miratuar nga Komiteti Kombëtar i Investimeve (NIC) që do të financohet përmes Marrëveshjes ndërmjet Qeverisë së Republikës së Kosovës dhe Qeverisë së Hungarisë për Themelimin e Programit Kuadër për Bashkëpunim Financiar (Ligji Nr. 05 / L-153). Negociatat e Marrëveshjes së Financimit i nënshtrohen procedurave te Ligjit Nr. 05 / L-153.</w:t>
            </w:r>
          </w:p>
          <w:p w14:paraId="0D48B1BF" w14:textId="77777777" w:rsidR="009D6D4E" w:rsidRPr="003B4B0A" w:rsidRDefault="009D6D4E" w:rsidP="009D6D4E">
            <w:pPr>
              <w:pStyle w:val="ListParagraph"/>
              <w:numPr>
                <w:ilvl w:val="0"/>
                <w:numId w:val="100"/>
              </w:numPr>
              <w:spacing w:after="120"/>
              <w:jc w:val="both"/>
              <w:rPr>
                <w:rFonts w:ascii="Times New Roman" w:hAnsi="Times New Roman"/>
                <w:sz w:val="24"/>
                <w:szCs w:val="24"/>
              </w:rPr>
            </w:pPr>
            <w:r w:rsidRPr="003B4B0A">
              <w:rPr>
                <w:rFonts w:ascii="Times New Roman" w:hAnsi="Times New Roman"/>
                <w:b/>
                <w:sz w:val="24"/>
                <w:szCs w:val="24"/>
              </w:rPr>
              <w:t xml:space="preserve"> Impianti i trajtimit të ujërave të zeza në Komunën e Ferizajt</w:t>
            </w:r>
            <w:r w:rsidRPr="003B4B0A">
              <w:rPr>
                <w:rFonts w:ascii="Times New Roman" w:hAnsi="Times New Roman"/>
                <w:sz w:val="24"/>
                <w:szCs w:val="24"/>
              </w:rPr>
              <w:t xml:space="preserve"> – Ky projekt përfshin dizajnin, ndërtimin dhe mirëmbajtjen e sistemeve të grumbullimit (Impianti i Trajtimit të Ujërave të Zeza) në Komunën e Ferizajt. Ky projekt do të zbatohet nga Komuna e Ferizajit. Projekti është miratuar nga Komiteti Kombëtar i Investimeve (NIC) që do të financohet përmes Marrëveshjes ndërmjet Qeverisë së Republikës së Kosovës dhe Qeverisë së Hungarisë për Themelimin e Programit Kuadër për Bashkëpunim Financiar (Ligji Nr. 05 / L-153). Negociatat e Marrëveshjes së Financimit i nënshtrohen procedurave te Ligjit Nr. 05 / L-153.</w:t>
            </w:r>
          </w:p>
          <w:p w14:paraId="38D7B225" w14:textId="77777777" w:rsidR="009D6D4E" w:rsidRPr="003B4B0A" w:rsidRDefault="009D6D4E" w:rsidP="009D6D4E">
            <w:pPr>
              <w:pStyle w:val="ListParagraph"/>
              <w:numPr>
                <w:ilvl w:val="0"/>
                <w:numId w:val="100"/>
              </w:numPr>
              <w:spacing w:after="120"/>
              <w:jc w:val="both"/>
              <w:rPr>
                <w:rFonts w:ascii="Times New Roman" w:hAnsi="Times New Roman"/>
                <w:sz w:val="24"/>
                <w:szCs w:val="24"/>
              </w:rPr>
            </w:pPr>
            <w:r w:rsidRPr="003B4B0A">
              <w:rPr>
                <w:rFonts w:ascii="Times New Roman" w:hAnsi="Times New Roman"/>
                <w:b/>
                <w:sz w:val="24"/>
                <w:szCs w:val="24"/>
              </w:rPr>
              <w:t>Sistemi i kanalizimit në Komunën e Deçanit</w:t>
            </w:r>
            <w:r w:rsidRPr="003B4B0A">
              <w:rPr>
                <w:rFonts w:ascii="Times New Roman" w:hAnsi="Times New Roman"/>
                <w:sz w:val="24"/>
                <w:szCs w:val="24"/>
              </w:rPr>
              <w:t xml:space="preserve"> - Zona 1: Sistemi i kanalizimit për fshatin Strellc. Zona 2: Sistemi i kanalizimit për fshatin Dubovik dhe pjesë e fshatit Isniq. Zona 3: Kanalizimi i fshatrave Lëbushë, Isniq dhe Prapaqan. Ky projekt do të zbatohet nga Komuna e Deçanit. Projekti është miratuar nga Komiteti Kombëtar i Investimeve (NIC) që do të financohet përmes Marrëveshjes ndërmjet Qeverisë së Republikës së Kosovës dhe Qeverisë së Hungarisë për Themelimin e Programit Kuadër për Bashkëpunim Financiar (Ligji Nr. 05 / L-153). Negociatat e Marrëveshjes së Financimit i nënshtrohen procedurave sipas Ligjit Nr. 05 / L-153.</w:t>
            </w:r>
          </w:p>
          <w:p w14:paraId="45DA1367" w14:textId="77777777" w:rsidR="009D6D4E" w:rsidRPr="00D17519" w:rsidRDefault="009D6D4E" w:rsidP="009D6D4E">
            <w:pPr>
              <w:pStyle w:val="ListParagraph"/>
              <w:numPr>
                <w:ilvl w:val="0"/>
                <w:numId w:val="100"/>
              </w:numPr>
              <w:jc w:val="both"/>
              <w:rPr>
                <w:rFonts w:ascii="Times New Roman" w:hAnsi="Times New Roman"/>
                <w:sz w:val="24"/>
                <w:szCs w:val="24"/>
              </w:rPr>
            </w:pPr>
            <w:r w:rsidRPr="003B4B0A">
              <w:rPr>
                <w:rFonts w:ascii="Times New Roman" w:hAnsi="Times New Roman"/>
                <w:b/>
                <w:sz w:val="24"/>
                <w:szCs w:val="24"/>
              </w:rPr>
              <w:t>Rezervari i ujit të pijshëm në fshatin Verboc / Komuna e Drenasit</w:t>
            </w:r>
            <w:r w:rsidRPr="003B4B0A">
              <w:rPr>
                <w:rFonts w:ascii="Times New Roman" w:hAnsi="Times New Roman"/>
                <w:sz w:val="24"/>
                <w:szCs w:val="24"/>
              </w:rPr>
              <w:t xml:space="preserve"> - Ndërtimi i ujëmbledhësit për ujë të pijshëm / nga rubineti në fshatin Verboc, i cili do të sigurojë furnizim me ujë të pijshëm në komunën e Drenasit. Ky projekt do të zbatohet nga Komuna e Drenasit. Projekti është miratuar nga Komiteti Kombëtar i Investimeve (NIC) që do të financohet përmes Marrëveshjes ndërmjet Qeverisë së Republikës së Kosovës dhe Qeverisë së Hungarisë për Themelimin e Programit Kuadër për Bashkëpunim Financiar (Ligji Nr. 05 / L-153). Negociatat e Marrëveshjes së Financimit i nënshtrohen procedurave sipas Ligjit Nr. 05 / L-153.</w:t>
            </w:r>
            <w:r w:rsidRPr="00D17519">
              <w:rPr>
                <w:rFonts w:ascii="Times New Roman" w:hAnsi="Times New Roman"/>
                <w:sz w:val="24"/>
                <w:szCs w:val="24"/>
              </w:rPr>
              <w:t xml:space="preserve"> </w:t>
            </w:r>
          </w:p>
          <w:p w14:paraId="5A2727B7" w14:textId="77777777" w:rsidR="009D6D4E" w:rsidRPr="006D33A1" w:rsidRDefault="009D6D4E" w:rsidP="00BF3B71">
            <w:pPr>
              <w:jc w:val="both"/>
            </w:pPr>
            <w:r w:rsidRPr="003B4B0A">
              <w:rPr>
                <w:b/>
              </w:rPr>
              <w:t xml:space="preserve">Siç është propozuar në Ligjin për Buxhetin e vitit 2020 që nuk është </w:t>
            </w:r>
            <w:r>
              <w:rPr>
                <w:b/>
              </w:rPr>
              <w:t xml:space="preserve">     </w:t>
            </w:r>
            <w:r w:rsidRPr="003B4B0A">
              <w:rPr>
                <w:b/>
              </w:rPr>
              <w:t>miratuar ende nga Parlamenti, projektet e mëposhtme janë planifikuar të pasqyrohen përmes Klauzolës së Investimeve:</w:t>
            </w:r>
          </w:p>
          <w:p w14:paraId="2B2B7465" w14:textId="77777777" w:rsidR="009D6D4E" w:rsidRPr="008E0428" w:rsidRDefault="009D6D4E" w:rsidP="009D6D4E">
            <w:pPr>
              <w:pStyle w:val="ListParagraph"/>
              <w:numPr>
                <w:ilvl w:val="0"/>
                <w:numId w:val="100"/>
              </w:numPr>
              <w:jc w:val="both"/>
              <w:rPr>
                <w:rFonts w:ascii="Times New Roman" w:hAnsi="Times New Roman"/>
                <w:sz w:val="24"/>
                <w:szCs w:val="24"/>
              </w:rPr>
            </w:pPr>
            <w:r w:rsidRPr="008E0428">
              <w:rPr>
                <w:rFonts w:ascii="Times New Roman" w:hAnsi="Times New Roman"/>
                <w:b/>
                <w:sz w:val="24"/>
                <w:szCs w:val="24"/>
              </w:rPr>
              <w:t>Themelimi i Qendrave të e-Testimit dhe përmirësimi i mëtutjeshëm i shërbimeve të e-Edukimit për arsimin para-universitar në Kosovë</w:t>
            </w:r>
            <w:r w:rsidRPr="008E0428">
              <w:rPr>
                <w:rFonts w:ascii="Times New Roman" w:hAnsi="Times New Roman"/>
                <w:sz w:val="24"/>
                <w:szCs w:val="24"/>
              </w:rPr>
              <w:t xml:space="preserve"> - Ky projekt drejtohet nga Ministria e Arsimit, Shkencës dhe Teknologjisë dhe financohet me një kredi përmes Programit Austriak për Kredi të buta, me një vlerë prej 4,998 milion EUR.</w:t>
            </w:r>
          </w:p>
          <w:p w14:paraId="3D1D0329" w14:textId="77777777" w:rsidR="009D6D4E" w:rsidRPr="008E0428" w:rsidRDefault="009D6D4E" w:rsidP="009D6D4E">
            <w:pPr>
              <w:pStyle w:val="ListParagraph"/>
              <w:numPr>
                <w:ilvl w:val="0"/>
                <w:numId w:val="100"/>
              </w:numPr>
              <w:jc w:val="both"/>
              <w:rPr>
                <w:rFonts w:ascii="Times New Roman" w:hAnsi="Times New Roman"/>
                <w:sz w:val="24"/>
                <w:szCs w:val="24"/>
              </w:rPr>
            </w:pPr>
            <w:r w:rsidRPr="008E0428">
              <w:rPr>
                <w:rFonts w:ascii="Times New Roman" w:hAnsi="Times New Roman"/>
                <w:b/>
                <w:sz w:val="24"/>
                <w:szCs w:val="24"/>
              </w:rPr>
              <w:t>Projekti i Qendrës Mjekësore Universitare</w:t>
            </w:r>
            <w:r w:rsidRPr="008E0428">
              <w:rPr>
                <w:rFonts w:ascii="Times New Roman" w:hAnsi="Times New Roman"/>
                <w:sz w:val="24"/>
                <w:szCs w:val="24"/>
              </w:rPr>
              <w:t xml:space="preserve"> - Ky projekt synon ndërtimin e korridoreve të nxehta në Qendrën Klinike Universitare të Kosovës dhe investimin në pajisje dhe mobilje. Projekti do të financohet me një kredi nga Fondi Saudit për Zhvillim, me një vlerë prej 18,079 milion EUR dhe do të drejtohet nga Ministria e Shëndetësisë.</w:t>
            </w:r>
          </w:p>
          <w:p w14:paraId="1D0F05C7" w14:textId="77777777" w:rsidR="009D6D4E" w:rsidRPr="008E0428" w:rsidRDefault="009D6D4E" w:rsidP="009D6D4E">
            <w:pPr>
              <w:pStyle w:val="ListParagraph"/>
              <w:numPr>
                <w:ilvl w:val="0"/>
                <w:numId w:val="100"/>
              </w:numPr>
              <w:jc w:val="both"/>
              <w:rPr>
                <w:rFonts w:ascii="Times New Roman" w:hAnsi="Times New Roman"/>
                <w:sz w:val="24"/>
                <w:szCs w:val="24"/>
              </w:rPr>
            </w:pPr>
            <w:r w:rsidRPr="008E0428">
              <w:rPr>
                <w:rFonts w:ascii="Times New Roman" w:hAnsi="Times New Roman"/>
                <w:b/>
                <w:sz w:val="24"/>
                <w:szCs w:val="24"/>
              </w:rPr>
              <w:t>Projekti i Autostradës Prishtinë-Mitrovicë (faza 2)</w:t>
            </w:r>
            <w:r w:rsidRPr="008E0428">
              <w:rPr>
                <w:rFonts w:ascii="Times New Roman" w:hAnsi="Times New Roman"/>
                <w:sz w:val="24"/>
                <w:szCs w:val="24"/>
              </w:rPr>
              <w:t xml:space="preserve"> - Qëllimi i projektit është që të lidh kryeqytetin Prishtinën me qytetet Vushtrri dhe Mitrovicë përmes ndërtimit dhe rehabilitimit të rrugës së dytë kryesore (M2) dhe ta shndërrojë atë nga rrugë me një korsi në secilën anë në rrugë me shpejtësi të lartë me dy korsi në secilën anë. Projekti do të financohet me një kredi nga Fondi Saudit për Zhvillim, me një vlerë prej 12.776 milion EUR dhe do të drejtohet nga Ministria e Infrastrukturës dhe Transportit.</w:t>
            </w:r>
          </w:p>
          <w:p w14:paraId="645D5A83" w14:textId="77777777" w:rsidR="009D6D4E" w:rsidRPr="008E0428" w:rsidRDefault="009D6D4E" w:rsidP="009D6D4E">
            <w:pPr>
              <w:pStyle w:val="ListParagraph"/>
              <w:numPr>
                <w:ilvl w:val="0"/>
                <w:numId w:val="100"/>
              </w:numPr>
              <w:jc w:val="both"/>
              <w:rPr>
                <w:rFonts w:ascii="Times New Roman" w:hAnsi="Times New Roman"/>
                <w:sz w:val="24"/>
                <w:szCs w:val="24"/>
              </w:rPr>
            </w:pPr>
            <w:r w:rsidRPr="008E0428">
              <w:rPr>
                <w:rFonts w:ascii="Times New Roman" w:hAnsi="Times New Roman"/>
                <w:b/>
                <w:sz w:val="24"/>
                <w:szCs w:val="24"/>
              </w:rPr>
              <w:t>Zhvillimi i Zonës Industriale të Drenasit</w:t>
            </w:r>
            <w:r w:rsidRPr="008E0428">
              <w:rPr>
                <w:rFonts w:ascii="Times New Roman" w:hAnsi="Times New Roman"/>
                <w:sz w:val="24"/>
                <w:szCs w:val="24"/>
              </w:rPr>
              <w:t xml:space="preserve"> - Zona do të zhvillohet në një qendër biznesi me cilësi të lartë në një sipërfaqe prej 37 ha, përballë Parkut Industrial të Drenasit tani të zënë plotësisht. Projekti do të financohet me një kredi nga Banka Evropiane për Rindërtim dhe Zhvillim, me një vlerë prej 12,800 milion EUR dhe do të drejtohet nga Ministria e Tregtisë dhe Industrisë.</w:t>
            </w:r>
          </w:p>
          <w:p w14:paraId="6C664EC5" w14:textId="77777777" w:rsidR="009D6D4E" w:rsidRPr="00FC648F" w:rsidRDefault="009D6D4E" w:rsidP="009D6D4E">
            <w:pPr>
              <w:pStyle w:val="ModelNrmlSingle"/>
              <w:numPr>
                <w:ilvl w:val="0"/>
                <w:numId w:val="100"/>
              </w:numPr>
              <w:spacing w:after="0"/>
              <w:rPr>
                <w:bCs/>
                <w:lang w:val="sq-AL"/>
              </w:rPr>
            </w:pPr>
            <w:r w:rsidRPr="00FC648F">
              <w:rPr>
                <w:b/>
                <w:sz w:val="24"/>
                <w:szCs w:val="24"/>
                <w:lang w:val="sq-AL"/>
              </w:rPr>
              <w:t>Ndërtimi i Autostradës, seksioni E nga Besi deri në Merdare (Rruga 7 SEETO)</w:t>
            </w:r>
            <w:r w:rsidRPr="00FC648F">
              <w:rPr>
                <w:sz w:val="24"/>
                <w:szCs w:val="24"/>
                <w:lang w:val="sq-AL"/>
              </w:rPr>
              <w:t xml:space="preserve"> - institucioni zbatues për këtë projekt është Ministria e Infrastrukturës. Projekti ka një kosto totale të vlerësuar prej 240 milion EUR dhe do të financohet potencialisht nga BERZH, EIB dhe Qeveria e Kosovës. Projekti është identifikuar si një projekt prioritar nga Komiteti Kombëtar i Investimeve dhe është pjesë e Listës Prioritare të Projekteve nën sektorin e transportit</w:t>
            </w:r>
            <w:r w:rsidRPr="00FC648F">
              <w:rPr>
                <w:bCs/>
                <w:lang w:val="sq-AL"/>
              </w:rPr>
              <w:t>.</w:t>
            </w:r>
          </w:p>
        </w:tc>
      </w:tr>
    </w:tbl>
    <w:p w14:paraId="1D107FAA" w14:textId="77777777" w:rsidR="009D6D4E" w:rsidRDefault="009D6D4E" w:rsidP="009D6D4E">
      <w:pPr>
        <w:rPr>
          <w:sz w:val="20"/>
        </w:rPr>
      </w:pPr>
    </w:p>
    <w:p w14:paraId="1CFE58DA" w14:textId="77777777" w:rsidR="009D6D4E" w:rsidRPr="006D33A1" w:rsidRDefault="009D6D4E" w:rsidP="009D6D4E">
      <w:r>
        <w:t>Tabela 1</w:t>
      </w:r>
      <w:r w:rsidRPr="006D33A1">
        <w:t xml:space="preserve"> </w:t>
      </w:r>
      <w:r>
        <w:t>Krahasimi me Programin e Kaluar</w:t>
      </w:r>
    </w:p>
    <w:tbl>
      <w:tblPr>
        <w:tblW w:w="5000" w:type="pct"/>
        <w:tblLook w:val="04A0" w:firstRow="1" w:lastRow="0" w:firstColumn="1" w:lastColumn="0" w:noHBand="0" w:noVBand="1"/>
      </w:tblPr>
      <w:tblGrid>
        <w:gridCol w:w="1516"/>
        <w:gridCol w:w="3283"/>
        <w:gridCol w:w="716"/>
        <w:gridCol w:w="795"/>
        <w:gridCol w:w="795"/>
        <w:gridCol w:w="769"/>
        <w:gridCol w:w="769"/>
        <w:gridCol w:w="707"/>
      </w:tblGrid>
      <w:tr w:rsidR="009D6D4E" w:rsidRPr="006D33A1" w14:paraId="2A2A6DCD" w14:textId="77777777" w:rsidTr="00BF3B71">
        <w:trPr>
          <w:trHeight w:val="397"/>
        </w:trPr>
        <w:tc>
          <w:tcPr>
            <w:tcW w:w="811" w:type="pct"/>
            <w:vMerge w:val="restart"/>
            <w:tcBorders>
              <w:top w:val="single" w:sz="4" w:space="0" w:color="auto"/>
              <w:left w:val="single" w:sz="4" w:space="0" w:color="auto"/>
              <w:bottom w:val="single" w:sz="4" w:space="0" w:color="auto"/>
              <w:right w:val="dotted" w:sz="4" w:space="0" w:color="auto"/>
            </w:tcBorders>
            <w:shd w:val="clear" w:color="auto" w:fill="DEEAF6" w:themeFill="accent1" w:themeFillTint="33"/>
            <w:noWrap/>
            <w:vAlign w:val="center"/>
            <w:hideMark/>
          </w:tcPr>
          <w:p w14:paraId="64A37098" w14:textId="77777777" w:rsidR="009D6D4E" w:rsidRPr="006D33A1" w:rsidRDefault="009D6D4E" w:rsidP="00BF3B71">
            <w:pPr>
              <w:rPr>
                <w:b/>
                <w:bCs/>
                <w:sz w:val="18"/>
                <w:szCs w:val="18"/>
                <w:lang w:val="en-US"/>
              </w:rPr>
            </w:pPr>
            <w:bookmarkStart w:id="227" w:name="RANGE!C3"/>
            <w:r>
              <w:rPr>
                <w:b/>
                <w:bCs/>
                <w:sz w:val="18"/>
                <w:szCs w:val="18"/>
                <w:lang w:val="en-US"/>
              </w:rPr>
              <w:t>Dokument</w:t>
            </w:r>
            <w:r w:rsidRPr="006D33A1">
              <w:rPr>
                <w:b/>
                <w:bCs/>
                <w:sz w:val="18"/>
                <w:szCs w:val="18"/>
                <w:lang w:val="en-US"/>
              </w:rPr>
              <w:t xml:space="preserve"> </w:t>
            </w:r>
            <w:bookmarkEnd w:id="227"/>
          </w:p>
        </w:tc>
        <w:tc>
          <w:tcPr>
            <w:tcW w:w="1756" w:type="pct"/>
            <w:vMerge w:val="restart"/>
            <w:tcBorders>
              <w:top w:val="single" w:sz="4" w:space="0" w:color="auto"/>
              <w:left w:val="dotted" w:sz="4" w:space="0" w:color="auto"/>
              <w:bottom w:val="single" w:sz="4" w:space="0" w:color="auto"/>
              <w:right w:val="dotted" w:sz="4" w:space="0" w:color="auto"/>
            </w:tcBorders>
            <w:shd w:val="clear" w:color="auto" w:fill="DEEAF6" w:themeFill="accent1" w:themeFillTint="33"/>
            <w:noWrap/>
            <w:vAlign w:val="center"/>
            <w:hideMark/>
          </w:tcPr>
          <w:p w14:paraId="6D236968" w14:textId="77777777" w:rsidR="009D6D4E" w:rsidRPr="006D33A1" w:rsidRDefault="009D6D4E" w:rsidP="00BF3B71">
            <w:pPr>
              <w:rPr>
                <w:b/>
                <w:bCs/>
                <w:sz w:val="18"/>
                <w:szCs w:val="18"/>
                <w:lang w:val="en-US"/>
              </w:rPr>
            </w:pPr>
            <w:r>
              <w:rPr>
                <w:b/>
                <w:bCs/>
                <w:sz w:val="18"/>
                <w:szCs w:val="18"/>
                <w:lang w:val="en-US"/>
              </w:rPr>
              <w:t>Përshkrimi</w:t>
            </w:r>
          </w:p>
        </w:tc>
        <w:tc>
          <w:tcPr>
            <w:tcW w:w="383" w:type="pct"/>
            <w:vMerge w:val="restart"/>
            <w:tcBorders>
              <w:top w:val="single" w:sz="4" w:space="0" w:color="auto"/>
              <w:left w:val="dotted" w:sz="4" w:space="0" w:color="auto"/>
              <w:bottom w:val="single" w:sz="4" w:space="0" w:color="auto"/>
              <w:right w:val="dotted" w:sz="4" w:space="0" w:color="auto"/>
            </w:tcBorders>
            <w:shd w:val="clear" w:color="auto" w:fill="DEEAF6" w:themeFill="accent1" w:themeFillTint="33"/>
            <w:vAlign w:val="center"/>
            <w:hideMark/>
          </w:tcPr>
          <w:p w14:paraId="028FB418" w14:textId="77777777" w:rsidR="009D6D4E" w:rsidRPr="006D33A1" w:rsidRDefault="009D6D4E" w:rsidP="00BF3B71">
            <w:pPr>
              <w:jc w:val="center"/>
              <w:rPr>
                <w:b/>
                <w:bCs/>
                <w:sz w:val="18"/>
                <w:szCs w:val="18"/>
                <w:lang w:val="en-US"/>
              </w:rPr>
            </w:pPr>
            <w:r w:rsidRPr="006D33A1">
              <w:rPr>
                <w:b/>
                <w:bCs/>
                <w:sz w:val="18"/>
                <w:szCs w:val="18"/>
                <w:lang w:val="en-US"/>
              </w:rPr>
              <w:t>2017 actual</w:t>
            </w:r>
          </w:p>
        </w:tc>
        <w:tc>
          <w:tcPr>
            <w:tcW w:w="425" w:type="pct"/>
            <w:vMerge w:val="restart"/>
            <w:tcBorders>
              <w:top w:val="single" w:sz="4" w:space="0" w:color="auto"/>
              <w:left w:val="dotted" w:sz="4" w:space="0" w:color="auto"/>
              <w:bottom w:val="single" w:sz="4" w:space="0" w:color="auto"/>
              <w:right w:val="dotted" w:sz="4" w:space="0" w:color="auto"/>
            </w:tcBorders>
            <w:shd w:val="clear" w:color="auto" w:fill="DEEAF6" w:themeFill="accent1" w:themeFillTint="33"/>
            <w:vAlign w:val="center"/>
            <w:hideMark/>
          </w:tcPr>
          <w:p w14:paraId="5DFCB331" w14:textId="77777777" w:rsidR="009D6D4E" w:rsidRPr="006D33A1" w:rsidRDefault="009D6D4E" w:rsidP="00BF3B71">
            <w:pPr>
              <w:jc w:val="center"/>
              <w:rPr>
                <w:b/>
                <w:bCs/>
                <w:sz w:val="18"/>
                <w:szCs w:val="18"/>
                <w:lang w:val="en-US"/>
              </w:rPr>
            </w:pPr>
            <w:r w:rsidRPr="006D33A1">
              <w:rPr>
                <w:b/>
                <w:bCs/>
                <w:sz w:val="18"/>
                <w:szCs w:val="18"/>
                <w:lang w:val="en-US"/>
              </w:rPr>
              <w:t>2018 Budget</w:t>
            </w:r>
          </w:p>
        </w:tc>
        <w:tc>
          <w:tcPr>
            <w:tcW w:w="425" w:type="pct"/>
            <w:vMerge w:val="restart"/>
            <w:tcBorders>
              <w:top w:val="single" w:sz="4" w:space="0" w:color="auto"/>
              <w:left w:val="dotted" w:sz="4" w:space="0" w:color="auto"/>
              <w:bottom w:val="single" w:sz="4" w:space="0" w:color="auto"/>
              <w:right w:val="dotted" w:sz="4" w:space="0" w:color="auto"/>
            </w:tcBorders>
            <w:shd w:val="clear" w:color="auto" w:fill="DEEAF6" w:themeFill="accent1" w:themeFillTint="33"/>
            <w:vAlign w:val="center"/>
            <w:hideMark/>
          </w:tcPr>
          <w:p w14:paraId="42733AAA" w14:textId="77777777" w:rsidR="009D6D4E" w:rsidRPr="006D33A1" w:rsidRDefault="009D6D4E" w:rsidP="00BF3B71">
            <w:pPr>
              <w:jc w:val="center"/>
              <w:rPr>
                <w:b/>
                <w:bCs/>
                <w:sz w:val="18"/>
                <w:szCs w:val="18"/>
                <w:lang w:val="en-US"/>
              </w:rPr>
            </w:pPr>
            <w:r w:rsidRPr="006D33A1">
              <w:rPr>
                <w:b/>
                <w:bCs/>
                <w:sz w:val="18"/>
                <w:szCs w:val="18"/>
                <w:lang w:val="en-US"/>
              </w:rPr>
              <w:t>2019 Budget</w:t>
            </w:r>
          </w:p>
        </w:tc>
        <w:tc>
          <w:tcPr>
            <w:tcW w:w="411" w:type="pct"/>
            <w:vMerge w:val="restart"/>
            <w:tcBorders>
              <w:top w:val="single" w:sz="4" w:space="0" w:color="auto"/>
              <w:left w:val="dotted" w:sz="4" w:space="0" w:color="auto"/>
              <w:bottom w:val="single" w:sz="4" w:space="0" w:color="auto"/>
              <w:right w:val="dotted" w:sz="4" w:space="0" w:color="auto"/>
            </w:tcBorders>
            <w:shd w:val="clear" w:color="auto" w:fill="DEEAF6" w:themeFill="accent1" w:themeFillTint="33"/>
            <w:vAlign w:val="center"/>
            <w:hideMark/>
          </w:tcPr>
          <w:p w14:paraId="599E70C3" w14:textId="77777777" w:rsidR="009D6D4E" w:rsidRPr="006D33A1" w:rsidRDefault="009D6D4E" w:rsidP="00BF3B71">
            <w:pPr>
              <w:jc w:val="center"/>
              <w:rPr>
                <w:b/>
                <w:bCs/>
                <w:sz w:val="18"/>
                <w:szCs w:val="18"/>
                <w:lang w:val="en-US"/>
              </w:rPr>
            </w:pPr>
            <w:r w:rsidRPr="006D33A1">
              <w:rPr>
                <w:b/>
                <w:bCs/>
                <w:sz w:val="18"/>
                <w:szCs w:val="18"/>
                <w:lang w:val="en-US"/>
              </w:rPr>
              <w:t>2020 proj.</w:t>
            </w:r>
          </w:p>
        </w:tc>
        <w:tc>
          <w:tcPr>
            <w:tcW w:w="411" w:type="pct"/>
            <w:vMerge w:val="restart"/>
            <w:tcBorders>
              <w:top w:val="single" w:sz="4" w:space="0" w:color="auto"/>
              <w:left w:val="dotted" w:sz="4" w:space="0" w:color="auto"/>
              <w:bottom w:val="single" w:sz="4" w:space="0" w:color="auto"/>
              <w:right w:val="dotted" w:sz="4" w:space="0" w:color="auto"/>
            </w:tcBorders>
            <w:shd w:val="clear" w:color="auto" w:fill="DEEAF6" w:themeFill="accent1" w:themeFillTint="33"/>
            <w:vAlign w:val="center"/>
            <w:hideMark/>
          </w:tcPr>
          <w:p w14:paraId="2E58BCFC" w14:textId="77777777" w:rsidR="009D6D4E" w:rsidRPr="006D33A1" w:rsidRDefault="009D6D4E" w:rsidP="00BF3B71">
            <w:pPr>
              <w:jc w:val="center"/>
              <w:rPr>
                <w:b/>
                <w:bCs/>
                <w:sz w:val="18"/>
                <w:szCs w:val="18"/>
                <w:lang w:val="en-US"/>
              </w:rPr>
            </w:pPr>
            <w:r w:rsidRPr="006D33A1">
              <w:rPr>
                <w:b/>
                <w:bCs/>
                <w:sz w:val="18"/>
                <w:szCs w:val="18"/>
                <w:lang w:val="en-US"/>
              </w:rPr>
              <w:t>2021 proj.</w:t>
            </w:r>
          </w:p>
        </w:tc>
        <w:tc>
          <w:tcPr>
            <w:tcW w:w="378" w:type="pct"/>
            <w:vMerge w:val="restart"/>
            <w:tcBorders>
              <w:top w:val="single" w:sz="4" w:space="0" w:color="auto"/>
              <w:left w:val="dotted" w:sz="4" w:space="0" w:color="auto"/>
              <w:bottom w:val="single" w:sz="4" w:space="0" w:color="auto"/>
              <w:right w:val="single" w:sz="4" w:space="0" w:color="auto"/>
            </w:tcBorders>
            <w:shd w:val="clear" w:color="auto" w:fill="DEEAF6" w:themeFill="accent1" w:themeFillTint="33"/>
            <w:vAlign w:val="center"/>
            <w:hideMark/>
          </w:tcPr>
          <w:p w14:paraId="1D56E8B7" w14:textId="77777777" w:rsidR="009D6D4E" w:rsidRPr="006D33A1" w:rsidRDefault="009D6D4E" w:rsidP="00BF3B71">
            <w:pPr>
              <w:jc w:val="center"/>
              <w:rPr>
                <w:b/>
                <w:bCs/>
                <w:sz w:val="18"/>
                <w:szCs w:val="18"/>
                <w:lang w:val="en-US"/>
              </w:rPr>
            </w:pPr>
            <w:r w:rsidRPr="006D33A1">
              <w:rPr>
                <w:b/>
                <w:bCs/>
                <w:sz w:val="18"/>
                <w:szCs w:val="18"/>
                <w:lang w:val="en-US"/>
              </w:rPr>
              <w:t>2022 proj.</w:t>
            </w:r>
          </w:p>
        </w:tc>
      </w:tr>
      <w:tr w:rsidR="009D6D4E" w:rsidRPr="006D33A1" w14:paraId="626F93A0" w14:textId="77777777" w:rsidTr="00BF3B71">
        <w:trPr>
          <w:trHeight w:val="397"/>
        </w:trPr>
        <w:tc>
          <w:tcPr>
            <w:tcW w:w="811" w:type="pct"/>
            <w:vMerge/>
            <w:tcBorders>
              <w:top w:val="dotted" w:sz="4" w:space="0" w:color="auto"/>
              <w:left w:val="single" w:sz="4" w:space="0" w:color="auto"/>
              <w:bottom w:val="single" w:sz="4" w:space="0" w:color="auto"/>
              <w:right w:val="dotted" w:sz="4" w:space="0" w:color="auto"/>
            </w:tcBorders>
            <w:shd w:val="clear" w:color="auto" w:fill="DEEAF6" w:themeFill="accent1" w:themeFillTint="33"/>
            <w:vAlign w:val="center"/>
            <w:hideMark/>
          </w:tcPr>
          <w:p w14:paraId="38C32997" w14:textId="77777777" w:rsidR="009D6D4E" w:rsidRPr="006D33A1" w:rsidRDefault="009D6D4E" w:rsidP="00BF3B71">
            <w:pPr>
              <w:rPr>
                <w:b/>
                <w:bCs/>
                <w:sz w:val="18"/>
                <w:szCs w:val="18"/>
                <w:lang w:val="en-US"/>
              </w:rPr>
            </w:pPr>
          </w:p>
        </w:tc>
        <w:tc>
          <w:tcPr>
            <w:tcW w:w="1756" w:type="pct"/>
            <w:vMerge/>
            <w:tcBorders>
              <w:top w:val="dotted" w:sz="4" w:space="0" w:color="auto"/>
              <w:left w:val="dotted" w:sz="4" w:space="0" w:color="auto"/>
              <w:bottom w:val="single" w:sz="4" w:space="0" w:color="auto"/>
              <w:right w:val="dotted" w:sz="4" w:space="0" w:color="auto"/>
            </w:tcBorders>
            <w:shd w:val="clear" w:color="auto" w:fill="DEEAF6" w:themeFill="accent1" w:themeFillTint="33"/>
            <w:vAlign w:val="center"/>
            <w:hideMark/>
          </w:tcPr>
          <w:p w14:paraId="321F50B6" w14:textId="77777777" w:rsidR="009D6D4E" w:rsidRPr="006D33A1" w:rsidRDefault="009D6D4E" w:rsidP="00BF3B71">
            <w:pPr>
              <w:rPr>
                <w:b/>
                <w:bCs/>
                <w:sz w:val="18"/>
                <w:szCs w:val="18"/>
                <w:lang w:val="en-US"/>
              </w:rPr>
            </w:pPr>
          </w:p>
        </w:tc>
        <w:tc>
          <w:tcPr>
            <w:tcW w:w="383" w:type="pct"/>
            <w:vMerge/>
            <w:tcBorders>
              <w:top w:val="dotted" w:sz="4" w:space="0" w:color="auto"/>
              <w:left w:val="dotted" w:sz="4" w:space="0" w:color="auto"/>
              <w:bottom w:val="single" w:sz="4" w:space="0" w:color="auto"/>
              <w:right w:val="dotted" w:sz="4" w:space="0" w:color="auto"/>
            </w:tcBorders>
            <w:shd w:val="clear" w:color="auto" w:fill="DEEAF6" w:themeFill="accent1" w:themeFillTint="33"/>
            <w:vAlign w:val="center"/>
            <w:hideMark/>
          </w:tcPr>
          <w:p w14:paraId="76681B33" w14:textId="77777777" w:rsidR="009D6D4E" w:rsidRPr="006D33A1" w:rsidRDefault="009D6D4E" w:rsidP="00BF3B71">
            <w:pPr>
              <w:rPr>
                <w:b/>
                <w:bCs/>
                <w:sz w:val="18"/>
                <w:szCs w:val="18"/>
                <w:lang w:val="en-US"/>
              </w:rPr>
            </w:pPr>
          </w:p>
        </w:tc>
        <w:tc>
          <w:tcPr>
            <w:tcW w:w="425" w:type="pct"/>
            <w:vMerge/>
            <w:tcBorders>
              <w:top w:val="dotted" w:sz="4" w:space="0" w:color="auto"/>
              <w:left w:val="dotted" w:sz="4" w:space="0" w:color="auto"/>
              <w:bottom w:val="single" w:sz="4" w:space="0" w:color="auto"/>
              <w:right w:val="dotted" w:sz="4" w:space="0" w:color="auto"/>
            </w:tcBorders>
            <w:shd w:val="clear" w:color="auto" w:fill="DEEAF6" w:themeFill="accent1" w:themeFillTint="33"/>
            <w:vAlign w:val="center"/>
            <w:hideMark/>
          </w:tcPr>
          <w:p w14:paraId="12E85F81" w14:textId="77777777" w:rsidR="009D6D4E" w:rsidRPr="006D33A1" w:rsidRDefault="009D6D4E" w:rsidP="00BF3B71">
            <w:pPr>
              <w:rPr>
                <w:b/>
                <w:bCs/>
                <w:sz w:val="18"/>
                <w:szCs w:val="18"/>
                <w:lang w:val="en-US"/>
              </w:rPr>
            </w:pPr>
          </w:p>
        </w:tc>
        <w:tc>
          <w:tcPr>
            <w:tcW w:w="425" w:type="pct"/>
            <w:vMerge/>
            <w:tcBorders>
              <w:top w:val="dotted" w:sz="4" w:space="0" w:color="auto"/>
              <w:left w:val="dotted" w:sz="4" w:space="0" w:color="auto"/>
              <w:bottom w:val="single" w:sz="4" w:space="0" w:color="auto"/>
              <w:right w:val="dotted" w:sz="4" w:space="0" w:color="auto"/>
            </w:tcBorders>
            <w:shd w:val="clear" w:color="auto" w:fill="DEEAF6" w:themeFill="accent1" w:themeFillTint="33"/>
            <w:vAlign w:val="center"/>
            <w:hideMark/>
          </w:tcPr>
          <w:p w14:paraId="77A48198" w14:textId="77777777" w:rsidR="009D6D4E" w:rsidRPr="006D33A1" w:rsidRDefault="009D6D4E" w:rsidP="00BF3B71">
            <w:pPr>
              <w:rPr>
                <w:b/>
                <w:bCs/>
                <w:sz w:val="18"/>
                <w:szCs w:val="18"/>
                <w:lang w:val="en-US"/>
              </w:rPr>
            </w:pPr>
          </w:p>
        </w:tc>
        <w:tc>
          <w:tcPr>
            <w:tcW w:w="411" w:type="pct"/>
            <w:vMerge/>
            <w:tcBorders>
              <w:top w:val="dotted" w:sz="4" w:space="0" w:color="auto"/>
              <w:left w:val="dotted" w:sz="4" w:space="0" w:color="auto"/>
              <w:bottom w:val="single" w:sz="4" w:space="0" w:color="auto"/>
              <w:right w:val="dotted" w:sz="4" w:space="0" w:color="auto"/>
            </w:tcBorders>
            <w:shd w:val="clear" w:color="auto" w:fill="DEEAF6" w:themeFill="accent1" w:themeFillTint="33"/>
            <w:vAlign w:val="center"/>
            <w:hideMark/>
          </w:tcPr>
          <w:p w14:paraId="7D0CAB16" w14:textId="77777777" w:rsidR="009D6D4E" w:rsidRPr="006D33A1" w:rsidRDefault="009D6D4E" w:rsidP="00BF3B71">
            <w:pPr>
              <w:rPr>
                <w:b/>
                <w:bCs/>
                <w:sz w:val="18"/>
                <w:szCs w:val="18"/>
                <w:lang w:val="en-US"/>
              </w:rPr>
            </w:pPr>
          </w:p>
        </w:tc>
        <w:tc>
          <w:tcPr>
            <w:tcW w:w="411" w:type="pct"/>
            <w:vMerge/>
            <w:tcBorders>
              <w:top w:val="dotted" w:sz="4" w:space="0" w:color="auto"/>
              <w:left w:val="dotted" w:sz="4" w:space="0" w:color="auto"/>
              <w:bottom w:val="single" w:sz="4" w:space="0" w:color="auto"/>
              <w:right w:val="dotted" w:sz="4" w:space="0" w:color="auto"/>
            </w:tcBorders>
            <w:shd w:val="clear" w:color="auto" w:fill="DEEAF6" w:themeFill="accent1" w:themeFillTint="33"/>
            <w:vAlign w:val="center"/>
            <w:hideMark/>
          </w:tcPr>
          <w:p w14:paraId="6A0C6965" w14:textId="77777777" w:rsidR="009D6D4E" w:rsidRPr="006D33A1" w:rsidRDefault="009D6D4E" w:rsidP="00BF3B71">
            <w:pPr>
              <w:rPr>
                <w:b/>
                <w:bCs/>
                <w:sz w:val="18"/>
                <w:szCs w:val="18"/>
                <w:lang w:val="en-US"/>
              </w:rPr>
            </w:pPr>
          </w:p>
        </w:tc>
        <w:tc>
          <w:tcPr>
            <w:tcW w:w="378" w:type="pct"/>
            <w:vMerge/>
            <w:tcBorders>
              <w:top w:val="dotted" w:sz="4" w:space="0" w:color="auto"/>
              <w:left w:val="dotted" w:sz="4" w:space="0" w:color="auto"/>
              <w:bottom w:val="single" w:sz="4" w:space="0" w:color="auto"/>
              <w:right w:val="single" w:sz="4" w:space="0" w:color="auto"/>
            </w:tcBorders>
            <w:shd w:val="clear" w:color="auto" w:fill="DEEAF6" w:themeFill="accent1" w:themeFillTint="33"/>
            <w:vAlign w:val="center"/>
            <w:hideMark/>
          </w:tcPr>
          <w:p w14:paraId="79343203" w14:textId="77777777" w:rsidR="009D6D4E" w:rsidRPr="006D33A1" w:rsidRDefault="009D6D4E" w:rsidP="00BF3B71">
            <w:pPr>
              <w:rPr>
                <w:b/>
                <w:bCs/>
                <w:sz w:val="18"/>
                <w:szCs w:val="18"/>
                <w:lang w:val="en-US"/>
              </w:rPr>
            </w:pPr>
          </w:p>
        </w:tc>
      </w:tr>
      <w:tr w:rsidR="009D6D4E" w:rsidRPr="006D33A1" w14:paraId="09E93D14" w14:textId="77777777" w:rsidTr="00BF3B71">
        <w:trPr>
          <w:trHeight w:val="20"/>
        </w:trPr>
        <w:tc>
          <w:tcPr>
            <w:tcW w:w="811" w:type="pct"/>
            <w:vMerge w:val="restart"/>
            <w:tcBorders>
              <w:top w:val="single" w:sz="4" w:space="0" w:color="auto"/>
              <w:left w:val="single" w:sz="4" w:space="0" w:color="auto"/>
              <w:bottom w:val="dotted" w:sz="4" w:space="0" w:color="000000"/>
              <w:right w:val="dotted" w:sz="4" w:space="0" w:color="auto"/>
            </w:tcBorders>
            <w:shd w:val="clear" w:color="auto" w:fill="DEEAF6" w:themeFill="accent1" w:themeFillTint="33"/>
            <w:noWrap/>
            <w:vAlign w:val="center"/>
            <w:hideMark/>
          </w:tcPr>
          <w:p w14:paraId="6D7F48C0" w14:textId="77777777" w:rsidR="009D6D4E" w:rsidRPr="006D33A1" w:rsidRDefault="009D6D4E" w:rsidP="00BF3B71">
            <w:pPr>
              <w:rPr>
                <w:b/>
                <w:bCs/>
                <w:sz w:val="18"/>
                <w:szCs w:val="18"/>
                <w:lang w:val="en-US"/>
              </w:rPr>
            </w:pPr>
            <w:r>
              <w:rPr>
                <w:b/>
                <w:bCs/>
                <w:sz w:val="18"/>
                <w:szCs w:val="18"/>
                <w:lang w:val="en-US"/>
              </w:rPr>
              <w:t>PRE</w:t>
            </w:r>
            <w:r w:rsidRPr="006D33A1">
              <w:rPr>
                <w:b/>
                <w:bCs/>
                <w:sz w:val="18"/>
                <w:szCs w:val="18"/>
                <w:lang w:val="en-US"/>
              </w:rPr>
              <w:t xml:space="preserve"> 2019</w:t>
            </w:r>
          </w:p>
        </w:tc>
        <w:tc>
          <w:tcPr>
            <w:tcW w:w="1756" w:type="pct"/>
            <w:tcBorders>
              <w:top w:val="single" w:sz="4" w:space="0" w:color="auto"/>
              <w:left w:val="nil"/>
              <w:bottom w:val="dotted" w:sz="4" w:space="0" w:color="auto"/>
              <w:right w:val="dotted" w:sz="4" w:space="0" w:color="auto"/>
            </w:tcBorders>
            <w:shd w:val="clear" w:color="auto" w:fill="DEEAF6" w:themeFill="accent1" w:themeFillTint="33"/>
            <w:noWrap/>
            <w:vAlign w:val="center"/>
            <w:hideMark/>
          </w:tcPr>
          <w:p w14:paraId="4716CF9B" w14:textId="77777777" w:rsidR="009D6D4E" w:rsidRPr="006D33A1" w:rsidRDefault="009D6D4E" w:rsidP="00BF3B71">
            <w:pPr>
              <w:rPr>
                <w:sz w:val="18"/>
                <w:szCs w:val="18"/>
                <w:lang w:val="en-US"/>
              </w:rPr>
            </w:pPr>
            <w:r>
              <w:rPr>
                <w:sz w:val="18"/>
                <w:szCs w:val="18"/>
                <w:lang w:val="en-US"/>
              </w:rPr>
              <w:t>Të hyrat totale</w:t>
            </w:r>
          </w:p>
        </w:tc>
        <w:tc>
          <w:tcPr>
            <w:tcW w:w="383" w:type="pct"/>
            <w:tcBorders>
              <w:top w:val="single" w:sz="4" w:space="0" w:color="auto"/>
              <w:left w:val="nil"/>
              <w:bottom w:val="dotted" w:sz="4" w:space="0" w:color="auto"/>
              <w:right w:val="dotted" w:sz="4" w:space="0" w:color="auto"/>
            </w:tcBorders>
            <w:shd w:val="clear" w:color="auto" w:fill="DEEAF6" w:themeFill="accent1" w:themeFillTint="33"/>
            <w:noWrap/>
            <w:vAlign w:val="center"/>
            <w:hideMark/>
          </w:tcPr>
          <w:p w14:paraId="51274FD7" w14:textId="77777777" w:rsidR="009D6D4E" w:rsidRPr="006D33A1" w:rsidRDefault="009D6D4E" w:rsidP="00BF3B71">
            <w:pPr>
              <w:jc w:val="right"/>
              <w:rPr>
                <w:sz w:val="18"/>
                <w:szCs w:val="18"/>
                <w:lang w:val="en-US"/>
              </w:rPr>
            </w:pPr>
            <w:r w:rsidRPr="006D33A1">
              <w:rPr>
                <w:sz w:val="18"/>
                <w:szCs w:val="18"/>
                <w:lang w:val="en-US"/>
              </w:rPr>
              <w:t>1,684</w:t>
            </w:r>
          </w:p>
        </w:tc>
        <w:tc>
          <w:tcPr>
            <w:tcW w:w="425" w:type="pct"/>
            <w:tcBorders>
              <w:top w:val="single" w:sz="4" w:space="0" w:color="auto"/>
              <w:left w:val="nil"/>
              <w:bottom w:val="dotted" w:sz="4" w:space="0" w:color="auto"/>
              <w:right w:val="dotted" w:sz="4" w:space="0" w:color="auto"/>
            </w:tcBorders>
            <w:shd w:val="clear" w:color="auto" w:fill="DEEAF6" w:themeFill="accent1" w:themeFillTint="33"/>
            <w:noWrap/>
            <w:vAlign w:val="center"/>
            <w:hideMark/>
          </w:tcPr>
          <w:p w14:paraId="6C2EBF79" w14:textId="77777777" w:rsidR="009D6D4E" w:rsidRPr="006D33A1" w:rsidRDefault="009D6D4E" w:rsidP="00BF3B71">
            <w:pPr>
              <w:jc w:val="right"/>
              <w:rPr>
                <w:sz w:val="18"/>
                <w:szCs w:val="18"/>
                <w:lang w:val="en-US"/>
              </w:rPr>
            </w:pPr>
            <w:r w:rsidRPr="006D33A1">
              <w:rPr>
                <w:sz w:val="18"/>
                <w:szCs w:val="18"/>
                <w:lang w:val="en-US"/>
              </w:rPr>
              <w:t>1,817</w:t>
            </w:r>
          </w:p>
        </w:tc>
        <w:tc>
          <w:tcPr>
            <w:tcW w:w="425" w:type="pct"/>
            <w:tcBorders>
              <w:top w:val="single" w:sz="4" w:space="0" w:color="auto"/>
              <w:left w:val="nil"/>
              <w:bottom w:val="dotted" w:sz="4" w:space="0" w:color="auto"/>
              <w:right w:val="dotted" w:sz="4" w:space="0" w:color="auto"/>
            </w:tcBorders>
            <w:shd w:val="clear" w:color="auto" w:fill="DEEAF6" w:themeFill="accent1" w:themeFillTint="33"/>
            <w:vAlign w:val="center"/>
            <w:hideMark/>
          </w:tcPr>
          <w:p w14:paraId="58747307" w14:textId="77777777" w:rsidR="009D6D4E" w:rsidRPr="006D33A1" w:rsidRDefault="009D6D4E" w:rsidP="00BF3B71">
            <w:pPr>
              <w:jc w:val="right"/>
              <w:rPr>
                <w:sz w:val="18"/>
                <w:szCs w:val="18"/>
                <w:lang w:val="en-US"/>
              </w:rPr>
            </w:pPr>
            <w:r w:rsidRPr="006D33A1">
              <w:rPr>
                <w:sz w:val="18"/>
                <w:szCs w:val="18"/>
                <w:lang w:val="en-US"/>
              </w:rPr>
              <w:t>1,949</w:t>
            </w:r>
          </w:p>
        </w:tc>
        <w:tc>
          <w:tcPr>
            <w:tcW w:w="411" w:type="pct"/>
            <w:tcBorders>
              <w:top w:val="single" w:sz="4" w:space="0" w:color="auto"/>
              <w:left w:val="nil"/>
              <w:bottom w:val="dotted" w:sz="4" w:space="0" w:color="auto"/>
              <w:right w:val="dotted" w:sz="4" w:space="0" w:color="auto"/>
            </w:tcBorders>
            <w:shd w:val="clear" w:color="auto" w:fill="DEEAF6" w:themeFill="accent1" w:themeFillTint="33"/>
            <w:vAlign w:val="center"/>
            <w:hideMark/>
          </w:tcPr>
          <w:p w14:paraId="066DA6F1" w14:textId="77777777" w:rsidR="009D6D4E" w:rsidRPr="006D33A1" w:rsidRDefault="009D6D4E" w:rsidP="00BF3B71">
            <w:pPr>
              <w:jc w:val="right"/>
              <w:rPr>
                <w:sz w:val="18"/>
                <w:szCs w:val="18"/>
                <w:lang w:val="en-US"/>
              </w:rPr>
            </w:pPr>
            <w:r w:rsidRPr="006D33A1">
              <w:rPr>
                <w:sz w:val="18"/>
                <w:szCs w:val="18"/>
                <w:lang w:val="en-US"/>
              </w:rPr>
              <w:t>2,026</w:t>
            </w:r>
          </w:p>
        </w:tc>
        <w:tc>
          <w:tcPr>
            <w:tcW w:w="411" w:type="pct"/>
            <w:tcBorders>
              <w:top w:val="single" w:sz="4" w:space="0" w:color="auto"/>
              <w:left w:val="nil"/>
              <w:bottom w:val="dotted" w:sz="4" w:space="0" w:color="auto"/>
              <w:right w:val="dotted" w:sz="4" w:space="0" w:color="auto"/>
            </w:tcBorders>
            <w:shd w:val="clear" w:color="auto" w:fill="DEEAF6" w:themeFill="accent1" w:themeFillTint="33"/>
            <w:vAlign w:val="center"/>
            <w:hideMark/>
          </w:tcPr>
          <w:p w14:paraId="37AA2565" w14:textId="77777777" w:rsidR="009D6D4E" w:rsidRPr="006D33A1" w:rsidRDefault="009D6D4E" w:rsidP="00BF3B71">
            <w:pPr>
              <w:jc w:val="right"/>
              <w:rPr>
                <w:sz w:val="18"/>
                <w:szCs w:val="18"/>
                <w:lang w:val="en-US"/>
              </w:rPr>
            </w:pPr>
            <w:r w:rsidRPr="006D33A1">
              <w:rPr>
                <w:sz w:val="18"/>
                <w:szCs w:val="18"/>
                <w:lang w:val="en-US"/>
              </w:rPr>
              <w:t>2,141</w:t>
            </w:r>
          </w:p>
        </w:tc>
        <w:tc>
          <w:tcPr>
            <w:tcW w:w="378" w:type="pct"/>
            <w:tcBorders>
              <w:top w:val="single" w:sz="4" w:space="0" w:color="auto"/>
              <w:left w:val="nil"/>
              <w:bottom w:val="dotted" w:sz="4" w:space="0" w:color="auto"/>
              <w:right w:val="single" w:sz="4" w:space="0" w:color="auto"/>
            </w:tcBorders>
            <w:shd w:val="clear" w:color="auto" w:fill="DEEAF6" w:themeFill="accent1" w:themeFillTint="33"/>
            <w:noWrap/>
            <w:vAlign w:val="center"/>
            <w:hideMark/>
          </w:tcPr>
          <w:p w14:paraId="1569763A" w14:textId="77777777" w:rsidR="009D6D4E" w:rsidRPr="006D33A1" w:rsidRDefault="009D6D4E" w:rsidP="00BF3B71">
            <w:pPr>
              <w:jc w:val="right"/>
              <w:rPr>
                <w:i/>
                <w:iCs/>
                <w:sz w:val="18"/>
                <w:szCs w:val="18"/>
                <w:lang w:val="en-US"/>
              </w:rPr>
            </w:pPr>
            <w:r w:rsidRPr="006D33A1">
              <w:rPr>
                <w:i/>
                <w:iCs/>
                <w:sz w:val="18"/>
                <w:szCs w:val="18"/>
                <w:lang w:val="en-US"/>
              </w:rPr>
              <w:t>n/a</w:t>
            </w:r>
          </w:p>
        </w:tc>
      </w:tr>
      <w:tr w:rsidR="009D6D4E" w:rsidRPr="006D33A1" w14:paraId="3BDDA47B" w14:textId="77777777" w:rsidTr="00BF3B71">
        <w:trPr>
          <w:trHeight w:val="20"/>
        </w:trPr>
        <w:tc>
          <w:tcPr>
            <w:tcW w:w="811" w:type="pct"/>
            <w:vMerge/>
            <w:tcBorders>
              <w:top w:val="nil"/>
              <w:left w:val="single" w:sz="4" w:space="0" w:color="auto"/>
              <w:bottom w:val="dotted" w:sz="4" w:space="0" w:color="000000"/>
              <w:right w:val="dotted" w:sz="4" w:space="0" w:color="auto"/>
            </w:tcBorders>
            <w:shd w:val="clear" w:color="auto" w:fill="DEEAF6" w:themeFill="accent1" w:themeFillTint="33"/>
            <w:vAlign w:val="center"/>
            <w:hideMark/>
          </w:tcPr>
          <w:p w14:paraId="53D8EFF9" w14:textId="77777777" w:rsidR="009D6D4E" w:rsidRPr="006D33A1" w:rsidRDefault="009D6D4E" w:rsidP="00BF3B71">
            <w:pPr>
              <w:rPr>
                <w:b/>
                <w:bCs/>
                <w:sz w:val="18"/>
                <w:szCs w:val="18"/>
                <w:lang w:val="en-US"/>
              </w:rPr>
            </w:pPr>
          </w:p>
        </w:tc>
        <w:tc>
          <w:tcPr>
            <w:tcW w:w="1756" w:type="pct"/>
            <w:tcBorders>
              <w:top w:val="nil"/>
              <w:left w:val="nil"/>
              <w:bottom w:val="dotted" w:sz="4" w:space="0" w:color="auto"/>
              <w:right w:val="dotted" w:sz="4" w:space="0" w:color="auto"/>
            </w:tcBorders>
            <w:shd w:val="clear" w:color="auto" w:fill="DEEAF6" w:themeFill="accent1" w:themeFillTint="33"/>
            <w:noWrap/>
            <w:vAlign w:val="center"/>
            <w:hideMark/>
          </w:tcPr>
          <w:p w14:paraId="447AF6C7" w14:textId="77777777" w:rsidR="009D6D4E" w:rsidRPr="006D33A1" w:rsidRDefault="009D6D4E" w:rsidP="00BF3B71">
            <w:pPr>
              <w:ind w:firstLineChars="100" w:firstLine="180"/>
              <w:rPr>
                <w:i/>
                <w:iCs/>
                <w:sz w:val="18"/>
                <w:szCs w:val="18"/>
                <w:lang w:val="en-US"/>
              </w:rPr>
            </w:pPr>
            <w:r>
              <w:rPr>
                <w:i/>
                <w:iCs/>
                <w:sz w:val="18"/>
                <w:szCs w:val="18"/>
                <w:lang w:val="en-US"/>
              </w:rPr>
              <w:t>Të hyrat tatimore</w:t>
            </w:r>
            <w:r w:rsidRPr="006D33A1">
              <w:rPr>
                <w:i/>
                <w:iCs/>
                <w:sz w:val="18"/>
                <w:szCs w:val="18"/>
                <w:lang w:val="en-US"/>
              </w:rPr>
              <w:t xml:space="preserve"> </w:t>
            </w:r>
          </w:p>
        </w:tc>
        <w:tc>
          <w:tcPr>
            <w:tcW w:w="383" w:type="pct"/>
            <w:tcBorders>
              <w:top w:val="nil"/>
              <w:left w:val="nil"/>
              <w:bottom w:val="dotted" w:sz="4" w:space="0" w:color="auto"/>
              <w:right w:val="dotted" w:sz="4" w:space="0" w:color="auto"/>
            </w:tcBorders>
            <w:shd w:val="clear" w:color="auto" w:fill="DEEAF6" w:themeFill="accent1" w:themeFillTint="33"/>
            <w:noWrap/>
            <w:vAlign w:val="center"/>
            <w:hideMark/>
          </w:tcPr>
          <w:p w14:paraId="3C5A0988" w14:textId="77777777" w:rsidR="009D6D4E" w:rsidRPr="006D33A1" w:rsidRDefault="009D6D4E" w:rsidP="00BF3B71">
            <w:pPr>
              <w:jc w:val="right"/>
              <w:rPr>
                <w:i/>
                <w:iCs/>
                <w:sz w:val="18"/>
                <w:szCs w:val="18"/>
                <w:lang w:val="en-US"/>
              </w:rPr>
            </w:pPr>
            <w:r w:rsidRPr="006D33A1">
              <w:rPr>
                <w:i/>
                <w:iCs/>
                <w:sz w:val="18"/>
                <w:szCs w:val="18"/>
                <w:lang w:val="en-US"/>
              </w:rPr>
              <w:t>1,496</w:t>
            </w:r>
          </w:p>
        </w:tc>
        <w:tc>
          <w:tcPr>
            <w:tcW w:w="425" w:type="pct"/>
            <w:tcBorders>
              <w:top w:val="nil"/>
              <w:left w:val="nil"/>
              <w:bottom w:val="dotted" w:sz="4" w:space="0" w:color="auto"/>
              <w:right w:val="dotted" w:sz="4" w:space="0" w:color="auto"/>
            </w:tcBorders>
            <w:shd w:val="clear" w:color="auto" w:fill="DEEAF6" w:themeFill="accent1" w:themeFillTint="33"/>
            <w:noWrap/>
            <w:vAlign w:val="center"/>
            <w:hideMark/>
          </w:tcPr>
          <w:p w14:paraId="652C8D0E" w14:textId="77777777" w:rsidR="009D6D4E" w:rsidRPr="006D33A1" w:rsidRDefault="009D6D4E" w:rsidP="00BF3B71">
            <w:pPr>
              <w:jc w:val="right"/>
              <w:rPr>
                <w:i/>
                <w:iCs/>
                <w:sz w:val="18"/>
                <w:szCs w:val="18"/>
                <w:lang w:val="en-US"/>
              </w:rPr>
            </w:pPr>
            <w:r w:rsidRPr="006D33A1">
              <w:rPr>
                <w:i/>
                <w:iCs/>
                <w:sz w:val="18"/>
                <w:szCs w:val="18"/>
                <w:lang w:val="en-US"/>
              </w:rPr>
              <w:t>1,607</w:t>
            </w:r>
          </w:p>
        </w:tc>
        <w:tc>
          <w:tcPr>
            <w:tcW w:w="425" w:type="pct"/>
            <w:tcBorders>
              <w:top w:val="nil"/>
              <w:left w:val="nil"/>
              <w:bottom w:val="dotted" w:sz="4" w:space="0" w:color="auto"/>
              <w:right w:val="dotted" w:sz="4" w:space="0" w:color="auto"/>
            </w:tcBorders>
            <w:shd w:val="clear" w:color="auto" w:fill="DEEAF6" w:themeFill="accent1" w:themeFillTint="33"/>
            <w:vAlign w:val="center"/>
            <w:hideMark/>
          </w:tcPr>
          <w:p w14:paraId="792C4C71" w14:textId="77777777" w:rsidR="009D6D4E" w:rsidRPr="006D33A1" w:rsidRDefault="009D6D4E" w:rsidP="00BF3B71">
            <w:pPr>
              <w:jc w:val="right"/>
              <w:rPr>
                <w:i/>
                <w:iCs/>
                <w:sz w:val="18"/>
                <w:szCs w:val="18"/>
                <w:lang w:val="en-US"/>
              </w:rPr>
            </w:pPr>
            <w:r w:rsidRPr="006D33A1">
              <w:rPr>
                <w:i/>
                <w:iCs/>
                <w:sz w:val="18"/>
                <w:szCs w:val="18"/>
                <w:lang w:val="en-US"/>
              </w:rPr>
              <w:t>1,731</w:t>
            </w:r>
          </w:p>
        </w:tc>
        <w:tc>
          <w:tcPr>
            <w:tcW w:w="411" w:type="pct"/>
            <w:tcBorders>
              <w:top w:val="nil"/>
              <w:left w:val="nil"/>
              <w:bottom w:val="dotted" w:sz="4" w:space="0" w:color="auto"/>
              <w:right w:val="dotted" w:sz="4" w:space="0" w:color="auto"/>
            </w:tcBorders>
            <w:shd w:val="clear" w:color="auto" w:fill="DEEAF6" w:themeFill="accent1" w:themeFillTint="33"/>
            <w:vAlign w:val="center"/>
            <w:hideMark/>
          </w:tcPr>
          <w:p w14:paraId="337D7CA5" w14:textId="77777777" w:rsidR="009D6D4E" w:rsidRPr="006D33A1" w:rsidRDefault="009D6D4E" w:rsidP="00BF3B71">
            <w:pPr>
              <w:jc w:val="right"/>
              <w:rPr>
                <w:i/>
                <w:iCs/>
                <w:sz w:val="18"/>
                <w:szCs w:val="18"/>
                <w:lang w:val="en-US"/>
              </w:rPr>
            </w:pPr>
            <w:r w:rsidRPr="006D33A1">
              <w:rPr>
                <w:i/>
                <w:iCs/>
                <w:sz w:val="18"/>
                <w:szCs w:val="18"/>
                <w:lang w:val="en-US"/>
              </w:rPr>
              <w:t>1,800</w:t>
            </w:r>
          </w:p>
        </w:tc>
        <w:tc>
          <w:tcPr>
            <w:tcW w:w="411" w:type="pct"/>
            <w:tcBorders>
              <w:top w:val="nil"/>
              <w:left w:val="nil"/>
              <w:bottom w:val="dotted" w:sz="4" w:space="0" w:color="auto"/>
              <w:right w:val="dotted" w:sz="4" w:space="0" w:color="auto"/>
            </w:tcBorders>
            <w:shd w:val="clear" w:color="auto" w:fill="DEEAF6" w:themeFill="accent1" w:themeFillTint="33"/>
            <w:vAlign w:val="center"/>
            <w:hideMark/>
          </w:tcPr>
          <w:p w14:paraId="70238780" w14:textId="77777777" w:rsidR="009D6D4E" w:rsidRPr="006D33A1" w:rsidRDefault="009D6D4E" w:rsidP="00BF3B71">
            <w:pPr>
              <w:jc w:val="right"/>
              <w:rPr>
                <w:i/>
                <w:iCs/>
                <w:sz w:val="18"/>
                <w:szCs w:val="18"/>
                <w:lang w:val="en-US"/>
              </w:rPr>
            </w:pPr>
            <w:r w:rsidRPr="006D33A1">
              <w:rPr>
                <w:i/>
                <w:iCs/>
                <w:sz w:val="18"/>
                <w:szCs w:val="18"/>
                <w:lang w:val="en-US"/>
              </w:rPr>
              <w:t>1,909</w:t>
            </w:r>
          </w:p>
        </w:tc>
        <w:tc>
          <w:tcPr>
            <w:tcW w:w="378" w:type="pct"/>
            <w:tcBorders>
              <w:top w:val="nil"/>
              <w:left w:val="nil"/>
              <w:bottom w:val="dotted" w:sz="4" w:space="0" w:color="auto"/>
              <w:right w:val="single" w:sz="4" w:space="0" w:color="auto"/>
            </w:tcBorders>
            <w:shd w:val="clear" w:color="auto" w:fill="DEEAF6" w:themeFill="accent1" w:themeFillTint="33"/>
            <w:noWrap/>
            <w:vAlign w:val="center"/>
            <w:hideMark/>
          </w:tcPr>
          <w:p w14:paraId="1E12373B" w14:textId="77777777" w:rsidR="009D6D4E" w:rsidRPr="006D33A1" w:rsidRDefault="009D6D4E" w:rsidP="00BF3B71">
            <w:pPr>
              <w:jc w:val="right"/>
              <w:rPr>
                <w:i/>
                <w:iCs/>
                <w:sz w:val="18"/>
                <w:szCs w:val="18"/>
                <w:lang w:val="en-US"/>
              </w:rPr>
            </w:pPr>
            <w:r w:rsidRPr="006D33A1">
              <w:rPr>
                <w:i/>
                <w:iCs/>
                <w:sz w:val="18"/>
                <w:szCs w:val="18"/>
                <w:lang w:val="en-US"/>
              </w:rPr>
              <w:t>n/a</w:t>
            </w:r>
          </w:p>
        </w:tc>
      </w:tr>
      <w:tr w:rsidR="009D6D4E" w:rsidRPr="006D33A1" w14:paraId="27DBF16A" w14:textId="77777777" w:rsidTr="00BF3B71">
        <w:trPr>
          <w:trHeight w:val="20"/>
        </w:trPr>
        <w:tc>
          <w:tcPr>
            <w:tcW w:w="811" w:type="pct"/>
            <w:vMerge/>
            <w:tcBorders>
              <w:top w:val="nil"/>
              <w:left w:val="single" w:sz="4" w:space="0" w:color="auto"/>
              <w:bottom w:val="dotted" w:sz="4" w:space="0" w:color="000000"/>
              <w:right w:val="dotted" w:sz="4" w:space="0" w:color="auto"/>
            </w:tcBorders>
            <w:shd w:val="clear" w:color="auto" w:fill="DEEAF6" w:themeFill="accent1" w:themeFillTint="33"/>
            <w:vAlign w:val="center"/>
            <w:hideMark/>
          </w:tcPr>
          <w:p w14:paraId="40FBD88D" w14:textId="77777777" w:rsidR="009D6D4E" w:rsidRPr="006D33A1" w:rsidRDefault="009D6D4E" w:rsidP="00BF3B71">
            <w:pPr>
              <w:rPr>
                <w:b/>
                <w:bCs/>
                <w:sz w:val="18"/>
                <w:szCs w:val="18"/>
                <w:lang w:val="en-US"/>
              </w:rPr>
            </w:pPr>
          </w:p>
        </w:tc>
        <w:tc>
          <w:tcPr>
            <w:tcW w:w="1756" w:type="pct"/>
            <w:tcBorders>
              <w:top w:val="nil"/>
              <w:left w:val="nil"/>
              <w:bottom w:val="dotted" w:sz="4" w:space="0" w:color="auto"/>
              <w:right w:val="dotted" w:sz="4" w:space="0" w:color="auto"/>
            </w:tcBorders>
            <w:shd w:val="clear" w:color="auto" w:fill="DEEAF6" w:themeFill="accent1" w:themeFillTint="33"/>
            <w:noWrap/>
            <w:vAlign w:val="center"/>
            <w:hideMark/>
          </w:tcPr>
          <w:p w14:paraId="18AF7935" w14:textId="77777777" w:rsidR="009D6D4E" w:rsidRPr="006D33A1" w:rsidRDefault="009D6D4E" w:rsidP="00BF3B71">
            <w:pPr>
              <w:ind w:firstLineChars="100" w:firstLine="180"/>
              <w:rPr>
                <w:i/>
                <w:iCs/>
                <w:sz w:val="18"/>
                <w:szCs w:val="18"/>
                <w:lang w:val="en-US"/>
              </w:rPr>
            </w:pPr>
            <w:r>
              <w:rPr>
                <w:i/>
                <w:iCs/>
                <w:sz w:val="18"/>
                <w:szCs w:val="18"/>
                <w:lang w:val="en-US"/>
              </w:rPr>
              <w:t>Të hyrat jo-tatimore</w:t>
            </w:r>
            <w:r w:rsidRPr="006D33A1">
              <w:rPr>
                <w:i/>
                <w:iCs/>
                <w:sz w:val="18"/>
                <w:szCs w:val="18"/>
                <w:lang w:val="en-US"/>
              </w:rPr>
              <w:t xml:space="preserve"> </w:t>
            </w:r>
          </w:p>
        </w:tc>
        <w:tc>
          <w:tcPr>
            <w:tcW w:w="383" w:type="pct"/>
            <w:tcBorders>
              <w:top w:val="nil"/>
              <w:left w:val="nil"/>
              <w:bottom w:val="dotted" w:sz="4" w:space="0" w:color="auto"/>
              <w:right w:val="dotted" w:sz="4" w:space="0" w:color="auto"/>
            </w:tcBorders>
            <w:shd w:val="clear" w:color="auto" w:fill="DEEAF6" w:themeFill="accent1" w:themeFillTint="33"/>
            <w:noWrap/>
            <w:vAlign w:val="center"/>
            <w:hideMark/>
          </w:tcPr>
          <w:p w14:paraId="1EC9B3E2" w14:textId="77777777" w:rsidR="009D6D4E" w:rsidRPr="006D33A1" w:rsidRDefault="009D6D4E" w:rsidP="00BF3B71">
            <w:pPr>
              <w:jc w:val="right"/>
              <w:rPr>
                <w:i/>
                <w:iCs/>
                <w:sz w:val="18"/>
                <w:szCs w:val="18"/>
                <w:lang w:val="en-US"/>
              </w:rPr>
            </w:pPr>
            <w:r w:rsidRPr="006D33A1">
              <w:rPr>
                <w:i/>
                <w:iCs/>
                <w:sz w:val="18"/>
                <w:szCs w:val="18"/>
                <w:lang w:val="en-US"/>
              </w:rPr>
              <w:t>188.5</w:t>
            </w:r>
          </w:p>
        </w:tc>
        <w:tc>
          <w:tcPr>
            <w:tcW w:w="425" w:type="pct"/>
            <w:tcBorders>
              <w:top w:val="nil"/>
              <w:left w:val="nil"/>
              <w:bottom w:val="dotted" w:sz="4" w:space="0" w:color="auto"/>
              <w:right w:val="dotted" w:sz="4" w:space="0" w:color="auto"/>
            </w:tcBorders>
            <w:shd w:val="clear" w:color="auto" w:fill="DEEAF6" w:themeFill="accent1" w:themeFillTint="33"/>
            <w:noWrap/>
            <w:vAlign w:val="center"/>
            <w:hideMark/>
          </w:tcPr>
          <w:p w14:paraId="3B069F79" w14:textId="77777777" w:rsidR="009D6D4E" w:rsidRPr="006D33A1" w:rsidRDefault="009D6D4E" w:rsidP="00BF3B71">
            <w:pPr>
              <w:jc w:val="right"/>
              <w:rPr>
                <w:i/>
                <w:iCs/>
                <w:sz w:val="18"/>
                <w:szCs w:val="18"/>
                <w:lang w:val="en-US"/>
              </w:rPr>
            </w:pPr>
            <w:r w:rsidRPr="006D33A1">
              <w:rPr>
                <w:i/>
                <w:iCs/>
                <w:sz w:val="18"/>
                <w:szCs w:val="18"/>
                <w:lang w:val="en-US"/>
              </w:rPr>
              <w:t>202.5</w:t>
            </w:r>
          </w:p>
        </w:tc>
        <w:tc>
          <w:tcPr>
            <w:tcW w:w="425" w:type="pct"/>
            <w:tcBorders>
              <w:top w:val="nil"/>
              <w:left w:val="nil"/>
              <w:bottom w:val="dotted" w:sz="4" w:space="0" w:color="auto"/>
              <w:right w:val="dotted" w:sz="4" w:space="0" w:color="auto"/>
            </w:tcBorders>
            <w:shd w:val="clear" w:color="auto" w:fill="DEEAF6" w:themeFill="accent1" w:themeFillTint="33"/>
            <w:noWrap/>
            <w:vAlign w:val="center"/>
            <w:hideMark/>
          </w:tcPr>
          <w:p w14:paraId="0820AB8B" w14:textId="77777777" w:rsidR="009D6D4E" w:rsidRPr="006D33A1" w:rsidRDefault="009D6D4E" w:rsidP="00BF3B71">
            <w:pPr>
              <w:jc w:val="right"/>
              <w:rPr>
                <w:i/>
                <w:iCs/>
                <w:sz w:val="18"/>
                <w:szCs w:val="18"/>
                <w:lang w:val="en-US"/>
              </w:rPr>
            </w:pPr>
            <w:r w:rsidRPr="006D33A1">
              <w:rPr>
                <w:i/>
                <w:iCs/>
                <w:sz w:val="18"/>
                <w:szCs w:val="18"/>
                <w:lang w:val="en-US"/>
              </w:rPr>
              <w:t>208.2</w:t>
            </w:r>
          </w:p>
        </w:tc>
        <w:tc>
          <w:tcPr>
            <w:tcW w:w="411" w:type="pct"/>
            <w:tcBorders>
              <w:top w:val="nil"/>
              <w:left w:val="nil"/>
              <w:bottom w:val="dotted" w:sz="4" w:space="0" w:color="auto"/>
              <w:right w:val="dotted" w:sz="4" w:space="0" w:color="auto"/>
            </w:tcBorders>
            <w:shd w:val="clear" w:color="auto" w:fill="DEEAF6" w:themeFill="accent1" w:themeFillTint="33"/>
            <w:vAlign w:val="center"/>
            <w:hideMark/>
          </w:tcPr>
          <w:p w14:paraId="6861AB04" w14:textId="77777777" w:rsidR="009D6D4E" w:rsidRPr="006D33A1" w:rsidRDefault="009D6D4E" w:rsidP="00BF3B71">
            <w:pPr>
              <w:jc w:val="right"/>
              <w:rPr>
                <w:i/>
                <w:iCs/>
                <w:sz w:val="18"/>
                <w:szCs w:val="18"/>
                <w:lang w:val="en-US"/>
              </w:rPr>
            </w:pPr>
            <w:r w:rsidRPr="006D33A1">
              <w:rPr>
                <w:i/>
                <w:iCs/>
                <w:sz w:val="18"/>
                <w:szCs w:val="18"/>
                <w:lang w:val="en-US"/>
              </w:rPr>
              <w:t>215</w:t>
            </w:r>
          </w:p>
        </w:tc>
        <w:tc>
          <w:tcPr>
            <w:tcW w:w="411" w:type="pct"/>
            <w:tcBorders>
              <w:top w:val="nil"/>
              <w:left w:val="nil"/>
              <w:bottom w:val="dotted" w:sz="4" w:space="0" w:color="auto"/>
              <w:right w:val="dotted" w:sz="4" w:space="0" w:color="auto"/>
            </w:tcBorders>
            <w:shd w:val="clear" w:color="auto" w:fill="DEEAF6" w:themeFill="accent1" w:themeFillTint="33"/>
            <w:vAlign w:val="center"/>
            <w:hideMark/>
          </w:tcPr>
          <w:p w14:paraId="05EAA926" w14:textId="77777777" w:rsidR="009D6D4E" w:rsidRPr="006D33A1" w:rsidRDefault="009D6D4E" w:rsidP="00BF3B71">
            <w:pPr>
              <w:jc w:val="right"/>
              <w:rPr>
                <w:i/>
                <w:iCs/>
                <w:sz w:val="18"/>
                <w:szCs w:val="18"/>
                <w:lang w:val="en-US"/>
              </w:rPr>
            </w:pPr>
            <w:r w:rsidRPr="006D33A1">
              <w:rPr>
                <w:i/>
                <w:iCs/>
                <w:sz w:val="18"/>
                <w:szCs w:val="18"/>
                <w:lang w:val="en-US"/>
              </w:rPr>
              <w:t>221</w:t>
            </w:r>
          </w:p>
        </w:tc>
        <w:tc>
          <w:tcPr>
            <w:tcW w:w="378" w:type="pct"/>
            <w:tcBorders>
              <w:top w:val="nil"/>
              <w:left w:val="nil"/>
              <w:bottom w:val="dotted" w:sz="4" w:space="0" w:color="auto"/>
              <w:right w:val="single" w:sz="4" w:space="0" w:color="auto"/>
            </w:tcBorders>
            <w:shd w:val="clear" w:color="auto" w:fill="DEEAF6" w:themeFill="accent1" w:themeFillTint="33"/>
            <w:noWrap/>
            <w:vAlign w:val="center"/>
            <w:hideMark/>
          </w:tcPr>
          <w:p w14:paraId="1667D17A" w14:textId="77777777" w:rsidR="009D6D4E" w:rsidRPr="006D33A1" w:rsidRDefault="009D6D4E" w:rsidP="00BF3B71">
            <w:pPr>
              <w:jc w:val="right"/>
              <w:rPr>
                <w:i/>
                <w:iCs/>
                <w:sz w:val="18"/>
                <w:szCs w:val="18"/>
                <w:lang w:val="en-US"/>
              </w:rPr>
            </w:pPr>
            <w:r w:rsidRPr="006D33A1">
              <w:rPr>
                <w:i/>
                <w:iCs/>
                <w:sz w:val="18"/>
                <w:szCs w:val="18"/>
                <w:lang w:val="en-US"/>
              </w:rPr>
              <w:t>n/a</w:t>
            </w:r>
          </w:p>
        </w:tc>
      </w:tr>
      <w:tr w:rsidR="009D6D4E" w:rsidRPr="006D33A1" w14:paraId="5838FAF5" w14:textId="77777777" w:rsidTr="00BF3B71">
        <w:trPr>
          <w:trHeight w:val="20"/>
        </w:trPr>
        <w:tc>
          <w:tcPr>
            <w:tcW w:w="811" w:type="pct"/>
            <w:vMerge/>
            <w:tcBorders>
              <w:top w:val="nil"/>
              <w:left w:val="single" w:sz="4" w:space="0" w:color="auto"/>
              <w:bottom w:val="dotted" w:sz="4" w:space="0" w:color="000000"/>
              <w:right w:val="dotted" w:sz="4" w:space="0" w:color="auto"/>
            </w:tcBorders>
            <w:shd w:val="clear" w:color="auto" w:fill="DEEAF6" w:themeFill="accent1" w:themeFillTint="33"/>
            <w:vAlign w:val="center"/>
            <w:hideMark/>
          </w:tcPr>
          <w:p w14:paraId="3BC93CE9" w14:textId="77777777" w:rsidR="009D6D4E" w:rsidRPr="006D33A1" w:rsidRDefault="009D6D4E" w:rsidP="00BF3B71">
            <w:pPr>
              <w:rPr>
                <w:b/>
                <w:bCs/>
                <w:sz w:val="18"/>
                <w:szCs w:val="18"/>
                <w:lang w:val="en-US"/>
              </w:rPr>
            </w:pPr>
          </w:p>
        </w:tc>
        <w:tc>
          <w:tcPr>
            <w:tcW w:w="1756" w:type="pct"/>
            <w:tcBorders>
              <w:top w:val="nil"/>
              <w:left w:val="nil"/>
              <w:bottom w:val="dotted" w:sz="4" w:space="0" w:color="auto"/>
              <w:right w:val="dotted" w:sz="4" w:space="0" w:color="auto"/>
            </w:tcBorders>
            <w:shd w:val="clear" w:color="auto" w:fill="DEEAF6" w:themeFill="accent1" w:themeFillTint="33"/>
            <w:noWrap/>
            <w:vAlign w:val="center"/>
            <w:hideMark/>
          </w:tcPr>
          <w:p w14:paraId="32328279" w14:textId="77777777" w:rsidR="009D6D4E" w:rsidRPr="006D33A1" w:rsidRDefault="009D6D4E" w:rsidP="00BF3B71">
            <w:pPr>
              <w:rPr>
                <w:sz w:val="18"/>
                <w:szCs w:val="18"/>
                <w:lang w:val="en-US"/>
              </w:rPr>
            </w:pPr>
            <w:r>
              <w:rPr>
                <w:sz w:val="18"/>
                <w:szCs w:val="18"/>
                <w:lang w:val="en-US"/>
              </w:rPr>
              <w:t>Shpenzimet totale</w:t>
            </w:r>
          </w:p>
        </w:tc>
        <w:tc>
          <w:tcPr>
            <w:tcW w:w="383" w:type="pct"/>
            <w:tcBorders>
              <w:top w:val="nil"/>
              <w:left w:val="nil"/>
              <w:bottom w:val="dotted" w:sz="4" w:space="0" w:color="auto"/>
              <w:right w:val="dotted" w:sz="4" w:space="0" w:color="auto"/>
            </w:tcBorders>
            <w:shd w:val="clear" w:color="auto" w:fill="DEEAF6" w:themeFill="accent1" w:themeFillTint="33"/>
            <w:noWrap/>
            <w:vAlign w:val="center"/>
            <w:hideMark/>
          </w:tcPr>
          <w:p w14:paraId="56C42EE7" w14:textId="77777777" w:rsidR="009D6D4E" w:rsidRPr="006D33A1" w:rsidRDefault="009D6D4E" w:rsidP="00BF3B71">
            <w:pPr>
              <w:jc w:val="right"/>
              <w:rPr>
                <w:sz w:val="18"/>
                <w:szCs w:val="18"/>
                <w:lang w:val="en-US"/>
              </w:rPr>
            </w:pPr>
            <w:r w:rsidRPr="006D33A1">
              <w:rPr>
                <w:sz w:val="18"/>
                <w:szCs w:val="18"/>
                <w:lang w:val="en-US"/>
              </w:rPr>
              <w:t>1,766</w:t>
            </w:r>
          </w:p>
        </w:tc>
        <w:tc>
          <w:tcPr>
            <w:tcW w:w="425" w:type="pct"/>
            <w:tcBorders>
              <w:top w:val="nil"/>
              <w:left w:val="nil"/>
              <w:bottom w:val="dotted" w:sz="4" w:space="0" w:color="auto"/>
              <w:right w:val="dotted" w:sz="4" w:space="0" w:color="auto"/>
            </w:tcBorders>
            <w:shd w:val="clear" w:color="auto" w:fill="DEEAF6" w:themeFill="accent1" w:themeFillTint="33"/>
            <w:noWrap/>
            <w:vAlign w:val="center"/>
            <w:hideMark/>
          </w:tcPr>
          <w:p w14:paraId="3F4830AE" w14:textId="77777777" w:rsidR="009D6D4E" w:rsidRPr="006D33A1" w:rsidRDefault="009D6D4E" w:rsidP="00BF3B71">
            <w:pPr>
              <w:jc w:val="right"/>
              <w:rPr>
                <w:sz w:val="18"/>
                <w:szCs w:val="18"/>
                <w:lang w:val="en-US"/>
              </w:rPr>
            </w:pPr>
            <w:r w:rsidRPr="006D33A1">
              <w:rPr>
                <w:sz w:val="18"/>
                <w:szCs w:val="18"/>
                <w:lang w:val="en-US"/>
              </w:rPr>
              <w:t>2,104</w:t>
            </w:r>
          </w:p>
        </w:tc>
        <w:tc>
          <w:tcPr>
            <w:tcW w:w="425" w:type="pct"/>
            <w:tcBorders>
              <w:top w:val="nil"/>
              <w:left w:val="nil"/>
              <w:bottom w:val="dotted" w:sz="4" w:space="0" w:color="auto"/>
              <w:right w:val="dotted" w:sz="4" w:space="0" w:color="auto"/>
            </w:tcBorders>
            <w:shd w:val="clear" w:color="auto" w:fill="DEEAF6" w:themeFill="accent1" w:themeFillTint="33"/>
            <w:noWrap/>
            <w:vAlign w:val="center"/>
            <w:hideMark/>
          </w:tcPr>
          <w:p w14:paraId="4F80581B" w14:textId="77777777" w:rsidR="009D6D4E" w:rsidRPr="006D33A1" w:rsidRDefault="009D6D4E" w:rsidP="00BF3B71">
            <w:pPr>
              <w:jc w:val="right"/>
              <w:rPr>
                <w:sz w:val="18"/>
                <w:szCs w:val="18"/>
                <w:lang w:val="en-US"/>
              </w:rPr>
            </w:pPr>
            <w:r w:rsidRPr="006D33A1">
              <w:rPr>
                <w:sz w:val="18"/>
                <w:szCs w:val="18"/>
                <w:lang w:val="en-US"/>
              </w:rPr>
              <w:t>2,378</w:t>
            </w:r>
          </w:p>
        </w:tc>
        <w:tc>
          <w:tcPr>
            <w:tcW w:w="411" w:type="pct"/>
            <w:tcBorders>
              <w:top w:val="nil"/>
              <w:left w:val="nil"/>
              <w:bottom w:val="dotted" w:sz="4" w:space="0" w:color="auto"/>
              <w:right w:val="dotted" w:sz="4" w:space="0" w:color="auto"/>
            </w:tcBorders>
            <w:shd w:val="clear" w:color="auto" w:fill="DEEAF6" w:themeFill="accent1" w:themeFillTint="33"/>
            <w:noWrap/>
            <w:vAlign w:val="center"/>
            <w:hideMark/>
          </w:tcPr>
          <w:p w14:paraId="09C0D5EF" w14:textId="77777777" w:rsidR="009D6D4E" w:rsidRPr="006D33A1" w:rsidRDefault="009D6D4E" w:rsidP="00BF3B71">
            <w:pPr>
              <w:jc w:val="right"/>
              <w:rPr>
                <w:sz w:val="18"/>
                <w:szCs w:val="18"/>
                <w:lang w:val="en-US"/>
              </w:rPr>
            </w:pPr>
            <w:r w:rsidRPr="006D33A1">
              <w:rPr>
                <w:sz w:val="18"/>
                <w:szCs w:val="18"/>
                <w:lang w:val="en-US"/>
              </w:rPr>
              <w:t>2,422</w:t>
            </w:r>
          </w:p>
        </w:tc>
        <w:tc>
          <w:tcPr>
            <w:tcW w:w="411" w:type="pct"/>
            <w:tcBorders>
              <w:top w:val="nil"/>
              <w:left w:val="nil"/>
              <w:bottom w:val="dotted" w:sz="4" w:space="0" w:color="auto"/>
              <w:right w:val="dotted" w:sz="4" w:space="0" w:color="auto"/>
            </w:tcBorders>
            <w:shd w:val="clear" w:color="auto" w:fill="DEEAF6" w:themeFill="accent1" w:themeFillTint="33"/>
            <w:noWrap/>
            <w:vAlign w:val="center"/>
            <w:hideMark/>
          </w:tcPr>
          <w:p w14:paraId="45DBE84C" w14:textId="77777777" w:rsidR="009D6D4E" w:rsidRPr="006D33A1" w:rsidRDefault="009D6D4E" w:rsidP="00BF3B71">
            <w:pPr>
              <w:jc w:val="right"/>
              <w:rPr>
                <w:sz w:val="18"/>
                <w:szCs w:val="18"/>
                <w:lang w:val="en-US"/>
              </w:rPr>
            </w:pPr>
            <w:r w:rsidRPr="006D33A1">
              <w:rPr>
                <w:sz w:val="18"/>
                <w:szCs w:val="18"/>
                <w:lang w:val="en-US"/>
              </w:rPr>
              <w:t>2,488</w:t>
            </w:r>
          </w:p>
        </w:tc>
        <w:tc>
          <w:tcPr>
            <w:tcW w:w="378" w:type="pct"/>
            <w:tcBorders>
              <w:top w:val="nil"/>
              <w:left w:val="nil"/>
              <w:bottom w:val="dotted" w:sz="4" w:space="0" w:color="auto"/>
              <w:right w:val="single" w:sz="4" w:space="0" w:color="auto"/>
            </w:tcBorders>
            <w:shd w:val="clear" w:color="auto" w:fill="DEEAF6" w:themeFill="accent1" w:themeFillTint="33"/>
            <w:noWrap/>
            <w:vAlign w:val="center"/>
            <w:hideMark/>
          </w:tcPr>
          <w:p w14:paraId="206B8779" w14:textId="77777777" w:rsidR="009D6D4E" w:rsidRPr="006D33A1" w:rsidRDefault="009D6D4E" w:rsidP="00BF3B71">
            <w:pPr>
              <w:jc w:val="right"/>
              <w:rPr>
                <w:i/>
                <w:iCs/>
                <w:sz w:val="18"/>
                <w:szCs w:val="18"/>
                <w:lang w:val="en-US"/>
              </w:rPr>
            </w:pPr>
            <w:r w:rsidRPr="006D33A1">
              <w:rPr>
                <w:i/>
                <w:iCs/>
                <w:sz w:val="18"/>
                <w:szCs w:val="18"/>
                <w:lang w:val="en-US"/>
              </w:rPr>
              <w:t>n/a</w:t>
            </w:r>
          </w:p>
        </w:tc>
      </w:tr>
      <w:tr w:rsidR="009D6D4E" w:rsidRPr="006D33A1" w14:paraId="4C1B933F" w14:textId="77777777" w:rsidTr="00BF3B71">
        <w:trPr>
          <w:trHeight w:val="20"/>
        </w:trPr>
        <w:tc>
          <w:tcPr>
            <w:tcW w:w="811" w:type="pct"/>
            <w:vMerge/>
            <w:tcBorders>
              <w:top w:val="nil"/>
              <w:left w:val="single" w:sz="4" w:space="0" w:color="auto"/>
              <w:bottom w:val="dotted" w:sz="4" w:space="0" w:color="000000"/>
              <w:right w:val="dotted" w:sz="4" w:space="0" w:color="auto"/>
            </w:tcBorders>
            <w:shd w:val="clear" w:color="auto" w:fill="DEEAF6" w:themeFill="accent1" w:themeFillTint="33"/>
            <w:vAlign w:val="center"/>
            <w:hideMark/>
          </w:tcPr>
          <w:p w14:paraId="1D006638" w14:textId="77777777" w:rsidR="009D6D4E" w:rsidRPr="006D33A1" w:rsidRDefault="009D6D4E" w:rsidP="00BF3B71">
            <w:pPr>
              <w:rPr>
                <w:b/>
                <w:bCs/>
                <w:sz w:val="18"/>
                <w:szCs w:val="18"/>
                <w:lang w:val="en-US"/>
              </w:rPr>
            </w:pPr>
          </w:p>
        </w:tc>
        <w:tc>
          <w:tcPr>
            <w:tcW w:w="1756" w:type="pct"/>
            <w:tcBorders>
              <w:top w:val="nil"/>
              <w:left w:val="nil"/>
              <w:bottom w:val="dotted" w:sz="4" w:space="0" w:color="auto"/>
              <w:right w:val="dotted" w:sz="4" w:space="0" w:color="auto"/>
            </w:tcBorders>
            <w:shd w:val="clear" w:color="auto" w:fill="DEEAF6" w:themeFill="accent1" w:themeFillTint="33"/>
            <w:noWrap/>
            <w:vAlign w:val="center"/>
            <w:hideMark/>
          </w:tcPr>
          <w:p w14:paraId="335E2452" w14:textId="77777777" w:rsidR="009D6D4E" w:rsidRPr="006D33A1" w:rsidRDefault="009D6D4E" w:rsidP="00BF3B71">
            <w:pPr>
              <w:ind w:firstLineChars="100" w:firstLine="180"/>
              <w:rPr>
                <w:i/>
                <w:iCs/>
                <w:sz w:val="18"/>
                <w:szCs w:val="18"/>
                <w:lang w:val="en-US"/>
              </w:rPr>
            </w:pPr>
            <w:r>
              <w:rPr>
                <w:i/>
                <w:iCs/>
                <w:sz w:val="18"/>
                <w:szCs w:val="18"/>
                <w:lang w:val="en-US"/>
              </w:rPr>
              <w:t>Shpenzimet rrjedhëse</w:t>
            </w:r>
          </w:p>
        </w:tc>
        <w:tc>
          <w:tcPr>
            <w:tcW w:w="383" w:type="pct"/>
            <w:tcBorders>
              <w:top w:val="nil"/>
              <w:left w:val="nil"/>
              <w:bottom w:val="dotted" w:sz="4" w:space="0" w:color="auto"/>
              <w:right w:val="dotted" w:sz="4" w:space="0" w:color="auto"/>
            </w:tcBorders>
            <w:shd w:val="clear" w:color="auto" w:fill="DEEAF6" w:themeFill="accent1" w:themeFillTint="33"/>
            <w:noWrap/>
            <w:vAlign w:val="center"/>
            <w:hideMark/>
          </w:tcPr>
          <w:p w14:paraId="3DA43D8C" w14:textId="77777777" w:rsidR="009D6D4E" w:rsidRPr="006D33A1" w:rsidRDefault="009D6D4E" w:rsidP="00BF3B71">
            <w:pPr>
              <w:jc w:val="right"/>
              <w:rPr>
                <w:i/>
                <w:iCs/>
                <w:sz w:val="18"/>
                <w:szCs w:val="18"/>
                <w:lang w:val="en-US"/>
              </w:rPr>
            </w:pPr>
            <w:r w:rsidRPr="006D33A1">
              <w:rPr>
                <w:i/>
                <w:iCs/>
                <w:sz w:val="18"/>
                <w:szCs w:val="18"/>
                <w:lang w:val="en-US"/>
              </w:rPr>
              <w:t>1,282</w:t>
            </w:r>
          </w:p>
        </w:tc>
        <w:tc>
          <w:tcPr>
            <w:tcW w:w="425" w:type="pct"/>
            <w:tcBorders>
              <w:top w:val="nil"/>
              <w:left w:val="nil"/>
              <w:bottom w:val="dotted" w:sz="4" w:space="0" w:color="auto"/>
              <w:right w:val="dotted" w:sz="4" w:space="0" w:color="auto"/>
            </w:tcBorders>
            <w:shd w:val="clear" w:color="auto" w:fill="DEEAF6" w:themeFill="accent1" w:themeFillTint="33"/>
            <w:noWrap/>
            <w:vAlign w:val="center"/>
            <w:hideMark/>
          </w:tcPr>
          <w:p w14:paraId="60DA02F1" w14:textId="77777777" w:rsidR="009D6D4E" w:rsidRPr="006D33A1" w:rsidRDefault="009D6D4E" w:rsidP="00BF3B71">
            <w:pPr>
              <w:jc w:val="right"/>
              <w:rPr>
                <w:i/>
                <w:iCs/>
                <w:sz w:val="18"/>
                <w:szCs w:val="18"/>
                <w:lang w:val="en-US"/>
              </w:rPr>
            </w:pPr>
            <w:r w:rsidRPr="006D33A1">
              <w:rPr>
                <w:i/>
                <w:iCs/>
                <w:sz w:val="18"/>
                <w:szCs w:val="18"/>
                <w:lang w:val="en-US"/>
              </w:rPr>
              <w:t>1,386</w:t>
            </w:r>
          </w:p>
        </w:tc>
        <w:tc>
          <w:tcPr>
            <w:tcW w:w="425" w:type="pct"/>
            <w:tcBorders>
              <w:top w:val="nil"/>
              <w:left w:val="nil"/>
              <w:bottom w:val="dotted" w:sz="4" w:space="0" w:color="auto"/>
              <w:right w:val="dotted" w:sz="4" w:space="0" w:color="auto"/>
            </w:tcBorders>
            <w:shd w:val="clear" w:color="auto" w:fill="DEEAF6" w:themeFill="accent1" w:themeFillTint="33"/>
            <w:noWrap/>
            <w:vAlign w:val="center"/>
            <w:hideMark/>
          </w:tcPr>
          <w:p w14:paraId="26AFC4A6" w14:textId="77777777" w:rsidR="009D6D4E" w:rsidRPr="006D33A1" w:rsidRDefault="009D6D4E" w:rsidP="00BF3B71">
            <w:pPr>
              <w:jc w:val="right"/>
              <w:rPr>
                <w:i/>
                <w:iCs/>
                <w:sz w:val="18"/>
                <w:szCs w:val="18"/>
                <w:lang w:val="en-US"/>
              </w:rPr>
            </w:pPr>
            <w:r w:rsidRPr="006D33A1">
              <w:rPr>
                <w:i/>
                <w:iCs/>
                <w:sz w:val="18"/>
                <w:szCs w:val="18"/>
                <w:lang w:val="en-US"/>
              </w:rPr>
              <w:t>1,561</w:t>
            </w:r>
          </w:p>
        </w:tc>
        <w:tc>
          <w:tcPr>
            <w:tcW w:w="411" w:type="pct"/>
            <w:tcBorders>
              <w:top w:val="nil"/>
              <w:left w:val="nil"/>
              <w:bottom w:val="dotted" w:sz="4" w:space="0" w:color="auto"/>
              <w:right w:val="dotted" w:sz="4" w:space="0" w:color="auto"/>
            </w:tcBorders>
            <w:shd w:val="clear" w:color="auto" w:fill="DEEAF6" w:themeFill="accent1" w:themeFillTint="33"/>
            <w:noWrap/>
            <w:vAlign w:val="center"/>
            <w:hideMark/>
          </w:tcPr>
          <w:p w14:paraId="4017D9C3" w14:textId="77777777" w:rsidR="009D6D4E" w:rsidRPr="006D33A1" w:rsidRDefault="009D6D4E" w:rsidP="00BF3B71">
            <w:pPr>
              <w:jc w:val="right"/>
              <w:rPr>
                <w:i/>
                <w:iCs/>
                <w:sz w:val="18"/>
                <w:szCs w:val="18"/>
                <w:lang w:val="en-US"/>
              </w:rPr>
            </w:pPr>
            <w:r w:rsidRPr="006D33A1">
              <w:rPr>
                <w:i/>
                <w:iCs/>
                <w:sz w:val="18"/>
                <w:szCs w:val="18"/>
                <w:lang w:val="en-US"/>
              </w:rPr>
              <w:t>1,582</w:t>
            </w:r>
          </w:p>
        </w:tc>
        <w:tc>
          <w:tcPr>
            <w:tcW w:w="411" w:type="pct"/>
            <w:tcBorders>
              <w:top w:val="nil"/>
              <w:left w:val="nil"/>
              <w:bottom w:val="dotted" w:sz="4" w:space="0" w:color="auto"/>
              <w:right w:val="dotted" w:sz="4" w:space="0" w:color="auto"/>
            </w:tcBorders>
            <w:shd w:val="clear" w:color="auto" w:fill="DEEAF6" w:themeFill="accent1" w:themeFillTint="33"/>
            <w:noWrap/>
            <w:vAlign w:val="center"/>
            <w:hideMark/>
          </w:tcPr>
          <w:p w14:paraId="6E09F64A" w14:textId="77777777" w:rsidR="009D6D4E" w:rsidRPr="006D33A1" w:rsidRDefault="009D6D4E" w:rsidP="00BF3B71">
            <w:pPr>
              <w:jc w:val="right"/>
              <w:rPr>
                <w:i/>
                <w:iCs/>
                <w:sz w:val="18"/>
                <w:szCs w:val="18"/>
                <w:lang w:val="en-US"/>
              </w:rPr>
            </w:pPr>
            <w:r w:rsidRPr="006D33A1">
              <w:rPr>
                <w:i/>
                <w:iCs/>
                <w:sz w:val="18"/>
                <w:szCs w:val="18"/>
                <w:lang w:val="en-US"/>
              </w:rPr>
              <w:t>1,617</w:t>
            </w:r>
          </w:p>
        </w:tc>
        <w:tc>
          <w:tcPr>
            <w:tcW w:w="378" w:type="pct"/>
            <w:tcBorders>
              <w:top w:val="nil"/>
              <w:left w:val="nil"/>
              <w:bottom w:val="dotted" w:sz="4" w:space="0" w:color="auto"/>
              <w:right w:val="single" w:sz="4" w:space="0" w:color="auto"/>
            </w:tcBorders>
            <w:shd w:val="clear" w:color="auto" w:fill="DEEAF6" w:themeFill="accent1" w:themeFillTint="33"/>
            <w:noWrap/>
            <w:vAlign w:val="center"/>
            <w:hideMark/>
          </w:tcPr>
          <w:p w14:paraId="0F3A56AB" w14:textId="77777777" w:rsidR="009D6D4E" w:rsidRPr="006D33A1" w:rsidRDefault="009D6D4E" w:rsidP="00BF3B71">
            <w:pPr>
              <w:jc w:val="right"/>
              <w:rPr>
                <w:i/>
                <w:iCs/>
                <w:sz w:val="18"/>
                <w:szCs w:val="18"/>
                <w:lang w:val="en-US"/>
              </w:rPr>
            </w:pPr>
            <w:r w:rsidRPr="006D33A1">
              <w:rPr>
                <w:i/>
                <w:iCs/>
                <w:sz w:val="18"/>
                <w:szCs w:val="18"/>
                <w:lang w:val="en-US"/>
              </w:rPr>
              <w:t>n/a</w:t>
            </w:r>
          </w:p>
        </w:tc>
      </w:tr>
      <w:tr w:rsidR="009D6D4E" w:rsidRPr="006D33A1" w14:paraId="503DD6D7" w14:textId="77777777" w:rsidTr="00BF3B71">
        <w:trPr>
          <w:trHeight w:val="20"/>
        </w:trPr>
        <w:tc>
          <w:tcPr>
            <w:tcW w:w="811" w:type="pct"/>
            <w:vMerge/>
            <w:tcBorders>
              <w:top w:val="nil"/>
              <w:left w:val="single" w:sz="4" w:space="0" w:color="auto"/>
              <w:bottom w:val="dotted" w:sz="4" w:space="0" w:color="000000"/>
              <w:right w:val="dotted" w:sz="4" w:space="0" w:color="auto"/>
            </w:tcBorders>
            <w:shd w:val="clear" w:color="auto" w:fill="DEEAF6" w:themeFill="accent1" w:themeFillTint="33"/>
            <w:vAlign w:val="center"/>
            <w:hideMark/>
          </w:tcPr>
          <w:p w14:paraId="58ECA968" w14:textId="77777777" w:rsidR="009D6D4E" w:rsidRPr="006D33A1" w:rsidRDefault="009D6D4E" w:rsidP="00BF3B71">
            <w:pPr>
              <w:rPr>
                <w:b/>
                <w:bCs/>
                <w:sz w:val="18"/>
                <w:szCs w:val="18"/>
                <w:lang w:val="en-US"/>
              </w:rPr>
            </w:pPr>
          </w:p>
        </w:tc>
        <w:tc>
          <w:tcPr>
            <w:tcW w:w="1756" w:type="pct"/>
            <w:tcBorders>
              <w:top w:val="nil"/>
              <w:left w:val="nil"/>
              <w:bottom w:val="dotted" w:sz="4" w:space="0" w:color="auto"/>
              <w:right w:val="dotted" w:sz="4" w:space="0" w:color="auto"/>
            </w:tcBorders>
            <w:shd w:val="clear" w:color="auto" w:fill="DEEAF6" w:themeFill="accent1" w:themeFillTint="33"/>
            <w:noWrap/>
            <w:vAlign w:val="center"/>
            <w:hideMark/>
          </w:tcPr>
          <w:p w14:paraId="0A2BEC9A" w14:textId="77777777" w:rsidR="009D6D4E" w:rsidRPr="006D33A1" w:rsidRDefault="009D6D4E" w:rsidP="00BF3B71">
            <w:pPr>
              <w:ind w:firstLineChars="100" w:firstLine="180"/>
              <w:rPr>
                <w:i/>
                <w:iCs/>
                <w:sz w:val="18"/>
                <w:szCs w:val="18"/>
                <w:lang w:val="en-US"/>
              </w:rPr>
            </w:pPr>
            <w:r>
              <w:rPr>
                <w:i/>
                <w:iCs/>
                <w:sz w:val="18"/>
                <w:szCs w:val="18"/>
                <w:lang w:val="en-US"/>
              </w:rPr>
              <w:t>Shpenzimet kapitale</w:t>
            </w:r>
          </w:p>
        </w:tc>
        <w:tc>
          <w:tcPr>
            <w:tcW w:w="383" w:type="pct"/>
            <w:tcBorders>
              <w:top w:val="nil"/>
              <w:left w:val="nil"/>
              <w:bottom w:val="dotted" w:sz="4" w:space="0" w:color="auto"/>
              <w:right w:val="dotted" w:sz="4" w:space="0" w:color="auto"/>
            </w:tcBorders>
            <w:shd w:val="clear" w:color="auto" w:fill="DEEAF6" w:themeFill="accent1" w:themeFillTint="33"/>
            <w:noWrap/>
            <w:vAlign w:val="center"/>
            <w:hideMark/>
          </w:tcPr>
          <w:p w14:paraId="5220800C" w14:textId="77777777" w:rsidR="009D6D4E" w:rsidRPr="006D33A1" w:rsidRDefault="009D6D4E" w:rsidP="00BF3B71">
            <w:pPr>
              <w:jc w:val="right"/>
              <w:rPr>
                <w:i/>
                <w:iCs/>
                <w:sz w:val="18"/>
                <w:szCs w:val="18"/>
                <w:lang w:val="en-US"/>
              </w:rPr>
            </w:pPr>
            <w:r w:rsidRPr="006D33A1">
              <w:rPr>
                <w:i/>
                <w:iCs/>
                <w:sz w:val="18"/>
                <w:szCs w:val="18"/>
                <w:lang w:val="en-US"/>
              </w:rPr>
              <w:t>468</w:t>
            </w:r>
          </w:p>
        </w:tc>
        <w:tc>
          <w:tcPr>
            <w:tcW w:w="425" w:type="pct"/>
            <w:tcBorders>
              <w:top w:val="nil"/>
              <w:left w:val="nil"/>
              <w:bottom w:val="dotted" w:sz="4" w:space="0" w:color="auto"/>
              <w:right w:val="dotted" w:sz="4" w:space="0" w:color="auto"/>
            </w:tcBorders>
            <w:shd w:val="clear" w:color="auto" w:fill="DEEAF6" w:themeFill="accent1" w:themeFillTint="33"/>
            <w:noWrap/>
            <w:vAlign w:val="center"/>
            <w:hideMark/>
          </w:tcPr>
          <w:p w14:paraId="43DD3DBA" w14:textId="77777777" w:rsidR="009D6D4E" w:rsidRPr="006D33A1" w:rsidRDefault="009D6D4E" w:rsidP="00BF3B71">
            <w:pPr>
              <w:jc w:val="right"/>
              <w:rPr>
                <w:i/>
                <w:iCs/>
                <w:sz w:val="18"/>
                <w:szCs w:val="18"/>
                <w:lang w:val="en-US"/>
              </w:rPr>
            </w:pPr>
            <w:r w:rsidRPr="006D33A1">
              <w:rPr>
                <w:i/>
                <w:iCs/>
                <w:sz w:val="18"/>
                <w:szCs w:val="18"/>
                <w:lang w:val="en-US"/>
              </w:rPr>
              <w:t>694</w:t>
            </w:r>
          </w:p>
        </w:tc>
        <w:tc>
          <w:tcPr>
            <w:tcW w:w="425" w:type="pct"/>
            <w:tcBorders>
              <w:top w:val="nil"/>
              <w:left w:val="nil"/>
              <w:bottom w:val="dotted" w:sz="4" w:space="0" w:color="auto"/>
              <w:right w:val="dotted" w:sz="4" w:space="0" w:color="auto"/>
            </w:tcBorders>
            <w:shd w:val="clear" w:color="auto" w:fill="DEEAF6" w:themeFill="accent1" w:themeFillTint="33"/>
            <w:noWrap/>
            <w:vAlign w:val="center"/>
            <w:hideMark/>
          </w:tcPr>
          <w:p w14:paraId="1995DB98" w14:textId="77777777" w:rsidR="009D6D4E" w:rsidRPr="006D33A1" w:rsidRDefault="009D6D4E" w:rsidP="00BF3B71">
            <w:pPr>
              <w:jc w:val="right"/>
              <w:rPr>
                <w:i/>
                <w:iCs/>
                <w:sz w:val="18"/>
                <w:szCs w:val="18"/>
                <w:lang w:val="en-US"/>
              </w:rPr>
            </w:pPr>
            <w:r w:rsidRPr="006D33A1">
              <w:rPr>
                <w:i/>
                <w:iCs/>
                <w:sz w:val="18"/>
                <w:szCs w:val="18"/>
                <w:lang w:val="en-US"/>
              </w:rPr>
              <w:t>789</w:t>
            </w:r>
          </w:p>
        </w:tc>
        <w:tc>
          <w:tcPr>
            <w:tcW w:w="411" w:type="pct"/>
            <w:tcBorders>
              <w:top w:val="nil"/>
              <w:left w:val="nil"/>
              <w:bottom w:val="dotted" w:sz="4" w:space="0" w:color="auto"/>
              <w:right w:val="dotted" w:sz="4" w:space="0" w:color="auto"/>
            </w:tcBorders>
            <w:shd w:val="clear" w:color="auto" w:fill="DEEAF6" w:themeFill="accent1" w:themeFillTint="33"/>
            <w:noWrap/>
            <w:vAlign w:val="center"/>
            <w:hideMark/>
          </w:tcPr>
          <w:p w14:paraId="25161396" w14:textId="77777777" w:rsidR="009D6D4E" w:rsidRPr="006D33A1" w:rsidRDefault="009D6D4E" w:rsidP="00BF3B71">
            <w:pPr>
              <w:jc w:val="right"/>
              <w:rPr>
                <w:i/>
                <w:iCs/>
                <w:sz w:val="18"/>
                <w:szCs w:val="18"/>
                <w:lang w:val="en-US"/>
              </w:rPr>
            </w:pPr>
            <w:r w:rsidRPr="006D33A1">
              <w:rPr>
                <w:i/>
                <w:iCs/>
                <w:sz w:val="18"/>
                <w:szCs w:val="18"/>
                <w:lang w:val="en-US"/>
              </w:rPr>
              <w:t>811</w:t>
            </w:r>
          </w:p>
        </w:tc>
        <w:tc>
          <w:tcPr>
            <w:tcW w:w="411" w:type="pct"/>
            <w:tcBorders>
              <w:top w:val="nil"/>
              <w:left w:val="nil"/>
              <w:bottom w:val="dotted" w:sz="4" w:space="0" w:color="auto"/>
              <w:right w:val="dotted" w:sz="4" w:space="0" w:color="auto"/>
            </w:tcBorders>
            <w:shd w:val="clear" w:color="auto" w:fill="DEEAF6" w:themeFill="accent1" w:themeFillTint="33"/>
            <w:noWrap/>
            <w:vAlign w:val="center"/>
            <w:hideMark/>
          </w:tcPr>
          <w:p w14:paraId="5AFA3243" w14:textId="77777777" w:rsidR="009D6D4E" w:rsidRPr="006D33A1" w:rsidRDefault="009D6D4E" w:rsidP="00BF3B71">
            <w:pPr>
              <w:jc w:val="right"/>
              <w:rPr>
                <w:i/>
                <w:iCs/>
                <w:sz w:val="18"/>
                <w:szCs w:val="18"/>
                <w:lang w:val="en-US"/>
              </w:rPr>
            </w:pPr>
            <w:r w:rsidRPr="006D33A1">
              <w:rPr>
                <w:i/>
                <w:iCs/>
                <w:sz w:val="18"/>
                <w:szCs w:val="18"/>
                <w:lang w:val="en-US"/>
              </w:rPr>
              <w:t>843</w:t>
            </w:r>
          </w:p>
        </w:tc>
        <w:tc>
          <w:tcPr>
            <w:tcW w:w="378" w:type="pct"/>
            <w:tcBorders>
              <w:top w:val="nil"/>
              <w:left w:val="nil"/>
              <w:bottom w:val="dotted" w:sz="4" w:space="0" w:color="auto"/>
              <w:right w:val="single" w:sz="4" w:space="0" w:color="auto"/>
            </w:tcBorders>
            <w:shd w:val="clear" w:color="auto" w:fill="DEEAF6" w:themeFill="accent1" w:themeFillTint="33"/>
            <w:noWrap/>
            <w:vAlign w:val="center"/>
            <w:hideMark/>
          </w:tcPr>
          <w:p w14:paraId="4B672D33" w14:textId="77777777" w:rsidR="009D6D4E" w:rsidRPr="006D33A1" w:rsidRDefault="009D6D4E" w:rsidP="00BF3B71">
            <w:pPr>
              <w:jc w:val="right"/>
              <w:rPr>
                <w:i/>
                <w:iCs/>
                <w:sz w:val="18"/>
                <w:szCs w:val="18"/>
                <w:lang w:val="en-US"/>
              </w:rPr>
            </w:pPr>
            <w:r w:rsidRPr="006D33A1">
              <w:rPr>
                <w:i/>
                <w:iCs/>
                <w:sz w:val="18"/>
                <w:szCs w:val="18"/>
                <w:lang w:val="en-US"/>
              </w:rPr>
              <w:t>n/a</w:t>
            </w:r>
          </w:p>
        </w:tc>
      </w:tr>
      <w:tr w:rsidR="009D6D4E" w:rsidRPr="006D33A1" w14:paraId="0D477977" w14:textId="77777777" w:rsidTr="00BF3B71">
        <w:trPr>
          <w:trHeight w:val="20"/>
        </w:trPr>
        <w:tc>
          <w:tcPr>
            <w:tcW w:w="811" w:type="pct"/>
            <w:vMerge/>
            <w:tcBorders>
              <w:top w:val="nil"/>
              <w:left w:val="single" w:sz="4" w:space="0" w:color="auto"/>
              <w:bottom w:val="dotted" w:sz="4" w:space="0" w:color="000000"/>
              <w:right w:val="dotted" w:sz="4" w:space="0" w:color="auto"/>
            </w:tcBorders>
            <w:shd w:val="clear" w:color="auto" w:fill="DEEAF6" w:themeFill="accent1" w:themeFillTint="33"/>
            <w:vAlign w:val="center"/>
            <w:hideMark/>
          </w:tcPr>
          <w:p w14:paraId="6F67E3B9" w14:textId="77777777" w:rsidR="009D6D4E" w:rsidRPr="006D33A1" w:rsidRDefault="009D6D4E" w:rsidP="00BF3B71">
            <w:pPr>
              <w:rPr>
                <w:b/>
                <w:bCs/>
                <w:sz w:val="18"/>
                <w:szCs w:val="18"/>
                <w:lang w:val="en-US"/>
              </w:rPr>
            </w:pPr>
          </w:p>
        </w:tc>
        <w:tc>
          <w:tcPr>
            <w:tcW w:w="1756" w:type="pct"/>
            <w:tcBorders>
              <w:top w:val="nil"/>
              <w:left w:val="nil"/>
              <w:bottom w:val="dotted" w:sz="4" w:space="0" w:color="auto"/>
              <w:right w:val="dotted" w:sz="4" w:space="0" w:color="auto"/>
            </w:tcBorders>
            <w:shd w:val="clear" w:color="auto" w:fill="DEEAF6" w:themeFill="accent1" w:themeFillTint="33"/>
            <w:noWrap/>
            <w:vAlign w:val="center"/>
            <w:hideMark/>
          </w:tcPr>
          <w:p w14:paraId="7F982671" w14:textId="77777777" w:rsidR="009D6D4E" w:rsidRPr="006D33A1" w:rsidRDefault="009D6D4E" w:rsidP="00BF3B71">
            <w:pPr>
              <w:rPr>
                <w:sz w:val="18"/>
                <w:szCs w:val="18"/>
                <w:lang w:val="en-US"/>
              </w:rPr>
            </w:pPr>
            <w:r>
              <w:rPr>
                <w:sz w:val="18"/>
                <w:szCs w:val="18"/>
                <w:lang w:val="en-US"/>
              </w:rPr>
              <w:t>Bilanci i përgjithshëm buxhetor</w:t>
            </w:r>
          </w:p>
        </w:tc>
        <w:tc>
          <w:tcPr>
            <w:tcW w:w="383" w:type="pct"/>
            <w:tcBorders>
              <w:top w:val="nil"/>
              <w:left w:val="nil"/>
              <w:bottom w:val="dotted" w:sz="4" w:space="0" w:color="auto"/>
              <w:right w:val="dotted" w:sz="4" w:space="0" w:color="auto"/>
            </w:tcBorders>
            <w:shd w:val="clear" w:color="auto" w:fill="DEEAF6" w:themeFill="accent1" w:themeFillTint="33"/>
            <w:noWrap/>
            <w:vAlign w:val="center"/>
            <w:hideMark/>
          </w:tcPr>
          <w:p w14:paraId="0B07AF2C" w14:textId="77777777" w:rsidR="009D6D4E" w:rsidRPr="006D33A1" w:rsidRDefault="009D6D4E" w:rsidP="00BF3B71">
            <w:pPr>
              <w:jc w:val="right"/>
              <w:rPr>
                <w:sz w:val="18"/>
                <w:szCs w:val="18"/>
                <w:lang w:val="en-US"/>
              </w:rPr>
            </w:pPr>
            <w:r w:rsidRPr="006D33A1">
              <w:rPr>
                <w:sz w:val="18"/>
                <w:szCs w:val="18"/>
                <w:lang w:val="en-US"/>
              </w:rPr>
              <w:t>-82</w:t>
            </w:r>
          </w:p>
        </w:tc>
        <w:tc>
          <w:tcPr>
            <w:tcW w:w="425" w:type="pct"/>
            <w:tcBorders>
              <w:top w:val="nil"/>
              <w:left w:val="nil"/>
              <w:bottom w:val="dotted" w:sz="4" w:space="0" w:color="auto"/>
              <w:right w:val="dotted" w:sz="4" w:space="0" w:color="auto"/>
            </w:tcBorders>
            <w:shd w:val="clear" w:color="auto" w:fill="DEEAF6" w:themeFill="accent1" w:themeFillTint="33"/>
            <w:noWrap/>
            <w:vAlign w:val="center"/>
            <w:hideMark/>
          </w:tcPr>
          <w:p w14:paraId="40D7D0AC" w14:textId="77777777" w:rsidR="009D6D4E" w:rsidRPr="006D33A1" w:rsidRDefault="009D6D4E" w:rsidP="00BF3B71">
            <w:pPr>
              <w:jc w:val="right"/>
              <w:rPr>
                <w:sz w:val="18"/>
                <w:szCs w:val="18"/>
                <w:lang w:val="en-US"/>
              </w:rPr>
            </w:pPr>
            <w:r w:rsidRPr="006D33A1">
              <w:rPr>
                <w:sz w:val="18"/>
                <w:szCs w:val="18"/>
                <w:lang w:val="en-US"/>
              </w:rPr>
              <w:t>-287</w:t>
            </w:r>
          </w:p>
        </w:tc>
        <w:tc>
          <w:tcPr>
            <w:tcW w:w="425" w:type="pct"/>
            <w:tcBorders>
              <w:top w:val="nil"/>
              <w:left w:val="nil"/>
              <w:bottom w:val="dotted" w:sz="4" w:space="0" w:color="auto"/>
              <w:right w:val="dotted" w:sz="4" w:space="0" w:color="auto"/>
            </w:tcBorders>
            <w:shd w:val="clear" w:color="auto" w:fill="DEEAF6" w:themeFill="accent1" w:themeFillTint="33"/>
            <w:vAlign w:val="center"/>
            <w:hideMark/>
          </w:tcPr>
          <w:p w14:paraId="326D3E56" w14:textId="77777777" w:rsidR="009D6D4E" w:rsidRPr="006D33A1" w:rsidRDefault="009D6D4E" w:rsidP="00BF3B71">
            <w:pPr>
              <w:jc w:val="right"/>
              <w:rPr>
                <w:sz w:val="18"/>
                <w:szCs w:val="18"/>
                <w:lang w:val="en-US"/>
              </w:rPr>
            </w:pPr>
            <w:r w:rsidRPr="006D33A1">
              <w:rPr>
                <w:sz w:val="18"/>
                <w:szCs w:val="18"/>
                <w:lang w:val="en-US"/>
              </w:rPr>
              <w:t>-429</w:t>
            </w:r>
          </w:p>
        </w:tc>
        <w:tc>
          <w:tcPr>
            <w:tcW w:w="411" w:type="pct"/>
            <w:tcBorders>
              <w:top w:val="nil"/>
              <w:left w:val="nil"/>
              <w:bottom w:val="dotted" w:sz="4" w:space="0" w:color="auto"/>
              <w:right w:val="dotted" w:sz="4" w:space="0" w:color="auto"/>
            </w:tcBorders>
            <w:shd w:val="clear" w:color="auto" w:fill="DEEAF6" w:themeFill="accent1" w:themeFillTint="33"/>
            <w:noWrap/>
            <w:vAlign w:val="center"/>
            <w:hideMark/>
          </w:tcPr>
          <w:p w14:paraId="23FD39A4" w14:textId="77777777" w:rsidR="009D6D4E" w:rsidRPr="006D33A1" w:rsidRDefault="009D6D4E" w:rsidP="00BF3B71">
            <w:pPr>
              <w:jc w:val="right"/>
              <w:rPr>
                <w:sz w:val="18"/>
                <w:szCs w:val="18"/>
                <w:lang w:val="en-US"/>
              </w:rPr>
            </w:pPr>
            <w:r w:rsidRPr="006D33A1">
              <w:rPr>
                <w:sz w:val="18"/>
                <w:szCs w:val="18"/>
                <w:lang w:val="en-US"/>
              </w:rPr>
              <w:t>-396</w:t>
            </w:r>
          </w:p>
        </w:tc>
        <w:tc>
          <w:tcPr>
            <w:tcW w:w="411" w:type="pct"/>
            <w:tcBorders>
              <w:top w:val="nil"/>
              <w:left w:val="nil"/>
              <w:bottom w:val="dotted" w:sz="4" w:space="0" w:color="auto"/>
              <w:right w:val="dotted" w:sz="4" w:space="0" w:color="auto"/>
            </w:tcBorders>
            <w:shd w:val="clear" w:color="auto" w:fill="DEEAF6" w:themeFill="accent1" w:themeFillTint="33"/>
            <w:noWrap/>
            <w:vAlign w:val="center"/>
            <w:hideMark/>
          </w:tcPr>
          <w:p w14:paraId="44991E99" w14:textId="77777777" w:rsidR="009D6D4E" w:rsidRPr="006D33A1" w:rsidRDefault="009D6D4E" w:rsidP="00BF3B71">
            <w:pPr>
              <w:jc w:val="right"/>
              <w:rPr>
                <w:sz w:val="18"/>
                <w:szCs w:val="18"/>
                <w:lang w:val="en-US"/>
              </w:rPr>
            </w:pPr>
            <w:r w:rsidRPr="006D33A1">
              <w:rPr>
                <w:sz w:val="18"/>
                <w:szCs w:val="18"/>
                <w:lang w:val="en-US"/>
              </w:rPr>
              <w:t>-347</w:t>
            </w:r>
          </w:p>
        </w:tc>
        <w:tc>
          <w:tcPr>
            <w:tcW w:w="378" w:type="pct"/>
            <w:tcBorders>
              <w:top w:val="nil"/>
              <w:left w:val="nil"/>
              <w:bottom w:val="dotted" w:sz="4" w:space="0" w:color="auto"/>
              <w:right w:val="single" w:sz="4" w:space="0" w:color="auto"/>
            </w:tcBorders>
            <w:shd w:val="clear" w:color="auto" w:fill="DEEAF6" w:themeFill="accent1" w:themeFillTint="33"/>
            <w:noWrap/>
            <w:vAlign w:val="center"/>
            <w:hideMark/>
          </w:tcPr>
          <w:p w14:paraId="41379B24" w14:textId="77777777" w:rsidR="009D6D4E" w:rsidRPr="006D33A1" w:rsidRDefault="009D6D4E" w:rsidP="00BF3B71">
            <w:pPr>
              <w:jc w:val="right"/>
              <w:rPr>
                <w:i/>
                <w:iCs/>
                <w:sz w:val="18"/>
                <w:szCs w:val="18"/>
                <w:lang w:val="en-US"/>
              </w:rPr>
            </w:pPr>
            <w:r w:rsidRPr="006D33A1">
              <w:rPr>
                <w:i/>
                <w:iCs/>
                <w:sz w:val="18"/>
                <w:szCs w:val="18"/>
                <w:lang w:val="en-US"/>
              </w:rPr>
              <w:t>n/a</w:t>
            </w:r>
          </w:p>
        </w:tc>
      </w:tr>
      <w:tr w:rsidR="009D6D4E" w:rsidRPr="006D33A1" w14:paraId="1799851E" w14:textId="77777777" w:rsidTr="00BF3B71">
        <w:trPr>
          <w:trHeight w:val="20"/>
        </w:trPr>
        <w:tc>
          <w:tcPr>
            <w:tcW w:w="811" w:type="pct"/>
            <w:vMerge/>
            <w:tcBorders>
              <w:top w:val="nil"/>
              <w:left w:val="single" w:sz="4" w:space="0" w:color="auto"/>
              <w:bottom w:val="dotted" w:sz="4" w:space="0" w:color="000000"/>
              <w:right w:val="dotted" w:sz="4" w:space="0" w:color="auto"/>
            </w:tcBorders>
            <w:shd w:val="clear" w:color="auto" w:fill="DEEAF6" w:themeFill="accent1" w:themeFillTint="33"/>
            <w:vAlign w:val="center"/>
            <w:hideMark/>
          </w:tcPr>
          <w:p w14:paraId="0A0B855A" w14:textId="77777777" w:rsidR="009D6D4E" w:rsidRPr="006D33A1" w:rsidRDefault="009D6D4E" w:rsidP="00BF3B71">
            <w:pPr>
              <w:rPr>
                <w:b/>
                <w:bCs/>
                <w:sz w:val="18"/>
                <w:szCs w:val="18"/>
                <w:lang w:val="en-US"/>
              </w:rPr>
            </w:pPr>
          </w:p>
        </w:tc>
        <w:tc>
          <w:tcPr>
            <w:tcW w:w="1756" w:type="pct"/>
            <w:tcBorders>
              <w:top w:val="nil"/>
              <w:left w:val="nil"/>
              <w:bottom w:val="dotted" w:sz="4" w:space="0" w:color="auto"/>
              <w:right w:val="dotted" w:sz="4" w:space="0" w:color="auto"/>
            </w:tcBorders>
            <w:shd w:val="clear" w:color="auto" w:fill="DEEAF6" w:themeFill="accent1" w:themeFillTint="33"/>
            <w:noWrap/>
            <w:vAlign w:val="center"/>
            <w:hideMark/>
          </w:tcPr>
          <w:p w14:paraId="77078D3B" w14:textId="77777777" w:rsidR="009D6D4E" w:rsidRPr="006D33A1" w:rsidRDefault="009D6D4E" w:rsidP="00BF3B71">
            <w:pPr>
              <w:rPr>
                <w:i/>
                <w:iCs/>
                <w:sz w:val="18"/>
                <w:szCs w:val="18"/>
                <w:lang w:val="en-US"/>
              </w:rPr>
            </w:pPr>
            <w:r>
              <w:rPr>
                <w:i/>
                <w:iCs/>
                <w:sz w:val="18"/>
                <w:szCs w:val="18"/>
                <w:lang w:val="en-US"/>
              </w:rPr>
              <w:t>Bilanxi buxhetor</w:t>
            </w:r>
            <w:r w:rsidRPr="006D33A1">
              <w:rPr>
                <w:i/>
                <w:iCs/>
                <w:sz w:val="18"/>
                <w:szCs w:val="18"/>
                <w:lang w:val="en-US"/>
              </w:rPr>
              <w:t xml:space="preserve"> (</w:t>
            </w:r>
            <w:r>
              <w:rPr>
                <w:i/>
                <w:iCs/>
                <w:sz w:val="18"/>
                <w:szCs w:val="18"/>
                <w:lang w:val="en-US"/>
              </w:rPr>
              <w:t>sipas rregullës fiskale</w:t>
            </w:r>
            <w:r w:rsidRPr="006D33A1">
              <w:rPr>
                <w:i/>
                <w:iCs/>
                <w:sz w:val="18"/>
                <w:szCs w:val="18"/>
                <w:lang w:val="en-US"/>
              </w:rPr>
              <w:t>)</w:t>
            </w:r>
          </w:p>
        </w:tc>
        <w:tc>
          <w:tcPr>
            <w:tcW w:w="383" w:type="pct"/>
            <w:tcBorders>
              <w:top w:val="nil"/>
              <w:left w:val="nil"/>
              <w:bottom w:val="dotted" w:sz="4" w:space="0" w:color="auto"/>
              <w:right w:val="dotted" w:sz="4" w:space="0" w:color="auto"/>
            </w:tcBorders>
            <w:shd w:val="clear" w:color="auto" w:fill="DEEAF6" w:themeFill="accent1" w:themeFillTint="33"/>
            <w:noWrap/>
            <w:vAlign w:val="center"/>
            <w:hideMark/>
          </w:tcPr>
          <w:p w14:paraId="77C211D5" w14:textId="77777777" w:rsidR="009D6D4E" w:rsidRPr="006D33A1" w:rsidRDefault="009D6D4E" w:rsidP="00BF3B71">
            <w:pPr>
              <w:jc w:val="right"/>
              <w:rPr>
                <w:i/>
                <w:iCs/>
                <w:sz w:val="18"/>
                <w:szCs w:val="18"/>
                <w:lang w:val="en-US"/>
              </w:rPr>
            </w:pPr>
            <w:r w:rsidRPr="006D33A1">
              <w:rPr>
                <w:i/>
                <w:iCs/>
                <w:sz w:val="18"/>
                <w:szCs w:val="18"/>
                <w:lang w:val="en-US"/>
              </w:rPr>
              <w:t>-55</w:t>
            </w:r>
          </w:p>
        </w:tc>
        <w:tc>
          <w:tcPr>
            <w:tcW w:w="425" w:type="pct"/>
            <w:tcBorders>
              <w:top w:val="nil"/>
              <w:left w:val="nil"/>
              <w:bottom w:val="dotted" w:sz="4" w:space="0" w:color="auto"/>
              <w:right w:val="dotted" w:sz="4" w:space="0" w:color="auto"/>
            </w:tcBorders>
            <w:shd w:val="clear" w:color="auto" w:fill="DEEAF6" w:themeFill="accent1" w:themeFillTint="33"/>
            <w:noWrap/>
            <w:vAlign w:val="center"/>
            <w:hideMark/>
          </w:tcPr>
          <w:p w14:paraId="6B330CE4" w14:textId="77777777" w:rsidR="009D6D4E" w:rsidRPr="006D33A1" w:rsidRDefault="009D6D4E" w:rsidP="00BF3B71">
            <w:pPr>
              <w:jc w:val="right"/>
              <w:rPr>
                <w:i/>
                <w:iCs/>
                <w:sz w:val="18"/>
                <w:szCs w:val="18"/>
                <w:lang w:val="en-US"/>
              </w:rPr>
            </w:pPr>
            <w:r w:rsidRPr="006D33A1">
              <w:rPr>
                <w:i/>
                <w:iCs/>
                <w:sz w:val="18"/>
                <w:szCs w:val="18"/>
                <w:lang w:val="en-US"/>
              </w:rPr>
              <w:t>-122</w:t>
            </w:r>
          </w:p>
        </w:tc>
        <w:tc>
          <w:tcPr>
            <w:tcW w:w="425" w:type="pct"/>
            <w:tcBorders>
              <w:top w:val="nil"/>
              <w:left w:val="nil"/>
              <w:bottom w:val="dotted" w:sz="4" w:space="0" w:color="auto"/>
              <w:right w:val="dotted" w:sz="4" w:space="0" w:color="auto"/>
            </w:tcBorders>
            <w:shd w:val="clear" w:color="auto" w:fill="DEEAF6" w:themeFill="accent1" w:themeFillTint="33"/>
            <w:vAlign w:val="center"/>
            <w:hideMark/>
          </w:tcPr>
          <w:p w14:paraId="2082720E" w14:textId="77777777" w:rsidR="009D6D4E" w:rsidRPr="006D33A1" w:rsidRDefault="009D6D4E" w:rsidP="00BF3B71">
            <w:pPr>
              <w:jc w:val="right"/>
              <w:rPr>
                <w:i/>
                <w:iCs/>
                <w:sz w:val="18"/>
                <w:szCs w:val="18"/>
                <w:lang w:val="en-US"/>
              </w:rPr>
            </w:pPr>
            <w:r w:rsidRPr="006D33A1">
              <w:rPr>
                <w:i/>
                <w:iCs/>
                <w:sz w:val="18"/>
                <w:szCs w:val="18"/>
                <w:lang w:val="en-US"/>
              </w:rPr>
              <w:t>-145</w:t>
            </w:r>
          </w:p>
        </w:tc>
        <w:tc>
          <w:tcPr>
            <w:tcW w:w="411" w:type="pct"/>
            <w:tcBorders>
              <w:top w:val="nil"/>
              <w:left w:val="nil"/>
              <w:bottom w:val="dotted" w:sz="4" w:space="0" w:color="auto"/>
              <w:right w:val="dotted" w:sz="4" w:space="0" w:color="auto"/>
            </w:tcBorders>
            <w:shd w:val="clear" w:color="auto" w:fill="DEEAF6" w:themeFill="accent1" w:themeFillTint="33"/>
            <w:noWrap/>
            <w:vAlign w:val="center"/>
            <w:hideMark/>
          </w:tcPr>
          <w:p w14:paraId="475E33DD" w14:textId="77777777" w:rsidR="009D6D4E" w:rsidRPr="006D33A1" w:rsidRDefault="009D6D4E" w:rsidP="00BF3B71">
            <w:pPr>
              <w:jc w:val="right"/>
              <w:rPr>
                <w:sz w:val="18"/>
                <w:szCs w:val="18"/>
                <w:lang w:val="en-US"/>
              </w:rPr>
            </w:pPr>
            <w:r w:rsidRPr="006D33A1">
              <w:rPr>
                <w:sz w:val="18"/>
                <w:szCs w:val="18"/>
                <w:lang w:val="en-US"/>
              </w:rPr>
              <w:t>-108.6</w:t>
            </w:r>
          </w:p>
        </w:tc>
        <w:tc>
          <w:tcPr>
            <w:tcW w:w="411" w:type="pct"/>
            <w:tcBorders>
              <w:top w:val="nil"/>
              <w:left w:val="nil"/>
              <w:bottom w:val="dotted" w:sz="4" w:space="0" w:color="auto"/>
              <w:right w:val="dotted" w:sz="4" w:space="0" w:color="auto"/>
            </w:tcBorders>
            <w:shd w:val="clear" w:color="auto" w:fill="DEEAF6" w:themeFill="accent1" w:themeFillTint="33"/>
            <w:noWrap/>
            <w:vAlign w:val="center"/>
            <w:hideMark/>
          </w:tcPr>
          <w:p w14:paraId="03F888A5" w14:textId="77777777" w:rsidR="009D6D4E" w:rsidRPr="006D33A1" w:rsidRDefault="009D6D4E" w:rsidP="00BF3B71">
            <w:pPr>
              <w:jc w:val="right"/>
              <w:rPr>
                <w:sz w:val="18"/>
                <w:szCs w:val="18"/>
                <w:lang w:val="en-US"/>
              </w:rPr>
            </w:pPr>
            <w:r w:rsidRPr="006D33A1">
              <w:rPr>
                <w:sz w:val="18"/>
                <w:szCs w:val="18"/>
                <w:lang w:val="en-US"/>
              </w:rPr>
              <w:t>-151.8</w:t>
            </w:r>
          </w:p>
        </w:tc>
        <w:tc>
          <w:tcPr>
            <w:tcW w:w="378" w:type="pct"/>
            <w:tcBorders>
              <w:top w:val="nil"/>
              <w:left w:val="nil"/>
              <w:bottom w:val="dotted" w:sz="4" w:space="0" w:color="auto"/>
              <w:right w:val="single" w:sz="4" w:space="0" w:color="auto"/>
            </w:tcBorders>
            <w:shd w:val="clear" w:color="auto" w:fill="DEEAF6" w:themeFill="accent1" w:themeFillTint="33"/>
            <w:noWrap/>
            <w:vAlign w:val="center"/>
            <w:hideMark/>
          </w:tcPr>
          <w:p w14:paraId="709ECFDF" w14:textId="77777777" w:rsidR="009D6D4E" w:rsidRPr="006D33A1" w:rsidRDefault="009D6D4E" w:rsidP="00BF3B71">
            <w:pPr>
              <w:jc w:val="right"/>
              <w:rPr>
                <w:i/>
                <w:iCs/>
                <w:sz w:val="18"/>
                <w:szCs w:val="18"/>
                <w:lang w:val="en-US"/>
              </w:rPr>
            </w:pPr>
            <w:r w:rsidRPr="006D33A1">
              <w:rPr>
                <w:i/>
                <w:iCs/>
                <w:sz w:val="18"/>
                <w:szCs w:val="18"/>
                <w:lang w:val="en-US"/>
              </w:rPr>
              <w:t>n/a</w:t>
            </w:r>
          </w:p>
        </w:tc>
      </w:tr>
      <w:tr w:rsidR="009D6D4E" w:rsidRPr="006D33A1" w14:paraId="3578D951" w14:textId="77777777" w:rsidTr="00BF3B71">
        <w:trPr>
          <w:trHeight w:val="20"/>
        </w:trPr>
        <w:tc>
          <w:tcPr>
            <w:tcW w:w="811" w:type="pct"/>
            <w:vMerge/>
            <w:tcBorders>
              <w:top w:val="nil"/>
              <w:left w:val="single" w:sz="4" w:space="0" w:color="auto"/>
              <w:bottom w:val="dotted" w:sz="4" w:space="0" w:color="000000"/>
              <w:right w:val="dotted" w:sz="4" w:space="0" w:color="auto"/>
            </w:tcBorders>
            <w:shd w:val="clear" w:color="auto" w:fill="DEEAF6" w:themeFill="accent1" w:themeFillTint="33"/>
            <w:vAlign w:val="center"/>
            <w:hideMark/>
          </w:tcPr>
          <w:p w14:paraId="779480F9" w14:textId="77777777" w:rsidR="009D6D4E" w:rsidRPr="006D33A1" w:rsidRDefault="009D6D4E" w:rsidP="00BF3B71">
            <w:pPr>
              <w:rPr>
                <w:b/>
                <w:bCs/>
                <w:sz w:val="18"/>
                <w:szCs w:val="18"/>
                <w:lang w:val="en-US"/>
              </w:rPr>
            </w:pPr>
          </w:p>
        </w:tc>
        <w:tc>
          <w:tcPr>
            <w:tcW w:w="1756" w:type="pct"/>
            <w:tcBorders>
              <w:top w:val="nil"/>
              <w:left w:val="nil"/>
              <w:bottom w:val="dotted" w:sz="4" w:space="0" w:color="auto"/>
              <w:right w:val="dotted" w:sz="4" w:space="0" w:color="auto"/>
            </w:tcBorders>
            <w:shd w:val="clear" w:color="auto" w:fill="DEEAF6" w:themeFill="accent1" w:themeFillTint="33"/>
            <w:noWrap/>
            <w:vAlign w:val="center"/>
            <w:hideMark/>
          </w:tcPr>
          <w:p w14:paraId="1724CFB0" w14:textId="77777777" w:rsidR="009D6D4E" w:rsidRPr="006D33A1" w:rsidRDefault="009D6D4E" w:rsidP="00BF3B71">
            <w:pPr>
              <w:rPr>
                <w:sz w:val="18"/>
                <w:szCs w:val="18"/>
                <w:lang w:val="en-US"/>
              </w:rPr>
            </w:pPr>
            <w:r>
              <w:rPr>
                <w:sz w:val="18"/>
                <w:szCs w:val="18"/>
                <w:lang w:val="en-US"/>
              </w:rPr>
              <w:t>BPV</w:t>
            </w:r>
          </w:p>
        </w:tc>
        <w:tc>
          <w:tcPr>
            <w:tcW w:w="383" w:type="pct"/>
            <w:tcBorders>
              <w:top w:val="nil"/>
              <w:left w:val="nil"/>
              <w:bottom w:val="dotted" w:sz="4" w:space="0" w:color="auto"/>
              <w:right w:val="dotted" w:sz="4" w:space="0" w:color="auto"/>
            </w:tcBorders>
            <w:shd w:val="clear" w:color="auto" w:fill="DEEAF6" w:themeFill="accent1" w:themeFillTint="33"/>
            <w:noWrap/>
            <w:vAlign w:val="center"/>
            <w:hideMark/>
          </w:tcPr>
          <w:p w14:paraId="7A4056E5" w14:textId="77777777" w:rsidR="009D6D4E" w:rsidRPr="006D33A1" w:rsidRDefault="009D6D4E" w:rsidP="00BF3B71">
            <w:pPr>
              <w:jc w:val="right"/>
              <w:rPr>
                <w:sz w:val="18"/>
                <w:szCs w:val="18"/>
                <w:lang w:val="en-US"/>
              </w:rPr>
            </w:pPr>
            <w:r w:rsidRPr="006D33A1">
              <w:rPr>
                <w:sz w:val="18"/>
                <w:szCs w:val="18"/>
                <w:lang w:val="en-US"/>
              </w:rPr>
              <w:t>6,414</w:t>
            </w:r>
          </w:p>
        </w:tc>
        <w:tc>
          <w:tcPr>
            <w:tcW w:w="425" w:type="pct"/>
            <w:tcBorders>
              <w:top w:val="nil"/>
              <w:left w:val="nil"/>
              <w:bottom w:val="dotted" w:sz="4" w:space="0" w:color="auto"/>
              <w:right w:val="dotted" w:sz="4" w:space="0" w:color="auto"/>
            </w:tcBorders>
            <w:shd w:val="clear" w:color="auto" w:fill="DEEAF6" w:themeFill="accent1" w:themeFillTint="33"/>
            <w:noWrap/>
            <w:vAlign w:val="center"/>
            <w:hideMark/>
          </w:tcPr>
          <w:p w14:paraId="115285BB" w14:textId="77777777" w:rsidR="009D6D4E" w:rsidRPr="006D33A1" w:rsidRDefault="009D6D4E" w:rsidP="00BF3B71">
            <w:pPr>
              <w:jc w:val="right"/>
              <w:rPr>
                <w:sz w:val="18"/>
                <w:szCs w:val="18"/>
                <w:lang w:val="en-US"/>
              </w:rPr>
            </w:pPr>
            <w:r w:rsidRPr="006D33A1">
              <w:rPr>
                <w:sz w:val="18"/>
                <w:szCs w:val="18"/>
                <w:lang w:val="en-US"/>
              </w:rPr>
              <w:t>6,761</w:t>
            </w:r>
          </w:p>
        </w:tc>
        <w:tc>
          <w:tcPr>
            <w:tcW w:w="425" w:type="pct"/>
            <w:tcBorders>
              <w:top w:val="nil"/>
              <w:left w:val="nil"/>
              <w:bottom w:val="dotted" w:sz="4" w:space="0" w:color="auto"/>
              <w:right w:val="dotted" w:sz="4" w:space="0" w:color="auto"/>
            </w:tcBorders>
            <w:shd w:val="clear" w:color="auto" w:fill="DEEAF6" w:themeFill="accent1" w:themeFillTint="33"/>
            <w:noWrap/>
            <w:vAlign w:val="center"/>
            <w:hideMark/>
          </w:tcPr>
          <w:p w14:paraId="25E11833" w14:textId="77777777" w:rsidR="009D6D4E" w:rsidRPr="006D33A1" w:rsidRDefault="009D6D4E" w:rsidP="00BF3B71">
            <w:pPr>
              <w:jc w:val="right"/>
              <w:rPr>
                <w:sz w:val="18"/>
                <w:szCs w:val="18"/>
                <w:lang w:val="en-US"/>
              </w:rPr>
            </w:pPr>
            <w:r w:rsidRPr="006D33A1">
              <w:rPr>
                <w:sz w:val="18"/>
                <w:szCs w:val="18"/>
                <w:lang w:val="en-US"/>
              </w:rPr>
              <w:t>7,123</w:t>
            </w:r>
          </w:p>
        </w:tc>
        <w:tc>
          <w:tcPr>
            <w:tcW w:w="411" w:type="pct"/>
            <w:tcBorders>
              <w:top w:val="nil"/>
              <w:left w:val="nil"/>
              <w:bottom w:val="dotted" w:sz="4" w:space="0" w:color="auto"/>
              <w:right w:val="dotted" w:sz="4" w:space="0" w:color="auto"/>
            </w:tcBorders>
            <w:shd w:val="clear" w:color="auto" w:fill="DEEAF6" w:themeFill="accent1" w:themeFillTint="33"/>
            <w:noWrap/>
            <w:vAlign w:val="center"/>
            <w:hideMark/>
          </w:tcPr>
          <w:p w14:paraId="476A1805" w14:textId="77777777" w:rsidR="009D6D4E" w:rsidRPr="006D33A1" w:rsidRDefault="009D6D4E" w:rsidP="00BF3B71">
            <w:pPr>
              <w:jc w:val="right"/>
              <w:rPr>
                <w:sz w:val="18"/>
                <w:szCs w:val="18"/>
                <w:lang w:val="en-US"/>
              </w:rPr>
            </w:pPr>
            <w:r w:rsidRPr="006D33A1">
              <w:rPr>
                <w:sz w:val="18"/>
                <w:szCs w:val="18"/>
                <w:lang w:val="en-US"/>
              </w:rPr>
              <w:t>7,529</w:t>
            </w:r>
          </w:p>
        </w:tc>
        <w:tc>
          <w:tcPr>
            <w:tcW w:w="411" w:type="pct"/>
            <w:tcBorders>
              <w:top w:val="nil"/>
              <w:left w:val="nil"/>
              <w:bottom w:val="dotted" w:sz="4" w:space="0" w:color="auto"/>
              <w:right w:val="dotted" w:sz="4" w:space="0" w:color="auto"/>
            </w:tcBorders>
            <w:shd w:val="clear" w:color="auto" w:fill="DEEAF6" w:themeFill="accent1" w:themeFillTint="33"/>
            <w:noWrap/>
            <w:vAlign w:val="center"/>
            <w:hideMark/>
          </w:tcPr>
          <w:p w14:paraId="4C285A32" w14:textId="77777777" w:rsidR="009D6D4E" w:rsidRPr="006D33A1" w:rsidRDefault="009D6D4E" w:rsidP="00BF3B71">
            <w:pPr>
              <w:jc w:val="right"/>
              <w:rPr>
                <w:sz w:val="18"/>
                <w:szCs w:val="18"/>
                <w:lang w:val="en-US"/>
              </w:rPr>
            </w:pPr>
            <w:r w:rsidRPr="006D33A1">
              <w:rPr>
                <w:sz w:val="18"/>
                <w:szCs w:val="18"/>
                <w:lang w:val="en-US"/>
              </w:rPr>
              <w:t>7,961</w:t>
            </w:r>
          </w:p>
        </w:tc>
        <w:tc>
          <w:tcPr>
            <w:tcW w:w="378" w:type="pct"/>
            <w:tcBorders>
              <w:top w:val="nil"/>
              <w:left w:val="nil"/>
              <w:bottom w:val="dotted" w:sz="4" w:space="0" w:color="auto"/>
              <w:right w:val="single" w:sz="4" w:space="0" w:color="auto"/>
            </w:tcBorders>
            <w:shd w:val="clear" w:color="auto" w:fill="DEEAF6" w:themeFill="accent1" w:themeFillTint="33"/>
            <w:noWrap/>
            <w:vAlign w:val="center"/>
            <w:hideMark/>
          </w:tcPr>
          <w:p w14:paraId="43191CF6" w14:textId="77777777" w:rsidR="009D6D4E" w:rsidRPr="006D33A1" w:rsidRDefault="009D6D4E" w:rsidP="00BF3B71">
            <w:pPr>
              <w:jc w:val="right"/>
              <w:rPr>
                <w:i/>
                <w:iCs/>
                <w:sz w:val="18"/>
                <w:szCs w:val="18"/>
                <w:lang w:val="en-US"/>
              </w:rPr>
            </w:pPr>
            <w:r w:rsidRPr="006D33A1">
              <w:rPr>
                <w:i/>
                <w:iCs/>
                <w:sz w:val="18"/>
                <w:szCs w:val="18"/>
                <w:lang w:val="en-US"/>
              </w:rPr>
              <w:t>n/a</w:t>
            </w:r>
          </w:p>
        </w:tc>
      </w:tr>
      <w:tr w:rsidR="009D6D4E" w:rsidRPr="006D33A1" w14:paraId="0A251EFA" w14:textId="77777777" w:rsidTr="00BF3B71">
        <w:trPr>
          <w:trHeight w:val="20"/>
        </w:trPr>
        <w:tc>
          <w:tcPr>
            <w:tcW w:w="811" w:type="pct"/>
            <w:vMerge/>
            <w:tcBorders>
              <w:top w:val="nil"/>
              <w:left w:val="single" w:sz="4" w:space="0" w:color="auto"/>
              <w:bottom w:val="dotted" w:sz="4" w:space="0" w:color="000000"/>
              <w:right w:val="dotted" w:sz="4" w:space="0" w:color="auto"/>
            </w:tcBorders>
            <w:shd w:val="clear" w:color="auto" w:fill="DEEAF6" w:themeFill="accent1" w:themeFillTint="33"/>
            <w:vAlign w:val="center"/>
            <w:hideMark/>
          </w:tcPr>
          <w:p w14:paraId="7835CAFE" w14:textId="77777777" w:rsidR="009D6D4E" w:rsidRPr="006D33A1" w:rsidRDefault="009D6D4E" w:rsidP="00BF3B71">
            <w:pPr>
              <w:rPr>
                <w:b/>
                <w:bCs/>
                <w:sz w:val="18"/>
                <w:szCs w:val="18"/>
                <w:lang w:val="en-US"/>
              </w:rPr>
            </w:pPr>
          </w:p>
        </w:tc>
        <w:tc>
          <w:tcPr>
            <w:tcW w:w="1756" w:type="pct"/>
            <w:tcBorders>
              <w:top w:val="nil"/>
              <w:left w:val="nil"/>
              <w:bottom w:val="dotted" w:sz="4" w:space="0" w:color="auto"/>
              <w:right w:val="dotted" w:sz="4" w:space="0" w:color="auto"/>
            </w:tcBorders>
            <w:shd w:val="clear" w:color="auto" w:fill="DEEAF6" w:themeFill="accent1" w:themeFillTint="33"/>
            <w:noWrap/>
            <w:vAlign w:val="center"/>
            <w:hideMark/>
          </w:tcPr>
          <w:p w14:paraId="42B978EB" w14:textId="77777777" w:rsidR="009D6D4E" w:rsidRPr="006D33A1" w:rsidRDefault="009D6D4E" w:rsidP="00BF3B71">
            <w:pPr>
              <w:rPr>
                <w:sz w:val="18"/>
                <w:szCs w:val="18"/>
                <w:lang w:val="en-US"/>
              </w:rPr>
            </w:pPr>
            <w:r>
              <w:rPr>
                <w:sz w:val="18"/>
                <w:szCs w:val="18"/>
                <w:lang w:val="en-US"/>
              </w:rPr>
              <w:t>Deficiti i Përgjithshëm</w:t>
            </w:r>
            <w:r w:rsidRPr="006D33A1">
              <w:rPr>
                <w:sz w:val="18"/>
                <w:szCs w:val="18"/>
                <w:lang w:val="en-US"/>
              </w:rPr>
              <w:t xml:space="preserve">, </w:t>
            </w:r>
            <w:r>
              <w:rPr>
                <w:sz w:val="18"/>
                <w:szCs w:val="18"/>
                <w:lang w:val="en-US"/>
              </w:rPr>
              <w:t>si</w:t>
            </w:r>
            <w:r w:rsidRPr="006D33A1">
              <w:rPr>
                <w:sz w:val="18"/>
                <w:szCs w:val="18"/>
                <w:lang w:val="en-US"/>
              </w:rPr>
              <w:t xml:space="preserve"> % </w:t>
            </w:r>
            <w:r>
              <w:rPr>
                <w:sz w:val="18"/>
                <w:szCs w:val="18"/>
                <w:lang w:val="en-US"/>
              </w:rPr>
              <w:t>e BPV-së</w:t>
            </w:r>
          </w:p>
        </w:tc>
        <w:tc>
          <w:tcPr>
            <w:tcW w:w="383" w:type="pct"/>
            <w:tcBorders>
              <w:top w:val="nil"/>
              <w:left w:val="nil"/>
              <w:bottom w:val="dotted" w:sz="4" w:space="0" w:color="auto"/>
              <w:right w:val="dotted" w:sz="4" w:space="0" w:color="auto"/>
            </w:tcBorders>
            <w:shd w:val="clear" w:color="auto" w:fill="DEEAF6" w:themeFill="accent1" w:themeFillTint="33"/>
            <w:noWrap/>
            <w:vAlign w:val="center"/>
            <w:hideMark/>
          </w:tcPr>
          <w:p w14:paraId="6060B8F2" w14:textId="77777777" w:rsidR="009D6D4E" w:rsidRPr="006D33A1" w:rsidRDefault="009D6D4E" w:rsidP="00BF3B71">
            <w:pPr>
              <w:jc w:val="right"/>
              <w:rPr>
                <w:sz w:val="18"/>
                <w:szCs w:val="18"/>
                <w:lang w:val="en-US"/>
              </w:rPr>
            </w:pPr>
            <w:r w:rsidRPr="006D33A1">
              <w:rPr>
                <w:sz w:val="18"/>
                <w:szCs w:val="18"/>
                <w:lang w:val="en-US"/>
              </w:rPr>
              <w:t>-0.9%</w:t>
            </w:r>
          </w:p>
        </w:tc>
        <w:tc>
          <w:tcPr>
            <w:tcW w:w="425" w:type="pct"/>
            <w:tcBorders>
              <w:top w:val="nil"/>
              <w:left w:val="nil"/>
              <w:bottom w:val="dotted" w:sz="4" w:space="0" w:color="auto"/>
              <w:right w:val="dotted" w:sz="4" w:space="0" w:color="auto"/>
            </w:tcBorders>
            <w:shd w:val="clear" w:color="auto" w:fill="DEEAF6" w:themeFill="accent1" w:themeFillTint="33"/>
            <w:noWrap/>
            <w:vAlign w:val="center"/>
            <w:hideMark/>
          </w:tcPr>
          <w:p w14:paraId="79A3F321" w14:textId="77777777" w:rsidR="009D6D4E" w:rsidRPr="006D33A1" w:rsidRDefault="009D6D4E" w:rsidP="00BF3B71">
            <w:pPr>
              <w:jc w:val="right"/>
              <w:rPr>
                <w:sz w:val="18"/>
                <w:szCs w:val="18"/>
                <w:lang w:val="en-US"/>
              </w:rPr>
            </w:pPr>
            <w:r w:rsidRPr="006D33A1">
              <w:rPr>
                <w:sz w:val="18"/>
                <w:szCs w:val="18"/>
                <w:lang w:val="en-US"/>
              </w:rPr>
              <w:t>-1.8%</w:t>
            </w:r>
          </w:p>
        </w:tc>
        <w:tc>
          <w:tcPr>
            <w:tcW w:w="425" w:type="pct"/>
            <w:tcBorders>
              <w:top w:val="nil"/>
              <w:left w:val="nil"/>
              <w:bottom w:val="dotted" w:sz="4" w:space="0" w:color="auto"/>
              <w:right w:val="dotted" w:sz="4" w:space="0" w:color="auto"/>
            </w:tcBorders>
            <w:shd w:val="clear" w:color="auto" w:fill="DEEAF6" w:themeFill="accent1" w:themeFillTint="33"/>
            <w:vAlign w:val="center"/>
            <w:hideMark/>
          </w:tcPr>
          <w:p w14:paraId="21B32350" w14:textId="77777777" w:rsidR="009D6D4E" w:rsidRPr="006D33A1" w:rsidRDefault="009D6D4E" w:rsidP="00BF3B71">
            <w:pPr>
              <w:jc w:val="right"/>
              <w:rPr>
                <w:sz w:val="18"/>
                <w:szCs w:val="18"/>
                <w:lang w:val="en-US"/>
              </w:rPr>
            </w:pPr>
            <w:r w:rsidRPr="006D33A1">
              <w:rPr>
                <w:sz w:val="18"/>
                <w:szCs w:val="18"/>
                <w:lang w:val="en-US"/>
              </w:rPr>
              <w:t>-2.0%</w:t>
            </w:r>
          </w:p>
        </w:tc>
        <w:tc>
          <w:tcPr>
            <w:tcW w:w="411" w:type="pct"/>
            <w:tcBorders>
              <w:top w:val="nil"/>
              <w:left w:val="nil"/>
              <w:bottom w:val="dotted" w:sz="4" w:space="0" w:color="auto"/>
              <w:right w:val="dotted" w:sz="4" w:space="0" w:color="auto"/>
            </w:tcBorders>
            <w:shd w:val="clear" w:color="auto" w:fill="DEEAF6" w:themeFill="accent1" w:themeFillTint="33"/>
            <w:noWrap/>
            <w:vAlign w:val="center"/>
            <w:hideMark/>
          </w:tcPr>
          <w:p w14:paraId="705E844F" w14:textId="77777777" w:rsidR="009D6D4E" w:rsidRPr="006D33A1" w:rsidRDefault="009D6D4E" w:rsidP="00BF3B71">
            <w:pPr>
              <w:jc w:val="right"/>
              <w:rPr>
                <w:sz w:val="18"/>
                <w:szCs w:val="18"/>
                <w:lang w:val="en-US"/>
              </w:rPr>
            </w:pPr>
            <w:r w:rsidRPr="006D33A1">
              <w:rPr>
                <w:sz w:val="18"/>
                <w:szCs w:val="18"/>
                <w:lang w:val="en-US"/>
              </w:rPr>
              <w:t>-1.4%</w:t>
            </w:r>
          </w:p>
        </w:tc>
        <w:tc>
          <w:tcPr>
            <w:tcW w:w="411" w:type="pct"/>
            <w:tcBorders>
              <w:top w:val="nil"/>
              <w:left w:val="nil"/>
              <w:bottom w:val="dotted" w:sz="4" w:space="0" w:color="auto"/>
              <w:right w:val="dotted" w:sz="4" w:space="0" w:color="auto"/>
            </w:tcBorders>
            <w:shd w:val="clear" w:color="auto" w:fill="DEEAF6" w:themeFill="accent1" w:themeFillTint="33"/>
            <w:noWrap/>
            <w:vAlign w:val="center"/>
            <w:hideMark/>
          </w:tcPr>
          <w:p w14:paraId="7506B924" w14:textId="77777777" w:rsidR="009D6D4E" w:rsidRPr="006D33A1" w:rsidRDefault="009D6D4E" w:rsidP="00BF3B71">
            <w:pPr>
              <w:jc w:val="right"/>
              <w:rPr>
                <w:sz w:val="18"/>
                <w:szCs w:val="18"/>
                <w:lang w:val="en-US"/>
              </w:rPr>
            </w:pPr>
            <w:r w:rsidRPr="006D33A1">
              <w:rPr>
                <w:sz w:val="18"/>
                <w:szCs w:val="18"/>
                <w:lang w:val="en-US"/>
              </w:rPr>
              <w:t>-1.9%</w:t>
            </w:r>
          </w:p>
        </w:tc>
        <w:tc>
          <w:tcPr>
            <w:tcW w:w="378" w:type="pct"/>
            <w:tcBorders>
              <w:top w:val="nil"/>
              <w:left w:val="nil"/>
              <w:bottom w:val="dotted" w:sz="4" w:space="0" w:color="auto"/>
              <w:right w:val="single" w:sz="4" w:space="0" w:color="auto"/>
            </w:tcBorders>
            <w:shd w:val="clear" w:color="auto" w:fill="DEEAF6" w:themeFill="accent1" w:themeFillTint="33"/>
            <w:noWrap/>
            <w:vAlign w:val="center"/>
            <w:hideMark/>
          </w:tcPr>
          <w:p w14:paraId="1DF99064" w14:textId="77777777" w:rsidR="009D6D4E" w:rsidRPr="006D33A1" w:rsidRDefault="009D6D4E" w:rsidP="00BF3B71">
            <w:pPr>
              <w:jc w:val="right"/>
              <w:rPr>
                <w:i/>
                <w:iCs/>
                <w:sz w:val="18"/>
                <w:szCs w:val="18"/>
                <w:lang w:val="en-US"/>
              </w:rPr>
            </w:pPr>
            <w:r w:rsidRPr="006D33A1">
              <w:rPr>
                <w:i/>
                <w:iCs/>
                <w:sz w:val="18"/>
                <w:szCs w:val="18"/>
                <w:lang w:val="en-US"/>
              </w:rPr>
              <w:t>n/a</w:t>
            </w:r>
          </w:p>
        </w:tc>
      </w:tr>
      <w:tr w:rsidR="009D6D4E" w:rsidRPr="006D33A1" w14:paraId="1597D21C" w14:textId="77777777" w:rsidTr="00BF3B71">
        <w:trPr>
          <w:trHeight w:val="20"/>
        </w:trPr>
        <w:tc>
          <w:tcPr>
            <w:tcW w:w="811" w:type="pct"/>
            <w:vMerge/>
            <w:tcBorders>
              <w:top w:val="nil"/>
              <w:left w:val="single" w:sz="4" w:space="0" w:color="auto"/>
              <w:bottom w:val="dotted" w:sz="4" w:space="0" w:color="000000"/>
              <w:right w:val="dotted" w:sz="4" w:space="0" w:color="auto"/>
            </w:tcBorders>
            <w:shd w:val="clear" w:color="auto" w:fill="DEEAF6" w:themeFill="accent1" w:themeFillTint="33"/>
            <w:vAlign w:val="center"/>
            <w:hideMark/>
          </w:tcPr>
          <w:p w14:paraId="4D221DB5" w14:textId="77777777" w:rsidR="009D6D4E" w:rsidRPr="006D33A1" w:rsidRDefault="009D6D4E" w:rsidP="00BF3B71">
            <w:pPr>
              <w:rPr>
                <w:b/>
                <w:bCs/>
                <w:sz w:val="18"/>
                <w:szCs w:val="18"/>
                <w:lang w:val="en-US"/>
              </w:rPr>
            </w:pPr>
          </w:p>
        </w:tc>
        <w:tc>
          <w:tcPr>
            <w:tcW w:w="1756" w:type="pct"/>
            <w:tcBorders>
              <w:top w:val="nil"/>
              <w:left w:val="nil"/>
              <w:bottom w:val="dotted" w:sz="4" w:space="0" w:color="auto"/>
              <w:right w:val="dotted" w:sz="4" w:space="0" w:color="auto"/>
            </w:tcBorders>
            <w:shd w:val="clear" w:color="auto" w:fill="DEEAF6" w:themeFill="accent1" w:themeFillTint="33"/>
            <w:noWrap/>
            <w:vAlign w:val="center"/>
            <w:hideMark/>
          </w:tcPr>
          <w:p w14:paraId="30DA8E22" w14:textId="77777777" w:rsidR="009D6D4E" w:rsidRPr="00FC648F" w:rsidRDefault="009D6D4E" w:rsidP="00BF3B71">
            <w:pPr>
              <w:rPr>
                <w:sz w:val="18"/>
                <w:szCs w:val="18"/>
                <w:lang w:val="fr-BE"/>
              </w:rPr>
            </w:pPr>
            <w:r w:rsidRPr="00FC648F">
              <w:rPr>
                <w:sz w:val="18"/>
                <w:szCs w:val="18"/>
                <w:lang w:val="fr-BE"/>
              </w:rPr>
              <w:t>Bilanci Bankar, si % e BPV-së</w:t>
            </w:r>
          </w:p>
        </w:tc>
        <w:tc>
          <w:tcPr>
            <w:tcW w:w="383" w:type="pct"/>
            <w:tcBorders>
              <w:top w:val="nil"/>
              <w:left w:val="nil"/>
              <w:bottom w:val="dotted" w:sz="4" w:space="0" w:color="auto"/>
              <w:right w:val="dotted" w:sz="4" w:space="0" w:color="auto"/>
            </w:tcBorders>
            <w:shd w:val="clear" w:color="auto" w:fill="DEEAF6" w:themeFill="accent1" w:themeFillTint="33"/>
            <w:noWrap/>
            <w:vAlign w:val="center"/>
            <w:hideMark/>
          </w:tcPr>
          <w:p w14:paraId="4B8B7EF9" w14:textId="77777777" w:rsidR="009D6D4E" w:rsidRPr="006D33A1" w:rsidRDefault="009D6D4E" w:rsidP="00BF3B71">
            <w:pPr>
              <w:jc w:val="right"/>
              <w:rPr>
                <w:sz w:val="18"/>
                <w:szCs w:val="18"/>
                <w:lang w:val="en-US"/>
              </w:rPr>
            </w:pPr>
            <w:r w:rsidRPr="006D33A1">
              <w:rPr>
                <w:sz w:val="18"/>
                <w:szCs w:val="18"/>
                <w:lang w:val="en-US"/>
              </w:rPr>
              <w:t>4.6%</w:t>
            </w:r>
          </w:p>
        </w:tc>
        <w:tc>
          <w:tcPr>
            <w:tcW w:w="425" w:type="pct"/>
            <w:tcBorders>
              <w:top w:val="nil"/>
              <w:left w:val="nil"/>
              <w:bottom w:val="dotted" w:sz="4" w:space="0" w:color="auto"/>
              <w:right w:val="dotted" w:sz="4" w:space="0" w:color="auto"/>
            </w:tcBorders>
            <w:shd w:val="clear" w:color="auto" w:fill="DEEAF6" w:themeFill="accent1" w:themeFillTint="33"/>
            <w:noWrap/>
            <w:vAlign w:val="center"/>
            <w:hideMark/>
          </w:tcPr>
          <w:p w14:paraId="41930161" w14:textId="77777777" w:rsidR="009D6D4E" w:rsidRPr="006D33A1" w:rsidRDefault="009D6D4E" w:rsidP="00BF3B71">
            <w:pPr>
              <w:jc w:val="right"/>
              <w:rPr>
                <w:sz w:val="18"/>
                <w:szCs w:val="18"/>
                <w:lang w:val="en-US"/>
              </w:rPr>
            </w:pPr>
            <w:r w:rsidRPr="006D33A1">
              <w:rPr>
                <w:sz w:val="18"/>
                <w:szCs w:val="18"/>
                <w:lang w:val="en-US"/>
              </w:rPr>
              <w:t>4.7%</w:t>
            </w:r>
          </w:p>
        </w:tc>
        <w:tc>
          <w:tcPr>
            <w:tcW w:w="425" w:type="pct"/>
            <w:tcBorders>
              <w:top w:val="nil"/>
              <w:left w:val="nil"/>
              <w:bottom w:val="dotted" w:sz="4" w:space="0" w:color="auto"/>
              <w:right w:val="dotted" w:sz="4" w:space="0" w:color="auto"/>
            </w:tcBorders>
            <w:shd w:val="clear" w:color="auto" w:fill="DEEAF6" w:themeFill="accent1" w:themeFillTint="33"/>
            <w:vAlign w:val="center"/>
            <w:hideMark/>
          </w:tcPr>
          <w:p w14:paraId="3FA8C7CC" w14:textId="77777777" w:rsidR="009D6D4E" w:rsidRPr="006D33A1" w:rsidRDefault="009D6D4E" w:rsidP="00BF3B71">
            <w:pPr>
              <w:jc w:val="right"/>
              <w:rPr>
                <w:sz w:val="18"/>
                <w:szCs w:val="18"/>
                <w:lang w:val="en-US"/>
              </w:rPr>
            </w:pPr>
            <w:r w:rsidRPr="006D33A1">
              <w:rPr>
                <w:sz w:val="18"/>
                <w:szCs w:val="18"/>
                <w:lang w:val="en-US"/>
              </w:rPr>
              <w:t>4.8%</w:t>
            </w:r>
          </w:p>
        </w:tc>
        <w:tc>
          <w:tcPr>
            <w:tcW w:w="411" w:type="pct"/>
            <w:tcBorders>
              <w:top w:val="nil"/>
              <w:left w:val="nil"/>
              <w:bottom w:val="dotted" w:sz="4" w:space="0" w:color="auto"/>
              <w:right w:val="dotted" w:sz="4" w:space="0" w:color="auto"/>
            </w:tcBorders>
            <w:shd w:val="clear" w:color="auto" w:fill="DEEAF6" w:themeFill="accent1" w:themeFillTint="33"/>
            <w:noWrap/>
            <w:vAlign w:val="center"/>
            <w:hideMark/>
          </w:tcPr>
          <w:p w14:paraId="4905A39E" w14:textId="77777777" w:rsidR="009D6D4E" w:rsidRPr="006D33A1" w:rsidRDefault="009D6D4E" w:rsidP="00BF3B71">
            <w:pPr>
              <w:jc w:val="right"/>
              <w:rPr>
                <w:sz w:val="18"/>
                <w:szCs w:val="18"/>
                <w:lang w:val="en-US"/>
              </w:rPr>
            </w:pPr>
            <w:r w:rsidRPr="006D33A1">
              <w:rPr>
                <w:sz w:val="18"/>
                <w:szCs w:val="18"/>
                <w:lang w:val="en-US"/>
              </w:rPr>
              <w:t>4.7%</w:t>
            </w:r>
          </w:p>
        </w:tc>
        <w:tc>
          <w:tcPr>
            <w:tcW w:w="411" w:type="pct"/>
            <w:tcBorders>
              <w:top w:val="nil"/>
              <w:left w:val="nil"/>
              <w:bottom w:val="dotted" w:sz="4" w:space="0" w:color="auto"/>
              <w:right w:val="dotted" w:sz="4" w:space="0" w:color="auto"/>
            </w:tcBorders>
            <w:shd w:val="clear" w:color="auto" w:fill="DEEAF6" w:themeFill="accent1" w:themeFillTint="33"/>
            <w:noWrap/>
            <w:vAlign w:val="center"/>
            <w:hideMark/>
          </w:tcPr>
          <w:p w14:paraId="7862BB50" w14:textId="77777777" w:rsidR="009D6D4E" w:rsidRPr="006D33A1" w:rsidRDefault="009D6D4E" w:rsidP="00BF3B71">
            <w:pPr>
              <w:jc w:val="right"/>
              <w:rPr>
                <w:sz w:val="18"/>
                <w:szCs w:val="18"/>
                <w:lang w:val="en-US"/>
              </w:rPr>
            </w:pPr>
            <w:r w:rsidRPr="006D33A1">
              <w:rPr>
                <w:sz w:val="18"/>
                <w:szCs w:val="18"/>
                <w:lang w:val="en-US"/>
              </w:rPr>
              <w:t>3.5%</w:t>
            </w:r>
          </w:p>
        </w:tc>
        <w:tc>
          <w:tcPr>
            <w:tcW w:w="378" w:type="pct"/>
            <w:tcBorders>
              <w:top w:val="nil"/>
              <w:left w:val="nil"/>
              <w:bottom w:val="dotted" w:sz="4" w:space="0" w:color="auto"/>
              <w:right w:val="single" w:sz="4" w:space="0" w:color="auto"/>
            </w:tcBorders>
            <w:shd w:val="clear" w:color="auto" w:fill="DEEAF6" w:themeFill="accent1" w:themeFillTint="33"/>
            <w:noWrap/>
            <w:vAlign w:val="center"/>
            <w:hideMark/>
          </w:tcPr>
          <w:p w14:paraId="7EB8E0DF" w14:textId="77777777" w:rsidR="009D6D4E" w:rsidRPr="006D33A1" w:rsidRDefault="009D6D4E" w:rsidP="00BF3B71">
            <w:pPr>
              <w:jc w:val="right"/>
              <w:rPr>
                <w:i/>
                <w:iCs/>
                <w:sz w:val="18"/>
                <w:szCs w:val="18"/>
                <w:lang w:val="en-US"/>
              </w:rPr>
            </w:pPr>
            <w:r w:rsidRPr="006D33A1">
              <w:rPr>
                <w:i/>
                <w:iCs/>
                <w:sz w:val="18"/>
                <w:szCs w:val="18"/>
                <w:lang w:val="en-US"/>
              </w:rPr>
              <w:t>n/a</w:t>
            </w:r>
          </w:p>
        </w:tc>
      </w:tr>
      <w:tr w:rsidR="009D6D4E" w:rsidRPr="006D33A1" w14:paraId="2F061861" w14:textId="77777777" w:rsidTr="00BF3B71">
        <w:trPr>
          <w:trHeight w:val="20"/>
        </w:trPr>
        <w:tc>
          <w:tcPr>
            <w:tcW w:w="811" w:type="pct"/>
            <w:vMerge/>
            <w:tcBorders>
              <w:top w:val="nil"/>
              <w:left w:val="single" w:sz="4" w:space="0" w:color="auto"/>
              <w:bottom w:val="dotted" w:sz="4" w:space="0" w:color="000000"/>
              <w:right w:val="dotted" w:sz="4" w:space="0" w:color="auto"/>
            </w:tcBorders>
            <w:shd w:val="clear" w:color="auto" w:fill="DEEAF6" w:themeFill="accent1" w:themeFillTint="33"/>
            <w:vAlign w:val="center"/>
            <w:hideMark/>
          </w:tcPr>
          <w:p w14:paraId="7C6442D3" w14:textId="77777777" w:rsidR="009D6D4E" w:rsidRPr="006D33A1" w:rsidRDefault="009D6D4E" w:rsidP="00BF3B71">
            <w:pPr>
              <w:rPr>
                <w:b/>
                <w:bCs/>
                <w:sz w:val="18"/>
                <w:szCs w:val="18"/>
                <w:lang w:val="en-US"/>
              </w:rPr>
            </w:pPr>
          </w:p>
        </w:tc>
        <w:tc>
          <w:tcPr>
            <w:tcW w:w="1756" w:type="pct"/>
            <w:tcBorders>
              <w:top w:val="nil"/>
              <w:left w:val="nil"/>
              <w:bottom w:val="nil"/>
              <w:right w:val="dotted" w:sz="4" w:space="0" w:color="auto"/>
            </w:tcBorders>
            <w:shd w:val="clear" w:color="auto" w:fill="DEEAF6" w:themeFill="accent1" w:themeFillTint="33"/>
            <w:noWrap/>
            <w:vAlign w:val="center"/>
            <w:hideMark/>
          </w:tcPr>
          <w:p w14:paraId="2D64A3DF" w14:textId="77777777" w:rsidR="009D6D4E" w:rsidRPr="00FC648F" w:rsidRDefault="009D6D4E" w:rsidP="00BF3B71">
            <w:pPr>
              <w:rPr>
                <w:sz w:val="18"/>
                <w:szCs w:val="18"/>
                <w:lang w:val="fr-BE"/>
              </w:rPr>
            </w:pPr>
            <w:r w:rsidRPr="00FC648F">
              <w:rPr>
                <w:i/>
                <w:iCs/>
                <w:sz w:val="18"/>
                <w:szCs w:val="18"/>
                <w:lang w:val="fr-BE"/>
              </w:rPr>
              <w:t>Shpenzimet kapitale</w:t>
            </w:r>
            <w:r w:rsidRPr="00FC648F">
              <w:rPr>
                <w:sz w:val="18"/>
                <w:szCs w:val="18"/>
                <w:lang w:val="fr-BE"/>
              </w:rPr>
              <w:t>, si % e BPV-së</w:t>
            </w:r>
          </w:p>
        </w:tc>
        <w:tc>
          <w:tcPr>
            <w:tcW w:w="383" w:type="pct"/>
            <w:tcBorders>
              <w:top w:val="nil"/>
              <w:left w:val="nil"/>
              <w:bottom w:val="dotted" w:sz="4" w:space="0" w:color="auto"/>
              <w:right w:val="dotted" w:sz="4" w:space="0" w:color="auto"/>
            </w:tcBorders>
            <w:shd w:val="clear" w:color="auto" w:fill="DEEAF6" w:themeFill="accent1" w:themeFillTint="33"/>
            <w:noWrap/>
            <w:vAlign w:val="center"/>
            <w:hideMark/>
          </w:tcPr>
          <w:p w14:paraId="08EF6860" w14:textId="77777777" w:rsidR="009D6D4E" w:rsidRPr="006D33A1" w:rsidRDefault="009D6D4E" w:rsidP="00BF3B71">
            <w:pPr>
              <w:jc w:val="right"/>
              <w:rPr>
                <w:sz w:val="18"/>
                <w:szCs w:val="18"/>
                <w:lang w:val="en-US"/>
              </w:rPr>
            </w:pPr>
            <w:r w:rsidRPr="006D33A1">
              <w:rPr>
                <w:sz w:val="18"/>
                <w:szCs w:val="18"/>
                <w:lang w:val="en-US"/>
              </w:rPr>
              <w:t>26.5%</w:t>
            </w:r>
          </w:p>
        </w:tc>
        <w:tc>
          <w:tcPr>
            <w:tcW w:w="425" w:type="pct"/>
            <w:tcBorders>
              <w:top w:val="nil"/>
              <w:left w:val="nil"/>
              <w:bottom w:val="dotted" w:sz="4" w:space="0" w:color="auto"/>
              <w:right w:val="dotted" w:sz="4" w:space="0" w:color="auto"/>
            </w:tcBorders>
            <w:shd w:val="clear" w:color="auto" w:fill="DEEAF6" w:themeFill="accent1" w:themeFillTint="33"/>
            <w:noWrap/>
            <w:vAlign w:val="center"/>
            <w:hideMark/>
          </w:tcPr>
          <w:p w14:paraId="6383CD7D" w14:textId="77777777" w:rsidR="009D6D4E" w:rsidRPr="006D33A1" w:rsidRDefault="009D6D4E" w:rsidP="00BF3B71">
            <w:pPr>
              <w:jc w:val="right"/>
              <w:rPr>
                <w:sz w:val="18"/>
                <w:szCs w:val="18"/>
                <w:lang w:val="en-US"/>
              </w:rPr>
            </w:pPr>
            <w:r w:rsidRPr="006D33A1">
              <w:rPr>
                <w:sz w:val="18"/>
                <w:szCs w:val="18"/>
                <w:lang w:val="en-US"/>
              </w:rPr>
              <w:t>33.0%</w:t>
            </w:r>
          </w:p>
        </w:tc>
        <w:tc>
          <w:tcPr>
            <w:tcW w:w="425" w:type="pct"/>
            <w:tcBorders>
              <w:top w:val="nil"/>
              <w:left w:val="nil"/>
              <w:bottom w:val="dotted" w:sz="4" w:space="0" w:color="auto"/>
              <w:right w:val="dotted" w:sz="4" w:space="0" w:color="auto"/>
            </w:tcBorders>
            <w:shd w:val="clear" w:color="auto" w:fill="DEEAF6" w:themeFill="accent1" w:themeFillTint="33"/>
            <w:vAlign w:val="center"/>
            <w:hideMark/>
          </w:tcPr>
          <w:p w14:paraId="526F3177" w14:textId="77777777" w:rsidR="009D6D4E" w:rsidRPr="006D33A1" w:rsidRDefault="009D6D4E" w:rsidP="00BF3B71">
            <w:pPr>
              <w:jc w:val="right"/>
              <w:rPr>
                <w:sz w:val="18"/>
                <w:szCs w:val="18"/>
                <w:lang w:val="en-US"/>
              </w:rPr>
            </w:pPr>
            <w:r w:rsidRPr="006D33A1">
              <w:rPr>
                <w:sz w:val="18"/>
                <w:szCs w:val="18"/>
                <w:lang w:val="en-US"/>
              </w:rPr>
              <w:t>33.2%</w:t>
            </w:r>
          </w:p>
        </w:tc>
        <w:tc>
          <w:tcPr>
            <w:tcW w:w="411" w:type="pct"/>
            <w:tcBorders>
              <w:top w:val="nil"/>
              <w:left w:val="nil"/>
              <w:bottom w:val="dotted" w:sz="4" w:space="0" w:color="auto"/>
              <w:right w:val="dotted" w:sz="4" w:space="0" w:color="auto"/>
            </w:tcBorders>
            <w:shd w:val="clear" w:color="auto" w:fill="DEEAF6" w:themeFill="accent1" w:themeFillTint="33"/>
            <w:noWrap/>
            <w:vAlign w:val="center"/>
            <w:hideMark/>
          </w:tcPr>
          <w:p w14:paraId="0EC98224" w14:textId="77777777" w:rsidR="009D6D4E" w:rsidRPr="006D33A1" w:rsidRDefault="009D6D4E" w:rsidP="00BF3B71">
            <w:pPr>
              <w:jc w:val="right"/>
              <w:rPr>
                <w:sz w:val="18"/>
                <w:szCs w:val="18"/>
                <w:lang w:val="en-US"/>
              </w:rPr>
            </w:pPr>
            <w:r w:rsidRPr="006D33A1">
              <w:rPr>
                <w:sz w:val="18"/>
                <w:szCs w:val="18"/>
                <w:lang w:val="en-US"/>
              </w:rPr>
              <w:t>33.5%</w:t>
            </w:r>
          </w:p>
        </w:tc>
        <w:tc>
          <w:tcPr>
            <w:tcW w:w="411" w:type="pct"/>
            <w:tcBorders>
              <w:top w:val="nil"/>
              <w:left w:val="nil"/>
              <w:bottom w:val="dotted" w:sz="4" w:space="0" w:color="auto"/>
              <w:right w:val="dotted" w:sz="4" w:space="0" w:color="auto"/>
            </w:tcBorders>
            <w:shd w:val="clear" w:color="auto" w:fill="DEEAF6" w:themeFill="accent1" w:themeFillTint="33"/>
            <w:noWrap/>
            <w:vAlign w:val="center"/>
            <w:hideMark/>
          </w:tcPr>
          <w:p w14:paraId="639265BC" w14:textId="77777777" w:rsidR="009D6D4E" w:rsidRPr="006D33A1" w:rsidRDefault="009D6D4E" w:rsidP="00BF3B71">
            <w:pPr>
              <w:jc w:val="right"/>
              <w:rPr>
                <w:sz w:val="18"/>
                <w:szCs w:val="18"/>
                <w:lang w:val="en-US"/>
              </w:rPr>
            </w:pPr>
            <w:r w:rsidRPr="006D33A1">
              <w:rPr>
                <w:sz w:val="18"/>
                <w:szCs w:val="18"/>
                <w:lang w:val="en-US"/>
              </w:rPr>
              <w:t>33.9%</w:t>
            </w:r>
          </w:p>
        </w:tc>
        <w:tc>
          <w:tcPr>
            <w:tcW w:w="378" w:type="pct"/>
            <w:tcBorders>
              <w:top w:val="nil"/>
              <w:left w:val="nil"/>
              <w:bottom w:val="dotted" w:sz="4" w:space="0" w:color="auto"/>
              <w:right w:val="single" w:sz="4" w:space="0" w:color="auto"/>
            </w:tcBorders>
            <w:shd w:val="clear" w:color="auto" w:fill="DEEAF6" w:themeFill="accent1" w:themeFillTint="33"/>
            <w:noWrap/>
            <w:vAlign w:val="center"/>
            <w:hideMark/>
          </w:tcPr>
          <w:p w14:paraId="0255C228" w14:textId="77777777" w:rsidR="009D6D4E" w:rsidRPr="006D33A1" w:rsidRDefault="009D6D4E" w:rsidP="00BF3B71">
            <w:pPr>
              <w:jc w:val="right"/>
              <w:rPr>
                <w:i/>
                <w:iCs/>
                <w:sz w:val="18"/>
                <w:szCs w:val="18"/>
                <w:lang w:val="en-US"/>
              </w:rPr>
            </w:pPr>
            <w:r w:rsidRPr="006D33A1">
              <w:rPr>
                <w:i/>
                <w:iCs/>
                <w:sz w:val="18"/>
                <w:szCs w:val="18"/>
                <w:lang w:val="en-US"/>
              </w:rPr>
              <w:t>n/a</w:t>
            </w:r>
          </w:p>
        </w:tc>
      </w:tr>
      <w:tr w:rsidR="009D6D4E" w:rsidRPr="006D33A1" w14:paraId="76B21C7C" w14:textId="77777777" w:rsidTr="00BF3B71">
        <w:trPr>
          <w:trHeight w:val="20"/>
        </w:trPr>
        <w:tc>
          <w:tcPr>
            <w:tcW w:w="811" w:type="pct"/>
            <w:vMerge/>
            <w:tcBorders>
              <w:top w:val="nil"/>
              <w:left w:val="single" w:sz="4" w:space="0" w:color="auto"/>
              <w:bottom w:val="single" w:sz="4" w:space="0" w:color="auto"/>
              <w:right w:val="dotted" w:sz="4" w:space="0" w:color="auto"/>
            </w:tcBorders>
            <w:shd w:val="clear" w:color="auto" w:fill="DEEAF6" w:themeFill="accent1" w:themeFillTint="33"/>
            <w:vAlign w:val="center"/>
            <w:hideMark/>
          </w:tcPr>
          <w:p w14:paraId="17E1FC49" w14:textId="77777777" w:rsidR="009D6D4E" w:rsidRPr="006D33A1" w:rsidRDefault="009D6D4E" w:rsidP="00BF3B71">
            <w:pPr>
              <w:rPr>
                <w:b/>
                <w:bCs/>
                <w:sz w:val="18"/>
                <w:szCs w:val="18"/>
                <w:lang w:val="en-US"/>
              </w:rPr>
            </w:pPr>
          </w:p>
        </w:tc>
        <w:tc>
          <w:tcPr>
            <w:tcW w:w="1756" w:type="pct"/>
            <w:tcBorders>
              <w:top w:val="nil"/>
              <w:left w:val="nil"/>
              <w:bottom w:val="single" w:sz="4" w:space="0" w:color="auto"/>
              <w:right w:val="dotted" w:sz="4" w:space="0" w:color="auto"/>
            </w:tcBorders>
            <w:shd w:val="clear" w:color="auto" w:fill="DEEAF6" w:themeFill="accent1" w:themeFillTint="33"/>
            <w:noWrap/>
            <w:vAlign w:val="center"/>
            <w:hideMark/>
          </w:tcPr>
          <w:p w14:paraId="53984C18" w14:textId="77777777" w:rsidR="009D6D4E" w:rsidRPr="00FC648F" w:rsidRDefault="009D6D4E" w:rsidP="00BF3B71">
            <w:pPr>
              <w:rPr>
                <w:sz w:val="18"/>
                <w:szCs w:val="18"/>
                <w:lang w:val="fr-BE"/>
              </w:rPr>
            </w:pPr>
            <w:r w:rsidRPr="00FC648F">
              <w:rPr>
                <w:i/>
                <w:iCs/>
                <w:sz w:val="18"/>
                <w:szCs w:val="18"/>
                <w:lang w:val="fr-BE"/>
              </w:rPr>
              <w:t>Shpenzimet rrjedhëse</w:t>
            </w:r>
            <w:r w:rsidRPr="00FC648F">
              <w:rPr>
                <w:sz w:val="18"/>
                <w:szCs w:val="18"/>
                <w:lang w:val="fr-BE"/>
              </w:rPr>
              <w:t>, si % e BPV-së</w:t>
            </w:r>
          </w:p>
        </w:tc>
        <w:tc>
          <w:tcPr>
            <w:tcW w:w="383" w:type="pct"/>
            <w:tcBorders>
              <w:top w:val="nil"/>
              <w:left w:val="nil"/>
              <w:bottom w:val="single" w:sz="4" w:space="0" w:color="auto"/>
              <w:right w:val="dotted" w:sz="4" w:space="0" w:color="auto"/>
            </w:tcBorders>
            <w:shd w:val="clear" w:color="auto" w:fill="DEEAF6" w:themeFill="accent1" w:themeFillTint="33"/>
            <w:noWrap/>
            <w:vAlign w:val="center"/>
            <w:hideMark/>
          </w:tcPr>
          <w:p w14:paraId="14AC0AD0" w14:textId="77777777" w:rsidR="009D6D4E" w:rsidRPr="006D33A1" w:rsidRDefault="009D6D4E" w:rsidP="00BF3B71">
            <w:pPr>
              <w:jc w:val="right"/>
              <w:rPr>
                <w:sz w:val="18"/>
                <w:szCs w:val="18"/>
                <w:lang w:val="en-US"/>
              </w:rPr>
            </w:pPr>
            <w:r w:rsidRPr="006D33A1">
              <w:rPr>
                <w:sz w:val="18"/>
                <w:szCs w:val="18"/>
                <w:lang w:val="en-US"/>
              </w:rPr>
              <w:t>20.0%</w:t>
            </w:r>
          </w:p>
        </w:tc>
        <w:tc>
          <w:tcPr>
            <w:tcW w:w="425" w:type="pct"/>
            <w:tcBorders>
              <w:top w:val="nil"/>
              <w:left w:val="nil"/>
              <w:bottom w:val="single" w:sz="4" w:space="0" w:color="auto"/>
              <w:right w:val="dotted" w:sz="4" w:space="0" w:color="auto"/>
            </w:tcBorders>
            <w:shd w:val="clear" w:color="auto" w:fill="DEEAF6" w:themeFill="accent1" w:themeFillTint="33"/>
            <w:noWrap/>
            <w:vAlign w:val="center"/>
            <w:hideMark/>
          </w:tcPr>
          <w:p w14:paraId="27279C17" w14:textId="77777777" w:rsidR="009D6D4E" w:rsidRPr="006D33A1" w:rsidRDefault="009D6D4E" w:rsidP="00BF3B71">
            <w:pPr>
              <w:jc w:val="right"/>
              <w:rPr>
                <w:sz w:val="18"/>
                <w:szCs w:val="18"/>
                <w:lang w:val="en-US"/>
              </w:rPr>
            </w:pPr>
            <w:r w:rsidRPr="006D33A1">
              <w:rPr>
                <w:sz w:val="18"/>
                <w:szCs w:val="18"/>
                <w:lang w:val="en-US"/>
              </w:rPr>
              <w:t>20.5%</w:t>
            </w:r>
          </w:p>
        </w:tc>
        <w:tc>
          <w:tcPr>
            <w:tcW w:w="425" w:type="pct"/>
            <w:tcBorders>
              <w:top w:val="nil"/>
              <w:left w:val="nil"/>
              <w:bottom w:val="single" w:sz="4" w:space="0" w:color="auto"/>
              <w:right w:val="dotted" w:sz="4" w:space="0" w:color="auto"/>
            </w:tcBorders>
            <w:shd w:val="clear" w:color="auto" w:fill="DEEAF6" w:themeFill="accent1" w:themeFillTint="33"/>
            <w:vAlign w:val="center"/>
            <w:hideMark/>
          </w:tcPr>
          <w:p w14:paraId="359BDF9E" w14:textId="77777777" w:rsidR="009D6D4E" w:rsidRPr="006D33A1" w:rsidRDefault="009D6D4E" w:rsidP="00BF3B71">
            <w:pPr>
              <w:jc w:val="right"/>
              <w:rPr>
                <w:sz w:val="18"/>
                <w:szCs w:val="18"/>
                <w:lang w:val="en-US"/>
              </w:rPr>
            </w:pPr>
            <w:r w:rsidRPr="006D33A1">
              <w:rPr>
                <w:sz w:val="18"/>
                <w:szCs w:val="18"/>
                <w:lang w:val="en-US"/>
              </w:rPr>
              <w:t>21.9%</w:t>
            </w:r>
          </w:p>
        </w:tc>
        <w:tc>
          <w:tcPr>
            <w:tcW w:w="411" w:type="pct"/>
            <w:tcBorders>
              <w:top w:val="nil"/>
              <w:left w:val="nil"/>
              <w:bottom w:val="single" w:sz="4" w:space="0" w:color="auto"/>
              <w:right w:val="dotted" w:sz="4" w:space="0" w:color="auto"/>
            </w:tcBorders>
            <w:shd w:val="clear" w:color="auto" w:fill="DEEAF6" w:themeFill="accent1" w:themeFillTint="33"/>
            <w:noWrap/>
            <w:vAlign w:val="center"/>
            <w:hideMark/>
          </w:tcPr>
          <w:p w14:paraId="37DE9241" w14:textId="77777777" w:rsidR="009D6D4E" w:rsidRPr="006D33A1" w:rsidRDefault="009D6D4E" w:rsidP="00BF3B71">
            <w:pPr>
              <w:jc w:val="right"/>
              <w:rPr>
                <w:sz w:val="18"/>
                <w:szCs w:val="18"/>
                <w:lang w:val="en-US"/>
              </w:rPr>
            </w:pPr>
            <w:r w:rsidRPr="006D33A1">
              <w:rPr>
                <w:sz w:val="18"/>
                <w:szCs w:val="18"/>
                <w:lang w:val="en-US"/>
              </w:rPr>
              <w:t>21.0%</w:t>
            </w:r>
          </w:p>
        </w:tc>
        <w:tc>
          <w:tcPr>
            <w:tcW w:w="411" w:type="pct"/>
            <w:tcBorders>
              <w:top w:val="nil"/>
              <w:left w:val="nil"/>
              <w:bottom w:val="single" w:sz="4" w:space="0" w:color="auto"/>
              <w:right w:val="dotted" w:sz="4" w:space="0" w:color="auto"/>
            </w:tcBorders>
            <w:shd w:val="clear" w:color="auto" w:fill="DEEAF6" w:themeFill="accent1" w:themeFillTint="33"/>
            <w:noWrap/>
            <w:vAlign w:val="center"/>
            <w:hideMark/>
          </w:tcPr>
          <w:p w14:paraId="709DA9FE" w14:textId="77777777" w:rsidR="009D6D4E" w:rsidRPr="006D33A1" w:rsidRDefault="009D6D4E" w:rsidP="00BF3B71">
            <w:pPr>
              <w:jc w:val="right"/>
              <w:rPr>
                <w:sz w:val="18"/>
                <w:szCs w:val="18"/>
                <w:lang w:val="en-US"/>
              </w:rPr>
            </w:pPr>
            <w:r w:rsidRPr="006D33A1">
              <w:rPr>
                <w:sz w:val="18"/>
                <w:szCs w:val="18"/>
                <w:lang w:val="en-US"/>
              </w:rPr>
              <w:t>20.3%</w:t>
            </w:r>
          </w:p>
        </w:tc>
        <w:tc>
          <w:tcPr>
            <w:tcW w:w="378" w:type="pct"/>
            <w:tcBorders>
              <w:top w:val="nil"/>
              <w:left w:val="nil"/>
              <w:bottom w:val="single" w:sz="4" w:space="0" w:color="auto"/>
              <w:right w:val="single" w:sz="4" w:space="0" w:color="auto"/>
            </w:tcBorders>
            <w:shd w:val="clear" w:color="auto" w:fill="DEEAF6" w:themeFill="accent1" w:themeFillTint="33"/>
            <w:noWrap/>
            <w:vAlign w:val="center"/>
            <w:hideMark/>
          </w:tcPr>
          <w:p w14:paraId="6B8F6211" w14:textId="77777777" w:rsidR="009D6D4E" w:rsidRPr="006D33A1" w:rsidRDefault="009D6D4E" w:rsidP="00BF3B71">
            <w:pPr>
              <w:jc w:val="right"/>
              <w:rPr>
                <w:i/>
                <w:iCs/>
                <w:sz w:val="18"/>
                <w:szCs w:val="18"/>
                <w:lang w:val="en-US"/>
              </w:rPr>
            </w:pPr>
            <w:r w:rsidRPr="006D33A1">
              <w:rPr>
                <w:i/>
                <w:iCs/>
                <w:sz w:val="18"/>
                <w:szCs w:val="18"/>
                <w:lang w:val="en-US"/>
              </w:rPr>
              <w:t>n/a</w:t>
            </w:r>
          </w:p>
        </w:tc>
      </w:tr>
      <w:tr w:rsidR="009D6D4E" w:rsidRPr="006D33A1" w14:paraId="6BB3D73C" w14:textId="77777777" w:rsidTr="00BF3B71">
        <w:trPr>
          <w:trHeight w:val="20"/>
        </w:trPr>
        <w:tc>
          <w:tcPr>
            <w:tcW w:w="811" w:type="pct"/>
            <w:vMerge w:val="restart"/>
            <w:tcBorders>
              <w:top w:val="single" w:sz="4" w:space="0" w:color="auto"/>
              <w:left w:val="single" w:sz="4" w:space="0" w:color="auto"/>
              <w:bottom w:val="dotted" w:sz="4" w:space="0" w:color="000000"/>
              <w:right w:val="dotted" w:sz="4" w:space="0" w:color="auto"/>
            </w:tcBorders>
            <w:shd w:val="clear" w:color="auto" w:fill="DEEAF6" w:themeFill="accent1" w:themeFillTint="33"/>
            <w:noWrap/>
            <w:vAlign w:val="center"/>
            <w:hideMark/>
          </w:tcPr>
          <w:p w14:paraId="29FBBA0F" w14:textId="77777777" w:rsidR="009D6D4E" w:rsidRPr="006D33A1" w:rsidRDefault="009D6D4E" w:rsidP="00BF3B71">
            <w:pPr>
              <w:rPr>
                <w:b/>
                <w:bCs/>
                <w:sz w:val="18"/>
                <w:szCs w:val="18"/>
                <w:lang w:val="en-US"/>
              </w:rPr>
            </w:pPr>
            <w:r>
              <w:rPr>
                <w:b/>
                <w:bCs/>
                <w:sz w:val="18"/>
                <w:szCs w:val="18"/>
                <w:lang w:val="en-US"/>
              </w:rPr>
              <w:t>Dokument</w:t>
            </w:r>
            <w:r w:rsidRPr="006D33A1">
              <w:rPr>
                <w:b/>
                <w:bCs/>
                <w:sz w:val="18"/>
                <w:szCs w:val="18"/>
                <w:lang w:val="en-US"/>
              </w:rPr>
              <w:t xml:space="preserve"> </w:t>
            </w:r>
          </w:p>
          <w:p w14:paraId="391D926A" w14:textId="77777777" w:rsidR="009D6D4E" w:rsidRPr="006D33A1" w:rsidRDefault="009D6D4E" w:rsidP="00BF3B71">
            <w:pPr>
              <w:rPr>
                <w:b/>
                <w:bCs/>
                <w:sz w:val="18"/>
                <w:szCs w:val="18"/>
                <w:lang w:val="en-US"/>
              </w:rPr>
            </w:pPr>
            <w:r>
              <w:rPr>
                <w:b/>
                <w:bCs/>
                <w:sz w:val="18"/>
                <w:szCs w:val="18"/>
                <w:lang w:val="en-US"/>
              </w:rPr>
              <w:t>PRE</w:t>
            </w:r>
            <w:r w:rsidRPr="006D33A1">
              <w:rPr>
                <w:b/>
                <w:bCs/>
                <w:sz w:val="18"/>
                <w:szCs w:val="18"/>
                <w:lang w:val="en-US"/>
              </w:rPr>
              <w:t xml:space="preserve"> 2019</w:t>
            </w:r>
          </w:p>
        </w:tc>
        <w:tc>
          <w:tcPr>
            <w:tcW w:w="1756" w:type="pct"/>
            <w:tcBorders>
              <w:top w:val="single" w:sz="4" w:space="0" w:color="auto"/>
              <w:left w:val="nil"/>
              <w:bottom w:val="dotted" w:sz="4" w:space="0" w:color="auto"/>
              <w:right w:val="dotted" w:sz="4" w:space="0" w:color="auto"/>
            </w:tcBorders>
            <w:shd w:val="clear" w:color="auto" w:fill="DEEAF6" w:themeFill="accent1" w:themeFillTint="33"/>
            <w:noWrap/>
            <w:vAlign w:val="center"/>
            <w:hideMark/>
          </w:tcPr>
          <w:p w14:paraId="3E86B27E" w14:textId="77777777" w:rsidR="009D6D4E" w:rsidRPr="006D33A1" w:rsidRDefault="009D6D4E" w:rsidP="00BF3B71">
            <w:pPr>
              <w:rPr>
                <w:sz w:val="18"/>
                <w:szCs w:val="18"/>
                <w:lang w:val="en-US"/>
              </w:rPr>
            </w:pPr>
            <w:r>
              <w:rPr>
                <w:sz w:val="18"/>
                <w:szCs w:val="18"/>
                <w:lang w:val="en-US"/>
              </w:rPr>
              <w:t>Të hyrat totale</w:t>
            </w:r>
          </w:p>
        </w:tc>
        <w:tc>
          <w:tcPr>
            <w:tcW w:w="383" w:type="pct"/>
            <w:tcBorders>
              <w:top w:val="single" w:sz="4" w:space="0" w:color="auto"/>
              <w:left w:val="nil"/>
              <w:bottom w:val="dotted" w:sz="4" w:space="0" w:color="auto"/>
              <w:right w:val="dotted" w:sz="4" w:space="0" w:color="auto"/>
            </w:tcBorders>
            <w:shd w:val="clear" w:color="auto" w:fill="DEEAF6" w:themeFill="accent1" w:themeFillTint="33"/>
            <w:noWrap/>
            <w:vAlign w:val="center"/>
            <w:hideMark/>
          </w:tcPr>
          <w:p w14:paraId="507A5846" w14:textId="77777777" w:rsidR="009D6D4E" w:rsidRPr="006D33A1" w:rsidRDefault="009D6D4E" w:rsidP="00BF3B71">
            <w:pPr>
              <w:jc w:val="right"/>
              <w:rPr>
                <w:sz w:val="18"/>
                <w:szCs w:val="18"/>
                <w:lang w:val="en-US"/>
              </w:rPr>
            </w:pPr>
            <w:r w:rsidRPr="006D33A1">
              <w:rPr>
                <w:sz w:val="18"/>
                <w:szCs w:val="18"/>
                <w:lang w:val="en-US"/>
              </w:rPr>
              <w:t>1,684</w:t>
            </w:r>
          </w:p>
        </w:tc>
        <w:tc>
          <w:tcPr>
            <w:tcW w:w="425" w:type="pct"/>
            <w:tcBorders>
              <w:top w:val="single" w:sz="4" w:space="0" w:color="auto"/>
              <w:left w:val="nil"/>
              <w:bottom w:val="dotted" w:sz="4" w:space="0" w:color="auto"/>
              <w:right w:val="dotted" w:sz="4" w:space="0" w:color="auto"/>
            </w:tcBorders>
            <w:shd w:val="clear" w:color="auto" w:fill="DEEAF6" w:themeFill="accent1" w:themeFillTint="33"/>
            <w:noWrap/>
            <w:vAlign w:val="center"/>
            <w:hideMark/>
          </w:tcPr>
          <w:p w14:paraId="009960BB" w14:textId="77777777" w:rsidR="009D6D4E" w:rsidRPr="006D33A1" w:rsidRDefault="009D6D4E" w:rsidP="00BF3B71">
            <w:pPr>
              <w:jc w:val="right"/>
              <w:rPr>
                <w:sz w:val="18"/>
                <w:szCs w:val="18"/>
                <w:lang w:val="en-US"/>
              </w:rPr>
            </w:pPr>
            <w:r w:rsidRPr="006D33A1">
              <w:rPr>
                <w:sz w:val="18"/>
                <w:szCs w:val="18"/>
                <w:lang w:val="en-US"/>
              </w:rPr>
              <w:t>1,757</w:t>
            </w:r>
          </w:p>
        </w:tc>
        <w:tc>
          <w:tcPr>
            <w:tcW w:w="425" w:type="pct"/>
            <w:tcBorders>
              <w:top w:val="single" w:sz="4" w:space="0" w:color="auto"/>
              <w:left w:val="nil"/>
              <w:bottom w:val="dotted" w:sz="4" w:space="0" w:color="auto"/>
              <w:right w:val="dotted" w:sz="4" w:space="0" w:color="auto"/>
            </w:tcBorders>
            <w:shd w:val="clear" w:color="auto" w:fill="DEEAF6" w:themeFill="accent1" w:themeFillTint="33"/>
            <w:vAlign w:val="center"/>
            <w:hideMark/>
          </w:tcPr>
          <w:p w14:paraId="17209D9C" w14:textId="77777777" w:rsidR="009D6D4E" w:rsidRPr="006D33A1" w:rsidRDefault="009D6D4E" w:rsidP="00BF3B71">
            <w:pPr>
              <w:jc w:val="right"/>
              <w:rPr>
                <w:sz w:val="18"/>
                <w:szCs w:val="18"/>
                <w:lang w:val="en-US"/>
              </w:rPr>
            </w:pPr>
            <w:r w:rsidRPr="006D33A1">
              <w:rPr>
                <w:sz w:val="18"/>
                <w:szCs w:val="18"/>
                <w:lang w:val="en-US"/>
              </w:rPr>
              <w:t>1,949</w:t>
            </w:r>
          </w:p>
        </w:tc>
        <w:tc>
          <w:tcPr>
            <w:tcW w:w="411" w:type="pct"/>
            <w:tcBorders>
              <w:top w:val="single" w:sz="4" w:space="0" w:color="auto"/>
              <w:left w:val="nil"/>
              <w:bottom w:val="dotted" w:sz="4" w:space="0" w:color="auto"/>
              <w:right w:val="dotted" w:sz="4" w:space="0" w:color="auto"/>
            </w:tcBorders>
            <w:shd w:val="clear" w:color="auto" w:fill="DEEAF6" w:themeFill="accent1" w:themeFillTint="33"/>
            <w:vAlign w:val="center"/>
            <w:hideMark/>
          </w:tcPr>
          <w:p w14:paraId="594B1B93" w14:textId="77777777" w:rsidR="009D6D4E" w:rsidRPr="006D33A1" w:rsidRDefault="009D6D4E" w:rsidP="00BF3B71">
            <w:pPr>
              <w:jc w:val="right"/>
              <w:rPr>
                <w:sz w:val="18"/>
                <w:szCs w:val="18"/>
                <w:lang w:val="en-US"/>
              </w:rPr>
            </w:pPr>
            <w:r w:rsidRPr="006D33A1">
              <w:rPr>
                <w:sz w:val="18"/>
                <w:szCs w:val="18"/>
                <w:lang w:val="en-US"/>
              </w:rPr>
              <w:t>2,047</w:t>
            </w:r>
          </w:p>
        </w:tc>
        <w:tc>
          <w:tcPr>
            <w:tcW w:w="411" w:type="pct"/>
            <w:tcBorders>
              <w:top w:val="single" w:sz="4" w:space="0" w:color="auto"/>
              <w:left w:val="nil"/>
              <w:bottom w:val="dotted" w:sz="4" w:space="0" w:color="auto"/>
              <w:right w:val="dotted" w:sz="4" w:space="0" w:color="auto"/>
            </w:tcBorders>
            <w:shd w:val="clear" w:color="auto" w:fill="DEEAF6" w:themeFill="accent1" w:themeFillTint="33"/>
            <w:vAlign w:val="center"/>
            <w:hideMark/>
          </w:tcPr>
          <w:p w14:paraId="316DBAB2" w14:textId="77777777" w:rsidR="009D6D4E" w:rsidRPr="006D33A1" w:rsidRDefault="009D6D4E" w:rsidP="00BF3B71">
            <w:pPr>
              <w:jc w:val="right"/>
              <w:rPr>
                <w:sz w:val="18"/>
                <w:szCs w:val="18"/>
                <w:lang w:val="en-US"/>
              </w:rPr>
            </w:pPr>
            <w:r w:rsidRPr="006D33A1">
              <w:rPr>
                <w:sz w:val="18"/>
                <w:szCs w:val="18"/>
                <w:lang w:val="en-US"/>
              </w:rPr>
              <w:t>2,124</w:t>
            </w:r>
          </w:p>
        </w:tc>
        <w:tc>
          <w:tcPr>
            <w:tcW w:w="378" w:type="pct"/>
            <w:tcBorders>
              <w:top w:val="single" w:sz="4" w:space="0" w:color="auto"/>
              <w:left w:val="nil"/>
              <w:bottom w:val="dotted" w:sz="4" w:space="0" w:color="auto"/>
              <w:right w:val="single" w:sz="4" w:space="0" w:color="auto"/>
            </w:tcBorders>
            <w:shd w:val="clear" w:color="auto" w:fill="DEEAF6" w:themeFill="accent1" w:themeFillTint="33"/>
            <w:vAlign w:val="center"/>
            <w:hideMark/>
          </w:tcPr>
          <w:p w14:paraId="59A00A31" w14:textId="77777777" w:rsidR="009D6D4E" w:rsidRPr="006D33A1" w:rsidRDefault="009D6D4E" w:rsidP="00BF3B71">
            <w:pPr>
              <w:jc w:val="right"/>
              <w:rPr>
                <w:sz w:val="18"/>
                <w:szCs w:val="18"/>
                <w:lang w:val="en-US"/>
              </w:rPr>
            </w:pPr>
            <w:r w:rsidRPr="006D33A1">
              <w:rPr>
                <w:sz w:val="18"/>
                <w:szCs w:val="18"/>
                <w:lang w:val="en-US"/>
              </w:rPr>
              <w:t>2,239</w:t>
            </w:r>
          </w:p>
        </w:tc>
      </w:tr>
      <w:tr w:rsidR="009D6D4E" w:rsidRPr="006D33A1" w14:paraId="7472D67B" w14:textId="77777777" w:rsidTr="00BF3B71">
        <w:trPr>
          <w:trHeight w:val="20"/>
        </w:trPr>
        <w:tc>
          <w:tcPr>
            <w:tcW w:w="811" w:type="pct"/>
            <w:vMerge/>
            <w:tcBorders>
              <w:top w:val="nil"/>
              <w:left w:val="single" w:sz="4" w:space="0" w:color="auto"/>
              <w:bottom w:val="dotted" w:sz="4" w:space="0" w:color="000000"/>
              <w:right w:val="dotted" w:sz="4" w:space="0" w:color="auto"/>
            </w:tcBorders>
            <w:shd w:val="clear" w:color="auto" w:fill="DEEAF6" w:themeFill="accent1" w:themeFillTint="33"/>
            <w:vAlign w:val="center"/>
            <w:hideMark/>
          </w:tcPr>
          <w:p w14:paraId="6D55060A" w14:textId="77777777" w:rsidR="009D6D4E" w:rsidRPr="006D33A1" w:rsidRDefault="009D6D4E" w:rsidP="00BF3B71">
            <w:pPr>
              <w:rPr>
                <w:b/>
                <w:bCs/>
                <w:sz w:val="18"/>
                <w:szCs w:val="18"/>
                <w:lang w:val="en-US"/>
              </w:rPr>
            </w:pPr>
          </w:p>
        </w:tc>
        <w:tc>
          <w:tcPr>
            <w:tcW w:w="1756" w:type="pct"/>
            <w:tcBorders>
              <w:top w:val="nil"/>
              <w:left w:val="nil"/>
              <w:bottom w:val="dotted" w:sz="4" w:space="0" w:color="auto"/>
              <w:right w:val="dotted" w:sz="4" w:space="0" w:color="auto"/>
            </w:tcBorders>
            <w:shd w:val="clear" w:color="auto" w:fill="DEEAF6" w:themeFill="accent1" w:themeFillTint="33"/>
            <w:noWrap/>
            <w:vAlign w:val="center"/>
            <w:hideMark/>
          </w:tcPr>
          <w:p w14:paraId="71D5A78A" w14:textId="77777777" w:rsidR="009D6D4E" w:rsidRPr="006D33A1" w:rsidRDefault="009D6D4E" w:rsidP="00BF3B71">
            <w:pPr>
              <w:ind w:firstLineChars="100" w:firstLine="180"/>
              <w:rPr>
                <w:i/>
                <w:iCs/>
                <w:sz w:val="18"/>
                <w:szCs w:val="18"/>
                <w:lang w:val="en-US"/>
              </w:rPr>
            </w:pPr>
            <w:r>
              <w:rPr>
                <w:i/>
                <w:iCs/>
                <w:sz w:val="18"/>
                <w:szCs w:val="18"/>
                <w:lang w:val="en-US"/>
              </w:rPr>
              <w:t>Të hyrat tatimore</w:t>
            </w:r>
            <w:r w:rsidRPr="006D33A1">
              <w:rPr>
                <w:i/>
                <w:iCs/>
                <w:sz w:val="18"/>
                <w:szCs w:val="18"/>
                <w:lang w:val="en-US"/>
              </w:rPr>
              <w:t xml:space="preserve"> </w:t>
            </w:r>
          </w:p>
        </w:tc>
        <w:tc>
          <w:tcPr>
            <w:tcW w:w="383" w:type="pct"/>
            <w:tcBorders>
              <w:top w:val="nil"/>
              <w:left w:val="nil"/>
              <w:bottom w:val="dotted" w:sz="4" w:space="0" w:color="auto"/>
              <w:right w:val="dotted" w:sz="4" w:space="0" w:color="auto"/>
            </w:tcBorders>
            <w:shd w:val="clear" w:color="auto" w:fill="DEEAF6" w:themeFill="accent1" w:themeFillTint="33"/>
            <w:noWrap/>
            <w:vAlign w:val="center"/>
            <w:hideMark/>
          </w:tcPr>
          <w:p w14:paraId="2C89475B" w14:textId="77777777" w:rsidR="009D6D4E" w:rsidRPr="006D33A1" w:rsidRDefault="009D6D4E" w:rsidP="00BF3B71">
            <w:pPr>
              <w:jc w:val="right"/>
              <w:rPr>
                <w:i/>
                <w:iCs/>
                <w:sz w:val="18"/>
                <w:szCs w:val="18"/>
                <w:lang w:val="en-US"/>
              </w:rPr>
            </w:pPr>
            <w:r w:rsidRPr="006D33A1">
              <w:rPr>
                <w:i/>
                <w:iCs/>
                <w:sz w:val="18"/>
                <w:szCs w:val="18"/>
                <w:lang w:val="en-US"/>
              </w:rPr>
              <w:t>1,496</w:t>
            </w:r>
          </w:p>
        </w:tc>
        <w:tc>
          <w:tcPr>
            <w:tcW w:w="425" w:type="pct"/>
            <w:tcBorders>
              <w:top w:val="nil"/>
              <w:left w:val="nil"/>
              <w:bottom w:val="dotted" w:sz="4" w:space="0" w:color="auto"/>
              <w:right w:val="dotted" w:sz="4" w:space="0" w:color="auto"/>
            </w:tcBorders>
            <w:shd w:val="clear" w:color="auto" w:fill="DEEAF6" w:themeFill="accent1" w:themeFillTint="33"/>
            <w:noWrap/>
            <w:vAlign w:val="center"/>
            <w:hideMark/>
          </w:tcPr>
          <w:p w14:paraId="29832907" w14:textId="77777777" w:rsidR="009D6D4E" w:rsidRPr="006D33A1" w:rsidRDefault="009D6D4E" w:rsidP="00BF3B71">
            <w:pPr>
              <w:jc w:val="right"/>
              <w:rPr>
                <w:i/>
                <w:iCs/>
                <w:sz w:val="18"/>
                <w:szCs w:val="18"/>
                <w:lang w:val="en-US"/>
              </w:rPr>
            </w:pPr>
            <w:r w:rsidRPr="006D33A1">
              <w:rPr>
                <w:i/>
                <w:iCs/>
                <w:sz w:val="18"/>
                <w:szCs w:val="18"/>
                <w:lang w:val="en-US"/>
              </w:rPr>
              <w:t>1,564</w:t>
            </w:r>
          </w:p>
        </w:tc>
        <w:tc>
          <w:tcPr>
            <w:tcW w:w="425" w:type="pct"/>
            <w:tcBorders>
              <w:top w:val="nil"/>
              <w:left w:val="nil"/>
              <w:bottom w:val="dotted" w:sz="4" w:space="0" w:color="auto"/>
              <w:right w:val="dotted" w:sz="4" w:space="0" w:color="auto"/>
            </w:tcBorders>
            <w:shd w:val="clear" w:color="auto" w:fill="DEEAF6" w:themeFill="accent1" w:themeFillTint="33"/>
            <w:vAlign w:val="center"/>
            <w:hideMark/>
          </w:tcPr>
          <w:p w14:paraId="27C9C983" w14:textId="77777777" w:rsidR="009D6D4E" w:rsidRPr="006D33A1" w:rsidRDefault="009D6D4E" w:rsidP="00BF3B71">
            <w:pPr>
              <w:jc w:val="right"/>
              <w:rPr>
                <w:i/>
                <w:iCs/>
                <w:sz w:val="18"/>
                <w:szCs w:val="18"/>
                <w:lang w:val="en-US"/>
              </w:rPr>
            </w:pPr>
            <w:r w:rsidRPr="006D33A1">
              <w:rPr>
                <w:i/>
                <w:iCs/>
                <w:sz w:val="18"/>
                <w:szCs w:val="18"/>
                <w:lang w:val="en-US"/>
              </w:rPr>
              <w:t>1,731</w:t>
            </w:r>
          </w:p>
        </w:tc>
        <w:tc>
          <w:tcPr>
            <w:tcW w:w="411" w:type="pct"/>
            <w:tcBorders>
              <w:top w:val="nil"/>
              <w:left w:val="nil"/>
              <w:bottom w:val="dotted" w:sz="4" w:space="0" w:color="auto"/>
              <w:right w:val="dotted" w:sz="4" w:space="0" w:color="auto"/>
            </w:tcBorders>
            <w:shd w:val="clear" w:color="auto" w:fill="DEEAF6" w:themeFill="accent1" w:themeFillTint="33"/>
            <w:vAlign w:val="center"/>
            <w:hideMark/>
          </w:tcPr>
          <w:p w14:paraId="03446383" w14:textId="77777777" w:rsidR="009D6D4E" w:rsidRPr="006D33A1" w:rsidRDefault="009D6D4E" w:rsidP="00BF3B71">
            <w:pPr>
              <w:jc w:val="right"/>
              <w:rPr>
                <w:i/>
                <w:iCs/>
                <w:sz w:val="18"/>
                <w:szCs w:val="18"/>
                <w:lang w:val="en-US"/>
              </w:rPr>
            </w:pPr>
            <w:r w:rsidRPr="006D33A1">
              <w:rPr>
                <w:i/>
                <w:iCs/>
                <w:sz w:val="18"/>
                <w:szCs w:val="18"/>
                <w:lang w:val="en-US"/>
              </w:rPr>
              <w:t>1,810</w:t>
            </w:r>
          </w:p>
        </w:tc>
        <w:tc>
          <w:tcPr>
            <w:tcW w:w="411" w:type="pct"/>
            <w:tcBorders>
              <w:top w:val="nil"/>
              <w:left w:val="nil"/>
              <w:bottom w:val="dotted" w:sz="4" w:space="0" w:color="auto"/>
              <w:right w:val="dotted" w:sz="4" w:space="0" w:color="auto"/>
            </w:tcBorders>
            <w:shd w:val="clear" w:color="auto" w:fill="DEEAF6" w:themeFill="accent1" w:themeFillTint="33"/>
            <w:vAlign w:val="center"/>
            <w:hideMark/>
          </w:tcPr>
          <w:p w14:paraId="71AA3F8D" w14:textId="77777777" w:rsidR="009D6D4E" w:rsidRPr="006D33A1" w:rsidRDefault="009D6D4E" w:rsidP="00BF3B71">
            <w:pPr>
              <w:jc w:val="right"/>
              <w:rPr>
                <w:i/>
                <w:iCs/>
                <w:sz w:val="18"/>
                <w:szCs w:val="18"/>
                <w:lang w:val="en-US"/>
              </w:rPr>
            </w:pPr>
            <w:r w:rsidRPr="006D33A1">
              <w:rPr>
                <w:i/>
                <w:iCs/>
                <w:sz w:val="18"/>
                <w:szCs w:val="18"/>
                <w:lang w:val="en-US"/>
              </w:rPr>
              <w:t>1,888</w:t>
            </w:r>
          </w:p>
        </w:tc>
        <w:tc>
          <w:tcPr>
            <w:tcW w:w="378" w:type="pct"/>
            <w:tcBorders>
              <w:top w:val="nil"/>
              <w:left w:val="nil"/>
              <w:bottom w:val="dotted" w:sz="4" w:space="0" w:color="auto"/>
              <w:right w:val="single" w:sz="4" w:space="0" w:color="auto"/>
            </w:tcBorders>
            <w:shd w:val="clear" w:color="auto" w:fill="DEEAF6" w:themeFill="accent1" w:themeFillTint="33"/>
            <w:vAlign w:val="center"/>
            <w:hideMark/>
          </w:tcPr>
          <w:p w14:paraId="2B54EF73" w14:textId="77777777" w:rsidR="009D6D4E" w:rsidRPr="006D33A1" w:rsidRDefault="009D6D4E" w:rsidP="00BF3B71">
            <w:pPr>
              <w:jc w:val="right"/>
              <w:rPr>
                <w:i/>
                <w:iCs/>
                <w:sz w:val="18"/>
                <w:szCs w:val="18"/>
                <w:lang w:val="en-US"/>
              </w:rPr>
            </w:pPr>
            <w:r w:rsidRPr="006D33A1">
              <w:rPr>
                <w:i/>
                <w:iCs/>
                <w:sz w:val="18"/>
                <w:szCs w:val="18"/>
                <w:lang w:val="en-US"/>
              </w:rPr>
              <w:t>1,995</w:t>
            </w:r>
          </w:p>
        </w:tc>
      </w:tr>
      <w:tr w:rsidR="009D6D4E" w:rsidRPr="006D33A1" w14:paraId="455571D6" w14:textId="77777777" w:rsidTr="00BF3B71">
        <w:trPr>
          <w:trHeight w:val="20"/>
        </w:trPr>
        <w:tc>
          <w:tcPr>
            <w:tcW w:w="811" w:type="pct"/>
            <w:vMerge/>
            <w:tcBorders>
              <w:top w:val="nil"/>
              <w:left w:val="single" w:sz="4" w:space="0" w:color="auto"/>
              <w:bottom w:val="dotted" w:sz="4" w:space="0" w:color="000000"/>
              <w:right w:val="dotted" w:sz="4" w:space="0" w:color="auto"/>
            </w:tcBorders>
            <w:shd w:val="clear" w:color="auto" w:fill="DEEAF6" w:themeFill="accent1" w:themeFillTint="33"/>
            <w:vAlign w:val="center"/>
            <w:hideMark/>
          </w:tcPr>
          <w:p w14:paraId="749B265D" w14:textId="77777777" w:rsidR="009D6D4E" w:rsidRPr="006D33A1" w:rsidRDefault="009D6D4E" w:rsidP="00BF3B71">
            <w:pPr>
              <w:rPr>
                <w:b/>
                <w:bCs/>
                <w:sz w:val="18"/>
                <w:szCs w:val="18"/>
                <w:lang w:val="en-US"/>
              </w:rPr>
            </w:pPr>
          </w:p>
        </w:tc>
        <w:tc>
          <w:tcPr>
            <w:tcW w:w="1756" w:type="pct"/>
            <w:tcBorders>
              <w:top w:val="nil"/>
              <w:left w:val="nil"/>
              <w:bottom w:val="dotted" w:sz="4" w:space="0" w:color="auto"/>
              <w:right w:val="dotted" w:sz="4" w:space="0" w:color="auto"/>
            </w:tcBorders>
            <w:shd w:val="clear" w:color="auto" w:fill="DEEAF6" w:themeFill="accent1" w:themeFillTint="33"/>
            <w:noWrap/>
            <w:vAlign w:val="center"/>
            <w:hideMark/>
          </w:tcPr>
          <w:p w14:paraId="7F1BBD62" w14:textId="77777777" w:rsidR="009D6D4E" w:rsidRPr="006D33A1" w:rsidRDefault="009D6D4E" w:rsidP="00BF3B71">
            <w:pPr>
              <w:ind w:firstLineChars="100" w:firstLine="180"/>
              <w:rPr>
                <w:i/>
                <w:iCs/>
                <w:sz w:val="18"/>
                <w:szCs w:val="18"/>
                <w:lang w:val="en-US"/>
              </w:rPr>
            </w:pPr>
            <w:r>
              <w:rPr>
                <w:i/>
                <w:iCs/>
                <w:sz w:val="18"/>
                <w:szCs w:val="18"/>
                <w:lang w:val="en-US"/>
              </w:rPr>
              <w:t>Të hyrat jo-tatimore</w:t>
            </w:r>
            <w:r w:rsidRPr="006D33A1">
              <w:rPr>
                <w:i/>
                <w:iCs/>
                <w:sz w:val="18"/>
                <w:szCs w:val="18"/>
                <w:lang w:val="en-US"/>
              </w:rPr>
              <w:t xml:space="preserve"> </w:t>
            </w:r>
          </w:p>
        </w:tc>
        <w:tc>
          <w:tcPr>
            <w:tcW w:w="383" w:type="pct"/>
            <w:tcBorders>
              <w:top w:val="nil"/>
              <w:left w:val="nil"/>
              <w:bottom w:val="dotted" w:sz="4" w:space="0" w:color="auto"/>
              <w:right w:val="dotted" w:sz="4" w:space="0" w:color="auto"/>
            </w:tcBorders>
            <w:shd w:val="clear" w:color="auto" w:fill="DEEAF6" w:themeFill="accent1" w:themeFillTint="33"/>
            <w:noWrap/>
            <w:vAlign w:val="center"/>
            <w:hideMark/>
          </w:tcPr>
          <w:p w14:paraId="663D65B1" w14:textId="77777777" w:rsidR="009D6D4E" w:rsidRPr="006D33A1" w:rsidRDefault="009D6D4E" w:rsidP="00BF3B71">
            <w:pPr>
              <w:jc w:val="right"/>
              <w:rPr>
                <w:i/>
                <w:iCs/>
                <w:sz w:val="18"/>
                <w:szCs w:val="18"/>
                <w:lang w:val="en-US"/>
              </w:rPr>
            </w:pPr>
            <w:r w:rsidRPr="006D33A1">
              <w:rPr>
                <w:i/>
                <w:iCs/>
                <w:sz w:val="18"/>
                <w:szCs w:val="18"/>
                <w:lang w:val="en-US"/>
              </w:rPr>
              <w:t>188</w:t>
            </w:r>
          </w:p>
        </w:tc>
        <w:tc>
          <w:tcPr>
            <w:tcW w:w="425" w:type="pct"/>
            <w:tcBorders>
              <w:top w:val="nil"/>
              <w:left w:val="nil"/>
              <w:bottom w:val="dotted" w:sz="4" w:space="0" w:color="auto"/>
              <w:right w:val="dotted" w:sz="4" w:space="0" w:color="auto"/>
            </w:tcBorders>
            <w:shd w:val="clear" w:color="auto" w:fill="DEEAF6" w:themeFill="accent1" w:themeFillTint="33"/>
            <w:noWrap/>
            <w:vAlign w:val="center"/>
            <w:hideMark/>
          </w:tcPr>
          <w:p w14:paraId="5C731256" w14:textId="77777777" w:rsidR="009D6D4E" w:rsidRPr="006D33A1" w:rsidRDefault="009D6D4E" w:rsidP="00BF3B71">
            <w:pPr>
              <w:jc w:val="right"/>
              <w:rPr>
                <w:i/>
                <w:iCs/>
                <w:sz w:val="18"/>
                <w:szCs w:val="18"/>
                <w:lang w:val="en-US"/>
              </w:rPr>
            </w:pPr>
            <w:r w:rsidRPr="006D33A1">
              <w:rPr>
                <w:i/>
                <w:iCs/>
                <w:sz w:val="18"/>
                <w:szCs w:val="18"/>
                <w:lang w:val="en-US"/>
              </w:rPr>
              <w:t>193</w:t>
            </w:r>
          </w:p>
        </w:tc>
        <w:tc>
          <w:tcPr>
            <w:tcW w:w="425" w:type="pct"/>
            <w:tcBorders>
              <w:top w:val="nil"/>
              <w:left w:val="nil"/>
              <w:bottom w:val="dotted" w:sz="4" w:space="0" w:color="auto"/>
              <w:right w:val="dotted" w:sz="4" w:space="0" w:color="auto"/>
            </w:tcBorders>
            <w:shd w:val="clear" w:color="auto" w:fill="DEEAF6" w:themeFill="accent1" w:themeFillTint="33"/>
            <w:vAlign w:val="center"/>
            <w:hideMark/>
          </w:tcPr>
          <w:p w14:paraId="459361AE" w14:textId="77777777" w:rsidR="009D6D4E" w:rsidRPr="006D33A1" w:rsidRDefault="009D6D4E" w:rsidP="00BF3B71">
            <w:pPr>
              <w:jc w:val="right"/>
              <w:rPr>
                <w:i/>
                <w:iCs/>
                <w:sz w:val="18"/>
                <w:szCs w:val="18"/>
                <w:lang w:val="en-US"/>
              </w:rPr>
            </w:pPr>
            <w:r w:rsidRPr="006D33A1">
              <w:rPr>
                <w:i/>
                <w:iCs/>
                <w:sz w:val="18"/>
                <w:szCs w:val="18"/>
                <w:lang w:val="en-US"/>
              </w:rPr>
              <w:t>208</w:t>
            </w:r>
          </w:p>
        </w:tc>
        <w:tc>
          <w:tcPr>
            <w:tcW w:w="411" w:type="pct"/>
            <w:tcBorders>
              <w:top w:val="nil"/>
              <w:left w:val="nil"/>
              <w:bottom w:val="dotted" w:sz="4" w:space="0" w:color="auto"/>
              <w:right w:val="dotted" w:sz="4" w:space="0" w:color="auto"/>
            </w:tcBorders>
            <w:shd w:val="clear" w:color="auto" w:fill="DEEAF6" w:themeFill="accent1" w:themeFillTint="33"/>
            <w:vAlign w:val="center"/>
            <w:hideMark/>
          </w:tcPr>
          <w:p w14:paraId="42173464" w14:textId="77777777" w:rsidR="009D6D4E" w:rsidRPr="006D33A1" w:rsidRDefault="009D6D4E" w:rsidP="00BF3B71">
            <w:pPr>
              <w:jc w:val="right"/>
              <w:rPr>
                <w:i/>
                <w:iCs/>
                <w:sz w:val="18"/>
                <w:szCs w:val="18"/>
                <w:lang w:val="en-US"/>
              </w:rPr>
            </w:pPr>
            <w:r w:rsidRPr="006D33A1">
              <w:rPr>
                <w:i/>
                <w:iCs/>
                <w:sz w:val="18"/>
                <w:szCs w:val="18"/>
                <w:lang w:val="en-US"/>
              </w:rPr>
              <w:t>226</w:t>
            </w:r>
          </w:p>
        </w:tc>
        <w:tc>
          <w:tcPr>
            <w:tcW w:w="411" w:type="pct"/>
            <w:tcBorders>
              <w:top w:val="nil"/>
              <w:left w:val="nil"/>
              <w:bottom w:val="dotted" w:sz="4" w:space="0" w:color="auto"/>
              <w:right w:val="dotted" w:sz="4" w:space="0" w:color="auto"/>
            </w:tcBorders>
            <w:shd w:val="clear" w:color="auto" w:fill="DEEAF6" w:themeFill="accent1" w:themeFillTint="33"/>
            <w:vAlign w:val="center"/>
            <w:hideMark/>
          </w:tcPr>
          <w:p w14:paraId="0F41B48D" w14:textId="77777777" w:rsidR="009D6D4E" w:rsidRPr="006D33A1" w:rsidRDefault="009D6D4E" w:rsidP="00BF3B71">
            <w:pPr>
              <w:jc w:val="right"/>
              <w:rPr>
                <w:i/>
                <w:iCs/>
                <w:sz w:val="18"/>
                <w:szCs w:val="18"/>
                <w:lang w:val="en-US"/>
              </w:rPr>
            </w:pPr>
            <w:r w:rsidRPr="006D33A1">
              <w:rPr>
                <w:i/>
                <w:iCs/>
                <w:sz w:val="18"/>
                <w:szCs w:val="18"/>
                <w:lang w:val="en-US"/>
              </w:rPr>
              <w:t>225</w:t>
            </w:r>
          </w:p>
        </w:tc>
        <w:tc>
          <w:tcPr>
            <w:tcW w:w="378" w:type="pct"/>
            <w:tcBorders>
              <w:top w:val="nil"/>
              <w:left w:val="nil"/>
              <w:bottom w:val="dotted" w:sz="4" w:space="0" w:color="auto"/>
              <w:right w:val="single" w:sz="4" w:space="0" w:color="auto"/>
            </w:tcBorders>
            <w:shd w:val="clear" w:color="auto" w:fill="DEEAF6" w:themeFill="accent1" w:themeFillTint="33"/>
            <w:vAlign w:val="center"/>
            <w:hideMark/>
          </w:tcPr>
          <w:p w14:paraId="66B83EFE" w14:textId="77777777" w:rsidR="009D6D4E" w:rsidRPr="006D33A1" w:rsidRDefault="009D6D4E" w:rsidP="00BF3B71">
            <w:pPr>
              <w:jc w:val="right"/>
              <w:rPr>
                <w:i/>
                <w:iCs/>
                <w:sz w:val="18"/>
                <w:szCs w:val="18"/>
                <w:lang w:val="en-US"/>
              </w:rPr>
            </w:pPr>
            <w:r w:rsidRPr="006D33A1">
              <w:rPr>
                <w:i/>
                <w:iCs/>
                <w:sz w:val="18"/>
                <w:szCs w:val="18"/>
                <w:lang w:val="en-US"/>
              </w:rPr>
              <w:t>234</w:t>
            </w:r>
          </w:p>
        </w:tc>
      </w:tr>
      <w:tr w:rsidR="009D6D4E" w:rsidRPr="006D33A1" w14:paraId="19C8139C" w14:textId="77777777" w:rsidTr="00BF3B71">
        <w:trPr>
          <w:trHeight w:val="20"/>
        </w:trPr>
        <w:tc>
          <w:tcPr>
            <w:tcW w:w="811" w:type="pct"/>
            <w:vMerge/>
            <w:tcBorders>
              <w:top w:val="nil"/>
              <w:left w:val="single" w:sz="4" w:space="0" w:color="auto"/>
              <w:bottom w:val="dotted" w:sz="4" w:space="0" w:color="000000"/>
              <w:right w:val="dotted" w:sz="4" w:space="0" w:color="auto"/>
            </w:tcBorders>
            <w:shd w:val="clear" w:color="auto" w:fill="DEEAF6" w:themeFill="accent1" w:themeFillTint="33"/>
            <w:vAlign w:val="center"/>
            <w:hideMark/>
          </w:tcPr>
          <w:p w14:paraId="79FCF73B" w14:textId="77777777" w:rsidR="009D6D4E" w:rsidRPr="006D33A1" w:rsidRDefault="009D6D4E" w:rsidP="00BF3B71">
            <w:pPr>
              <w:rPr>
                <w:b/>
                <w:bCs/>
                <w:sz w:val="18"/>
                <w:szCs w:val="18"/>
                <w:lang w:val="en-US"/>
              </w:rPr>
            </w:pPr>
          </w:p>
        </w:tc>
        <w:tc>
          <w:tcPr>
            <w:tcW w:w="1756" w:type="pct"/>
            <w:tcBorders>
              <w:top w:val="nil"/>
              <w:left w:val="nil"/>
              <w:bottom w:val="dotted" w:sz="4" w:space="0" w:color="auto"/>
              <w:right w:val="dotted" w:sz="4" w:space="0" w:color="auto"/>
            </w:tcBorders>
            <w:shd w:val="clear" w:color="auto" w:fill="DEEAF6" w:themeFill="accent1" w:themeFillTint="33"/>
            <w:noWrap/>
            <w:vAlign w:val="center"/>
            <w:hideMark/>
          </w:tcPr>
          <w:p w14:paraId="78A58020" w14:textId="77777777" w:rsidR="009D6D4E" w:rsidRPr="006D33A1" w:rsidRDefault="009D6D4E" w:rsidP="00BF3B71">
            <w:pPr>
              <w:rPr>
                <w:sz w:val="18"/>
                <w:szCs w:val="18"/>
                <w:lang w:val="en-US"/>
              </w:rPr>
            </w:pPr>
            <w:r>
              <w:rPr>
                <w:sz w:val="18"/>
                <w:szCs w:val="18"/>
                <w:lang w:val="en-US"/>
              </w:rPr>
              <w:t>Shpenzimet totale</w:t>
            </w:r>
          </w:p>
        </w:tc>
        <w:tc>
          <w:tcPr>
            <w:tcW w:w="383" w:type="pct"/>
            <w:tcBorders>
              <w:top w:val="nil"/>
              <w:left w:val="nil"/>
              <w:bottom w:val="dotted" w:sz="4" w:space="0" w:color="auto"/>
              <w:right w:val="dotted" w:sz="4" w:space="0" w:color="auto"/>
            </w:tcBorders>
            <w:shd w:val="clear" w:color="auto" w:fill="DEEAF6" w:themeFill="accent1" w:themeFillTint="33"/>
            <w:noWrap/>
            <w:vAlign w:val="center"/>
            <w:hideMark/>
          </w:tcPr>
          <w:p w14:paraId="003148D6" w14:textId="77777777" w:rsidR="009D6D4E" w:rsidRPr="006D33A1" w:rsidRDefault="009D6D4E" w:rsidP="00BF3B71">
            <w:pPr>
              <w:jc w:val="right"/>
              <w:rPr>
                <w:sz w:val="18"/>
                <w:szCs w:val="18"/>
                <w:lang w:val="en-US"/>
              </w:rPr>
            </w:pPr>
            <w:r w:rsidRPr="006D33A1">
              <w:rPr>
                <w:sz w:val="18"/>
                <w:szCs w:val="18"/>
                <w:lang w:val="en-US"/>
              </w:rPr>
              <w:t>1,759</w:t>
            </w:r>
          </w:p>
        </w:tc>
        <w:tc>
          <w:tcPr>
            <w:tcW w:w="425" w:type="pct"/>
            <w:tcBorders>
              <w:top w:val="nil"/>
              <w:left w:val="nil"/>
              <w:bottom w:val="dotted" w:sz="4" w:space="0" w:color="auto"/>
              <w:right w:val="dotted" w:sz="4" w:space="0" w:color="auto"/>
            </w:tcBorders>
            <w:shd w:val="clear" w:color="auto" w:fill="DEEAF6" w:themeFill="accent1" w:themeFillTint="33"/>
            <w:noWrap/>
            <w:vAlign w:val="center"/>
            <w:hideMark/>
          </w:tcPr>
          <w:p w14:paraId="7DC3DAEF" w14:textId="77777777" w:rsidR="009D6D4E" w:rsidRPr="006D33A1" w:rsidRDefault="009D6D4E" w:rsidP="00BF3B71">
            <w:pPr>
              <w:jc w:val="right"/>
              <w:rPr>
                <w:sz w:val="18"/>
                <w:szCs w:val="18"/>
                <w:lang w:val="en-US"/>
              </w:rPr>
            </w:pPr>
            <w:r w:rsidRPr="006D33A1">
              <w:rPr>
                <w:sz w:val="18"/>
                <w:szCs w:val="18"/>
                <w:lang w:val="en-US"/>
              </w:rPr>
              <w:t>1,956</w:t>
            </w:r>
          </w:p>
        </w:tc>
        <w:tc>
          <w:tcPr>
            <w:tcW w:w="425" w:type="pct"/>
            <w:tcBorders>
              <w:top w:val="nil"/>
              <w:left w:val="nil"/>
              <w:bottom w:val="dotted" w:sz="4" w:space="0" w:color="auto"/>
              <w:right w:val="dotted" w:sz="4" w:space="0" w:color="auto"/>
            </w:tcBorders>
            <w:shd w:val="clear" w:color="auto" w:fill="DEEAF6" w:themeFill="accent1" w:themeFillTint="33"/>
            <w:vAlign w:val="center"/>
            <w:hideMark/>
          </w:tcPr>
          <w:p w14:paraId="5DB2EE92" w14:textId="77777777" w:rsidR="009D6D4E" w:rsidRPr="006D33A1" w:rsidRDefault="009D6D4E" w:rsidP="00BF3B71">
            <w:pPr>
              <w:jc w:val="right"/>
              <w:rPr>
                <w:sz w:val="18"/>
                <w:szCs w:val="18"/>
                <w:lang w:val="en-US"/>
              </w:rPr>
            </w:pPr>
            <w:r w:rsidRPr="006D33A1">
              <w:rPr>
                <w:sz w:val="18"/>
                <w:szCs w:val="18"/>
                <w:lang w:val="en-US"/>
              </w:rPr>
              <w:t>2,378</w:t>
            </w:r>
          </w:p>
        </w:tc>
        <w:tc>
          <w:tcPr>
            <w:tcW w:w="411" w:type="pct"/>
            <w:tcBorders>
              <w:top w:val="nil"/>
              <w:left w:val="nil"/>
              <w:bottom w:val="dotted" w:sz="4" w:space="0" w:color="auto"/>
              <w:right w:val="dotted" w:sz="4" w:space="0" w:color="auto"/>
            </w:tcBorders>
            <w:shd w:val="clear" w:color="auto" w:fill="DEEAF6" w:themeFill="accent1" w:themeFillTint="33"/>
            <w:vAlign w:val="center"/>
            <w:hideMark/>
          </w:tcPr>
          <w:p w14:paraId="347746E8" w14:textId="77777777" w:rsidR="009D6D4E" w:rsidRPr="006D33A1" w:rsidRDefault="009D6D4E" w:rsidP="00BF3B71">
            <w:pPr>
              <w:jc w:val="right"/>
              <w:rPr>
                <w:sz w:val="18"/>
                <w:szCs w:val="18"/>
                <w:lang w:val="en-US"/>
              </w:rPr>
            </w:pPr>
            <w:r w:rsidRPr="006D33A1">
              <w:rPr>
                <w:sz w:val="18"/>
                <w:szCs w:val="18"/>
                <w:lang w:val="en-US"/>
              </w:rPr>
              <w:t>2,467</w:t>
            </w:r>
          </w:p>
        </w:tc>
        <w:tc>
          <w:tcPr>
            <w:tcW w:w="411" w:type="pct"/>
            <w:tcBorders>
              <w:top w:val="nil"/>
              <w:left w:val="nil"/>
              <w:bottom w:val="dotted" w:sz="4" w:space="0" w:color="auto"/>
              <w:right w:val="dotted" w:sz="4" w:space="0" w:color="auto"/>
            </w:tcBorders>
            <w:shd w:val="clear" w:color="auto" w:fill="DEEAF6" w:themeFill="accent1" w:themeFillTint="33"/>
            <w:vAlign w:val="center"/>
            <w:hideMark/>
          </w:tcPr>
          <w:p w14:paraId="5EE81363" w14:textId="77777777" w:rsidR="009D6D4E" w:rsidRPr="006D33A1" w:rsidRDefault="009D6D4E" w:rsidP="00BF3B71">
            <w:pPr>
              <w:jc w:val="right"/>
              <w:rPr>
                <w:sz w:val="18"/>
                <w:szCs w:val="18"/>
                <w:lang w:val="en-US"/>
              </w:rPr>
            </w:pPr>
            <w:r w:rsidRPr="006D33A1">
              <w:rPr>
                <w:sz w:val="18"/>
                <w:szCs w:val="18"/>
                <w:lang w:val="en-US"/>
              </w:rPr>
              <w:t>2,544</w:t>
            </w:r>
          </w:p>
        </w:tc>
        <w:tc>
          <w:tcPr>
            <w:tcW w:w="378" w:type="pct"/>
            <w:tcBorders>
              <w:top w:val="nil"/>
              <w:left w:val="nil"/>
              <w:bottom w:val="dotted" w:sz="4" w:space="0" w:color="auto"/>
              <w:right w:val="single" w:sz="4" w:space="0" w:color="auto"/>
            </w:tcBorders>
            <w:shd w:val="clear" w:color="auto" w:fill="DEEAF6" w:themeFill="accent1" w:themeFillTint="33"/>
            <w:vAlign w:val="center"/>
            <w:hideMark/>
          </w:tcPr>
          <w:p w14:paraId="083CA665" w14:textId="77777777" w:rsidR="009D6D4E" w:rsidRPr="006D33A1" w:rsidRDefault="009D6D4E" w:rsidP="00BF3B71">
            <w:pPr>
              <w:jc w:val="right"/>
              <w:rPr>
                <w:sz w:val="18"/>
                <w:szCs w:val="18"/>
                <w:lang w:val="en-US"/>
              </w:rPr>
            </w:pPr>
            <w:r w:rsidRPr="006D33A1">
              <w:rPr>
                <w:sz w:val="18"/>
                <w:szCs w:val="18"/>
                <w:lang w:val="en-US"/>
              </w:rPr>
              <w:t>2,616</w:t>
            </w:r>
          </w:p>
        </w:tc>
      </w:tr>
      <w:tr w:rsidR="009D6D4E" w:rsidRPr="006D33A1" w14:paraId="2F114384" w14:textId="77777777" w:rsidTr="00BF3B71">
        <w:trPr>
          <w:trHeight w:val="20"/>
        </w:trPr>
        <w:tc>
          <w:tcPr>
            <w:tcW w:w="811" w:type="pct"/>
            <w:vMerge/>
            <w:tcBorders>
              <w:top w:val="nil"/>
              <w:left w:val="single" w:sz="4" w:space="0" w:color="auto"/>
              <w:bottom w:val="dotted" w:sz="4" w:space="0" w:color="000000"/>
              <w:right w:val="dotted" w:sz="4" w:space="0" w:color="auto"/>
            </w:tcBorders>
            <w:shd w:val="clear" w:color="auto" w:fill="DEEAF6" w:themeFill="accent1" w:themeFillTint="33"/>
            <w:vAlign w:val="center"/>
            <w:hideMark/>
          </w:tcPr>
          <w:p w14:paraId="2BA513E0" w14:textId="77777777" w:rsidR="009D6D4E" w:rsidRPr="006D33A1" w:rsidRDefault="009D6D4E" w:rsidP="00BF3B71">
            <w:pPr>
              <w:rPr>
                <w:b/>
                <w:bCs/>
                <w:sz w:val="18"/>
                <w:szCs w:val="18"/>
                <w:lang w:val="en-US"/>
              </w:rPr>
            </w:pPr>
          </w:p>
        </w:tc>
        <w:tc>
          <w:tcPr>
            <w:tcW w:w="1756" w:type="pct"/>
            <w:tcBorders>
              <w:top w:val="nil"/>
              <w:left w:val="nil"/>
              <w:bottom w:val="dotted" w:sz="4" w:space="0" w:color="auto"/>
              <w:right w:val="dotted" w:sz="4" w:space="0" w:color="auto"/>
            </w:tcBorders>
            <w:shd w:val="clear" w:color="auto" w:fill="DEEAF6" w:themeFill="accent1" w:themeFillTint="33"/>
            <w:noWrap/>
            <w:vAlign w:val="center"/>
            <w:hideMark/>
          </w:tcPr>
          <w:p w14:paraId="76F847CC" w14:textId="77777777" w:rsidR="009D6D4E" w:rsidRPr="006D33A1" w:rsidRDefault="009D6D4E" w:rsidP="00BF3B71">
            <w:pPr>
              <w:ind w:firstLineChars="200" w:firstLine="360"/>
              <w:rPr>
                <w:i/>
                <w:iCs/>
                <w:sz w:val="18"/>
                <w:szCs w:val="18"/>
                <w:lang w:val="en-US"/>
              </w:rPr>
            </w:pPr>
            <w:r>
              <w:rPr>
                <w:i/>
                <w:iCs/>
                <w:sz w:val="18"/>
                <w:szCs w:val="18"/>
                <w:lang w:val="en-US"/>
              </w:rPr>
              <w:t>Shpenzimet rrjedhëse</w:t>
            </w:r>
          </w:p>
        </w:tc>
        <w:tc>
          <w:tcPr>
            <w:tcW w:w="383" w:type="pct"/>
            <w:tcBorders>
              <w:top w:val="nil"/>
              <w:left w:val="nil"/>
              <w:bottom w:val="dotted" w:sz="4" w:space="0" w:color="auto"/>
              <w:right w:val="dotted" w:sz="4" w:space="0" w:color="auto"/>
            </w:tcBorders>
            <w:shd w:val="clear" w:color="auto" w:fill="DEEAF6" w:themeFill="accent1" w:themeFillTint="33"/>
            <w:noWrap/>
            <w:vAlign w:val="center"/>
            <w:hideMark/>
          </w:tcPr>
          <w:p w14:paraId="2DE74BA1" w14:textId="77777777" w:rsidR="009D6D4E" w:rsidRPr="006D33A1" w:rsidRDefault="009D6D4E" w:rsidP="00BF3B71">
            <w:pPr>
              <w:jc w:val="right"/>
              <w:rPr>
                <w:i/>
                <w:iCs/>
                <w:sz w:val="18"/>
                <w:szCs w:val="18"/>
                <w:lang w:val="en-US"/>
              </w:rPr>
            </w:pPr>
            <w:r w:rsidRPr="006D33A1">
              <w:rPr>
                <w:i/>
                <w:iCs/>
                <w:sz w:val="18"/>
                <w:szCs w:val="18"/>
                <w:lang w:val="en-US"/>
              </w:rPr>
              <w:t>1,282</w:t>
            </w:r>
          </w:p>
        </w:tc>
        <w:tc>
          <w:tcPr>
            <w:tcW w:w="425" w:type="pct"/>
            <w:tcBorders>
              <w:top w:val="nil"/>
              <w:left w:val="nil"/>
              <w:bottom w:val="dotted" w:sz="4" w:space="0" w:color="auto"/>
              <w:right w:val="dotted" w:sz="4" w:space="0" w:color="auto"/>
            </w:tcBorders>
            <w:shd w:val="clear" w:color="auto" w:fill="DEEAF6" w:themeFill="accent1" w:themeFillTint="33"/>
            <w:noWrap/>
            <w:vAlign w:val="center"/>
            <w:hideMark/>
          </w:tcPr>
          <w:p w14:paraId="1D4D3655" w14:textId="77777777" w:rsidR="009D6D4E" w:rsidRPr="006D33A1" w:rsidRDefault="009D6D4E" w:rsidP="00BF3B71">
            <w:pPr>
              <w:jc w:val="right"/>
              <w:rPr>
                <w:i/>
                <w:iCs/>
                <w:sz w:val="18"/>
                <w:szCs w:val="18"/>
                <w:lang w:val="en-US"/>
              </w:rPr>
            </w:pPr>
            <w:r w:rsidRPr="006D33A1">
              <w:rPr>
                <w:i/>
                <w:iCs/>
                <w:sz w:val="18"/>
                <w:szCs w:val="18"/>
                <w:lang w:val="en-US"/>
              </w:rPr>
              <w:t>1,404</w:t>
            </w:r>
          </w:p>
        </w:tc>
        <w:tc>
          <w:tcPr>
            <w:tcW w:w="425" w:type="pct"/>
            <w:tcBorders>
              <w:top w:val="nil"/>
              <w:left w:val="nil"/>
              <w:bottom w:val="dotted" w:sz="4" w:space="0" w:color="auto"/>
              <w:right w:val="dotted" w:sz="4" w:space="0" w:color="auto"/>
            </w:tcBorders>
            <w:shd w:val="clear" w:color="auto" w:fill="DEEAF6" w:themeFill="accent1" w:themeFillTint="33"/>
            <w:vAlign w:val="center"/>
            <w:hideMark/>
          </w:tcPr>
          <w:p w14:paraId="362A225D" w14:textId="77777777" w:rsidR="009D6D4E" w:rsidRPr="006D33A1" w:rsidRDefault="009D6D4E" w:rsidP="00BF3B71">
            <w:pPr>
              <w:jc w:val="right"/>
              <w:rPr>
                <w:i/>
                <w:iCs/>
                <w:sz w:val="18"/>
                <w:szCs w:val="18"/>
                <w:lang w:val="en-US"/>
              </w:rPr>
            </w:pPr>
            <w:r w:rsidRPr="006D33A1">
              <w:rPr>
                <w:i/>
                <w:iCs/>
                <w:sz w:val="18"/>
                <w:szCs w:val="18"/>
                <w:lang w:val="en-US"/>
              </w:rPr>
              <w:t>1,561</w:t>
            </w:r>
          </w:p>
        </w:tc>
        <w:tc>
          <w:tcPr>
            <w:tcW w:w="411" w:type="pct"/>
            <w:tcBorders>
              <w:top w:val="nil"/>
              <w:left w:val="nil"/>
              <w:bottom w:val="dotted" w:sz="4" w:space="0" w:color="auto"/>
              <w:right w:val="dotted" w:sz="4" w:space="0" w:color="auto"/>
            </w:tcBorders>
            <w:shd w:val="clear" w:color="auto" w:fill="DEEAF6" w:themeFill="accent1" w:themeFillTint="33"/>
            <w:vAlign w:val="center"/>
            <w:hideMark/>
          </w:tcPr>
          <w:p w14:paraId="09750834" w14:textId="77777777" w:rsidR="009D6D4E" w:rsidRPr="006D33A1" w:rsidRDefault="009D6D4E" w:rsidP="00BF3B71">
            <w:pPr>
              <w:jc w:val="right"/>
              <w:rPr>
                <w:i/>
                <w:iCs/>
                <w:sz w:val="18"/>
                <w:szCs w:val="18"/>
                <w:lang w:val="en-US"/>
              </w:rPr>
            </w:pPr>
            <w:r w:rsidRPr="006D33A1">
              <w:rPr>
                <w:i/>
                <w:iCs/>
                <w:sz w:val="18"/>
                <w:szCs w:val="18"/>
                <w:lang w:val="en-US"/>
              </w:rPr>
              <w:t>1,643</w:t>
            </w:r>
          </w:p>
        </w:tc>
        <w:tc>
          <w:tcPr>
            <w:tcW w:w="411" w:type="pct"/>
            <w:tcBorders>
              <w:top w:val="nil"/>
              <w:left w:val="nil"/>
              <w:bottom w:val="dotted" w:sz="4" w:space="0" w:color="auto"/>
              <w:right w:val="dotted" w:sz="4" w:space="0" w:color="auto"/>
            </w:tcBorders>
            <w:shd w:val="clear" w:color="auto" w:fill="DEEAF6" w:themeFill="accent1" w:themeFillTint="33"/>
            <w:vAlign w:val="center"/>
            <w:hideMark/>
          </w:tcPr>
          <w:p w14:paraId="69C87221" w14:textId="77777777" w:rsidR="009D6D4E" w:rsidRPr="006D33A1" w:rsidRDefault="009D6D4E" w:rsidP="00BF3B71">
            <w:pPr>
              <w:jc w:val="right"/>
              <w:rPr>
                <w:i/>
                <w:iCs/>
                <w:sz w:val="18"/>
                <w:szCs w:val="18"/>
                <w:lang w:val="en-US"/>
              </w:rPr>
            </w:pPr>
            <w:r w:rsidRPr="006D33A1">
              <w:rPr>
                <w:i/>
                <w:iCs/>
                <w:sz w:val="18"/>
                <w:szCs w:val="18"/>
                <w:lang w:val="en-US"/>
              </w:rPr>
              <w:t>1,682</w:t>
            </w:r>
          </w:p>
        </w:tc>
        <w:tc>
          <w:tcPr>
            <w:tcW w:w="378" w:type="pct"/>
            <w:tcBorders>
              <w:top w:val="nil"/>
              <w:left w:val="nil"/>
              <w:bottom w:val="dotted" w:sz="4" w:space="0" w:color="auto"/>
              <w:right w:val="single" w:sz="4" w:space="0" w:color="auto"/>
            </w:tcBorders>
            <w:shd w:val="clear" w:color="auto" w:fill="DEEAF6" w:themeFill="accent1" w:themeFillTint="33"/>
            <w:vAlign w:val="center"/>
            <w:hideMark/>
          </w:tcPr>
          <w:p w14:paraId="49CF4184" w14:textId="77777777" w:rsidR="009D6D4E" w:rsidRPr="006D33A1" w:rsidRDefault="009D6D4E" w:rsidP="00BF3B71">
            <w:pPr>
              <w:jc w:val="right"/>
              <w:rPr>
                <w:i/>
                <w:iCs/>
                <w:sz w:val="18"/>
                <w:szCs w:val="18"/>
                <w:lang w:val="en-US"/>
              </w:rPr>
            </w:pPr>
            <w:r w:rsidRPr="006D33A1">
              <w:rPr>
                <w:i/>
                <w:iCs/>
                <w:sz w:val="18"/>
                <w:szCs w:val="18"/>
                <w:lang w:val="en-US"/>
              </w:rPr>
              <w:t>1,727</w:t>
            </w:r>
          </w:p>
        </w:tc>
      </w:tr>
      <w:tr w:rsidR="009D6D4E" w:rsidRPr="006D33A1" w14:paraId="00491ABC" w14:textId="77777777" w:rsidTr="00BF3B71">
        <w:trPr>
          <w:trHeight w:val="20"/>
        </w:trPr>
        <w:tc>
          <w:tcPr>
            <w:tcW w:w="811" w:type="pct"/>
            <w:vMerge/>
            <w:tcBorders>
              <w:top w:val="nil"/>
              <w:left w:val="single" w:sz="4" w:space="0" w:color="auto"/>
              <w:bottom w:val="dotted" w:sz="4" w:space="0" w:color="000000"/>
              <w:right w:val="dotted" w:sz="4" w:space="0" w:color="auto"/>
            </w:tcBorders>
            <w:shd w:val="clear" w:color="auto" w:fill="DEEAF6" w:themeFill="accent1" w:themeFillTint="33"/>
            <w:vAlign w:val="center"/>
            <w:hideMark/>
          </w:tcPr>
          <w:p w14:paraId="4457DB45" w14:textId="77777777" w:rsidR="009D6D4E" w:rsidRPr="006D33A1" w:rsidRDefault="009D6D4E" w:rsidP="00BF3B71">
            <w:pPr>
              <w:rPr>
                <w:b/>
                <w:bCs/>
                <w:sz w:val="18"/>
                <w:szCs w:val="18"/>
                <w:lang w:val="en-US"/>
              </w:rPr>
            </w:pPr>
          </w:p>
        </w:tc>
        <w:tc>
          <w:tcPr>
            <w:tcW w:w="1756" w:type="pct"/>
            <w:tcBorders>
              <w:top w:val="nil"/>
              <w:left w:val="nil"/>
              <w:bottom w:val="dotted" w:sz="4" w:space="0" w:color="auto"/>
              <w:right w:val="dotted" w:sz="4" w:space="0" w:color="auto"/>
            </w:tcBorders>
            <w:shd w:val="clear" w:color="auto" w:fill="DEEAF6" w:themeFill="accent1" w:themeFillTint="33"/>
            <w:noWrap/>
            <w:vAlign w:val="center"/>
            <w:hideMark/>
          </w:tcPr>
          <w:p w14:paraId="7983C85E" w14:textId="77777777" w:rsidR="009D6D4E" w:rsidRPr="006D33A1" w:rsidRDefault="009D6D4E" w:rsidP="00BF3B71">
            <w:pPr>
              <w:ind w:firstLineChars="100" w:firstLine="180"/>
              <w:rPr>
                <w:i/>
                <w:iCs/>
                <w:sz w:val="18"/>
                <w:szCs w:val="18"/>
                <w:lang w:val="en-US"/>
              </w:rPr>
            </w:pPr>
            <w:r>
              <w:rPr>
                <w:i/>
                <w:iCs/>
                <w:sz w:val="18"/>
                <w:szCs w:val="18"/>
                <w:lang w:val="en-US"/>
              </w:rPr>
              <w:t>Shpenzimet kapitale</w:t>
            </w:r>
          </w:p>
        </w:tc>
        <w:tc>
          <w:tcPr>
            <w:tcW w:w="383" w:type="pct"/>
            <w:tcBorders>
              <w:top w:val="nil"/>
              <w:left w:val="nil"/>
              <w:bottom w:val="dotted" w:sz="4" w:space="0" w:color="auto"/>
              <w:right w:val="dotted" w:sz="4" w:space="0" w:color="auto"/>
            </w:tcBorders>
            <w:shd w:val="clear" w:color="auto" w:fill="DEEAF6" w:themeFill="accent1" w:themeFillTint="33"/>
            <w:noWrap/>
            <w:vAlign w:val="center"/>
            <w:hideMark/>
          </w:tcPr>
          <w:p w14:paraId="4FAACA57" w14:textId="77777777" w:rsidR="009D6D4E" w:rsidRPr="006D33A1" w:rsidRDefault="009D6D4E" w:rsidP="00BF3B71">
            <w:pPr>
              <w:jc w:val="right"/>
              <w:rPr>
                <w:i/>
                <w:iCs/>
                <w:sz w:val="18"/>
                <w:szCs w:val="18"/>
                <w:lang w:val="en-US"/>
              </w:rPr>
            </w:pPr>
            <w:r w:rsidRPr="006D33A1">
              <w:rPr>
                <w:i/>
                <w:iCs/>
                <w:sz w:val="18"/>
                <w:szCs w:val="18"/>
                <w:lang w:val="en-US"/>
              </w:rPr>
              <w:t>468</w:t>
            </w:r>
          </w:p>
        </w:tc>
        <w:tc>
          <w:tcPr>
            <w:tcW w:w="425" w:type="pct"/>
            <w:tcBorders>
              <w:top w:val="nil"/>
              <w:left w:val="nil"/>
              <w:bottom w:val="dotted" w:sz="4" w:space="0" w:color="auto"/>
              <w:right w:val="dotted" w:sz="4" w:space="0" w:color="auto"/>
            </w:tcBorders>
            <w:shd w:val="clear" w:color="auto" w:fill="DEEAF6" w:themeFill="accent1" w:themeFillTint="33"/>
            <w:noWrap/>
            <w:vAlign w:val="center"/>
            <w:hideMark/>
          </w:tcPr>
          <w:p w14:paraId="66213FBF" w14:textId="77777777" w:rsidR="009D6D4E" w:rsidRPr="006D33A1" w:rsidRDefault="009D6D4E" w:rsidP="00BF3B71">
            <w:pPr>
              <w:jc w:val="right"/>
              <w:rPr>
                <w:i/>
                <w:iCs/>
                <w:sz w:val="18"/>
                <w:szCs w:val="18"/>
                <w:lang w:val="en-US"/>
              </w:rPr>
            </w:pPr>
            <w:r w:rsidRPr="006D33A1">
              <w:rPr>
                <w:i/>
                <w:iCs/>
                <w:sz w:val="18"/>
                <w:szCs w:val="18"/>
                <w:lang w:val="en-US"/>
              </w:rPr>
              <w:t>533</w:t>
            </w:r>
          </w:p>
        </w:tc>
        <w:tc>
          <w:tcPr>
            <w:tcW w:w="425" w:type="pct"/>
            <w:tcBorders>
              <w:top w:val="nil"/>
              <w:left w:val="nil"/>
              <w:bottom w:val="dotted" w:sz="4" w:space="0" w:color="auto"/>
              <w:right w:val="dotted" w:sz="4" w:space="0" w:color="auto"/>
            </w:tcBorders>
            <w:shd w:val="clear" w:color="auto" w:fill="DEEAF6" w:themeFill="accent1" w:themeFillTint="33"/>
            <w:vAlign w:val="center"/>
            <w:hideMark/>
          </w:tcPr>
          <w:p w14:paraId="249781EB" w14:textId="77777777" w:rsidR="009D6D4E" w:rsidRPr="006D33A1" w:rsidRDefault="009D6D4E" w:rsidP="00BF3B71">
            <w:pPr>
              <w:jc w:val="right"/>
              <w:rPr>
                <w:i/>
                <w:iCs/>
                <w:sz w:val="18"/>
                <w:szCs w:val="18"/>
                <w:lang w:val="en-US"/>
              </w:rPr>
            </w:pPr>
            <w:r w:rsidRPr="006D33A1">
              <w:rPr>
                <w:i/>
                <w:iCs/>
                <w:sz w:val="18"/>
                <w:szCs w:val="18"/>
                <w:lang w:val="en-US"/>
              </w:rPr>
              <w:t>789</w:t>
            </w:r>
          </w:p>
        </w:tc>
        <w:tc>
          <w:tcPr>
            <w:tcW w:w="411" w:type="pct"/>
            <w:tcBorders>
              <w:top w:val="nil"/>
              <w:left w:val="nil"/>
              <w:bottom w:val="dotted" w:sz="4" w:space="0" w:color="auto"/>
              <w:right w:val="dotted" w:sz="4" w:space="0" w:color="auto"/>
            </w:tcBorders>
            <w:shd w:val="clear" w:color="auto" w:fill="DEEAF6" w:themeFill="accent1" w:themeFillTint="33"/>
            <w:vAlign w:val="center"/>
            <w:hideMark/>
          </w:tcPr>
          <w:p w14:paraId="635FCDB0" w14:textId="77777777" w:rsidR="009D6D4E" w:rsidRPr="006D33A1" w:rsidRDefault="009D6D4E" w:rsidP="00BF3B71">
            <w:pPr>
              <w:jc w:val="right"/>
              <w:rPr>
                <w:i/>
                <w:iCs/>
                <w:sz w:val="18"/>
                <w:szCs w:val="18"/>
                <w:lang w:val="en-US"/>
              </w:rPr>
            </w:pPr>
            <w:r w:rsidRPr="006D33A1">
              <w:rPr>
                <w:i/>
                <w:iCs/>
                <w:sz w:val="18"/>
                <w:szCs w:val="18"/>
                <w:lang w:val="en-US"/>
              </w:rPr>
              <w:t>793</w:t>
            </w:r>
          </w:p>
        </w:tc>
        <w:tc>
          <w:tcPr>
            <w:tcW w:w="411" w:type="pct"/>
            <w:tcBorders>
              <w:top w:val="nil"/>
              <w:left w:val="nil"/>
              <w:bottom w:val="dotted" w:sz="4" w:space="0" w:color="auto"/>
              <w:right w:val="dotted" w:sz="4" w:space="0" w:color="auto"/>
            </w:tcBorders>
            <w:shd w:val="clear" w:color="auto" w:fill="DEEAF6" w:themeFill="accent1" w:themeFillTint="33"/>
            <w:vAlign w:val="center"/>
            <w:hideMark/>
          </w:tcPr>
          <w:p w14:paraId="6D62D76A" w14:textId="77777777" w:rsidR="009D6D4E" w:rsidRPr="006D33A1" w:rsidRDefault="009D6D4E" w:rsidP="00BF3B71">
            <w:pPr>
              <w:jc w:val="right"/>
              <w:rPr>
                <w:i/>
                <w:iCs/>
                <w:sz w:val="18"/>
                <w:szCs w:val="18"/>
                <w:lang w:val="en-US"/>
              </w:rPr>
            </w:pPr>
            <w:r w:rsidRPr="006D33A1">
              <w:rPr>
                <w:i/>
                <w:iCs/>
                <w:sz w:val="18"/>
                <w:szCs w:val="18"/>
                <w:lang w:val="en-US"/>
              </w:rPr>
              <w:t>825</w:t>
            </w:r>
          </w:p>
        </w:tc>
        <w:tc>
          <w:tcPr>
            <w:tcW w:w="378" w:type="pct"/>
            <w:tcBorders>
              <w:top w:val="nil"/>
              <w:left w:val="nil"/>
              <w:bottom w:val="dotted" w:sz="4" w:space="0" w:color="auto"/>
              <w:right w:val="single" w:sz="4" w:space="0" w:color="auto"/>
            </w:tcBorders>
            <w:shd w:val="clear" w:color="auto" w:fill="DEEAF6" w:themeFill="accent1" w:themeFillTint="33"/>
            <w:vAlign w:val="center"/>
            <w:hideMark/>
          </w:tcPr>
          <w:p w14:paraId="03EEEEBA" w14:textId="77777777" w:rsidR="009D6D4E" w:rsidRPr="006D33A1" w:rsidRDefault="009D6D4E" w:rsidP="00BF3B71">
            <w:pPr>
              <w:jc w:val="right"/>
              <w:rPr>
                <w:i/>
                <w:iCs/>
                <w:sz w:val="18"/>
                <w:szCs w:val="18"/>
                <w:lang w:val="en-US"/>
              </w:rPr>
            </w:pPr>
            <w:r w:rsidRPr="006D33A1">
              <w:rPr>
                <w:i/>
                <w:iCs/>
                <w:sz w:val="18"/>
                <w:szCs w:val="18"/>
                <w:lang w:val="en-US"/>
              </w:rPr>
              <w:t>846</w:t>
            </w:r>
          </w:p>
        </w:tc>
      </w:tr>
      <w:tr w:rsidR="009D6D4E" w:rsidRPr="006D33A1" w14:paraId="192FDE14" w14:textId="77777777" w:rsidTr="00BF3B71">
        <w:trPr>
          <w:trHeight w:val="20"/>
        </w:trPr>
        <w:tc>
          <w:tcPr>
            <w:tcW w:w="811" w:type="pct"/>
            <w:vMerge/>
            <w:tcBorders>
              <w:top w:val="nil"/>
              <w:left w:val="single" w:sz="4" w:space="0" w:color="auto"/>
              <w:bottom w:val="dotted" w:sz="4" w:space="0" w:color="000000"/>
              <w:right w:val="dotted" w:sz="4" w:space="0" w:color="auto"/>
            </w:tcBorders>
            <w:shd w:val="clear" w:color="auto" w:fill="DEEAF6" w:themeFill="accent1" w:themeFillTint="33"/>
            <w:vAlign w:val="center"/>
            <w:hideMark/>
          </w:tcPr>
          <w:p w14:paraId="0F934483" w14:textId="77777777" w:rsidR="009D6D4E" w:rsidRPr="006D33A1" w:rsidRDefault="009D6D4E" w:rsidP="00BF3B71">
            <w:pPr>
              <w:rPr>
                <w:b/>
                <w:bCs/>
                <w:sz w:val="18"/>
                <w:szCs w:val="18"/>
                <w:lang w:val="en-US"/>
              </w:rPr>
            </w:pPr>
          </w:p>
        </w:tc>
        <w:tc>
          <w:tcPr>
            <w:tcW w:w="1756" w:type="pct"/>
            <w:tcBorders>
              <w:top w:val="nil"/>
              <w:left w:val="nil"/>
              <w:bottom w:val="dotted" w:sz="4" w:space="0" w:color="auto"/>
              <w:right w:val="dotted" w:sz="4" w:space="0" w:color="auto"/>
            </w:tcBorders>
            <w:shd w:val="clear" w:color="auto" w:fill="DEEAF6" w:themeFill="accent1" w:themeFillTint="33"/>
            <w:noWrap/>
            <w:vAlign w:val="center"/>
            <w:hideMark/>
          </w:tcPr>
          <w:p w14:paraId="1FB8217F" w14:textId="77777777" w:rsidR="009D6D4E" w:rsidRPr="006D33A1" w:rsidRDefault="009D6D4E" w:rsidP="00BF3B71">
            <w:pPr>
              <w:rPr>
                <w:sz w:val="18"/>
                <w:szCs w:val="18"/>
                <w:lang w:val="en-US"/>
              </w:rPr>
            </w:pPr>
            <w:r>
              <w:rPr>
                <w:sz w:val="18"/>
                <w:szCs w:val="18"/>
                <w:lang w:val="en-US"/>
              </w:rPr>
              <w:t>Bilanci i përgjithshëm buxhetor</w:t>
            </w:r>
          </w:p>
        </w:tc>
        <w:tc>
          <w:tcPr>
            <w:tcW w:w="383" w:type="pct"/>
            <w:tcBorders>
              <w:top w:val="nil"/>
              <w:left w:val="nil"/>
              <w:bottom w:val="dotted" w:sz="4" w:space="0" w:color="auto"/>
              <w:right w:val="dotted" w:sz="4" w:space="0" w:color="auto"/>
            </w:tcBorders>
            <w:shd w:val="clear" w:color="auto" w:fill="DEEAF6" w:themeFill="accent1" w:themeFillTint="33"/>
            <w:noWrap/>
            <w:vAlign w:val="center"/>
            <w:hideMark/>
          </w:tcPr>
          <w:p w14:paraId="75E9C70D" w14:textId="77777777" w:rsidR="009D6D4E" w:rsidRPr="006D33A1" w:rsidRDefault="009D6D4E" w:rsidP="00BF3B71">
            <w:pPr>
              <w:jc w:val="right"/>
              <w:rPr>
                <w:sz w:val="18"/>
                <w:szCs w:val="18"/>
                <w:lang w:val="en-US"/>
              </w:rPr>
            </w:pPr>
            <w:r w:rsidRPr="006D33A1">
              <w:rPr>
                <w:sz w:val="18"/>
                <w:szCs w:val="18"/>
                <w:lang w:val="en-US"/>
              </w:rPr>
              <w:t>-75</w:t>
            </w:r>
          </w:p>
        </w:tc>
        <w:tc>
          <w:tcPr>
            <w:tcW w:w="425" w:type="pct"/>
            <w:tcBorders>
              <w:top w:val="nil"/>
              <w:left w:val="nil"/>
              <w:bottom w:val="dotted" w:sz="4" w:space="0" w:color="auto"/>
              <w:right w:val="dotted" w:sz="4" w:space="0" w:color="auto"/>
            </w:tcBorders>
            <w:shd w:val="clear" w:color="auto" w:fill="DEEAF6" w:themeFill="accent1" w:themeFillTint="33"/>
            <w:noWrap/>
            <w:vAlign w:val="center"/>
            <w:hideMark/>
          </w:tcPr>
          <w:p w14:paraId="24863FCD" w14:textId="77777777" w:rsidR="009D6D4E" w:rsidRPr="006D33A1" w:rsidRDefault="009D6D4E" w:rsidP="00BF3B71">
            <w:pPr>
              <w:jc w:val="right"/>
              <w:rPr>
                <w:sz w:val="18"/>
                <w:szCs w:val="18"/>
                <w:lang w:val="en-US"/>
              </w:rPr>
            </w:pPr>
            <w:r w:rsidRPr="006D33A1">
              <w:rPr>
                <w:sz w:val="18"/>
                <w:szCs w:val="18"/>
                <w:lang w:val="en-US"/>
              </w:rPr>
              <w:t>-199.2</w:t>
            </w:r>
          </w:p>
        </w:tc>
        <w:tc>
          <w:tcPr>
            <w:tcW w:w="425" w:type="pct"/>
            <w:tcBorders>
              <w:top w:val="nil"/>
              <w:left w:val="nil"/>
              <w:bottom w:val="dotted" w:sz="4" w:space="0" w:color="auto"/>
              <w:right w:val="dotted" w:sz="4" w:space="0" w:color="auto"/>
            </w:tcBorders>
            <w:shd w:val="clear" w:color="auto" w:fill="DEEAF6" w:themeFill="accent1" w:themeFillTint="33"/>
            <w:vAlign w:val="center"/>
            <w:hideMark/>
          </w:tcPr>
          <w:p w14:paraId="4D4A5B89" w14:textId="77777777" w:rsidR="009D6D4E" w:rsidRPr="006D33A1" w:rsidRDefault="009D6D4E" w:rsidP="00BF3B71">
            <w:pPr>
              <w:jc w:val="right"/>
              <w:rPr>
                <w:sz w:val="18"/>
                <w:szCs w:val="18"/>
                <w:lang w:val="en-US"/>
              </w:rPr>
            </w:pPr>
            <w:r w:rsidRPr="006D33A1">
              <w:rPr>
                <w:sz w:val="18"/>
                <w:szCs w:val="18"/>
                <w:lang w:val="en-US"/>
              </w:rPr>
              <w:t>-429</w:t>
            </w:r>
          </w:p>
        </w:tc>
        <w:tc>
          <w:tcPr>
            <w:tcW w:w="411" w:type="pct"/>
            <w:tcBorders>
              <w:top w:val="nil"/>
              <w:left w:val="nil"/>
              <w:bottom w:val="dotted" w:sz="4" w:space="0" w:color="auto"/>
              <w:right w:val="dotted" w:sz="4" w:space="0" w:color="auto"/>
            </w:tcBorders>
            <w:shd w:val="clear" w:color="auto" w:fill="DEEAF6" w:themeFill="accent1" w:themeFillTint="33"/>
            <w:vAlign w:val="center"/>
            <w:hideMark/>
          </w:tcPr>
          <w:p w14:paraId="38A67C39" w14:textId="77777777" w:rsidR="009D6D4E" w:rsidRPr="006D33A1" w:rsidRDefault="009D6D4E" w:rsidP="00BF3B71">
            <w:pPr>
              <w:jc w:val="right"/>
              <w:rPr>
                <w:sz w:val="18"/>
                <w:szCs w:val="18"/>
                <w:lang w:val="en-US"/>
              </w:rPr>
            </w:pPr>
            <w:r w:rsidRPr="006D33A1">
              <w:rPr>
                <w:sz w:val="18"/>
                <w:szCs w:val="18"/>
                <w:lang w:val="en-US"/>
              </w:rPr>
              <w:t>-419</w:t>
            </w:r>
          </w:p>
        </w:tc>
        <w:tc>
          <w:tcPr>
            <w:tcW w:w="411" w:type="pct"/>
            <w:tcBorders>
              <w:top w:val="nil"/>
              <w:left w:val="nil"/>
              <w:bottom w:val="dotted" w:sz="4" w:space="0" w:color="auto"/>
              <w:right w:val="dotted" w:sz="4" w:space="0" w:color="auto"/>
            </w:tcBorders>
            <w:shd w:val="clear" w:color="auto" w:fill="DEEAF6" w:themeFill="accent1" w:themeFillTint="33"/>
            <w:vAlign w:val="center"/>
            <w:hideMark/>
          </w:tcPr>
          <w:p w14:paraId="65F86E4C" w14:textId="77777777" w:rsidR="009D6D4E" w:rsidRPr="006D33A1" w:rsidRDefault="009D6D4E" w:rsidP="00BF3B71">
            <w:pPr>
              <w:jc w:val="right"/>
              <w:rPr>
                <w:sz w:val="18"/>
                <w:szCs w:val="18"/>
                <w:lang w:val="en-US"/>
              </w:rPr>
            </w:pPr>
            <w:r w:rsidRPr="006D33A1">
              <w:rPr>
                <w:sz w:val="18"/>
                <w:szCs w:val="18"/>
                <w:lang w:val="en-US"/>
              </w:rPr>
              <w:t>-420</w:t>
            </w:r>
          </w:p>
        </w:tc>
        <w:tc>
          <w:tcPr>
            <w:tcW w:w="378" w:type="pct"/>
            <w:tcBorders>
              <w:top w:val="nil"/>
              <w:left w:val="nil"/>
              <w:bottom w:val="dotted" w:sz="4" w:space="0" w:color="auto"/>
              <w:right w:val="single" w:sz="4" w:space="0" w:color="auto"/>
            </w:tcBorders>
            <w:shd w:val="clear" w:color="auto" w:fill="DEEAF6" w:themeFill="accent1" w:themeFillTint="33"/>
            <w:vAlign w:val="center"/>
            <w:hideMark/>
          </w:tcPr>
          <w:p w14:paraId="06AC406A" w14:textId="77777777" w:rsidR="009D6D4E" w:rsidRPr="006D33A1" w:rsidRDefault="009D6D4E" w:rsidP="00BF3B71">
            <w:pPr>
              <w:jc w:val="right"/>
              <w:rPr>
                <w:sz w:val="18"/>
                <w:szCs w:val="18"/>
                <w:lang w:val="en-US"/>
              </w:rPr>
            </w:pPr>
            <w:r w:rsidRPr="006D33A1">
              <w:rPr>
                <w:sz w:val="18"/>
                <w:szCs w:val="18"/>
                <w:lang w:val="en-US"/>
              </w:rPr>
              <w:t>-376</w:t>
            </w:r>
          </w:p>
        </w:tc>
      </w:tr>
      <w:tr w:rsidR="009D6D4E" w:rsidRPr="006D33A1" w14:paraId="4D15B411" w14:textId="77777777" w:rsidTr="00BF3B71">
        <w:trPr>
          <w:trHeight w:val="20"/>
        </w:trPr>
        <w:tc>
          <w:tcPr>
            <w:tcW w:w="811" w:type="pct"/>
            <w:vMerge/>
            <w:tcBorders>
              <w:top w:val="nil"/>
              <w:left w:val="single" w:sz="4" w:space="0" w:color="auto"/>
              <w:bottom w:val="dotted" w:sz="4" w:space="0" w:color="000000"/>
              <w:right w:val="dotted" w:sz="4" w:space="0" w:color="auto"/>
            </w:tcBorders>
            <w:shd w:val="clear" w:color="auto" w:fill="DEEAF6" w:themeFill="accent1" w:themeFillTint="33"/>
            <w:vAlign w:val="center"/>
            <w:hideMark/>
          </w:tcPr>
          <w:p w14:paraId="5C676840" w14:textId="77777777" w:rsidR="009D6D4E" w:rsidRPr="006D33A1" w:rsidRDefault="009D6D4E" w:rsidP="00BF3B71">
            <w:pPr>
              <w:rPr>
                <w:b/>
                <w:bCs/>
                <w:sz w:val="18"/>
                <w:szCs w:val="18"/>
                <w:lang w:val="en-US"/>
              </w:rPr>
            </w:pPr>
          </w:p>
        </w:tc>
        <w:tc>
          <w:tcPr>
            <w:tcW w:w="1756" w:type="pct"/>
            <w:tcBorders>
              <w:top w:val="nil"/>
              <w:left w:val="nil"/>
              <w:bottom w:val="dotted" w:sz="4" w:space="0" w:color="auto"/>
              <w:right w:val="dotted" w:sz="4" w:space="0" w:color="auto"/>
            </w:tcBorders>
            <w:shd w:val="clear" w:color="auto" w:fill="DEEAF6" w:themeFill="accent1" w:themeFillTint="33"/>
            <w:noWrap/>
            <w:vAlign w:val="center"/>
            <w:hideMark/>
          </w:tcPr>
          <w:p w14:paraId="061747EE" w14:textId="77777777" w:rsidR="009D6D4E" w:rsidRPr="006D33A1" w:rsidRDefault="009D6D4E" w:rsidP="00BF3B71">
            <w:pPr>
              <w:rPr>
                <w:i/>
                <w:iCs/>
                <w:sz w:val="18"/>
                <w:szCs w:val="18"/>
                <w:lang w:val="en-US"/>
              </w:rPr>
            </w:pPr>
            <w:r>
              <w:rPr>
                <w:i/>
                <w:iCs/>
                <w:sz w:val="18"/>
                <w:szCs w:val="18"/>
                <w:lang w:val="en-US"/>
              </w:rPr>
              <w:t>Bilanxi buxhetor</w:t>
            </w:r>
            <w:r w:rsidRPr="006D33A1">
              <w:rPr>
                <w:i/>
                <w:iCs/>
                <w:sz w:val="18"/>
                <w:szCs w:val="18"/>
                <w:lang w:val="en-US"/>
              </w:rPr>
              <w:t xml:space="preserve"> (</w:t>
            </w:r>
            <w:r>
              <w:rPr>
                <w:i/>
                <w:iCs/>
                <w:sz w:val="18"/>
                <w:szCs w:val="18"/>
                <w:lang w:val="en-US"/>
              </w:rPr>
              <w:t>sipas rregullës fiskale</w:t>
            </w:r>
            <w:r w:rsidRPr="006D33A1">
              <w:rPr>
                <w:i/>
                <w:iCs/>
                <w:sz w:val="18"/>
                <w:szCs w:val="18"/>
                <w:lang w:val="en-US"/>
              </w:rPr>
              <w:t>)</w:t>
            </w:r>
          </w:p>
        </w:tc>
        <w:tc>
          <w:tcPr>
            <w:tcW w:w="383" w:type="pct"/>
            <w:tcBorders>
              <w:top w:val="nil"/>
              <w:left w:val="nil"/>
              <w:bottom w:val="dotted" w:sz="4" w:space="0" w:color="auto"/>
              <w:right w:val="dotted" w:sz="4" w:space="0" w:color="auto"/>
            </w:tcBorders>
            <w:shd w:val="clear" w:color="auto" w:fill="DEEAF6" w:themeFill="accent1" w:themeFillTint="33"/>
            <w:noWrap/>
            <w:vAlign w:val="center"/>
            <w:hideMark/>
          </w:tcPr>
          <w:p w14:paraId="462F1F6C" w14:textId="77777777" w:rsidR="009D6D4E" w:rsidRPr="006D33A1" w:rsidRDefault="009D6D4E" w:rsidP="00BF3B71">
            <w:pPr>
              <w:jc w:val="right"/>
              <w:rPr>
                <w:i/>
                <w:iCs/>
                <w:sz w:val="18"/>
                <w:szCs w:val="18"/>
                <w:lang w:val="en-US"/>
              </w:rPr>
            </w:pPr>
            <w:r w:rsidRPr="006D33A1">
              <w:rPr>
                <w:i/>
                <w:iCs/>
                <w:sz w:val="18"/>
                <w:szCs w:val="18"/>
                <w:lang w:val="en-US"/>
              </w:rPr>
              <w:t>-48</w:t>
            </w:r>
          </w:p>
        </w:tc>
        <w:tc>
          <w:tcPr>
            <w:tcW w:w="425" w:type="pct"/>
            <w:tcBorders>
              <w:top w:val="nil"/>
              <w:left w:val="nil"/>
              <w:bottom w:val="dotted" w:sz="4" w:space="0" w:color="auto"/>
              <w:right w:val="dotted" w:sz="4" w:space="0" w:color="auto"/>
            </w:tcBorders>
            <w:shd w:val="clear" w:color="auto" w:fill="DEEAF6" w:themeFill="accent1" w:themeFillTint="33"/>
            <w:noWrap/>
            <w:vAlign w:val="center"/>
            <w:hideMark/>
          </w:tcPr>
          <w:p w14:paraId="18D54149" w14:textId="77777777" w:rsidR="009D6D4E" w:rsidRPr="006D33A1" w:rsidRDefault="009D6D4E" w:rsidP="00BF3B71">
            <w:pPr>
              <w:jc w:val="right"/>
              <w:rPr>
                <w:i/>
                <w:iCs/>
                <w:sz w:val="18"/>
                <w:szCs w:val="18"/>
                <w:lang w:val="en-US"/>
              </w:rPr>
            </w:pPr>
            <w:r w:rsidRPr="006D33A1">
              <w:rPr>
                <w:i/>
                <w:iCs/>
                <w:sz w:val="18"/>
                <w:szCs w:val="18"/>
                <w:lang w:val="en-US"/>
              </w:rPr>
              <w:t>-87.4</w:t>
            </w:r>
          </w:p>
        </w:tc>
        <w:tc>
          <w:tcPr>
            <w:tcW w:w="425" w:type="pct"/>
            <w:tcBorders>
              <w:top w:val="nil"/>
              <w:left w:val="nil"/>
              <w:bottom w:val="dotted" w:sz="4" w:space="0" w:color="auto"/>
              <w:right w:val="dotted" w:sz="4" w:space="0" w:color="auto"/>
            </w:tcBorders>
            <w:shd w:val="clear" w:color="auto" w:fill="DEEAF6" w:themeFill="accent1" w:themeFillTint="33"/>
            <w:vAlign w:val="center"/>
            <w:hideMark/>
          </w:tcPr>
          <w:p w14:paraId="48365932" w14:textId="77777777" w:rsidR="009D6D4E" w:rsidRPr="006D33A1" w:rsidRDefault="009D6D4E" w:rsidP="00BF3B71">
            <w:pPr>
              <w:jc w:val="right"/>
              <w:rPr>
                <w:i/>
                <w:iCs/>
                <w:sz w:val="18"/>
                <w:szCs w:val="18"/>
                <w:lang w:val="en-US"/>
              </w:rPr>
            </w:pPr>
            <w:r w:rsidRPr="006D33A1">
              <w:rPr>
                <w:i/>
                <w:iCs/>
                <w:sz w:val="18"/>
                <w:szCs w:val="18"/>
                <w:lang w:val="en-US"/>
              </w:rPr>
              <w:t>-145</w:t>
            </w:r>
          </w:p>
        </w:tc>
        <w:tc>
          <w:tcPr>
            <w:tcW w:w="411" w:type="pct"/>
            <w:tcBorders>
              <w:top w:val="nil"/>
              <w:left w:val="nil"/>
              <w:bottom w:val="dotted" w:sz="4" w:space="0" w:color="auto"/>
              <w:right w:val="dotted" w:sz="4" w:space="0" w:color="auto"/>
            </w:tcBorders>
            <w:shd w:val="clear" w:color="auto" w:fill="DEEAF6" w:themeFill="accent1" w:themeFillTint="33"/>
            <w:vAlign w:val="center"/>
            <w:hideMark/>
          </w:tcPr>
          <w:p w14:paraId="6808BE89" w14:textId="77777777" w:rsidR="009D6D4E" w:rsidRPr="006D33A1" w:rsidRDefault="009D6D4E" w:rsidP="00BF3B71">
            <w:pPr>
              <w:jc w:val="right"/>
              <w:rPr>
                <w:i/>
                <w:iCs/>
                <w:sz w:val="18"/>
                <w:szCs w:val="18"/>
                <w:lang w:val="en-US"/>
              </w:rPr>
            </w:pPr>
            <w:r w:rsidRPr="006D33A1">
              <w:rPr>
                <w:i/>
                <w:iCs/>
                <w:sz w:val="18"/>
                <w:szCs w:val="18"/>
                <w:lang w:val="en-US"/>
              </w:rPr>
              <w:t>-154</w:t>
            </w:r>
          </w:p>
        </w:tc>
        <w:tc>
          <w:tcPr>
            <w:tcW w:w="411" w:type="pct"/>
            <w:tcBorders>
              <w:top w:val="nil"/>
              <w:left w:val="nil"/>
              <w:bottom w:val="dotted" w:sz="4" w:space="0" w:color="auto"/>
              <w:right w:val="dotted" w:sz="4" w:space="0" w:color="auto"/>
            </w:tcBorders>
            <w:shd w:val="clear" w:color="auto" w:fill="DEEAF6" w:themeFill="accent1" w:themeFillTint="33"/>
            <w:vAlign w:val="center"/>
            <w:hideMark/>
          </w:tcPr>
          <w:p w14:paraId="328272C6" w14:textId="77777777" w:rsidR="009D6D4E" w:rsidRPr="006D33A1" w:rsidRDefault="009D6D4E" w:rsidP="00BF3B71">
            <w:pPr>
              <w:jc w:val="right"/>
              <w:rPr>
                <w:i/>
                <w:iCs/>
                <w:sz w:val="18"/>
                <w:szCs w:val="18"/>
                <w:lang w:val="en-US"/>
              </w:rPr>
            </w:pPr>
            <w:r w:rsidRPr="006D33A1">
              <w:rPr>
                <w:i/>
                <w:iCs/>
                <w:sz w:val="18"/>
                <w:szCs w:val="18"/>
                <w:lang w:val="en-US"/>
              </w:rPr>
              <w:t>-157</w:t>
            </w:r>
          </w:p>
        </w:tc>
        <w:tc>
          <w:tcPr>
            <w:tcW w:w="378" w:type="pct"/>
            <w:tcBorders>
              <w:top w:val="nil"/>
              <w:left w:val="nil"/>
              <w:bottom w:val="dotted" w:sz="4" w:space="0" w:color="auto"/>
              <w:right w:val="single" w:sz="4" w:space="0" w:color="auto"/>
            </w:tcBorders>
            <w:shd w:val="clear" w:color="auto" w:fill="DEEAF6" w:themeFill="accent1" w:themeFillTint="33"/>
            <w:vAlign w:val="center"/>
            <w:hideMark/>
          </w:tcPr>
          <w:p w14:paraId="5179EA13" w14:textId="77777777" w:rsidR="009D6D4E" w:rsidRPr="006D33A1" w:rsidRDefault="009D6D4E" w:rsidP="00BF3B71">
            <w:pPr>
              <w:jc w:val="right"/>
              <w:rPr>
                <w:i/>
                <w:iCs/>
                <w:sz w:val="18"/>
                <w:szCs w:val="18"/>
                <w:lang w:val="en-US"/>
              </w:rPr>
            </w:pPr>
            <w:r w:rsidRPr="006D33A1">
              <w:rPr>
                <w:i/>
                <w:iCs/>
                <w:sz w:val="18"/>
                <w:szCs w:val="18"/>
                <w:lang w:val="en-US"/>
              </w:rPr>
              <w:t>-163</w:t>
            </w:r>
          </w:p>
        </w:tc>
      </w:tr>
      <w:tr w:rsidR="009D6D4E" w:rsidRPr="006D33A1" w14:paraId="12F8352C" w14:textId="77777777" w:rsidTr="00BF3B71">
        <w:trPr>
          <w:trHeight w:val="20"/>
        </w:trPr>
        <w:tc>
          <w:tcPr>
            <w:tcW w:w="811" w:type="pct"/>
            <w:vMerge/>
            <w:tcBorders>
              <w:top w:val="nil"/>
              <w:left w:val="single" w:sz="4" w:space="0" w:color="auto"/>
              <w:bottom w:val="dotted" w:sz="4" w:space="0" w:color="000000"/>
              <w:right w:val="dotted" w:sz="4" w:space="0" w:color="auto"/>
            </w:tcBorders>
            <w:shd w:val="clear" w:color="auto" w:fill="DEEAF6" w:themeFill="accent1" w:themeFillTint="33"/>
            <w:vAlign w:val="center"/>
            <w:hideMark/>
          </w:tcPr>
          <w:p w14:paraId="54A9CFDC" w14:textId="77777777" w:rsidR="009D6D4E" w:rsidRPr="006D33A1" w:rsidRDefault="009D6D4E" w:rsidP="00BF3B71">
            <w:pPr>
              <w:rPr>
                <w:b/>
                <w:bCs/>
                <w:sz w:val="18"/>
                <w:szCs w:val="18"/>
                <w:lang w:val="en-US"/>
              </w:rPr>
            </w:pPr>
          </w:p>
        </w:tc>
        <w:tc>
          <w:tcPr>
            <w:tcW w:w="1756" w:type="pct"/>
            <w:tcBorders>
              <w:top w:val="nil"/>
              <w:left w:val="nil"/>
              <w:bottom w:val="dotted" w:sz="4" w:space="0" w:color="auto"/>
              <w:right w:val="dotted" w:sz="4" w:space="0" w:color="auto"/>
            </w:tcBorders>
            <w:shd w:val="clear" w:color="auto" w:fill="DEEAF6" w:themeFill="accent1" w:themeFillTint="33"/>
            <w:noWrap/>
            <w:vAlign w:val="center"/>
            <w:hideMark/>
          </w:tcPr>
          <w:p w14:paraId="1198030A" w14:textId="77777777" w:rsidR="009D6D4E" w:rsidRPr="006D33A1" w:rsidRDefault="009D6D4E" w:rsidP="00BF3B71">
            <w:pPr>
              <w:rPr>
                <w:sz w:val="18"/>
                <w:szCs w:val="18"/>
                <w:lang w:val="en-US"/>
              </w:rPr>
            </w:pPr>
            <w:r>
              <w:rPr>
                <w:sz w:val="18"/>
                <w:szCs w:val="18"/>
                <w:lang w:val="en-US"/>
              </w:rPr>
              <w:t>BPV</w:t>
            </w:r>
          </w:p>
        </w:tc>
        <w:tc>
          <w:tcPr>
            <w:tcW w:w="383" w:type="pct"/>
            <w:tcBorders>
              <w:top w:val="nil"/>
              <w:left w:val="nil"/>
              <w:bottom w:val="dotted" w:sz="4" w:space="0" w:color="auto"/>
              <w:right w:val="dotted" w:sz="4" w:space="0" w:color="auto"/>
            </w:tcBorders>
            <w:shd w:val="clear" w:color="auto" w:fill="DEEAF6" w:themeFill="accent1" w:themeFillTint="33"/>
            <w:noWrap/>
            <w:vAlign w:val="center"/>
            <w:hideMark/>
          </w:tcPr>
          <w:p w14:paraId="0FB9617D" w14:textId="77777777" w:rsidR="009D6D4E" w:rsidRPr="006D33A1" w:rsidRDefault="009D6D4E" w:rsidP="00BF3B71">
            <w:pPr>
              <w:jc w:val="right"/>
              <w:rPr>
                <w:sz w:val="18"/>
                <w:szCs w:val="18"/>
                <w:lang w:val="en-US"/>
              </w:rPr>
            </w:pPr>
            <w:r w:rsidRPr="006D33A1">
              <w:rPr>
                <w:sz w:val="18"/>
                <w:szCs w:val="18"/>
                <w:lang w:val="en-US"/>
              </w:rPr>
              <w:t>6,414</w:t>
            </w:r>
          </w:p>
        </w:tc>
        <w:tc>
          <w:tcPr>
            <w:tcW w:w="425" w:type="pct"/>
            <w:tcBorders>
              <w:top w:val="nil"/>
              <w:left w:val="nil"/>
              <w:bottom w:val="dotted" w:sz="4" w:space="0" w:color="auto"/>
              <w:right w:val="dotted" w:sz="4" w:space="0" w:color="auto"/>
            </w:tcBorders>
            <w:shd w:val="clear" w:color="auto" w:fill="DEEAF6" w:themeFill="accent1" w:themeFillTint="33"/>
            <w:noWrap/>
            <w:vAlign w:val="center"/>
            <w:hideMark/>
          </w:tcPr>
          <w:p w14:paraId="55DDBD7E" w14:textId="77777777" w:rsidR="009D6D4E" w:rsidRPr="006D33A1" w:rsidRDefault="009D6D4E" w:rsidP="00BF3B71">
            <w:pPr>
              <w:jc w:val="right"/>
              <w:rPr>
                <w:sz w:val="18"/>
                <w:szCs w:val="18"/>
                <w:lang w:val="en-US"/>
              </w:rPr>
            </w:pPr>
            <w:r w:rsidRPr="006D33A1">
              <w:rPr>
                <w:sz w:val="18"/>
                <w:szCs w:val="18"/>
                <w:lang w:val="en-US"/>
              </w:rPr>
              <w:t>6,726</w:t>
            </w:r>
          </w:p>
        </w:tc>
        <w:tc>
          <w:tcPr>
            <w:tcW w:w="425" w:type="pct"/>
            <w:tcBorders>
              <w:top w:val="nil"/>
              <w:left w:val="nil"/>
              <w:bottom w:val="dotted" w:sz="4" w:space="0" w:color="auto"/>
              <w:right w:val="dotted" w:sz="4" w:space="0" w:color="auto"/>
            </w:tcBorders>
            <w:shd w:val="clear" w:color="auto" w:fill="DEEAF6" w:themeFill="accent1" w:themeFillTint="33"/>
            <w:vAlign w:val="center"/>
            <w:hideMark/>
          </w:tcPr>
          <w:p w14:paraId="36BB76BF" w14:textId="77777777" w:rsidR="009D6D4E" w:rsidRPr="006D33A1" w:rsidRDefault="009D6D4E" w:rsidP="00BF3B71">
            <w:pPr>
              <w:jc w:val="right"/>
              <w:rPr>
                <w:sz w:val="18"/>
                <w:szCs w:val="18"/>
                <w:lang w:val="en-US"/>
              </w:rPr>
            </w:pPr>
            <w:r w:rsidRPr="006D33A1">
              <w:rPr>
                <w:sz w:val="18"/>
                <w:szCs w:val="18"/>
                <w:lang w:val="en-US"/>
              </w:rPr>
              <w:t>7,123</w:t>
            </w:r>
          </w:p>
        </w:tc>
        <w:tc>
          <w:tcPr>
            <w:tcW w:w="411" w:type="pct"/>
            <w:tcBorders>
              <w:top w:val="nil"/>
              <w:left w:val="nil"/>
              <w:bottom w:val="dotted" w:sz="4" w:space="0" w:color="auto"/>
              <w:right w:val="dotted" w:sz="4" w:space="0" w:color="auto"/>
            </w:tcBorders>
            <w:shd w:val="clear" w:color="auto" w:fill="DEEAF6" w:themeFill="accent1" w:themeFillTint="33"/>
            <w:vAlign w:val="center"/>
            <w:hideMark/>
          </w:tcPr>
          <w:p w14:paraId="50C74D69" w14:textId="77777777" w:rsidR="009D6D4E" w:rsidRPr="006D33A1" w:rsidRDefault="009D6D4E" w:rsidP="00BF3B71">
            <w:pPr>
              <w:jc w:val="right"/>
              <w:rPr>
                <w:sz w:val="18"/>
                <w:szCs w:val="18"/>
                <w:lang w:val="en-US"/>
              </w:rPr>
            </w:pPr>
            <w:r w:rsidRPr="006D33A1">
              <w:rPr>
                <w:sz w:val="18"/>
                <w:szCs w:val="18"/>
                <w:lang w:val="en-US"/>
              </w:rPr>
              <w:t>7,521</w:t>
            </w:r>
          </w:p>
        </w:tc>
        <w:tc>
          <w:tcPr>
            <w:tcW w:w="411" w:type="pct"/>
            <w:tcBorders>
              <w:top w:val="nil"/>
              <w:left w:val="nil"/>
              <w:bottom w:val="dotted" w:sz="4" w:space="0" w:color="auto"/>
              <w:right w:val="dotted" w:sz="4" w:space="0" w:color="auto"/>
            </w:tcBorders>
            <w:shd w:val="clear" w:color="auto" w:fill="DEEAF6" w:themeFill="accent1" w:themeFillTint="33"/>
            <w:vAlign w:val="center"/>
            <w:hideMark/>
          </w:tcPr>
          <w:p w14:paraId="08F18EB0" w14:textId="77777777" w:rsidR="009D6D4E" w:rsidRPr="006D33A1" w:rsidRDefault="009D6D4E" w:rsidP="00BF3B71">
            <w:pPr>
              <w:jc w:val="right"/>
              <w:rPr>
                <w:sz w:val="18"/>
                <w:szCs w:val="18"/>
                <w:lang w:val="en-US"/>
              </w:rPr>
            </w:pPr>
            <w:r w:rsidRPr="006D33A1">
              <w:rPr>
                <w:sz w:val="18"/>
                <w:szCs w:val="18"/>
                <w:lang w:val="en-US"/>
              </w:rPr>
              <w:t>7,939</w:t>
            </w:r>
          </w:p>
        </w:tc>
        <w:tc>
          <w:tcPr>
            <w:tcW w:w="378" w:type="pct"/>
            <w:tcBorders>
              <w:top w:val="nil"/>
              <w:left w:val="nil"/>
              <w:bottom w:val="dotted" w:sz="4" w:space="0" w:color="auto"/>
              <w:right w:val="single" w:sz="4" w:space="0" w:color="auto"/>
            </w:tcBorders>
            <w:shd w:val="clear" w:color="auto" w:fill="DEEAF6" w:themeFill="accent1" w:themeFillTint="33"/>
            <w:vAlign w:val="center"/>
            <w:hideMark/>
          </w:tcPr>
          <w:p w14:paraId="35FBABBD" w14:textId="77777777" w:rsidR="009D6D4E" w:rsidRPr="006D33A1" w:rsidRDefault="009D6D4E" w:rsidP="00BF3B71">
            <w:pPr>
              <w:jc w:val="right"/>
              <w:rPr>
                <w:sz w:val="18"/>
                <w:szCs w:val="18"/>
                <w:lang w:val="en-US"/>
              </w:rPr>
            </w:pPr>
            <w:r w:rsidRPr="006D33A1">
              <w:rPr>
                <w:sz w:val="18"/>
                <w:szCs w:val="18"/>
                <w:lang w:val="en-US"/>
              </w:rPr>
              <w:t>8,363</w:t>
            </w:r>
          </w:p>
        </w:tc>
      </w:tr>
      <w:tr w:rsidR="009D6D4E" w:rsidRPr="006D33A1" w14:paraId="39EA77BF" w14:textId="77777777" w:rsidTr="00BF3B71">
        <w:trPr>
          <w:trHeight w:val="20"/>
        </w:trPr>
        <w:tc>
          <w:tcPr>
            <w:tcW w:w="811" w:type="pct"/>
            <w:vMerge/>
            <w:tcBorders>
              <w:top w:val="nil"/>
              <w:left w:val="single" w:sz="4" w:space="0" w:color="auto"/>
              <w:bottom w:val="dotted" w:sz="4" w:space="0" w:color="000000"/>
              <w:right w:val="dotted" w:sz="4" w:space="0" w:color="auto"/>
            </w:tcBorders>
            <w:shd w:val="clear" w:color="auto" w:fill="DEEAF6" w:themeFill="accent1" w:themeFillTint="33"/>
            <w:vAlign w:val="center"/>
            <w:hideMark/>
          </w:tcPr>
          <w:p w14:paraId="571CA5B6" w14:textId="77777777" w:rsidR="009D6D4E" w:rsidRPr="006D33A1" w:rsidRDefault="009D6D4E" w:rsidP="00BF3B71">
            <w:pPr>
              <w:rPr>
                <w:b/>
                <w:bCs/>
                <w:sz w:val="18"/>
                <w:szCs w:val="18"/>
                <w:lang w:val="en-US"/>
              </w:rPr>
            </w:pPr>
          </w:p>
        </w:tc>
        <w:tc>
          <w:tcPr>
            <w:tcW w:w="1756" w:type="pct"/>
            <w:tcBorders>
              <w:top w:val="nil"/>
              <w:left w:val="nil"/>
              <w:bottom w:val="dotted" w:sz="4" w:space="0" w:color="auto"/>
              <w:right w:val="dotted" w:sz="4" w:space="0" w:color="auto"/>
            </w:tcBorders>
            <w:shd w:val="clear" w:color="auto" w:fill="DEEAF6" w:themeFill="accent1" w:themeFillTint="33"/>
            <w:noWrap/>
            <w:vAlign w:val="center"/>
            <w:hideMark/>
          </w:tcPr>
          <w:p w14:paraId="010E10F6" w14:textId="77777777" w:rsidR="009D6D4E" w:rsidRPr="006D33A1" w:rsidRDefault="009D6D4E" w:rsidP="00BF3B71">
            <w:pPr>
              <w:rPr>
                <w:sz w:val="18"/>
                <w:szCs w:val="18"/>
                <w:lang w:val="en-US"/>
              </w:rPr>
            </w:pPr>
            <w:r>
              <w:rPr>
                <w:sz w:val="18"/>
                <w:szCs w:val="18"/>
                <w:lang w:val="en-US"/>
              </w:rPr>
              <w:t>Deficiti i Përgjithshëm</w:t>
            </w:r>
            <w:r w:rsidRPr="006D33A1">
              <w:rPr>
                <w:sz w:val="18"/>
                <w:szCs w:val="18"/>
                <w:lang w:val="en-US"/>
              </w:rPr>
              <w:t xml:space="preserve">, </w:t>
            </w:r>
            <w:r>
              <w:rPr>
                <w:sz w:val="18"/>
                <w:szCs w:val="18"/>
                <w:lang w:val="en-US"/>
              </w:rPr>
              <w:t>si</w:t>
            </w:r>
            <w:r w:rsidRPr="006D33A1">
              <w:rPr>
                <w:sz w:val="18"/>
                <w:szCs w:val="18"/>
                <w:lang w:val="en-US"/>
              </w:rPr>
              <w:t xml:space="preserve"> % </w:t>
            </w:r>
            <w:r>
              <w:rPr>
                <w:sz w:val="18"/>
                <w:szCs w:val="18"/>
                <w:lang w:val="en-US"/>
              </w:rPr>
              <w:t>e BPV-së</w:t>
            </w:r>
          </w:p>
        </w:tc>
        <w:tc>
          <w:tcPr>
            <w:tcW w:w="383" w:type="pct"/>
            <w:tcBorders>
              <w:top w:val="nil"/>
              <w:left w:val="nil"/>
              <w:bottom w:val="dotted" w:sz="4" w:space="0" w:color="auto"/>
              <w:right w:val="dotted" w:sz="4" w:space="0" w:color="auto"/>
            </w:tcBorders>
            <w:shd w:val="clear" w:color="auto" w:fill="DEEAF6" w:themeFill="accent1" w:themeFillTint="33"/>
            <w:noWrap/>
            <w:vAlign w:val="center"/>
            <w:hideMark/>
          </w:tcPr>
          <w:p w14:paraId="13AD58AE" w14:textId="77777777" w:rsidR="009D6D4E" w:rsidRPr="006D33A1" w:rsidRDefault="009D6D4E" w:rsidP="00BF3B71">
            <w:pPr>
              <w:jc w:val="right"/>
              <w:rPr>
                <w:sz w:val="18"/>
                <w:szCs w:val="18"/>
                <w:lang w:val="en-US"/>
              </w:rPr>
            </w:pPr>
            <w:r w:rsidRPr="006D33A1">
              <w:rPr>
                <w:sz w:val="18"/>
                <w:szCs w:val="18"/>
                <w:lang w:val="en-US"/>
              </w:rPr>
              <w:t>-0.7%</w:t>
            </w:r>
          </w:p>
        </w:tc>
        <w:tc>
          <w:tcPr>
            <w:tcW w:w="425" w:type="pct"/>
            <w:tcBorders>
              <w:top w:val="nil"/>
              <w:left w:val="nil"/>
              <w:bottom w:val="dotted" w:sz="4" w:space="0" w:color="auto"/>
              <w:right w:val="dotted" w:sz="4" w:space="0" w:color="auto"/>
            </w:tcBorders>
            <w:shd w:val="clear" w:color="auto" w:fill="DEEAF6" w:themeFill="accent1" w:themeFillTint="33"/>
            <w:noWrap/>
            <w:vAlign w:val="center"/>
            <w:hideMark/>
          </w:tcPr>
          <w:p w14:paraId="7C2FBE3C" w14:textId="77777777" w:rsidR="009D6D4E" w:rsidRPr="006D33A1" w:rsidRDefault="009D6D4E" w:rsidP="00BF3B71">
            <w:pPr>
              <w:jc w:val="right"/>
              <w:rPr>
                <w:sz w:val="18"/>
                <w:szCs w:val="18"/>
                <w:lang w:val="en-US"/>
              </w:rPr>
            </w:pPr>
            <w:r w:rsidRPr="006D33A1">
              <w:rPr>
                <w:sz w:val="18"/>
                <w:szCs w:val="18"/>
                <w:lang w:val="en-US"/>
              </w:rPr>
              <w:t>-1.3%</w:t>
            </w:r>
          </w:p>
        </w:tc>
        <w:tc>
          <w:tcPr>
            <w:tcW w:w="425" w:type="pct"/>
            <w:tcBorders>
              <w:top w:val="nil"/>
              <w:left w:val="nil"/>
              <w:bottom w:val="dotted" w:sz="4" w:space="0" w:color="auto"/>
              <w:right w:val="dotted" w:sz="4" w:space="0" w:color="auto"/>
            </w:tcBorders>
            <w:shd w:val="clear" w:color="auto" w:fill="DEEAF6" w:themeFill="accent1" w:themeFillTint="33"/>
            <w:vAlign w:val="center"/>
            <w:hideMark/>
          </w:tcPr>
          <w:p w14:paraId="4EA203E3" w14:textId="77777777" w:rsidR="009D6D4E" w:rsidRPr="006D33A1" w:rsidRDefault="009D6D4E" w:rsidP="00BF3B71">
            <w:pPr>
              <w:jc w:val="right"/>
              <w:rPr>
                <w:sz w:val="18"/>
                <w:szCs w:val="18"/>
                <w:lang w:val="en-US"/>
              </w:rPr>
            </w:pPr>
            <w:r w:rsidRPr="006D33A1">
              <w:rPr>
                <w:sz w:val="18"/>
                <w:szCs w:val="18"/>
                <w:lang w:val="en-US"/>
              </w:rPr>
              <w:t>-2.0%</w:t>
            </w:r>
          </w:p>
        </w:tc>
        <w:tc>
          <w:tcPr>
            <w:tcW w:w="411" w:type="pct"/>
            <w:tcBorders>
              <w:top w:val="nil"/>
              <w:left w:val="nil"/>
              <w:bottom w:val="dotted" w:sz="4" w:space="0" w:color="auto"/>
              <w:right w:val="dotted" w:sz="4" w:space="0" w:color="auto"/>
            </w:tcBorders>
            <w:shd w:val="clear" w:color="auto" w:fill="DEEAF6" w:themeFill="accent1" w:themeFillTint="33"/>
            <w:vAlign w:val="center"/>
            <w:hideMark/>
          </w:tcPr>
          <w:p w14:paraId="387BF5E7" w14:textId="77777777" w:rsidR="009D6D4E" w:rsidRPr="006D33A1" w:rsidRDefault="009D6D4E" w:rsidP="00BF3B71">
            <w:pPr>
              <w:jc w:val="right"/>
              <w:rPr>
                <w:sz w:val="18"/>
                <w:szCs w:val="18"/>
                <w:lang w:val="en-US"/>
              </w:rPr>
            </w:pPr>
            <w:r w:rsidRPr="006D33A1">
              <w:rPr>
                <w:sz w:val="18"/>
                <w:szCs w:val="18"/>
                <w:lang w:val="en-US"/>
              </w:rPr>
              <w:t>-2.0%</w:t>
            </w:r>
          </w:p>
        </w:tc>
        <w:tc>
          <w:tcPr>
            <w:tcW w:w="411" w:type="pct"/>
            <w:tcBorders>
              <w:top w:val="nil"/>
              <w:left w:val="nil"/>
              <w:bottom w:val="dotted" w:sz="4" w:space="0" w:color="auto"/>
              <w:right w:val="dotted" w:sz="4" w:space="0" w:color="auto"/>
            </w:tcBorders>
            <w:shd w:val="clear" w:color="auto" w:fill="DEEAF6" w:themeFill="accent1" w:themeFillTint="33"/>
            <w:vAlign w:val="center"/>
            <w:hideMark/>
          </w:tcPr>
          <w:p w14:paraId="069581FA" w14:textId="77777777" w:rsidR="009D6D4E" w:rsidRPr="006D33A1" w:rsidRDefault="009D6D4E" w:rsidP="00BF3B71">
            <w:pPr>
              <w:jc w:val="right"/>
              <w:rPr>
                <w:sz w:val="18"/>
                <w:szCs w:val="18"/>
                <w:lang w:val="en-US"/>
              </w:rPr>
            </w:pPr>
            <w:r w:rsidRPr="006D33A1">
              <w:rPr>
                <w:sz w:val="18"/>
                <w:szCs w:val="18"/>
                <w:lang w:val="en-US"/>
              </w:rPr>
              <w:t>-2.0%</w:t>
            </w:r>
          </w:p>
        </w:tc>
        <w:tc>
          <w:tcPr>
            <w:tcW w:w="378" w:type="pct"/>
            <w:tcBorders>
              <w:top w:val="nil"/>
              <w:left w:val="nil"/>
              <w:bottom w:val="dotted" w:sz="4" w:space="0" w:color="auto"/>
              <w:right w:val="single" w:sz="4" w:space="0" w:color="auto"/>
            </w:tcBorders>
            <w:shd w:val="clear" w:color="auto" w:fill="DEEAF6" w:themeFill="accent1" w:themeFillTint="33"/>
            <w:vAlign w:val="center"/>
            <w:hideMark/>
          </w:tcPr>
          <w:p w14:paraId="30A80C3E" w14:textId="77777777" w:rsidR="009D6D4E" w:rsidRPr="006D33A1" w:rsidRDefault="009D6D4E" w:rsidP="00BF3B71">
            <w:pPr>
              <w:jc w:val="right"/>
              <w:rPr>
                <w:sz w:val="18"/>
                <w:szCs w:val="18"/>
                <w:lang w:val="en-US"/>
              </w:rPr>
            </w:pPr>
            <w:r w:rsidRPr="006D33A1">
              <w:rPr>
                <w:sz w:val="18"/>
                <w:szCs w:val="18"/>
                <w:lang w:val="en-US"/>
              </w:rPr>
              <w:t>-2.0%</w:t>
            </w:r>
          </w:p>
        </w:tc>
      </w:tr>
      <w:tr w:rsidR="009D6D4E" w:rsidRPr="006D33A1" w14:paraId="536822A1" w14:textId="77777777" w:rsidTr="00BF3B71">
        <w:trPr>
          <w:trHeight w:val="20"/>
        </w:trPr>
        <w:tc>
          <w:tcPr>
            <w:tcW w:w="811" w:type="pct"/>
            <w:vMerge/>
            <w:tcBorders>
              <w:top w:val="nil"/>
              <w:left w:val="single" w:sz="4" w:space="0" w:color="auto"/>
              <w:bottom w:val="dotted" w:sz="4" w:space="0" w:color="000000"/>
              <w:right w:val="dotted" w:sz="4" w:space="0" w:color="auto"/>
            </w:tcBorders>
            <w:shd w:val="clear" w:color="auto" w:fill="DEEAF6" w:themeFill="accent1" w:themeFillTint="33"/>
            <w:vAlign w:val="center"/>
            <w:hideMark/>
          </w:tcPr>
          <w:p w14:paraId="7300B054" w14:textId="77777777" w:rsidR="009D6D4E" w:rsidRPr="006D33A1" w:rsidRDefault="009D6D4E" w:rsidP="00BF3B71">
            <w:pPr>
              <w:rPr>
                <w:b/>
                <w:bCs/>
                <w:sz w:val="18"/>
                <w:szCs w:val="18"/>
                <w:lang w:val="en-US"/>
              </w:rPr>
            </w:pPr>
          </w:p>
        </w:tc>
        <w:tc>
          <w:tcPr>
            <w:tcW w:w="1756" w:type="pct"/>
            <w:tcBorders>
              <w:top w:val="nil"/>
              <w:left w:val="nil"/>
              <w:bottom w:val="dotted" w:sz="4" w:space="0" w:color="auto"/>
              <w:right w:val="dotted" w:sz="4" w:space="0" w:color="auto"/>
            </w:tcBorders>
            <w:shd w:val="clear" w:color="auto" w:fill="DEEAF6" w:themeFill="accent1" w:themeFillTint="33"/>
            <w:noWrap/>
            <w:vAlign w:val="center"/>
            <w:hideMark/>
          </w:tcPr>
          <w:p w14:paraId="7C796D77" w14:textId="77777777" w:rsidR="009D6D4E" w:rsidRPr="00FC648F" w:rsidRDefault="009D6D4E" w:rsidP="00BF3B71">
            <w:pPr>
              <w:rPr>
                <w:sz w:val="18"/>
                <w:szCs w:val="18"/>
                <w:lang w:val="fr-BE"/>
              </w:rPr>
            </w:pPr>
            <w:r w:rsidRPr="00FC648F">
              <w:rPr>
                <w:sz w:val="18"/>
                <w:szCs w:val="18"/>
                <w:lang w:val="fr-BE"/>
              </w:rPr>
              <w:t>Bilanci Bankar, si % e BPV-së</w:t>
            </w:r>
          </w:p>
        </w:tc>
        <w:tc>
          <w:tcPr>
            <w:tcW w:w="383" w:type="pct"/>
            <w:tcBorders>
              <w:top w:val="nil"/>
              <w:left w:val="nil"/>
              <w:bottom w:val="dotted" w:sz="4" w:space="0" w:color="auto"/>
              <w:right w:val="dotted" w:sz="4" w:space="0" w:color="auto"/>
            </w:tcBorders>
            <w:shd w:val="clear" w:color="auto" w:fill="DEEAF6" w:themeFill="accent1" w:themeFillTint="33"/>
            <w:noWrap/>
            <w:vAlign w:val="center"/>
            <w:hideMark/>
          </w:tcPr>
          <w:p w14:paraId="59695E3F" w14:textId="77777777" w:rsidR="009D6D4E" w:rsidRPr="006D33A1" w:rsidRDefault="009D6D4E" w:rsidP="00BF3B71">
            <w:pPr>
              <w:jc w:val="right"/>
              <w:rPr>
                <w:sz w:val="18"/>
                <w:szCs w:val="18"/>
                <w:lang w:val="en-US"/>
              </w:rPr>
            </w:pPr>
            <w:r w:rsidRPr="006D33A1">
              <w:rPr>
                <w:sz w:val="18"/>
                <w:szCs w:val="18"/>
                <w:lang w:val="en-US"/>
              </w:rPr>
              <w:t>4.6%</w:t>
            </w:r>
          </w:p>
        </w:tc>
        <w:tc>
          <w:tcPr>
            <w:tcW w:w="425" w:type="pct"/>
            <w:tcBorders>
              <w:top w:val="nil"/>
              <w:left w:val="nil"/>
              <w:bottom w:val="dotted" w:sz="4" w:space="0" w:color="auto"/>
              <w:right w:val="dotted" w:sz="4" w:space="0" w:color="auto"/>
            </w:tcBorders>
            <w:shd w:val="clear" w:color="auto" w:fill="DEEAF6" w:themeFill="accent1" w:themeFillTint="33"/>
            <w:noWrap/>
            <w:vAlign w:val="center"/>
            <w:hideMark/>
          </w:tcPr>
          <w:p w14:paraId="3A518602" w14:textId="77777777" w:rsidR="009D6D4E" w:rsidRPr="006D33A1" w:rsidRDefault="009D6D4E" w:rsidP="00BF3B71">
            <w:pPr>
              <w:jc w:val="right"/>
              <w:rPr>
                <w:sz w:val="18"/>
                <w:szCs w:val="18"/>
                <w:lang w:val="en-US"/>
              </w:rPr>
            </w:pPr>
            <w:r w:rsidRPr="006D33A1">
              <w:rPr>
                <w:sz w:val="18"/>
                <w:szCs w:val="18"/>
                <w:lang w:val="en-US"/>
              </w:rPr>
              <w:t>4.5%</w:t>
            </w:r>
          </w:p>
        </w:tc>
        <w:tc>
          <w:tcPr>
            <w:tcW w:w="425" w:type="pct"/>
            <w:tcBorders>
              <w:top w:val="nil"/>
              <w:left w:val="nil"/>
              <w:bottom w:val="dotted" w:sz="4" w:space="0" w:color="auto"/>
              <w:right w:val="dotted" w:sz="4" w:space="0" w:color="auto"/>
            </w:tcBorders>
            <w:shd w:val="clear" w:color="auto" w:fill="DEEAF6" w:themeFill="accent1" w:themeFillTint="33"/>
            <w:vAlign w:val="center"/>
            <w:hideMark/>
          </w:tcPr>
          <w:p w14:paraId="648EBC83" w14:textId="77777777" w:rsidR="009D6D4E" w:rsidRPr="006D33A1" w:rsidRDefault="009D6D4E" w:rsidP="00BF3B71">
            <w:pPr>
              <w:jc w:val="right"/>
              <w:rPr>
                <w:sz w:val="18"/>
                <w:szCs w:val="18"/>
                <w:lang w:val="en-US"/>
              </w:rPr>
            </w:pPr>
            <w:r w:rsidRPr="006D33A1">
              <w:rPr>
                <w:sz w:val="18"/>
                <w:szCs w:val="18"/>
                <w:lang w:val="en-US"/>
              </w:rPr>
              <w:t>4.8%</w:t>
            </w:r>
          </w:p>
        </w:tc>
        <w:tc>
          <w:tcPr>
            <w:tcW w:w="411" w:type="pct"/>
            <w:tcBorders>
              <w:top w:val="nil"/>
              <w:left w:val="nil"/>
              <w:bottom w:val="dotted" w:sz="4" w:space="0" w:color="auto"/>
              <w:right w:val="dotted" w:sz="4" w:space="0" w:color="auto"/>
            </w:tcBorders>
            <w:shd w:val="clear" w:color="auto" w:fill="DEEAF6" w:themeFill="accent1" w:themeFillTint="33"/>
            <w:vAlign w:val="center"/>
            <w:hideMark/>
          </w:tcPr>
          <w:p w14:paraId="52E2D9DC" w14:textId="77777777" w:rsidR="009D6D4E" w:rsidRPr="006D33A1" w:rsidRDefault="009D6D4E" w:rsidP="00BF3B71">
            <w:pPr>
              <w:jc w:val="right"/>
              <w:rPr>
                <w:sz w:val="18"/>
                <w:szCs w:val="18"/>
                <w:lang w:val="en-US"/>
              </w:rPr>
            </w:pPr>
            <w:r w:rsidRPr="006D33A1">
              <w:rPr>
                <w:sz w:val="18"/>
                <w:szCs w:val="18"/>
                <w:lang w:val="en-US"/>
              </w:rPr>
              <w:t>4.5%</w:t>
            </w:r>
          </w:p>
        </w:tc>
        <w:tc>
          <w:tcPr>
            <w:tcW w:w="411" w:type="pct"/>
            <w:tcBorders>
              <w:top w:val="nil"/>
              <w:left w:val="nil"/>
              <w:bottom w:val="dotted" w:sz="4" w:space="0" w:color="auto"/>
              <w:right w:val="dotted" w:sz="4" w:space="0" w:color="auto"/>
            </w:tcBorders>
            <w:shd w:val="clear" w:color="auto" w:fill="DEEAF6" w:themeFill="accent1" w:themeFillTint="33"/>
            <w:vAlign w:val="center"/>
            <w:hideMark/>
          </w:tcPr>
          <w:p w14:paraId="63CCB8D1" w14:textId="77777777" w:rsidR="009D6D4E" w:rsidRPr="006D33A1" w:rsidRDefault="009D6D4E" w:rsidP="00BF3B71">
            <w:pPr>
              <w:jc w:val="right"/>
              <w:rPr>
                <w:sz w:val="18"/>
                <w:szCs w:val="18"/>
                <w:lang w:val="en-US"/>
              </w:rPr>
            </w:pPr>
            <w:r w:rsidRPr="006D33A1">
              <w:rPr>
                <w:sz w:val="18"/>
                <w:szCs w:val="18"/>
                <w:lang w:val="en-US"/>
              </w:rPr>
              <w:t>3.1%</w:t>
            </w:r>
          </w:p>
        </w:tc>
        <w:tc>
          <w:tcPr>
            <w:tcW w:w="378" w:type="pct"/>
            <w:tcBorders>
              <w:top w:val="nil"/>
              <w:left w:val="nil"/>
              <w:bottom w:val="dotted" w:sz="4" w:space="0" w:color="auto"/>
              <w:right w:val="single" w:sz="4" w:space="0" w:color="auto"/>
            </w:tcBorders>
            <w:shd w:val="clear" w:color="auto" w:fill="DEEAF6" w:themeFill="accent1" w:themeFillTint="33"/>
            <w:vAlign w:val="center"/>
            <w:hideMark/>
          </w:tcPr>
          <w:p w14:paraId="3FDB1958" w14:textId="77777777" w:rsidR="009D6D4E" w:rsidRPr="006D33A1" w:rsidRDefault="009D6D4E" w:rsidP="00BF3B71">
            <w:pPr>
              <w:jc w:val="right"/>
              <w:rPr>
                <w:sz w:val="18"/>
                <w:szCs w:val="18"/>
                <w:lang w:val="en-US"/>
              </w:rPr>
            </w:pPr>
            <w:r w:rsidRPr="006D33A1">
              <w:rPr>
                <w:sz w:val="18"/>
                <w:szCs w:val="18"/>
                <w:lang w:val="en-US"/>
              </w:rPr>
              <w:t>2.2%</w:t>
            </w:r>
          </w:p>
        </w:tc>
      </w:tr>
      <w:tr w:rsidR="009D6D4E" w:rsidRPr="006D33A1" w14:paraId="642F03FE" w14:textId="77777777" w:rsidTr="00BF3B71">
        <w:trPr>
          <w:trHeight w:val="20"/>
        </w:trPr>
        <w:tc>
          <w:tcPr>
            <w:tcW w:w="811" w:type="pct"/>
            <w:vMerge/>
            <w:tcBorders>
              <w:top w:val="nil"/>
              <w:left w:val="single" w:sz="4" w:space="0" w:color="auto"/>
              <w:bottom w:val="dotted" w:sz="4" w:space="0" w:color="000000"/>
              <w:right w:val="dotted" w:sz="4" w:space="0" w:color="auto"/>
            </w:tcBorders>
            <w:shd w:val="clear" w:color="auto" w:fill="DEEAF6" w:themeFill="accent1" w:themeFillTint="33"/>
            <w:vAlign w:val="center"/>
            <w:hideMark/>
          </w:tcPr>
          <w:p w14:paraId="5D055646" w14:textId="77777777" w:rsidR="009D6D4E" w:rsidRPr="006D33A1" w:rsidRDefault="009D6D4E" w:rsidP="00BF3B71">
            <w:pPr>
              <w:rPr>
                <w:b/>
                <w:bCs/>
                <w:sz w:val="18"/>
                <w:szCs w:val="18"/>
                <w:lang w:val="en-US"/>
              </w:rPr>
            </w:pPr>
          </w:p>
        </w:tc>
        <w:tc>
          <w:tcPr>
            <w:tcW w:w="1756" w:type="pct"/>
            <w:tcBorders>
              <w:top w:val="nil"/>
              <w:left w:val="nil"/>
              <w:bottom w:val="dotted" w:sz="4" w:space="0" w:color="auto"/>
              <w:right w:val="dotted" w:sz="4" w:space="0" w:color="auto"/>
            </w:tcBorders>
            <w:shd w:val="clear" w:color="auto" w:fill="DEEAF6" w:themeFill="accent1" w:themeFillTint="33"/>
            <w:noWrap/>
            <w:vAlign w:val="center"/>
            <w:hideMark/>
          </w:tcPr>
          <w:p w14:paraId="30CBA8D4" w14:textId="77777777" w:rsidR="009D6D4E" w:rsidRPr="00FC648F" w:rsidRDefault="009D6D4E" w:rsidP="00BF3B71">
            <w:pPr>
              <w:rPr>
                <w:sz w:val="18"/>
                <w:szCs w:val="18"/>
                <w:lang w:val="fr-BE"/>
              </w:rPr>
            </w:pPr>
            <w:r w:rsidRPr="00FC648F">
              <w:rPr>
                <w:i/>
                <w:iCs/>
                <w:sz w:val="18"/>
                <w:szCs w:val="18"/>
                <w:lang w:val="fr-BE"/>
              </w:rPr>
              <w:t>Shpenzimet kapitale</w:t>
            </w:r>
            <w:r w:rsidRPr="00FC648F">
              <w:rPr>
                <w:sz w:val="18"/>
                <w:szCs w:val="18"/>
                <w:lang w:val="fr-BE"/>
              </w:rPr>
              <w:t>, si % e BPV-së</w:t>
            </w:r>
          </w:p>
        </w:tc>
        <w:tc>
          <w:tcPr>
            <w:tcW w:w="383" w:type="pct"/>
            <w:tcBorders>
              <w:top w:val="nil"/>
              <w:left w:val="nil"/>
              <w:bottom w:val="dotted" w:sz="4" w:space="0" w:color="auto"/>
              <w:right w:val="dotted" w:sz="4" w:space="0" w:color="auto"/>
            </w:tcBorders>
            <w:shd w:val="clear" w:color="auto" w:fill="DEEAF6" w:themeFill="accent1" w:themeFillTint="33"/>
            <w:noWrap/>
            <w:vAlign w:val="center"/>
            <w:hideMark/>
          </w:tcPr>
          <w:p w14:paraId="101887FD" w14:textId="77777777" w:rsidR="009D6D4E" w:rsidRPr="006D33A1" w:rsidRDefault="009D6D4E" w:rsidP="00BF3B71">
            <w:pPr>
              <w:jc w:val="right"/>
              <w:rPr>
                <w:sz w:val="18"/>
                <w:szCs w:val="18"/>
                <w:lang w:val="en-US"/>
              </w:rPr>
            </w:pPr>
            <w:r w:rsidRPr="006D33A1">
              <w:rPr>
                <w:sz w:val="18"/>
                <w:szCs w:val="18"/>
                <w:lang w:val="en-US"/>
              </w:rPr>
              <w:t>26.6%</w:t>
            </w:r>
          </w:p>
        </w:tc>
        <w:tc>
          <w:tcPr>
            <w:tcW w:w="425" w:type="pct"/>
            <w:tcBorders>
              <w:top w:val="nil"/>
              <w:left w:val="nil"/>
              <w:bottom w:val="dotted" w:sz="4" w:space="0" w:color="auto"/>
              <w:right w:val="dotted" w:sz="4" w:space="0" w:color="auto"/>
            </w:tcBorders>
            <w:shd w:val="clear" w:color="auto" w:fill="DEEAF6" w:themeFill="accent1" w:themeFillTint="33"/>
            <w:noWrap/>
            <w:vAlign w:val="center"/>
            <w:hideMark/>
          </w:tcPr>
          <w:p w14:paraId="1825A684" w14:textId="77777777" w:rsidR="009D6D4E" w:rsidRPr="006D33A1" w:rsidRDefault="009D6D4E" w:rsidP="00BF3B71">
            <w:pPr>
              <w:jc w:val="right"/>
              <w:rPr>
                <w:sz w:val="18"/>
                <w:szCs w:val="18"/>
                <w:lang w:val="en-US"/>
              </w:rPr>
            </w:pPr>
            <w:r w:rsidRPr="006D33A1">
              <w:rPr>
                <w:sz w:val="18"/>
                <w:szCs w:val="18"/>
                <w:lang w:val="en-US"/>
              </w:rPr>
              <w:t>27.3%</w:t>
            </w:r>
          </w:p>
        </w:tc>
        <w:tc>
          <w:tcPr>
            <w:tcW w:w="425" w:type="pct"/>
            <w:tcBorders>
              <w:top w:val="nil"/>
              <w:left w:val="nil"/>
              <w:bottom w:val="dotted" w:sz="4" w:space="0" w:color="auto"/>
              <w:right w:val="dotted" w:sz="4" w:space="0" w:color="auto"/>
            </w:tcBorders>
            <w:shd w:val="clear" w:color="auto" w:fill="DEEAF6" w:themeFill="accent1" w:themeFillTint="33"/>
            <w:vAlign w:val="center"/>
            <w:hideMark/>
          </w:tcPr>
          <w:p w14:paraId="7771D2DE" w14:textId="77777777" w:rsidR="009D6D4E" w:rsidRPr="006D33A1" w:rsidRDefault="009D6D4E" w:rsidP="00BF3B71">
            <w:pPr>
              <w:jc w:val="right"/>
              <w:rPr>
                <w:sz w:val="18"/>
                <w:szCs w:val="18"/>
                <w:lang w:val="en-US"/>
              </w:rPr>
            </w:pPr>
            <w:r w:rsidRPr="006D33A1">
              <w:rPr>
                <w:sz w:val="18"/>
                <w:szCs w:val="18"/>
                <w:lang w:val="en-US"/>
              </w:rPr>
              <w:t>33.2%</w:t>
            </w:r>
          </w:p>
        </w:tc>
        <w:tc>
          <w:tcPr>
            <w:tcW w:w="411" w:type="pct"/>
            <w:tcBorders>
              <w:top w:val="nil"/>
              <w:left w:val="nil"/>
              <w:bottom w:val="dotted" w:sz="4" w:space="0" w:color="auto"/>
              <w:right w:val="dotted" w:sz="4" w:space="0" w:color="auto"/>
            </w:tcBorders>
            <w:shd w:val="clear" w:color="auto" w:fill="DEEAF6" w:themeFill="accent1" w:themeFillTint="33"/>
            <w:noWrap/>
            <w:vAlign w:val="center"/>
            <w:hideMark/>
          </w:tcPr>
          <w:p w14:paraId="64B38256" w14:textId="77777777" w:rsidR="009D6D4E" w:rsidRPr="006D33A1" w:rsidRDefault="009D6D4E" w:rsidP="00BF3B71">
            <w:pPr>
              <w:jc w:val="right"/>
              <w:rPr>
                <w:sz w:val="18"/>
                <w:szCs w:val="18"/>
                <w:lang w:val="en-US"/>
              </w:rPr>
            </w:pPr>
            <w:r w:rsidRPr="006D33A1">
              <w:rPr>
                <w:sz w:val="18"/>
                <w:szCs w:val="18"/>
                <w:lang w:val="en-US"/>
              </w:rPr>
              <w:t>32.2%</w:t>
            </w:r>
          </w:p>
        </w:tc>
        <w:tc>
          <w:tcPr>
            <w:tcW w:w="411" w:type="pct"/>
            <w:tcBorders>
              <w:top w:val="nil"/>
              <w:left w:val="nil"/>
              <w:bottom w:val="dotted" w:sz="4" w:space="0" w:color="auto"/>
              <w:right w:val="dotted" w:sz="4" w:space="0" w:color="auto"/>
            </w:tcBorders>
            <w:shd w:val="clear" w:color="auto" w:fill="DEEAF6" w:themeFill="accent1" w:themeFillTint="33"/>
            <w:noWrap/>
            <w:vAlign w:val="center"/>
            <w:hideMark/>
          </w:tcPr>
          <w:p w14:paraId="559C0877" w14:textId="77777777" w:rsidR="009D6D4E" w:rsidRPr="006D33A1" w:rsidRDefault="009D6D4E" w:rsidP="00BF3B71">
            <w:pPr>
              <w:jc w:val="right"/>
              <w:rPr>
                <w:sz w:val="18"/>
                <w:szCs w:val="18"/>
                <w:lang w:val="en-US"/>
              </w:rPr>
            </w:pPr>
            <w:r w:rsidRPr="006D33A1">
              <w:rPr>
                <w:sz w:val="18"/>
                <w:szCs w:val="18"/>
                <w:lang w:val="en-US"/>
              </w:rPr>
              <w:t>32.4%</w:t>
            </w:r>
          </w:p>
        </w:tc>
        <w:tc>
          <w:tcPr>
            <w:tcW w:w="378" w:type="pct"/>
            <w:tcBorders>
              <w:top w:val="nil"/>
              <w:left w:val="nil"/>
              <w:bottom w:val="dotted" w:sz="4" w:space="0" w:color="auto"/>
              <w:right w:val="single" w:sz="4" w:space="0" w:color="auto"/>
            </w:tcBorders>
            <w:shd w:val="clear" w:color="auto" w:fill="DEEAF6" w:themeFill="accent1" w:themeFillTint="33"/>
            <w:noWrap/>
            <w:vAlign w:val="center"/>
            <w:hideMark/>
          </w:tcPr>
          <w:p w14:paraId="5DFD944C" w14:textId="77777777" w:rsidR="009D6D4E" w:rsidRPr="006D33A1" w:rsidRDefault="009D6D4E" w:rsidP="00BF3B71">
            <w:pPr>
              <w:jc w:val="right"/>
              <w:rPr>
                <w:i/>
                <w:iCs/>
                <w:sz w:val="18"/>
                <w:szCs w:val="18"/>
                <w:lang w:val="en-US"/>
              </w:rPr>
            </w:pPr>
            <w:r w:rsidRPr="006D33A1">
              <w:rPr>
                <w:i/>
                <w:iCs/>
                <w:sz w:val="18"/>
                <w:szCs w:val="18"/>
                <w:lang w:val="en-US"/>
              </w:rPr>
              <w:t>n/a</w:t>
            </w:r>
          </w:p>
        </w:tc>
      </w:tr>
      <w:tr w:rsidR="009D6D4E" w:rsidRPr="006D33A1" w14:paraId="01653A27" w14:textId="77777777" w:rsidTr="00BF3B71">
        <w:trPr>
          <w:trHeight w:val="20"/>
        </w:trPr>
        <w:tc>
          <w:tcPr>
            <w:tcW w:w="811" w:type="pct"/>
            <w:vMerge/>
            <w:tcBorders>
              <w:top w:val="nil"/>
              <w:left w:val="single" w:sz="4" w:space="0" w:color="auto"/>
              <w:bottom w:val="single" w:sz="4" w:space="0" w:color="auto"/>
              <w:right w:val="dotted" w:sz="4" w:space="0" w:color="auto"/>
            </w:tcBorders>
            <w:shd w:val="clear" w:color="auto" w:fill="DEEAF6" w:themeFill="accent1" w:themeFillTint="33"/>
            <w:vAlign w:val="center"/>
            <w:hideMark/>
          </w:tcPr>
          <w:p w14:paraId="7AB9260D" w14:textId="77777777" w:rsidR="009D6D4E" w:rsidRPr="006D33A1" w:rsidRDefault="009D6D4E" w:rsidP="00BF3B71">
            <w:pPr>
              <w:rPr>
                <w:b/>
                <w:bCs/>
                <w:sz w:val="18"/>
                <w:szCs w:val="18"/>
                <w:lang w:val="en-US"/>
              </w:rPr>
            </w:pPr>
          </w:p>
        </w:tc>
        <w:tc>
          <w:tcPr>
            <w:tcW w:w="1756" w:type="pct"/>
            <w:tcBorders>
              <w:top w:val="nil"/>
              <w:left w:val="nil"/>
              <w:bottom w:val="single" w:sz="4" w:space="0" w:color="auto"/>
              <w:right w:val="dotted" w:sz="4" w:space="0" w:color="auto"/>
            </w:tcBorders>
            <w:shd w:val="clear" w:color="auto" w:fill="DEEAF6" w:themeFill="accent1" w:themeFillTint="33"/>
            <w:noWrap/>
            <w:vAlign w:val="center"/>
            <w:hideMark/>
          </w:tcPr>
          <w:p w14:paraId="2BF5A773" w14:textId="77777777" w:rsidR="009D6D4E" w:rsidRPr="00FC648F" w:rsidRDefault="009D6D4E" w:rsidP="00BF3B71">
            <w:pPr>
              <w:rPr>
                <w:sz w:val="18"/>
                <w:szCs w:val="18"/>
                <w:lang w:val="fr-BE"/>
              </w:rPr>
            </w:pPr>
            <w:r w:rsidRPr="00FC648F">
              <w:rPr>
                <w:i/>
                <w:iCs/>
                <w:sz w:val="18"/>
                <w:szCs w:val="18"/>
                <w:lang w:val="fr-BE"/>
              </w:rPr>
              <w:t>Shpenzimet rrjedhëse</w:t>
            </w:r>
            <w:r w:rsidRPr="00FC648F">
              <w:rPr>
                <w:sz w:val="18"/>
                <w:szCs w:val="18"/>
                <w:lang w:val="fr-BE"/>
              </w:rPr>
              <w:t>, si % e BPV-së</w:t>
            </w:r>
          </w:p>
        </w:tc>
        <w:tc>
          <w:tcPr>
            <w:tcW w:w="383" w:type="pct"/>
            <w:tcBorders>
              <w:top w:val="nil"/>
              <w:left w:val="nil"/>
              <w:bottom w:val="single" w:sz="4" w:space="0" w:color="auto"/>
              <w:right w:val="dotted" w:sz="4" w:space="0" w:color="auto"/>
            </w:tcBorders>
            <w:shd w:val="clear" w:color="auto" w:fill="DEEAF6" w:themeFill="accent1" w:themeFillTint="33"/>
            <w:noWrap/>
            <w:vAlign w:val="center"/>
            <w:hideMark/>
          </w:tcPr>
          <w:p w14:paraId="0A25C1D2" w14:textId="77777777" w:rsidR="009D6D4E" w:rsidRPr="006D33A1" w:rsidRDefault="009D6D4E" w:rsidP="00BF3B71">
            <w:pPr>
              <w:jc w:val="right"/>
              <w:rPr>
                <w:sz w:val="18"/>
                <w:szCs w:val="18"/>
                <w:lang w:val="en-US"/>
              </w:rPr>
            </w:pPr>
            <w:r w:rsidRPr="006D33A1">
              <w:rPr>
                <w:sz w:val="18"/>
                <w:szCs w:val="18"/>
                <w:lang w:val="en-US"/>
              </w:rPr>
              <w:t>20.0%</w:t>
            </w:r>
          </w:p>
        </w:tc>
        <w:tc>
          <w:tcPr>
            <w:tcW w:w="425" w:type="pct"/>
            <w:tcBorders>
              <w:top w:val="nil"/>
              <w:left w:val="nil"/>
              <w:bottom w:val="single" w:sz="4" w:space="0" w:color="auto"/>
              <w:right w:val="dotted" w:sz="4" w:space="0" w:color="auto"/>
            </w:tcBorders>
            <w:shd w:val="clear" w:color="auto" w:fill="DEEAF6" w:themeFill="accent1" w:themeFillTint="33"/>
            <w:noWrap/>
            <w:vAlign w:val="center"/>
            <w:hideMark/>
          </w:tcPr>
          <w:p w14:paraId="65893D00" w14:textId="77777777" w:rsidR="009D6D4E" w:rsidRPr="006D33A1" w:rsidRDefault="009D6D4E" w:rsidP="00BF3B71">
            <w:pPr>
              <w:jc w:val="right"/>
              <w:rPr>
                <w:sz w:val="18"/>
                <w:szCs w:val="18"/>
                <w:lang w:val="en-US"/>
              </w:rPr>
            </w:pPr>
            <w:r w:rsidRPr="006D33A1">
              <w:rPr>
                <w:sz w:val="18"/>
                <w:szCs w:val="18"/>
                <w:lang w:val="en-US"/>
              </w:rPr>
              <w:t>20.9%</w:t>
            </w:r>
          </w:p>
        </w:tc>
        <w:tc>
          <w:tcPr>
            <w:tcW w:w="425" w:type="pct"/>
            <w:tcBorders>
              <w:top w:val="nil"/>
              <w:left w:val="nil"/>
              <w:bottom w:val="single" w:sz="4" w:space="0" w:color="auto"/>
              <w:right w:val="dotted" w:sz="4" w:space="0" w:color="auto"/>
            </w:tcBorders>
            <w:shd w:val="clear" w:color="auto" w:fill="DEEAF6" w:themeFill="accent1" w:themeFillTint="33"/>
            <w:vAlign w:val="center"/>
            <w:hideMark/>
          </w:tcPr>
          <w:p w14:paraId="5CF60D2D" w14:textId="77777777" w:rsidR="009D6D4E" w:rsidRPr="006D33A1" w:rsidRDefault="009D6D4E" w:rsidP="00BF3B71">
            <w:pPr>
              <w:jc w:val="right"/>
              <w:rPr>
                <w:sz w:val="18"/>
                <w:szCs w:val="18"/>
                <w:lang w:val="en-US"/>
              </w:rPr>
            </w:pPr>
            <w:r w:rsidRPr="006D33A1">
              <w:rPr>
                <w:sz w:val="18"/>
                <w:szCs w:val="18"/>
                <w:lang w:val="en-US"/>
              </w:rPr>
              <w:t>21.9%</w:t>
            </w:r>
          </w:p>
        </w:tc>
        <w:tc>
          <w:tcPr>
            <w:tcW w:w="411" w:type="pct"/>
            <w:tcBorders>
              <w:top w:val="nil"/>
              <w:left w:val="nil"/>
              <w:bottom w:val="single" w:sz="4" w:space="0" w:color="auto"/>
              <w:right w:val="dotted" w:sz="4" w:space="0" w:color="auto"/>
            </w:tcBorders>
            <w:shd w:val="clear" w:color="auto" w:fill="DEEAF6" w:themeFill="accent1" w:themeFillTint="33"/>
            <w:vAlign w:val="center"/>
            <w:hideMark/>
          </w:tcPr>
          <w:p w14:paraId="666471EE" w14:textId="77777777" w:rsidR="009D6D4E" w:rsidRPr="006D33A1" w:rsidRDefault="009D6D4E" w:rsidP="00BF3B71">
            <w:pPr>
              <w:jc w:val="right"/>
              <w:rPr>
                <w:sz w:val="18"/>
                <w:szCs w:val="18"/>
                <w:lang w:val="en-US"/>
              </w:rPr>
            </w:pPr>
            <w:r w:rsidRPr="006D33A1">
              <w:rPr>
                <w:sz w:val="18"/>
                <w:szCs w:val="18"/>
                <w:lang w:val="en-US"/>
              </w:rPr>
              <w:t>21.8%</w:t>
            </w:r>
          </w:p>
        </w:tc>
        <w:tc>
          <w:tcPr>
            <w:tcW w:w="411" w:type="pct"/>
            <w:tcBorders>
              <w:top w:val="nil"/>
              <w:left w:val="nil"/>
              <w:bottom w:val="single" w:sz="4" w:space="0" w:color="auto"/>
              <w:right w:val="dotted" w:sz="4" w:space="0" w:color="auto"/>
            </w:tcBorders>
            <w:shd w:val="clear" w:color="auto" w:fill="DEEAF6" w:themeFill="accent1" w:themeFillTint="33"/>
            <w:vAlign w:val="center"/>
            <w:hideMark/>
          </w:tcPr>
          <w:p w14:paraId="36739798" w14:textId="77777777" w:rsidR="009D6D4E" w:rsidRPr="006D33A1" w:rsidRDefault="009D6D4E" w:rsidP="00BF3B71">
            <w:pPr>
              <w:jc w:val="right"/>
              <w:rPr>
                <w:sz w:val="18"/>
                <w:szCs w:val="18"/>
                <w:lang w:val="en-US"/>
              </w:rPr>
            </w:pPr>
            <w:r w:rsidRPr="006D33A1">
              <w:rPr>
                <w:sz w:val="18"/>
                <w:szCs w:val="18"/>
                <w:lang w:val="en-US"/>
              </w:rPr>
              <w:t>21.2%</w:t>
            </w:r>
          </w:p>
        </w:tc>
        <w:tc>
          <w:tcPr>
            <w:tcW w:w="378" w:type="pct"/>
            <w:tcBorders>
              <w:top w:val="nil"/>
              <w:left w:val="nil"/>
              <w:bottom w:val="single" w:sz="4" w:space="0" w:color="auto"/>
              <w:right w:val="single" w:sz="4" w:space="0" w:color="auto"/>
            </w:tcBorders>
            <w:shd w:val="clear" w:color="auto" w:fill="DEEAF6" w:themeFill="accent1" w:themeFillTint="33"/>
            <w:vAlign w:val="center"/>
            <w:hideMark/>
          </w:tcPr>
          <w:p w14:paraId="0B8B7DC9" w14:textId="77777777" w:rsidR="009D6D4E" w:rsidRPr="006D33A1" w:rsidRDefault="009D6D4E" w:rsidP="00BF3B71">
            <w:pPr>
              <w:jc w:val="right"/>
              <w:rPr>
                <w:sz w:val="18"/>
                <w:szCs w:val="18"/>
                <w:lang w:val="en-US"/>
              </w:rPr>
            </w:pPr>
            <w:r w:rsidRPr="006D33A1">
              <w:rPr>
                <w:sz w:val="18"/>
                <w:szCs w:val="18"/>
                <w:lang w:val="en-US"/>
              </w:rPr>
              <w:t>20.7%</w:t>
            </w:r>
          </w:p>
        </w:tc>
      </w:tr>
      <w:tr w:rsidR="009D6D4E" w:rsidRPr="006D33A1" w14:paraId="65C9CC82" w14:textId="77777777" w:rsidTr="00BF3B71">
        <w:trPr>
          <w:trHeight w:val="20"/>
        </w:trPr>
        <w:tc>
          <w:tcPr>
            <w:tcW w:w="811" w:type="pct"/>
            <w:vMerge w:val="restart"/>
            <w:tcBorders>
              <w:top w:val="single" w:sz="4" w:space="0" w:color="auto"/>
              <w:left w:val="single" w:sz="4" w:space="0" w:color="auto"/>
              <w:bottom w:val="double" w:sz="6" w:space="0" w:color="000000"/>
              <w:right w:val="dotted" w:sz="4" w:space="0" w:color="auto"/>
            </w:tcBorders>
            <w:shd w:val="clear" w:color="auto" w:fill="DEEAF6" w:themeFill="accent1" w:themeFillTint="33"/>
            <w:vAlign w:val="center"/>
            <w:hideMark/>
          </w:tcPr>
          <w:p w14:paraId="23748B23" w14:textId="77777777" w:rsidR="009D6D4E" w:rsidRPr="006D33A1" w:rsidRDefault="009D6D4E" w:rsidP="00BF3B71">
            <w:pPr>
              <w:rPr>
                <w:b/>
                <w:bCs/>
                <w:sz w:val="18"/>
                <w:szCs w:val="18"/>
                <w:lang w:val="en-US"/>
              </w:rPr>
            </w:pPr>
            <w:r>
              <w:rPr>
                <w:b/>
                <w:bCs/>
                <w:sz w:val="18"/>
                <w:szCs w:val="18"/>
                <w:lang w:val="en-US"/>
              </w:rPr>
              <w:t>Dokument</w:t>
            </w:r>
            <w:r w:rsidRPr="006D33A1">
              <w:rPr>
                <w:b/>
                <w:bCs/>
                <w:sz w:val="18"/>
                <w:szCs w:val="18"/>
                <w:lang w:val="en-US"/>
              </w:rPr>
              <w:t xml:space="preserve"> </w:t>
            </w:r>
          </w:p>
          <w:p w14:paraId="490A948F" w14:textId="77777777" w:rsidR="009D6D4E" w:rsidRPr="006D33A1" w:rsidRDefault="009D6D4E" w:rsidP="00BF3B71">
            <w:pPr>
              <w:rPr>
                <w:b/>
                <w:bCs/>
                <w:sz w:val="18"/>
                <w:szCs w:val="18"/>
                <w:lang w:val="en-US"/>
              </w:rPr>
            </w:pPr>
            <w:r>
              <w:rPr>
                <w:b/>
                <w:bCs/>
                <w:sz w:val="18"/>
                <w:szCs w:val="18"/>
                <w:lang w:val="en-US"/>
              </w:rPr>
              <w:t>PRE</w:t>
            </w:r>
            <w:r w:rsidRPr="006D33A1">
              <w:rPr>
                <w:b/>
                <w:bCs/>
                <w:sz w:val="18"/>
                <w:szCs w:val="18"/>
                <w:lang w:val="en-US"/>
              </w:rPr>
              <w:t xml:space="preserve"> 2019</w:t>
            </w:r>
          </w:p>
        </w:tc>
        <w:tc>
          <w:tcPr>
            <w:tcW w:w="1756" w:type="pct"/>
            <w:tcBorders>
              <w:top w:val="single" w:sz="4" w:space="0" w:color="auto"/>
              <w:left w:val="nil"/>
              <w:bottom w:val="dotted" w:sz="4" w:space="0" w:color="auto"/>
              <w:right w:val="dotted" w:sz="4" w:space="0" w:color="auto"/>
            </w:tcBorders>
            <w:shd w:val="clear" w:color="auto" w:fill="DEEAF6" w:themeFill="accent1" w:themeFillTint="33"/>
            <w:noWrap/>
            <w:vAlign w:val="center"/>
            <w:hideMark/>
          </w:tcPr>
          <w:p w14:paraId="35F204EF" w14:textId="77777777" w:rsidR="009D6D4E" w:rsidRPr="006D33A1" w:rsidRDefault="009D6D4E" w:rsidP="00BF3B71">
            <w:pPr>
              <w:rPr>
                <w:sz w:val="18"/>
                <w:szCs w:val="18"/>
                <w:lang w:val="en-US"/>
              </w:rPr>
            </w:pPr>
            <w:r>
              <w:rPr>
                <w:sz w:val="18"/>
                <w:szCs w:val="18"/>
                <w:lang w:val="en-US"/>
              </w:rPr>
              <w:t>Të hyrat totale</w:t>
            </w:r>
          </w:p>
        </w:tc>
        <w:tc>
          <w:tcPr>
            <w:tcW w:w="383" w:type="pct"/>
            <w:tcBorders>
              <w:top w:val="single" w:sz="4" w:space="0" w:color="auto"/>
              <w:left w:val="nil"/>
              <w:bottom w:val="dotted" w:sz="4" w:space="0" w:color="auto"/>
              <w:right w:val="dotted" w:sz="4" w:space="0" w:color="auto"/>
            </w:tcBorders>
            <w:shd w:val="clear" w:color="auto" w:fill="DEEAF6" w:themeFill="accent1" w:themeFillTint="33"/>
            <w:noWrap/>
            <w:vAlign w:val="center"/>
            <w:hideMark/>
          </w:tcPr>
          <w:p w14:paraId="20B411DA" w14:textId="77777777" w:rsidR="009D6D4E" w:rsidRPr="006D33A1" w:rsidRDefault="009D6D4E" w:rsidP="00BF3B71">
            <w:pPr>
              <w:jc w:val="right"/>
              <w:rPr>
                <w:sz w:val="18"/>
                <w:szCs w:val="18"/>
                <w:lang w:val="en-US"/>
              </w:rPr>
            </w:pPr>
            <w:r w:rsidRPr="006D33A1">
              <w:rPr>
                <w:sz w:val="18"/>
                <w:szCs w:val="18"/>
                <w:lang w:val="en-US"/>
              </w:rPr>
              <w:t>0.0%</w:t>
            </w:r>
          </w:p>
        </w:tc>
        <w:tc>
          <w:tcPr>
            <w:tcW w:w="425" w:type="pct"/>
            <w:tcBorders>
              <w:top w:val="single" w:sz="4" w:space="0" w:color="auto"/>
              <w:left w:val="nil"/>
              <w:bottom w:val="dotted" w:sz="4" w:space="0" w:color="auto"/>
              <w:right w:val="dotted" w:sz="4" w:space="0" w:color="auto"/>
            </w:tcBorders>
            <w:shd w:val="clear" w:color="auto" w:fill="DEEAF6" w:themeFill="accent1" w:themeFillTint="33"/>
            <w:noWrap/>
            <w:vAlign w:val="center"/>
            <w:hideMark/>
          </w:tcPr>
          <w:p w14:paraId="371DA78C" w14:textId="77777777" w:rsidR="009D6D4E" w:rsidRPr="006D33A1" w:rsidRDefault="009D6D4E" w:rsidP="00BF3B71">
            <w:pPr>
              <w:jc w:val="right"/>
              <w:rPr>
                <w:sz w:val="18"/>
                <w:szCs w:val="18"/>
                <w:lang w:val="en-US"/>
              </w:rPr>
            </w:pPr>
            <w:r w:rsidRPr="006D33A1">
              <w:rPr>
                <w:sz w:val="18"/>
                <w:szCs w:val="18"/>
                <w:lang w:val="en-US"/>
              </w:rPr>
              <w:t>-3.3%</w:t>
            </w:r>
          </w:p>
        </w:tc>
        <w:tc>
          <w:tcPr>
            <w:tcW w:w="425" w:type="pct"/>
            <w:tcBorders>
              <w:top w:val="single" w:sz="4" w:space="0" w:color="auto"/>
              <w:left w:val="nil"/>
              <w:bottom w:val="dotted" w:sz="4" w:space="0" w:color="auto"/>
              <w:right w:val="dotted" w:sz="4" w:space="0" w:color="auto"/>
            </w:tcBorders>
            <w:shd w:val="clear" w:color="auto" w:fill="DEEAF6" w:themeFill="accent1" w:themeFillTint="33"/>
            <w:noWrap/>
            <w:vAlign w:val="center"/>
            <w:hideMark/>
          </w:tcPr>
          <w:p w14:paraId="07B1670D" w14:textId="77777777" w:rsidR="009D6D4E" w:rsidRPr="006D33A1" w:rsidRDefault="009D6D4E" w:rsidP="00BF3B71">
            <w:pPr>
              <w:jc w:val="right"/>
              <w:rPr>
                <w:sz w:val="18"/>
                <w:szCs w:val="18"/>
                <w:lang w:val="en-US"/>
              </w:rPr>
            </w:pPr>
            <w:r w:rsidRPr="006D33A1">
              <w:rPr>
                <w:sz w:val="18"/>
                <w:szCs w:val="18"/>
                <w:lang w:val="en-US"/>
              </w:rPr>
              <w:t>0.0%</w:t>
            </w:r>
          </w:p>
        </w:tc>
        <w:tc>
          <w:tcPr>
            <w:tcW w:w="411" w:type="pct"/>
            <w:tcBorders>
              <w:top w:val="single" w:sz="4" w:space="0" w:color="auto"/>
              <w:left w:val="nil"/>
              <w:bottom w:val="dotted" w:sz="4" w:space="0" w:color="auto"/>
              <w:right w:val="dotted" w:sz="4" w:space="0" w:color="auto"/>
            </w:tcBorders>
            <w:shd w:val="clear" w:color="auto" w:fill="DEEAF6" w:themeFill="accent1" w:themeFillTint="33"/>
            <w:noWrap/>
            <w:vAlign w:val="center"/>
            <w:hideMark/>
          </w:tcPr>
          <w:p w14:paraId="3BCB123F" w14:textId="77777777" w:rsidR="009D6D4E" w:rsidRPr="006D33A1" w:rsidRDefault="009D6D4E" w:rsidP="00BF3B71">
            <w:pPr>
              <w:jc w:val="right"/>
              <w:rPr>
                <w:sz w:val="18"/>
                <w:szCs w:val="18"/>
                <w:lang w:val="en-US"/>
              </w:rPr>
            </w:pPr>
            <w:r w:rsidRPr="006D33A1">
              <w:rPr>
                <w:sz w:val="18"/>
                <w:szCs w:val="18"/>
                <w:lang w:val="en-US"/>
              </w:rPr>
              <w:t>1.1%</w:t>
            </w:r>
          </w:p>
        </w:tc>
        <w:tc>
          <w:tcPr>
            <w:tcW w:w="411" w:type="pct"/>
            <w:tcBorders>
              <w:top w:val="single" w:sz="4" w:space="0" w:color="auto"/>
              <w:left w:val="nil"/>
              <w:bottom w:val="dotted" w:sz="4" w:space="0" w:color="auto"/>
              <w:right w:val="dotted" w:sz="4" w:space="0" w:color="auto"/>
            </w:tcBorders>
            <w:shd w:val="clear" w:color="auto" w:fill="DEEAF6" w:themeFill="accent1" w:themeFillTint="33"/>
            <w:noWrap/>
            <w:vAlign w:val="center"/>
            <w:hideMark/>
          </w:tcPr>
          <w:p w14:paraId="7887E163" w14:textId="77777777" w:rsidR="009D6D4E" w:rsidRPr="006D33A1" w:rsidRDefault="009D6D4E" w:rsidP="00BF3B71">
            <w:pPr>
              <w:jc w:val="right"/>
              <w:rPr>
                <w:sz w:val="18"/>
                <w:szCs w:val="18"/>
                <w:lang w:val="en-US"/>
              </w:rPr>
            </w:pPr>
            <w:r w:rsidRPr="006D33A1">
              <w:rPr>
                <w:sz w:val="18"/>
                <w:szCs w:val="18"/>
                <w:lang w:val="en-US"/>
              </w:rPr>
              <w:t>-0.8%</w:t>
            </w:r>
          </w:p>
        </w:tc>
        <w:tc>
          <w:tcPr>
            <w:tcW w:w="378" w:type="pct"/>
            <w:tcBorders>
              <w:top w:val="single" w:sz="4" w:space="0" w:color="auto"/>
              <w:left w:val="nil"/>
              <w:bottom w:val="dotted" w:sz="4" w:space="0" w:color="auto"/>
              <w:right w:val="single" w:sz="4" w:space="0" w:color="auto"/>
            </w:tcBorders>
            <w:shd w:val="clear" w:color="auto" w:fill="DEEAF6" w:themeFill="accent1" w:themeFillTint="33"/>
            <w:vAlign w:val="center"/>
            <w:hideMark/>
          </w:tcPr>
          <w:p w14:paraId="0FDE7F64" w14:textId="77777777" w:rsidR="009D6D4E" w:rsidRPr="006D33A1" w:rsidRDefault="009D6D4E" w:rsidP="00BF3B71">
            <w:pPr>
              <w:jc w:val="right"/>
              <w:rPr>
                <w:i/>
                <w:iCs/>
                <w:sz w:val="18"/>
                <w:szCs w:val="18"/>
                <w:lang w:val="en-US"/>
              </w:rPr>
            </w:pPr>
            <w:r w:rsidRPr="006D33A1">
              <w:rPr>
                <w:i/>
                <w:iCs/>
                <w:sz w:val="18"/>
                <w:szCs w:val="18"/>
                <w:lang w:val="en-US"/>
              </w:rPr>
              <w:t>n/a</w:t>
            </w:r>
          </w:p>
        </w:tc>
      </w:tr>
      <w:tr w:rsidR="009D6D4E" w:rsidRPr="006D33A1" w14:paraId="7A0F7B53" w14:textId="77777777" w:rsidTr="00BF3B71">
        <w:trPr>
          <w:trHeight w:val="20"/>
        </w:trPr>
        <w:tc>
          <w:tcPr>
            <w:tcW w:w="811" w:type="pct"/>
            <w:vMerge/>
            <w:tcBorders>
              <w:top w:val="nil"/>
              <w:left w:val="single" w:sz="4" w:space="0" w:color="auto"/>
              <w:bottom w:val="double" w:sz="6" w:space="0" w:color="000000"/>
              <w:right w:val="dotted" w:sz="4" w:space="0" w:color="auto"/>
            </w:tcBorders>
            <w:shd w:val="clear" w:color="auto" w:fill="DEEAF6" w:themeFill="accent1" w:themeFillTint="33"/>
            <w:vAlign w:val="center"/>
            <w:hideMark/>
          </w:tcPr>
          <w:p w14:paraId="09B78560" w14:textId="77777777" w:rsidR="009D6D4E" w:rsidRPr="006D33A1" w:rsidRDefault="009D6D4E" w:rsidP="00BF3B71">
            <w:pPr>
              <w:rPr>
                <w:b/>
                <w:bCs/>
                <w:sz w:val="18"/>
                <w:szCs w:val="18"/>
                <w:lang w:val="en-US"/>
              </w:rPr>
            </w:pPr>
          </w:p>
        </w:tc>
        <w:tc>
          <w:tcPr>
            <w:tcW w:w="1756" w:type="pct"/>
            <w:tcBorders>
              <w:top w:val="nil"/>
              <w:left w:val="nil"/>
              <w:bottom w:val="dotted" w:sz="4" w:space="0" w:color="auto"/>
              <w:right w:val="dotted" w:sz="4" w:space="0" w:color="auto"/>
            </w:tcBorders>
            <w:shd w:val="clear" w:color="auto" w:fill="DEEAF6" w:themeFill="accent1" w:themeFillTint="33"/>
            <w:noWrap/>
            <w:vAlign w:val="center"/>
            <w:hideMark/>
          </w:tcPr>
          <w:p w14:paraId="608467CC" w14:textId="77777777" w:rsidR="009D6D4E" w:rsidRPr="006D33A1" w:rsidRDefault="009D6D4E" w:rsidP="00BF3B71">
            <w:pPr>
              <w:ind w:firstLineChars="100" w:firstLine="180"/>
              <w:rPr>
                <w:i/>
                <w:iCs/>
                <w:sz w:val="18"/>
                <w:szCs w:val="18"/>
                <w:lang w:val="en-US"/>
              </w:rPr>
            </w:pPr>
            <w:r>
              <w:rPr>
                <w:i/>
                <w:iCs/>
                <w:sz w:val="18"/>
                <w:szCs w:val="18"/>
                <w:lang w:val="en-US"/>
              </w:rPr>
              <w:t>Të hyrat tatimore</w:t>
            </w:r>
            <w:r w:rsidRPr="006D33A1">
              <w:rPr>
                <w:i/>
                <w:iCs/>
                <w:sz w:val="18"/>
                <w:szCs w:val="18"/>
                <w:lang w:val="en-US"/>
              </w:rPr>
              <w:t xml:space="preserve"> </w:t>
            </w:r>
          </w:p>
        </w:tc>
        <w:tc>
          <w:tcPr>
            <w:tcW w:w="383" w:type="pct"/>
            <w:tcBorders>
              <w:top w:val="nil"/>
              <w:left w:val="nil"/>
              <w:bottom w:val="dotted" w:sz="4" w:space="0" w:color="auto"/>
              <w:right w:val="dotted" w:sz="4" w:space="0" w:color="auto"/>
            </w:tcBorders>
            <w:shd w:val="clear" w:color="auto" w:fill="DEEAF6" w:themeFill="accent1" w:themeFillTint="33"/>
            <w:noWrap/>
            <w:vAlign w:val="center"/>
            <w:hideMark/>
          </w:tcPr>
          <w:p w14:paraId="528EF897" w14:textId="77777777" w:rsidR="009D6D4E" w:rsidRPr="006D33A1" w:rsidRDefault="009D6D4E" w:rsidP="00BF3B71">
            <w:pPr>
              <w:jc w:val="right"/>
              <w:rPr>
                <w:sz w:val="18"/>
                <w:szCs w:val="18"/>
                <w:lang w:val="en-US"/>
              </w:rPr>
            </w:pPr>
            <w:r w:rsidRPr="006D33A1">
              <w:rPr>
                <w:sz w:val="18"/>
                <w:szCs w:val="18"/>
                <w:lang w:val="en-US"/>
              </w:rPr>
              <w:t>0.0%</w:t>
            </w:r>
          </w:p>
        </w:tc>
        <w:tc>
          <w:tcPr>
            <w:tcW w:w="425" w:type="pct"/>
            <w:tcBorders>
              <w:top w:val="nil"/>
              <w:left w:val="nil"/>
              <w:bottom w:val="dotted" w:sz="4" w:space="0" w:color="auto"/>
              <w:right w:val="dotted" w:sz="4" w:space="0" w:color="auto"/>
            </w:tcBorders>
            <w:shd w:val="clear" w:color="auto" w:fill="DEEAF6" w:themeFill="accent1" w:themeFillTint="33"/>
            <w:noWrap/>
            <w:vAlign w:val="center"/>
            <w:hideMark/>
          </w:tcPr>
          <w:p w14:paraId="51E39FE2" w14:textId="77777777" w:rsidR="009D6D4E" w:rsidRPr="006D33A1" w:rsidRDefault="009D6D4E" w:rsidP="00BF3B71">
            <w:pPr>
              <w:jc w:val="right"/>
              <w:rPr>
                <w:sz w:val="18"/>
                <w:szCs w:val="18"/>
                <w:lang w:val="en-US"/>
              </w:rPr>
            </w:pPr>
            <w:r w:rsidRPr="006D33A1">
              <w:rPr>
                <w:sz w:val="18"/>
                <w:szCs w:val="18"/>
                <w:lang w:val="en-US"/>
              </w:rPr>
              <w:t>-2.7%</w:t>
            </w:r>
          </w:p>
        </w:tc>
        <w:tc>
          <w:tcPr>
            <w:tcW w:w="425" w:type="pct"/>
            <w:tcBorders>
              <w:top w:val="nil"/>
              <w:left w:val="nil"/>
              <w:bottom w:val="dotted" w:sz="4" w:space="0" w:color="auto"/>
              <w:right w:val="dotted" w:sz="4" w:space="0" w:color="auto"/>
            </w:tcBorders>
            <w:shd w:val="clear" w:color="auto" w:fill="DEEAF6" w:themeFill="accent1" w:themeFillTint="33"/>
            <w:noWrap/>
            <w:vAlign w:val="center"/>
            <w:hideMark/>
          </w:tcPr>
          <w:p w14:paraId="24797194" w14:textId="77777777" w:rsidR="009D6D4E" w:rsidRPr="006D33A1" w:rsidRDefault="009D6D4E" w:rsidP="00BF3B71">
            <w:pPr>
              <w:jc w:val="right"/>
              <w:rPr>
                <w:sz w:val="18"/>
                <w:szCs w:val="18"/>
                <w:lang w:val="en-US"/>
              </w:rPr>
            </w:pPr>
            <w:r w:rsidRPr="006D33A1">
              <w:rPr>
                <w:sz w:val="18"/>
                <w:szCs w:val="18"/>
                <w:lang w:val="en-US"/>
              </w:rPr>
              <w:t>0.0%</w:t>
            </w:r>
          </w:p>
        </w:tc>
        <w:tc>
          <w:tcPr>
            <w:tcW w:w="411" w:type="pct"/>
            <w:tcBorders>
              <w:top w:val="nil"/>
              <w:left w:val="nil"/>
              <w:bottom w:val="dotted" w:sz="4" w:space="0" w:color="auto"/>
              <w:right w:val="dotted" w:sz="4" w:space="0" w:color="auto"/>
            </w:tcBorders>
            <w:shd w:val="clear" w:color="auto" w:fill="DEEAF6" w:themeFill="accent1" w:themeFillTint="33"/>
            <w:noWrap/>
            <w:vAlign w:val="center"/>
            <w:hideMark/>
          </w:tcPr>
          <w:p w14:paraId="6206F163" w14:textId="77777777" w:rsidR="009D6D4E" w:rsidRPr="006D33A1" w:rsidRDefault="009D6D4E" w:rsidP="00BF3B71">
            <w:pPr>
              <w:jc w:val="right"/>
              <w:rPr>
                <w:sz w:val="18"/>
                <w:szCs w:val="18"/>
                <w:lang w:val="en-US"/>
              </w:rPr>
            </w:pPr>
            <w:r w:rsidRPr="006D33A1">
              <w:rPr>
                <w:sz w:val="18"/>
                <w:szCs w:val="18"/>
                <w:lang w:val="en-US"/>
              </w:rPr>
              <w:t>0.6%</w:t>
            </w:r>
          </w:p>
        </w:tc>
        <w:tc>
          <w:tcPr>
            <w:tcW w:w="411" w:type="pct"/>
            <w:tcBorders>
              <w:top w:val="nil"/>
              <w:left w:val="nil"/>
              <w:bottom w:val="dotted" w:sz="4" w:space="0" w:color="auto"/>
              <w:right w:val="dotted" w:sz="4" w:space="0" w:color="auto"/>
            </w:tcBorders>
            <w:shd w:val="clear" w:color="auto" w:fill="DEEAF6" w:themeFill="accent1" w:themeFillTint="33"/>
            <w:noWrap/>
            <w:vAlign w:val="center"/>
            <w:hideMark/>
          </w:tcPr>
          <w:p w14:paraId="3F674CC4" w14:textId="77777777" w:rsidR="009D6D4E" w:rsidRPr="006D33A1" w:rsidRDefault="009D6D4E" w:rsidP="00BF3B71">
            <w:pPr>
              <w:jc w:val="right"/>
              <w:rPr>
                <w:sz w:val="18"/>
                <w:szCs w:val="18"/>
                <w:lang w:val="en-US"/>
              </w:rPr>
            </w:pPr>
            <w:r w:rsidRPr="006D33A1">
              <w:rPr>
                <w:sz w:val="18"/>
                <w:szCs w:val="18"/>
                <w:lang w:val="en-US"/>
              </w:rPr>
              <w:t>-1.1%</w:t>
            </w:r>
          </w:p>
        </w:tc>
        <w:tc>
          <w:tcPr>
            <w:tcW w:w="378" w:type="pct"/>
            <w:tcBorders>
              <w:top w:val="nil"/>
              <w:left w:val="nil"/>
              <w:bottom w:val="dotted" w:sz="4" w:space="0" w:color="auto"/>
              <w:right w:val="single" w:sz="4" w:space="0" w:color="auto"/>
            </w:tcBorders>
            <w:shd w:val="clear" w:color="auto" w:fill="DEEAF6" w:themeFill="accent1" w:themeFillTint="33"/>
            <w:vAlign w:val="center"/>
            <w:hideMark/>
          </w:tcPr>
          <w:p w14:paraId="78F8C0F5" w14:textId="77777777" w:rsidR="009D6D4E" w:rsidRPr="006D33A1" w:rsidRDefault="009D6D4E" w:rsidP="00BF3B71">
            <w:pPr>
              <w:jc w:val="right"/>
              <w:rPr>
                <w:i/>
                <w:iCs/>
                <w:sz w:val="18"/>
                <w:szCs w:val="18"/>
                <w:lang w:val="en-US"/>
              </w:rPr>
            </w:pPr>
            <w:r w:rsidRPr="006D33A1">
              <w:rPr>
                <w:i/>
                <w:iCs/>
                <w:sz w:val="18"/>
                <w:szCs w:val="18"/>
                <w:lang w:val="en-US"/>
              </w:rPr>
              <w:t>n/a</w:t>
            </w:r>
          </w:p>
        </w:tc>
      </w:tr>
      <w:tr w:rsidR="009D6D4E" w:rsidRPr="006D33A1" w14:paraId="7A7C6838" w14:textId="77777777" w:rsidTr="00BF3B71">
        <w:trPr>
          <w:trHeight w:val="20"/>
        </w:trPr>
        <w:tc>
          <w:tcPr>
            <w:tcW w:w="811" w:type="pct"/>
            <w:vMerge/>
            <w:tcBorders>
              <w:top w:val="nil"/>
              <w:left w:val="single" w:sz="4" w:space="0" w:color="auto"/>
              <w:bottom w:val="double" w:sz="6" w:space="0" w:color="000000"/>
              <w:right w:val="dotted" w:sz="4" w:space="0" w:color="auto"/>
            </w:tcBorders>
            <w:shd w:val="clear" w:color="auto" w:fill="DEEAF6" w:themeFill="accent1" w:themeFillTint="33"/>
            <w:vAlign w:val="center"/>
            <w:hideMark/>
          </w:tcPr>
          <w:p w14:paraId="3EFB16F7" w14:textId="77777777" w:rsidR="009D6D4E" w:rsidRPr="006D33A1" w:rsidRDefault="009D6D4E" w:rsidP="00BF3B71">
            <w:pPr>
              <w:rPr>
                <w:b/>
                <w:bCs/>
                <w:sz w:val="18"/>
                <w:szCs w:val="18"/>
                <w:lang w:val="en-US"/>
              </w:rPr>
            </w:pPr>
          </w:p>
        </w:tc>
        <w:tc>
          <w:tcPr>
            <w:tcW w:w="1756" w:type="pct"/>
            <w:tcBorders>
              <w:top w:val="nil"/>
              <w:left w:val="nil"/>
              <w:bottom w:val="dotted" w:sz="4" w:space="0" w:color="auto"/>
              <w:right w:val="dotted" w:sz="4" w:space="0" w:color="auto"/>
            </w:tcBorders>
            <w:shd w:val="clear" w:color="auto" w:fill="DEEAF6" w:themeFill="accent1" w:themeFillTint="33"/>
            <w:noWrap/>
            <w:vAlign w:val="center"/>
            <w:hideMark/>
          </w:tcPr>
          <w:p w14:paraId="41ACC64A" w14:textId="77777777" w:rsidR="009D6D4E" w:rsidRPr="006D33A1" w:rsidRDefault="009D6D4E" w:rsidP="00BF3B71">
            <w:pPr>
              <w:ind w:firstLineChars="100" w:firstLine="180"/>
              <w:rPr>
                <w:i/>
                <w:iCs/>
                <w:sz w:val="18"/>
                <w:szCs w:val="18"/>
                <w:lang w:val="en-US"/>
              </w:rPr>
            </w:pPr>
            <w:r>
              <w:rPr>
                <w:i/>
                <w:iCs/>
                <w:sz w:val="18"/>
                <w:szCs w:val="18"/>
                <w:lang w:val="en-US"/>
              </w:rPr>
              <w:t>Të hyrat jo-tatimore</w:t>
            </w:r>
            <w:r w:rsidRPr="006D33A1">
              <w:rPr>
                <w:i/>
                <w:iCs/>
                <w:sz w:val="18"/>
                <w:szCs w:val="18"/>
                <w:lang w:val="en-US"/>
              </w:rPr>
              <w:t xml:space="preserve"> </w:t>
            </w:r>
          </w:p>
        </w:tc>
        <w:tc>
          <w:tcPr>
            <w:tcW w:w="383" w:type="pct"/>
            <w:tcBorders>
              <w:top w:val="nil"/>
              <w:left w:val="nil"/>
              <w:bottom w:val="dotted" w:sz="4" w:space="0" w:color="auto"/>
              <w:right w:val="dotted" w:sz="4" w:space="0" w:color="auto"/>
            </w:tcBorders>
            <w:shd w:val="clear" w:color="auto" w:fill="DEEAF6" w:themeFill="accent1" w:themeFillTint="33"/>
            <w:noWrap/>
            <w:vAlign w:val="center"/>
            <w:hideMark/>
          </w:tcPr>
          <w:p w14:paraId="1C3FE671" w14:textId="77777777" w:rsidR="009D6D4E" w:rsidRPr="006D33A1" w:rsidRDefault="009D6D4E" w:rsidP="00BF3B71">
            <w:pPr>
              <w:jc w:val="right"/>
              <w:rPr>
                <w:sz w:val="18"/>
                <w:szCs w:val="18"/>
                <w:lang w:val="en-US"/>
              </w:rPr>
            </w:pPr>
            <w:r w:rsidRPr="006D33A1">
              <w:rPr>
                <w:sz w:val="18"/>
                <w:szCs w:val="18"/>
                <w:lang w:val="en-US"/>
              </w:rPr>
              <w:t>0.0%</w:t>
            </w:r>
          </w:p>
        </w:tc>
        <w:tc>
          <w:tcPr>
            <w:tcW w:w="425" w:type="pct"/>
            <w:tcBorders>
              <w:top w:val="nil"/>
              <w:left w:val="nil"/>
              <w:bottom w:val="dotted" w:sz="4" w:space="0" w:color="auto"/>
              <w:right w:val="dotted" w:sz="4" w:space="0" w:color="auto"/>
            </w:tcBorders>
            <w:shd w:val="clear" w:color="auto" w:fill="DEEAF6" w:themeFill="accent1" w:themeFillTint="33"/>
            <w:noWrap/>
            <w:vAlign w:val="center"/>
            <w:hideMark/>
          </w:tcPr>
          <w:p w14:paraId="5A78438F" w14:textId="77777777" w:rsidR="009D6D4E" w:rsidRPr="006D33A1" w:rsidRDefault="009D6D4E" w:rsidP="00BF3B71">
            <w:pPr>
              <w:jc w:val="right"/>
              <w:rPr>
                <w:sz w:val="18"/>
                <w:szCs w:val="18"/>
                <w:lang w:val="en-US"/>
              </w:rPr>
            </w:pPr>
            <w:r w:rsidRPr="006D33A1">
              <w:rPr>
                <w:sz w:val="18"/>
                <w:szCs w:val="18"/>
                <w:lang w:val="en-US"/>
              </w:rPr>
              <w:t>-4.8%</w:t>
            </w:r>
          </w:p>
        </w:tc>
        <w:tc>
          <w:tcPr>
            <w:tcW w:w="425" w:type="pct"/>
            <w:tcBorders>
              <w:top w:val="nil"/>
              <w:left w:val="nil"/>
              <w:bottom w:val="dotted" w:sz="4" w:space="0" w:color="auto"/>
              <w:right w:val="dotted" w:sz="4" w:space="0" w:color="auto"/>
            </w:tcBorders>
            <w:shd w:val="clear" w:color="auto" w:fill="DEEAF6" w:themeFill="accent1" w:themeFillTint="33"/>
            <w:noWrap/>
            <w:vAlign w:val="center"/>
            <w:hideMark/>
          </w:tcPr>
          <w:p w14:paraId="52C49BDD" w14:textId="77777777" w:rsidR="009D6D4E" w:rsidRPr="006D33A1" w:rsidRDefault="009D6D4E" w:rsidP="00BF3B71">
            <w:pPr>
              <w:jc w:val="right"/>
              <w:rPr>
                <w:sz w:val="18"/>
                <w:szCs w:val="18"/>
                <w:lang w:val="en-US"/>
              </w:rPr>
            </w:pPr>
            <w:r w:rsidRPr="006D33A1">
              <w:rPr>
                <w:sz w:val="18"/>
                <w:szCs w:val="18"/>
                <w:lang w:val="en-US"/>
              </w:rPr>
              <w:t>0.0%</w:t>
            </w:r>
          </w:p>
        </w:tc>
        <w:tc>
          <w:tcPr>
            <w:tcW w:w="411" w:type="pct"/>
            <w:tcBorders>
              <w:top w:val="nil"/>
              <w:left w:val="nil"/>
              <w:bottom w:val="dotted" w:sz="4" w:space="0" w:color="auto"/>
              <w:right w:val="dotted" w:sz="4" w:space="0" w:color="auto"/>
            </w:tcBorders>
            <w:shd w:val="clear" w:color="auto" w:fill="DEEAF6" w:themeFill="accent1" w:themeFillTint="33"/>
            <w:noWrap/>
            <w:vAlign w:val="center"/>
            <w:hideMark/>
          </w:tcPr>
          <w:p w14:paraId="5B9C6219" w14:textId="77777777" w:rsidR="009D6D4E" w:rsidRPr="006D33A1" w:rsidRDefault="009D6D4E" w:rsidP="00BF3B71">
            <w:pPr>
              <w:jc w:val="right"/>
              <w:rPr>
                <w:sz w:val="18"/>
                <w:szCs w:val="18"/>
                <w:lang w:val="en-US"/>
              </w:rPr>
            </w:pPr>
            <w:r w:rsidRPr="006D33A1">
              <w:rPr>
                <w:sz w:val="18"/>
                <w:szCs w:val="18"/>
                <w:lang w:val="en-US"/>
              </w:rPr>
              <w:t>5.3%</w:t>
            </w:r>
          </w:p>
        </w:tc>
        <w:tc>
          <w:tcPr>
            <w:tcW w:w="411" w:type="pct"/>
            <w:tcBorders>
              <w:top w:val="nil"/>
              <w:left w:val="nil"/>
              <w:bottom w:val="dotted" w:sz="4" w:space="0" w:color="auto"/>
              <w:right w:val="dotted" w:sz="4" w:space="0" w:color="auto"/>
            </w:tcBorders>
            <w:shd w:val="clear" w:color="auto" w:fill="DEEAF6" w:themeFill="accent1" w:themeFillTint="33"/>
            <w:noWrap/>
            <w:vAlign w:val="center"/>
            <w:hideMark/>
          </w:tcPr>
          <w:p w14:paraId="196C39BE" w14:textId="77777777" w:rsidR="009D6D4E" w:rsidRPr="006D33A1" w:rsidRDefault="009D6D4E" w:rsidP="00BF3B71">
            <w:pPr>
              <w:jc w:val="right"/>
              <w:rPr>
                <w:sz w:val="18"/>
                <w:szCs w:val="18"/>
                <w:lang w:val="en-US"/>
              </w:rPr>
            </w:pPr>
            <w:r w:rsidRPr="006D33A1">
              <w:rPr>
                <w:sz w:val="18"/>
                <w:szCs w:val="18"/>
                <w:lang w:val="en-US"/>
              </w:rPr>
              <w:t>1.8%</w:t>
            </w:r>
          </w:p>
        </w:tc>
        <w:tc>
          <w:tcPr>
            <w:tcW w:w="378" w:type="pct"/>
            <w:tcBorders>
              <w:top w:val="nil"/>
              <w:left w:val="nil"/>
              <w:bottom w:val="dotted" w:sz="4" w:space="0" w:color="auto"/>
              <w:right w:val="single" w:sz="4" w:space="0" w:color="auto"/>
            </w:tcBorders>
            <w:shd w:val="clear" w:color="auto" w:fill="DEEAF6" w:themeFill="accent1" w:themeFillTint="33"/>
            <w:vAlign w:val="center"/>
            <w:hideMark/>
          </w:tcPr>
          <w:p w14:paraId="67EFEDA3" w14:textId="77777777" w:rsidR="009D6D4E" w:rsidRPr="006D33A1" w:rsidRDefault="009D6D4E" w:rsidP="00BF3B71">
            <w:pPr>
              <w:jc w:val="right"/>
              <w:rPr>
                <w:i/>
                <w:iCs/>
                <w:sz w:val="18"/>
                <w:szCs w:val="18"/>
                <w:lang w:val="en-US"/>
              </w:rPr>
            </w:pPr>
            <w:r w:rsidRPr="006D33A1">
              <w:rPr>
                <w:i/>
                <w:iCs/>
                <w:sz w:val="18"/>
                <w:szCs w:val="18"/>
                <w:lang w:val="en-US"/>
              </w:rPr>
              <w:t>n/a</w:t>
            </w:r>
          </w:p>
        </w:tc>
      </w:tr>
      <w:tr w:rsidR="009D6D4E" w:rsidRPr="006D33A1" w14:paraId="2EA14842" w14:textId="77777777" w:rsidTr="00BF3B71">
        <w:trPr>
          <w:trHeight w:val="20"/>
        </w:trPr>
        <w:tc>
          <w:tcPr>
            <w:tcW w:w="811" w:type="pct"/>
            <w:vMerge/>
            <w:tcBorders>
              <w:top w:val="nil"/>
              <w:left w:val="single" w:sz="4" w:space="0" w:color="auto"/>
              <w:bottom w:val="double" w:sz="6" w:space="0" w:color="000000"/>
              <w:right w:val="dotted" w:sz="4" w:space="0" w:color="auto"/>
            </w:tcBorders>
            <w:shd w:val="clear" w:color="auto" w:fill="DEEAF6" w:themeFill="accent1" w:themeFillTint="33"/>
            <w:vAlign w:val="center"/>
            <w:hideMark/>
          </w:tcPr>
          <w:p w14:paraId="11B71CAA" w14:textId="77777777" w:rsidR="009D6D4E" w:rsidRPr="006D33A1" w:rsidRDefault="009D6D4E" w:rsidP="00BF3B71">
            <w:pPr>
              <w:rPr>
                <w:b/>
                <w:bCs/>
                <w:sz w:val="18"/>
                <w:szCs w:val="18"/>
                <w:lang w:val="en-US"/>
              </w:rPr>
            </w:pPr>
          </w:p>
        </w:tc>
        <w:tc>
          <w:tcPr>
            <w:tcW w:w="1756" w:type="pct"/>
            <w:tcBorders>
              <w:top w:val="nil"/>
              <w:left w:val="nil"/>
              <w:bottom w:val="dotted" w:sz="4" w:space="0" w:color="auto"/>
              <w:right w:val="dotted" w:sz="4" w:space="0" w:color="auto"/>
            </w:tcBorders>
            <w:shd w:val="clear" w:color="auto" w:fill="DEEAF6" w:themeFill="accent1" w:themeFillTint="33"/>
            <w:noWrap/>
            <w:vAlign w:val="center"/>
            <w:hideMark/>
          </w:tcPr>
          <w:p w14:paraId="38D36406" w14:textId="77777777" w:rsidR="009D6D4E" w:rsidRPr="006D33A1" w:rsidRDefault="009D6D4E" w:rsidP="00BF3B71">
            <w:pPr>
              <w:rPr>
                <w:sz w:val="18"/>
                <w:szCs w:val="18"/>
                <w:lang w:val="en-US"/>
              </w:rPr>
            </w:pPr>
            <w:r>
              <w:rPr>
                <w:sz w:val="18"/>
                <w:szCs w:val="18"/>
                <w:lang w:val="en-US"/>
              </w:rPr>
              <w:t>Shpenzimet totale</w:t>
            </w:r>
          </w:p>
        </w:tc>
        <w:tc>
          <w:tcPr>
            <w:tcW w:w="383" w:type="pct"/>
            <w:tcBorders>
              <w:top w:val="nil"/>
              <w:left w:val="nil"/>
              <w:bottom w:val="dotted" w:sz="4" w:space="0" w:color="auto"/>
              <w:right w:val="dotted" w:sz="4" w:space="0" w:color="auto"/>
            </w:tcBorders>
            <w:shd w:val="clear" w:color="auto" w:fill="DEEAF6" w:themeFill="accent1" w:themeFillTint="33"/>
            <w:noWrap/>
            <w:vAlign w:val="center"/>
            <w:hideMark/>
          </w:tcPr>
          <w:p w14:paraId="20B111D9" w14:textId="77777777" w:rsidR="009D6D4E" w:rsidRPr="006D33A1" w:rsidRDefault="009D6D4E" w:rsidP="00BF3B71">
            <w:pPr>
              <w:jc w:val="right"/>
              <w:rPr>
                <w:sz w:val="18"/>
                <w:szCs w:val="18"/>
                <w:lang w:val="en-US"/>
              </w:rPr>
            </w:pPr>
            <w:r w:rsidRPr="006D33A1">
              <w:rPr>
                <w:sz w:val="18"/>
                <w:szCs w:val="18"/>
                <w:lang w:val="en-US"/>
              </w:rPr>
              <w:t>-0.4%</w:t>
            </w:r>
          </w:p>
        </w:tc>
        <w:tc>
          <w:tcPr>
            <w:tcW w:w="425" w:type="pct"/>
            <w:tcBorders>
              <w:top w:val="nil"/>
              <w:left w:val="nil"/>
              <w:bottom w:val="dotted" w:sz="4" w:space="0" w:color="auto"/>
              <w:right w:val="dotted" w:sz="4" w:space="0" w:color="auto"/>
            </w:tcBorders>
            <w:shd w:val="clear" w:color="auto" w:fill="DEEAF6" w:themeFill="accent1" w:themeFillTint="33"/>
            <w:noWrap/>
            <w:vAlign w:val="center"/>
            <w:hideMark/>
          </w:tcPr>
          <w:p w14:paraId="4406793D" w14:textId="77777777" w:rsidR="009D6D4E" w:rsidRPr="006D33A1" w:rsidRDefault="009D6D4E" w:rsidP="00BF3B71">
            <w:pPr>
              <w:jc w:val="right"/>
              <w:rPr>
                <w:sz w:val="18"/>
                <w:szCs w:val="18"/>
                <w:lang w:val="en-US"/>
              </w:rPr>
            </w:pPr>
            <w:r w:rsidRPr="006D33A1">
              <w:rPr>
                <w:sz w:val="18"/>
                <w:szCs w:val="18"/>
                <w:lang w:val="en-US"/>
              </w:rPr>
              <w:t>-7.0%</w:t>
            </w:r>
          </w:p>
        </w:tc>
        <w:tc>
          <w:tcPr>
            <w:tcW w:w="425" w:type="pct"/>
            <w:tcBorders>
              <w:top w:val="nil"/>
              <w:left w:val="nil"/>
              <w:bottom w:val="dotted" w:sz="4" w:space="0" w:color="auto"/>
              <w:right w:val="dotted" w:sz="4" w:space="0" w:color="auto"/>
            </w:tcBorders>
            <w:shd w:val="clear" w:color="auto" w:fill="DEEAF6" w:themeFill="accent1" w:themeFillTint="33"/>
            <w:noWrap/>
            <w:vAlign w:val="center"/>
            <w:hideMark/>
          </w:tcPr>
          <w:p w14:paraId="4765F6F8" w14:textId="77777777" w:rsidR="009D6D4E" w:rsidRPr="006D33A1" w:rsidRDefault="009D6D4E" w:rsidP="00BF3B71">
            <w:pPr>
              <w:jc w:val="right"/>
              <w:rPr>
                <w:sz w:val="18"/>
                <w:szCs w:val="18"/>
                <w:lang w:val="en-US"/>
              </w:rPr>
            </w:pPr>
            <w:r w:rsidRPr="006D33A1">
              <w:rPr>
                <w:sz w:val="18"/>
                <w:szCs w:val="18"/>
                <w:lang w:val="en-US"/>
              </w:rPr>
              <w:t>0.0%</w:t>
            </w:r>
          </w:p>
        </w:tc>
        <w:tc>
          <w:tcPr>
            <w:tcW w:w="411" w:type="pct"/>
            <w:tcBorders>
              <w:top w:val="nil"/>
              <w:left w:val="nil"/>
              <w:bottom w:val="dotted" w:sz="4" w:space="0" w:color="auto"/>
              <w:right w:val="dotted" w:sz="4" w:space="0" w:color="auto"/>
            </w:tcBorders>
            <w:shd w:val="clear" w:color="auto" w:fill="DEEAF6" w:themeFill="accent1" w:themeFillTint="33"/>
            <w:noWrap/>
            <w:vAlign w:val="center"/>
            <w:hideMark/>
          </w:tcPr>
          <w:p w14:paraId="2DC071D2" w14:textId="77777777" w:rsidR="009D6D4E" w:rsidRPr="006D33A1" w:rsidRDefault="009D6D4E" w:rsidP="00BF3B71">
            <w:pPr>
              <w:jc w:val="right"/>
              <w:rPr>
                <w:sz w:val="18"/>
                <w:szCs w:val="18"/>
                <w:lang w:val="en-US"/>
              </w:rPr>
            </w:pPr>
            <w:r w:rsidRPr="006D33A1">
              <w:rPr>
                <w:sz w:val="18"/>
                <w:szCs w:val="18"/>
                <w:lang w:val="en-US"/>
              </w:rPr>
              <w:t>1.8%</w:t>
            </w:r>
          </w:p>
        </w:tc>
        <w:tc>
          <w:tcPr>
            <w:tcW w:w="411" w:type="pct"/>
            <w:tcBorders>
              <w:top w:val="nil"/>
              <w:left w:val="nil"/>
              <w:bottom w:val="dotted" w:sz="4" w:space="0" w:color="auto"/>
              <w:right w:val="dotted" w:sz="4" w:space="0" w:color="auto"/>
            </w:tcBorders>
            <w:shd w:val="clear" w:color="auto" w:fill="DEEAF6" w:themeFill="accent1" w:themeFillTint="33"/>
            <w:noWrap/>
            <w:vAlign w:val="center"/>
            <w:hideMark/>
          </w:tcPr>
          <w:p w14:paraId="4ADB4414" w14:textId="77777777" w:rsidR="009D6D4E" w:rsidRPr="006D33A1" w:rsidRDefault="009D6D4E" w:rsidP="00BF3B71">
            <w:pPr>
              <w:jc w:val="right"/>
              <w:rPr>
                <w:sz w:val="18"/>
                <w:szCs w:val="18"/>
                <w:lang w:val="en-US"/>
              </w:rPr>
            </w:pPr>
            <w:r w:rsidRPr="006D33A1">
              <w:rPr>
                <w:sz w:val="18"/>
                <w:szCs w:val="18"/>
                <w:lang w:val="en-US"/>
              </w:rPr>
              <w:t>2.3%</w:t>
            </w:r>
          </w:p>
        </w:tc>
        <w:tc>
          <w:tcPr>
            <w:tcW w:w="378" w:type="pct"/>
            <w:tcBorders>
              <w:top w:val="nil"/>
              <w:left w:val="nil"/>
              <w:bottom w:val="dotted" w:sz="4" w:space="0" w:color="auto"/>
              <w:right w:val="single" w:sz="4" w:space="0" w:color="auto"/>
            </w:tcBorders>
            <w:shd w:val="clear" w:color="auto" w:fill="DEEAF6" w:themeFill="accent1" w:themeFillTint="33"/>
            <w:vAlign w:val="center"/>
            <w:hideMark/>
          </w:tcPr>
          <w:p w14:paraId="58CF9558" w14:textId="77777777" w:rsidR="009D6D4E" w:rsidRPr="006D33A1" w:rsidRDefault="009D6D4E" w:rsidP="00BF3B71">
            <w:pPr>
              <w:jc w:val="right"/>
              <w:rPr>
                <w:i/>
                <w:iCs/>
                <w:sz w:val="18"/>
                <w:szCs w:val="18"/>
                <w:lang w:val="en-US"/>
              </w:rPr>
            </w:pPr>
            <w:r w:rsidRPr="006D33A1">
              <w:rPr>
                <w:i/>
                <w:iCs/>
                <w:sz w:val="18"/>
                <w:szCs w:val="18"/>
                <w:lang w:val="en-US"/>
              </w:rPr>
              <w:t>n/a</w:t>
            </w:r>
          </w:p>
        </w:tc>
      </w:tr>
      <w:tr w:rsidR="009D6D4E" w:rsidRPr="006D33A1" w14:paraId="2FF68AE6" w14:textId="77777777" w:rsidTr="00BF3B71">
        <w:trPr>
          <w:trHeight w:val="20"/>
        </w:trPr>
        <w:tc>
          <w:tcPr>
            <w:tcW w:w="811" w:type="pct"/>
            <w:vMerge/>
            <w:tcBorders>
              <w:top w:val="nil"/>
              <w:left w:val="single" w:sz="4" w:space="0" w:color="auto"/>
              <w:bottom w:val="double" w:sz="6" w:space="0" w:color="000000"/>
              <w:right w:val="dotted" w:sz="4" w:space="0" w:color="auto"/>
            </w:tcBorders>
            <w:shd w:val="clear" w:color="auto" w:fill="DEEAF6" w:themeFill="accent1" w:themeFillTint="33"/>
            <w:vAlign w:val="center"/>
            <w:hideMark/>
          </w:tcPr>
          <w:p w14:paraId="7C5DC60B" w14:textId="77777777" w:rsidR="009D6D4E" w:rsidRPr="006D33A1" w:rsidRDefault="009D6D4E" w:rsidP="00BF3B71">
            <w:pPr>
              <w:rPr>
                <w:b/>
                <w:bCs/>
                <w:sz w:val="18"/>
                <w:szCs w:val="18"/>
                <w:lang w:val="en-US"/>
              </w:rPr>
            </w:pPr>
          </w:p>
        </w:tc>
        <w:tc>
          <w:tcPr>
            <w:tcW w:w="1756" w:type="pct"/>
            <w:tcBorders>
              <w:top w:val="nil"/>
              <w:left w:val="nil"/>
              <w:bottom w:val="dotted" w:sz="4" w:space="0" w:color="auto"/>
              <w:right w:val="dotted" w:sz="4" w:space="0" w:color="auto"/>
            </w:tcBorders>
            <w:shd w:val="clear" w:color="auto" w:fill="DEEAF6" w:themeFill="accent1" w:themeFillTint="33"/>
            <w:noWrap/>
            <w:vAlign w:val="center"/>
            <w:hideMark/>
          </w:tcPr>
          <w:p w14:paraId="34838B6F" w14:textId="77777777" w:rsidR="009D6D4E" w:rsidRPr="006D33A1" w:rsidRDefault="009D6D4E" w:rsidP="00BF3B71">
            <w:pPr>
              <w:ind w:firstLineChars="100" w:firstLine="180"/>
              <w:rPr>
                <w:i/>
                <w:iCs/>
                <w:sz w:val="18"/>
                <w:szCs w:val="18"/>
                <w:lang w:val="en-US"/>
              </w:rPr>
            </w:pPr>
            <w:r>
              <w:rPr>
                <w:i/>
                <w:iCs/>
                <w:sz w:val="18"/>
                <w:szCs w:val="18"/>
                <w:lang w:val="en-US"/>
              </w:rPr>
              <w:t>Shpenzimet rrjedhëse</w:t>
            </w:r>
          </w:p>
        </w:tc>
        <w:tc>
          <w:tcPr>
            <w:tcW w:w="383" w:type="pct"/>
            <w:tcBorders>
              <w:top w:val="nil"/>
              <w:left w:val="nil"/>
              <w:bottom w:val="dotted" w:sz="4" w:space="0" w:color="auto"/>
              <w:right w:val="dotted" w:sz="4" w:space="0" w:color="auto"/>
            </w:tcBorders>
            <w:shd w:val="clear" w:color="auto" w:fill="DEEAF6" w:themeFill="accent1" w:themeFillTint="33"/>
            <w:noWrap/>
            <w:vAlign w:val="center"/>
            <w:hideMark/>
          </w:tcPr>
          <w:p w14:paraId="3588E97B" w14:textId="77777777" w:rsidR="009D6D4E" w:rsidRPr="006D33A1" w:rsidRDefault="009D6D4E" w:rsidP="00BF3B71">
            <w:pPr>
              <w:jc w:val="right"/>
              <w:rPr>
                <w:sz w:val="18"/>
                <w:szCs w:val="18"/>
                <w:lang w:val="en-US"/>
              </w:rPr>
            </w:pPr>
            <w:r w:rsidRPr="006D33A1">
              <w:rPr>
                <w:sz w:val="18"/>
                <w:szCs w:val="18"/>
                <w:lang w:val="en-US"/>
              </w:rPr>
              <w:t>0.0%</w:t>
            </w:r>
          </w:p>
        </w:tc>
        <w:tc>
          <w:tcPr>
            <w:tcW w:w="425" w:type="pct"/>
            <w:tcBorders>
              <w:top w:val="nil"/>
              <w:left w:val="nil"/>
              <w:bottom w:val="dotted" w:sz="4" w:space="0" w:color="auto"/>
              <w:right w:val="dotted" w:sz="4" w:space="0" w:color="auto"/>
            </w:tcBorders>
            <w:shd w:val="clear" w:color="auto" w:fill="DEEAF6" w:themeFill="accent1" w:themeFillTint="33"/>
            <w:noWrap/>
            <w:vAlign w:val="center"/>
            <w:hideMark/>
          </w:tcPr>
          <w:p w14:paraId="6071EA73" w14:textId="77777777" w:rsidR="009D6D4E" w:rsidRPr="006D33A1" w:rsidRDefault="009D6D4E" w:rsidP="00BF3B71">
            <w:pPr>
              <w:jc w:val="right"/>
              <w:rPr>
                <w:sz w:val="18"/>
                <w:szCs w:val="18"/>
                <w:lang w:val="en-US"/>
              </w:rPr>
            </w:pPr>
            <w:r w:rsidRPr="006D33A1">
              <w:rPr>
                <w:sz w:val="18"/>
                <w:szCs w:val="18"/>
                <w:lang w:val="en-US"/>
              </w:rPr>
              <w:t>1.3%</w:t>
            </w:r>
          </w:p>
        </w:tc>
        <w:tc>
          <w:tcPr>
            <w:tcW w:w="425" w:type="pct"/>
            <w:tcBorders>
              <w:top w:val="nil"/>
              <w:left w:val="nil"/>
              <w:bottom w:val="dotted" w:sz="4" w:space="0" w:color="auto"/>
              <w:right w:val="dotted" w:sz="4" w:space="0" w:color="auto"/>
            </w:tcBorders>
            <w:shd w:val="clear" w:color="auto" w:fill="DEEAF6" w:themeFill="accent1" w:themeFillTint="33"/>
            <w:noWrap/>
            <w:vAlign w:val="center"/>
            <w:hideMark/>
          </w:tcPr>
          <w:p w14:paraId="0D3C24A8" w14:textId="77777777" w:rsidR="009D6D4E" w:rsidRPr="006D33A1" w:rsidRDefault="009D6D4E" w:rsidP="00BF3B71">
            <w:pPr>
              <w:jc w:val="right"/>
              <w:rPr>
                <w:sz w:val="18"/>
                <w:szCs w:val="18"/>
                <w:lang w:val="en-US"/>
              </w:rPr>
            </w:pPr>
            <w:r w:rsidRPr="006D33A1">
              <w:rPr>
                <w:sz w:val="18"/>
                <w:szCs w:val="18"/>
                <w:lang w:val="en-US"/>
              </w:rPr>
              <w:t>0.0%</w:t>
            </w:r>
          </w:p>
        </w:tc>
        <w:tc>
          <w:tcPr>
            <w:tcW w:w="411" w:type="pct"/>
            <w:tcBorders>
              <w:top w:val="nil"/>
              <w:left w:val="nil"/>
              <w:bottom w:val="dotted" w:sz="4" w:space="0" w:color="auto"/>
              <w:right w:val="dotted" w:sz="4" w:space="0" w:color="auto"/>
            </w:tcBorders>
            <w:shd w:val="clear" w:color="auto" w:fill="DEEAF6" w:themeFill="accent1" w:themeFillTint="33"/>
            <w:noWrap/>
            <w:vAlign w:val="center"/>
            <w:hideMark/>
          </w:tcPr>
          <w:p w14:paraId="57570391" w14:textId="77777777" w:rsidR="009D6D4E" w:rsidRPr="006D33A1" w:rsidRDefault="009D6D4E" w:rsidP="00BF3B71">
            <w:pPr>
              <w:jc w:val="right"/>
              <w:rPr>
                <w:sz w:val="18"/>
                <w:szCs w:val="18"/>
                <w:lang w:val="en-US"/>
              </w:rPr>
            </w:pPr>
            <w:r w:rsidRPr="006D33A1">
              <w:rPr>
                <w:sz w:val="18"/>
                <w:szCs w:val="18"/>
                <w:lang w:val="en-US"/>
              </w:rPr>
              <w:t>3.9%</w:t>
            </w:r>
          </w:p>
        </w:tc>
        <w:tc>
          <w:tcPr>
            <w:tcW w:w="411" w:type="pct"/>
            <w:tcBorders>
              <w:top w:val="nil"/>
              <w:left w:val="nil"/>
              <w:bottom w:val="dotted" w:sz="4" w:space="0" w:color="auto"/>
              <w:right w:val="dotted" w:sz="4" w:space="0" w:color="auto"/>
            </w:tcBorders>
            <w:shd w:val="clear" w:color="auto" w:fill="DEEAF6" w:themeFill="accent1" w:themeFillTint="33"/>
            <w:noWrap/>
            <w:vAlign w:val="center"/>
            <w:hideMark/>
          </w:tcPr>
          <w:p w14:paraId="4030B6E7" w14:textId="77777777" w:rsidR="009D6D4E" w:rsidRPr="006D33A1" w:rsidRDefault="009D6D4E" w:rsidP="00BF3B71">
            <w:pPr>
              <w:jc w:val="right"/>
              <w:rPr>
                <w:sz w:val="18"/>
                <w:szCs w:val="18"/>
                <w:lang w:val="en-US"/>
              </w:rPr>
            </w:pPr>
            <w:r w:rsidRPr="006D33A1">
              <w:rPr>
                <w:sz w:val="18"/>
                <w:szCs w:val="18"/>
                <w:lang w:val="en-US"/>
              </w:rPr>
              <w:t>4.0%</w:t>
            </w:r>
          </w:p>
        </w:tc>
        <w:tc>
          <w:tcPr>
            <w:tcW w:w="378" w:type="pct"/>
            <w:tcBorders>
              <w:top w:val="nil"/>
              <w:left w:val="nil"/>
              <w:bottom w:val="dotted" w:sz="4" w:space="0" w:color="auto"/>
              <w:right w:val="single" w:sz="4" w:space="0" w:color="auto"/>
            </w:tcBorders>
            <w:shd w:val="clear" w:color="auto" w:fill="DEEAF6" w:themeFill="accent1" w:themeFillTint="33"/>
            <w:vAlign w:val="center"/>
            <w:hideMark/>
          </w:tcPr>
          <w:p w14:paraId="27E5A4F8" w14:textId="77777777" w:rsidR="009D6D4E" w:rsidRPr="006D33A1" w:rsidRDefault="009D6D4E" w:rsidP="00BF3B71">
            <w:pPr>
              <w:jc w:val="right"/>
              <w:rPr>
                <w:i/>
                <w:iCs/>
                <w:sz w:val="18"/>
                <w:szCs w:val="18"/>
                <w:lang w:val="en-US"/>
              </w:rPr>
            </w:pPr>
            <w:r w:rsidRPr="006D33A1">
              <w:rPr>
                <w:i/>
                <w:iCs/>
                <w:sz w:val="18"/>
                <w:szCs w:val="18"/>
                <w:lang w:val="en-US"/>
              </w:rPr>
              <w:t>n/a</w:t>
            </w:r>
          </w:p>
        </w:tc>
      </w:tr>
      <w:tr w:rsidR="009D6D4E" w:rsidRPr="006D33A1" w14:paraId="55E23165" w14:textId="77777777" w:rsidTr="00BF3B71">
        <w:trPr>
          <w:trHeight w:val="20"/>
        </w:trPr>
        <w:tc>
          <w:tcPr>
            <w:tcW w:w="811" w:type="pct"/>
            <w:vMerge/>
            <w:tcBorders>
              <w:top w:val="nil"/>
              <w:left w:val="single" w:sz="4" w:space="0" w:color="auto"/>
              <w:bottom w:val="double" w:sz="6" w:space="0" w:color="000000"/>
              <w:right w:val="dotted" w:sz="4" w:space="0" w:color="auto"/>
            </w:tcBorders>
            <w:shd w:val="clear" w:color="auto" w:fill="DEEAF6" w:themeFill="accent1" w:themeFillTint="33"/>
            <w:vAlign w:val="center"/>
            <w:hideMark/>
          </w:tcPr>
          <w:p w14:paraId="203B5400" w14:textId="77777777" w:rsidR="009D6D4E" w:rsidRPr="006D33A1" w:rsidRDefault="009D6D4E" w:rsidP="00BF3B71">
            <w:pPr>
              <w:rPr>
                <w:b/>
                <w:bCs/>
                <w:sz w:val="18"/>
                <w:szCs w:val="18"/>
                <w:lang w:val="en-US"/>
              </w:rPr>
            </w:pPr>
          </w:p>
        </w:tc>
        <w:tc>
          <w:tcPr>
            <w:tcW w:w="1756" w:type="pct"/>
            <w:tcBorders>
              <w:top w:val="nil"/>
              <w:left w:val="nil"/>
              <w:bottom w:val="dotted" w:sz="4" w:space="0" w:color="auto"/>
              <w:right w:val="dotted" w:sz="4" w:space="0" w:color="auto"/>
            </w:tcBorders>
            <w:shd w:val="clear" w:color="auto" w:fill="DEEAF6" w:themeFill="accent1" w:themeFillTint="33"/>
            <w:noWrap/>
            <w:vAlign w:val="center"/>
            <w:hideMark/>
          </w:tcPr>
          <w:p w14:paraId="1F12518E" w14:textId="77777777" w:rsidR="009D6D4E" w:rsidRPr="006D33A1" w:rsidRDefault="009D6D4E" w:rsidP="00BF3B71">
            <w:pPr>
              <w:ind w:firstLineChars="100" w:firstLine="180"/>
              <w:rPr>
                <w:i/>
                <w:iCs/>
                <w:sz w:val="18"/>
                <w:szCs w:val="18"/>
                <w:lang w:val="en-US"/>
              </w:rPr>
            </w:pPr>
            <w:r>
              <w:rPr>
                <w:i/>
                <w:iCs/>
                <w:sz w:val="18"/>
                <w:szCs w:val="18"/>
                <w:lang w:val="en-US"/>
              </w:rPr>
              <w:t>Shpenzimet kapitale</w:t>
            </w:r>
          </w:p>
        </w:tc>
        <w:tc>
          <w:tcPr>
            <w:tcW w:w="383" w:type="pct"/>
            <w:tcBorders>
              <w:top w:val="nil"/>
              <w:left w:val="nil"/>
              <w:bottom w:val="dotted" w:sz="4" w:space="0" w:color="auto"/>
              <w:right w:val="dotted" w:sz="4" w:space="0" w:color="auto"/>
            </w:tcBorders>
            <w:shd w:val="clear" w:color="auto" w:fill="DEEAF6" w:themeFill="accent1" w:themeFillTint="33"/>
            <w:noWrap/>
            <w:vAlign w:val="center"/>
            <w:hideMark/>
          </w:tcPr>
          <w:p w14:paraId="1CCF67FD" w14:textId="77777777" w:rsidR="009D6D4E" w:rsidRPr="006D33A1" w:rsidRDefault="009D6D4E" w:rsidP="00BF3B71">
            <w:pPr>
              <w:jc w:val="right"/>
              <w:rPr>
                <w:sz w:val="18"/>
                <w:szCs w:val="18"/>
                <w:lang w:val="en-US"/>
              </w:rPr>
            </w:pPr>
            <w:r w:rsidRPr="006D33A1">
              <w:rPr>
                <w:sz w:val="18"/>
                <w:szCs w:val="18"/>
                <w:lang w:val="en-US"/>
              </w:rPr>
              <w:t>0.0%</w:t>
            </w:r>
          </w:p>
        </w:tc>
        <w:tc>
          <w:tcPr>
            <w:tcW w:w="425" w:type="pct"/>
            <w:tcBorders>
              <w:top w:val="nil"/>
              <w:left w:val="nil"/>
              <w:bottom w:val="dotted" w:sz="4" w:space="0" w:color="auto"/>
              <w:right w:val="dotted" w:sz="4" w:space="0" w:color="auto"/>
            </w:tcBorders>
            <w:shd w:val="clear" w:color="auto" w:fill="DEEAF6" w:themeFill="accent1" w:themeFillTint="33"/>
            <w:noWrap/>
            <w:vAlign w:val="center"/>
            <w:hideMark/>
          </w:tcPr>
          <w:p w14:paraId="5BD51F9D" w14:textId="77777777" w:rsidR="009D6D4E" w:rsidRPr="006D33A1" w:rsidRDefault="009D6D4E" w:rsidP="00BF3B71">
            <w:pPr>
              <w:jc w:val="right"/>
              <w:rPr>
                <w:sz w:val="18"/>
                <w:szCs w:val="18"/>
                <w:lang w:val="en-US"/>
              </w:rPr>
            </w:pPr>
            <w:r w:rsidRPr="006D33A1">
              <w:rPr>
                <w:sz w:val="18"/>
                <w:szCs w:val="18"/>
                <w:lang w:val="en-US"/>
              </w:rPr>
              <w:t>-23.2%</w:t>
            </w:r>
          </w:p>
        </w:tc>
        <w:tc>
          <w:tcPr>
            <w:tcW w:w="425" w:type="pct"/>
            <w:tcBorders>
              <w:top w:val="nil"/>
              <w:left w:val="nil"/>
              <w:bottom w:val="dotted" w:sz="4" w:space="0" w:color="auto"/>
              <w:right w:val="dotted" w:sz="4" w:space="0" w:color="auto"/>
            </w:tcBorders>
            <w:shd w:val="clear" w:color="auto" w:fill="DEEAF6" w:themeFill="accent1" w:themeFillTint="33"/>
            <w:noWrap/>
            <w:vAlign w:val="center"/>
            <w:hideMark/>
          </w:tcPr>
          <w:p w14:paraId="1A2AA78C" w14:textId="77777777" w:rsidR="009D6D4E" w:rsidRPr="006D33A1" w:rsidRDefault="009D6D4E" w:rsidP="00BF3B71">
            <w:pPr>
              <w:jc w:val="right"/>
              <w:rPr>
                <w:sz w:val="18"/>
                <w:szCs w:val="18"/>
                <w:lang w:val="en-US"/>
              </w:rPr>
            </w:pPr>
            <w:r w:rsidRPr="006D33A1">
              <w:rPr>
                <w:sz w:val="18"/>
                <w:szCs w:val="18"/>
                <w:lang w:val="en-US"/>
              </w:rPr>
              <w:t>0.0%</w:t>
            </w:r>
          </w:p>
        </w:tc>
        <w:tc>
          <w:tcPr>
            <w:tcW w:w="411" w:type="pct"/>
            <w:tcBorders>
              <w:top w:val="nil"/>
              <w:left w:val="nil"/>
              <w:bottom w:val="dotted" w:sz="4" w:space="0" w:color="auto"/>
              <w:right w:val="dotted" w:sz="4" w:space="0" w:color="auto"/>
            </w:tcBorders>
            <w:shd w:val="clear" w:color="auto" w:fill="DEEAF6" w:themeFill="accent1" w:themeFillTint="33"/>
            <w:noWrap/>
            <w:vAlign w:val="center"/>
            <w:hideMark/>
          </w:tcPr>
          <w:p w14:paraId="716A73B5" w14:textId="77777777" w:rsidR="009D6D4E" w:rsidRPr="006D33A1" w:rsidRDefault="009D6D4E" w:rsidP="00BF3B71">
            <w:pPr>
              <w:jc w:val="right"/>
              <w:rPr>
                <w:sz w:val="18"/>
                <w:szCs w:val="18"/>
                <w:lang w:val="en-US"/>
              </w:rPr>
            </w:pPr>
            <w:r w:rsidRPr="006D33A1">
              <w:rPr>
                <w:sz w:val="18"/>
                <w:szCs w:val="18"/>
                <w:lang w:val="en-US"/>
              </w:rPr>
              <w:t>-2.2%</w:t>
            </w:r>
          </w:p>
        </w:tc>
        <w:tc>
          <w:tcPr>
            <w:tcW w:w="411" w:type="pct"/>
            <w:tcBorders>
              <w:top w:val="nil"/>
              <w:left w:val="nil"/>
              <w:bottom w:val="dotted" w:sz="4" w:space="0" w:color="auto"/>
              <w:right w:val="dotted" w:sz="4" w:space="0" w:color="auto"/>
            </w:tcBorders>
            <w:shd w:val="clear" w:color="auto" w:fill="DEEAF6" w:themeFill="accent1" w:themeFillTint="33"/>
            <w:noWrap/>
            <w:vAlign w:val="center"/>
            <w:hideMark/>
          </w:tcPr>
          <w:p w14:paraId="1BE5DC65" w14:textId="77777777" w:rsidR="009D6D4E" w:rsidRPr="006D33A1" w:rsidRDefault="009D6D4E" w:rsidP="00BF3B71">
            <w:pPr>
              <w:jc w:val="right"/>
              <w:rPr>
                <w:sz w:val="18"/>
                <w:szCs w:val="18"/>
                <w:lang w:val="en-US"/>
              </w:rPr>
            </w:pPr>
            <w:r w:rsidRPr="006D33A1">
              <w:rPr>
                <w:sz w:val="18"/>
                <w:szCs w:val="18"/>
                <w:lang w:val="en-US"/>
              </w:rPr>
              <w:t>-2.1%</w:t>
            </w:r>
          </w:p>
        </w:tc>
        <w:tc>
          <w:tcPr>
            <w:tcW w:w="378" w:type="pct"/>
            <w:tcBorders>
              <w:top w:val="nil"/>
              <w:left w:val="nil"/>
              <w:bottom w:val="dotted" w:sz="4" w:space="0" w:color="auto"/>
              <w:right w:val="single" w:sz="4" w:space="0" w:color="auto"/>
            </w:tcBorders>
            <w:shd w:val="clear" w:color="auto" w:fill="DEEAF6" w:themeFill="accent1" w:themeFillTint="33"/>
            <w:vAlign w:val="center"/>
            <w:hideMark/>
          </w:tcPr>
          <w:p w14:paraId="5C44C90F" w14:textId="77777777" w:rsidR="009D6D4E" w:rsidRPr="006D33A1" w:rsidRDefault="009D6D4E" w:rsidP="00BF3B71">
            <w:pPr>
              <w:jc w:val="right"/>
              <w:rPr>
                <w:i/>
                <w:iCs/>
                <w:sz w:val="18"/>
                <w:szCs w:val="18"/>
                <w:lang w:val="en-US"/>
              </w:rPr>
            </w:pPr>
            <w:r w:rsidRPr="006D33A1">
              <w:rPr>
                <w:i/>
                <w:iCs/>
                <w:sz w:val="18"/>
                <w:szCs w:val="18"/>
                <w:lang w:val="en-US"/>
              </w:rPr>
              <w:t>n/a</w:t>
            </w:r>
          </w:p>
        </w:tc>
      </w:tr>
      <w:tr w:rsidR="009D6D4E" w:rsidRPr="006D33A1" w14:paraId="1621BC31" w14:textId="77777777" w:rsidTr="00BF3B71">
        <w:trPr>
          <w:trHeight w:val="20"/>
        </w:trPr>
        <w:tc>
          <w:tcPr>
            <w:tcW w:w="811" w:type="pct"/>
            <w:vMerge/>
            <w:tcBorders>
              <w:top w:val="nil"/>
              <w:left w:val="single" w:sz="4" w:space="0" w:color="auto"/>
              <w:bottom w:val="double" w:sz="6" w:space="0" w:color="000000"/>
              <w:right w:val="dotted" w:sz="4" w:space="0" w:color="auto"/>
            </w:tcBorders>
            <w:shd w:val="clear" w:color="auto" w:fill="DEEAF6" w:themeFill="accent1" w:themeFillTint="33"/>
            <w:vAlign w:val="center"/>
            <w:hideMark/>
          </w:tcPr>
          <w:p w14:paraId="618DCD93" w14:textId="77777777" w:rsidR="009D6D4E" w:rsidRPr="006D33A1" w:rsidRDefault="009D6D4E" w:rsidP="00BF3B71">
            <w:pPr>
              <w:rPr>
                <w:b/>
                <w:bCs/>
                <w:sz w:val="18"/>
                <w:szCs w:val="18"/>
                <w:lang w:val="en-US"/>
              </w:rPr>
            </w:pPr>
          </w:p>
        </w:tc>
        <w:tc>
          <w:tcPr>
            <w:tcW w:w="1756" w:type="pct"/>
            <w:tcBorders>
              <w:top w:val="nil"/>
              <w:left w:val="nil"/>
              <w:bottom w:val="dotted" w:sz="4" w:space="0" w:color="auto"/>
              <w:right w:val="dotted" w:sz="4" w:space="0" w:color="auto"/>
            </w:tcBorders>
            <w:shd w:val="clear" w:color="auto" w:fill="DEEAF6" w:themeFill="accent1" w:themeFillTint="33"/>
            <w:noWrap/>
            <w:vAlign w:val="center"/>
            <w:hideMark/>
          </w:tcPr>
          <w:p w14:paraId="18147119" w14:textId="77777777" w:rsidR="009D6D4E" w:rsidRPr="006D33A1" w:rsidRDefault="009D6D4E" w:rsidP="00BF3B71">
            <w:pPr>
              <w:rPr>
                <w:sz w:val="18"/>
                <w:szCs w:val="18"/>
                <w:lang w:val="en-US"/>
              </w:rPr>
            </w:pPr>
            <w:r>
              <w:rPr>
                <w:sz w:val="18"/>
                <w:szCs w:val="18"/>
                <w:lang w:val="en-US"/>
              </w:rPr>
              <w:t>Bilanci i përgjithshëm buxhetor</w:t>
            </w:r>
          </w:p>
        </w:tc>
        <w:tc>
          <w:tcPr>
            <w:tcW w:w="383" w:type="pct"/>
            <w:tcBorders>
              <w:top w:val="nil"/>
              <w:left w:val="nil"/>
              <w:bottom w:val="dotted" w:sz="4" w:space="0" w:color="auto"/>
              <w:right w:val="dotted" w:sz="4" w:space="0" w:color="auto"/>
            </w:tcBorders>
            <w:shd w:val="clear" w:color="auto" w:fill="DEEAF6" w:themeFill="accent1" w:themeFillTint="33"/>
            <w:noWrap/>
            <w:vAlign w:val="center"/>
            <w:hideMark/>
          </w:tcPr>
          <w:p w14:paraId="634386C0" w14:textId="77777777" w:rsidR="009D6D4E" w:rsidRPr="006D33A1" w:rsidRDefault="009D6D4E" w:rsidP="00BF3B71">
            <w:pPr>
              <w:jc w:val="right"/>
              <w:rPr>
                <w:sz w:val="18"/>
                <w:szCs w:val="18"/>
                <w:lang w:val="en-US"/>
              </w:rPr>
            </w:pPr>
            <w:r w:rsidRPr="006D33A1">
              <w:rPr>
                <w:sz w:val="18"/>
                <w:szCs w:val="18"/>
                <w:lang w:val="en-US"/>
              </w:rPr>
              <w:t>8.5%</w:t>
            </w:r>
          </w:p>
        </w:tc>
        <w:tc>
          <w:tcPr>
            <w:tcW w:w="425" w:type="pct"/>
            <w:tcBorders>
              <w:top w:val="nil"/>
              <w:left w:val="nil"/>
              <w:bottom w:val="dotted" w:sz="4" w:space="0" w:color="auto"/>
              <w:right w:val="dotted" w:sz="4" w:space="0" w:color="auto"/>
            </w:tcBorders>
            <w:shd w:val="clear" w:color="auto" w:fill="DEEAF6" w:themeFill="accent1" w:themeFillTint="33"/>
            <w:noWrap/>
            <w:vAlign w:val="center"/>
            <w:hideMark/>
          </w:tcPr>
          <w:p w14:paraId="30955635" w14:textId="77777777" w:rsidR="009D6D4E" w:rsidRPr="006D33A1" w:rsidRDefault="009D6D4E" w:rsidP="00BF3B71">
            <w:pPr>
              <w:jc w:val="right"/>
              <w:rPr>
                <w:sz w:val="18"/>
                <w:szCs w:val="18"/>
                <w:lang w:val="en-US"/>
              </w:rPr>
            </w:pPr>
            <w:r w:rsidRPr="006D33A1">
              <w:rPr>
                <w:sz w:val="18"/>
                <w:szCs w:val="18"/>
                <w:lang w:val="en-US"/>
              </w:rPr>
              <w:t>30.6%</w:t>
            </w:r>
          </w:p>
        </w:tc>
        <w:tc>
          <w:tcPr>
            <w:tcW w:w="425" w:type="pct"/>
            <w:tcBorders>
              <w:top w:val="nil"/>
              <w:left w:val="nil"/>
              <w:bottom w:val="dotted" w:sz="4" w:space="0" w:color="auto"/>
              <w:right w:val="dotted" w:sz="4" w:space="0" w:color="auto"/>
            </w:tcBorders>
            <w:shd w:val="clear" w:color="auto" w:fill="DEEAF6" w:themeFill="accent1" w:themeFillTint="33"/>
            <w:noWrap/>
            <w:vAlign w:val="center"/>
            <w:hideMark/>
          </w:tcPr>
          <w:p w14:paraId="6C18FCA7" w14:textId="77777777" w:rsidR="009D6D4E" w:rsidRPr="006D33A1" w:rsidRDefault="009D6D4E" w:rsidP="00BF3B71">
            <w:pPr>
              <w:jc w:val="right"/>
              <w:rPr>
                <w:sz w:val="18"/>
                <w:szCs w:val="18"/>
                <w:lang w:val="en-US"/>
              </w:rPr>
            </w:pPr>
            <w:r w:rsidRPr="006D33A1">
              <w:rPr>
                <w:sz w:val="18"/>
                <w:szCs w:val="18"/>
                <w:lang w:val="en-US"/>
              </w:rPr>
              <w:t>0.0%</w:t>
            </w:r>
          </w:p>
        </w:tc>
        <w:tc>
          <w:tcPr>
            <w:tcW w:w="411" w:type="pct"/>
            <w:tcBorders>
              <w:top w:val="nil"/>
              <w:left w:val="nil"/>
              <w:bottom w:val="dotted" w:sz="4" w:space="0" w:color="auto"/>
              <w:right w:val="dotted" w:sz="4" w:space="0" w:color="auto"/>
            </w:tcBorders>
            <w:shd w:val="clear" w:color="auto" w:fill="DEEAF6" w:themeFill="accent1" w:themeFillTint="33"/>
            <w:noWrap/>
            <w:vAlign w:val="center"/>
            <w:hideMark/>
          </w:tcPr>
          <w:p w14:paraId="15A184DD" w14:textId="77777777" w:rsidR="009D6D4E" w:rsidRPr="006D33A1" w:rsidRDefault="009D6D4E" w:rsidP="00BF3B71">
            <w:pPr>
              <w:jc w:val="right"/>
              <w:rPr>
                <w:sz w:val="18"/>
                <w:szCs w:val="18"/>
                <w:lang w:val="en-US"/>
              </w:rPr>
            </w:pPr>
            <w:r w:rsidRPr="006D33A1">
              <w:rPr>
                <w:sz w:val="18"/>
                <w:szCs w:val="18"/>
                <w:lang w:val="en-US"/>
              </w:rPr>
              <w:t>-5.9%</w:t>
            </w:r>
          </w:p>
        </w:tc>
        <w:tc>
          <w:tcPr>
            <w:tcW w:w="411" w:type="pct"/>
            <w:tcBorders>
              <w:top w:val="nil"/>
              <w:left w:val="nil"/>
              <w:bottom w:val="dotted" w:sz="4" w:space="0" w:color="auto"/>
              <w:right w:val="dotted" w:sz="4" w:space="0" w:color="auto"/>
            </w:tcBorders>
            <w:shd w:val="clear" w:color="auto" w:fill="DEEAF6" w:themeFill="accent1" w:themeFillTint="33"/>
            <w:noWrap/>
            <w:vAlign w:val="center"/>
            <w:hideMark/>
          </w:tcPr>
          <w:p w14:paraId="7072BEDD" w14:textId="77777777" w:rsidR="009D6D4E" w:rsidRPr="006D33A1" w:rsidRDefault="009D6D4E" w:rsidP="00BF3B71">
            <w:pPr>
              <w:jc w:val="right"/>
              <w:rPr>
                <w:sz w:val="18"/>
                <w:szCs w:val="18"/>
                <w:lang w:val="en-US"/>
              </w:rPr>
            </w:pPr>
            <w:r w:rsidRPr="006D33A1">
              <w:rPr>
                <w:sz w:val="18"/>
                <w:szCs w:val="18"/>
                <w:lang w:val="en-US"/>
              </w:rPr>
              <w:t>-21.2%</w:t>
            </w:r>
          </w:p>
        </w:tc>
        <w:tc>
          <w:tcPr>
            <w:tcW w:w="378" w:type="pct"/>
            <w:tcBorders>
              <w:top w:val="nil"/>
              <w:left w:val="nil"/>
              <w:bottom w:val="dotted" w:sz="4" w:space="0" w:color="auto"/>
              <w:right w:val="single" w:sz="4" w:space="0" w:color="auto"/>
            </w:tcBorders>
            <w:shd w:val="clear" w:color="auto" w:fill="DEEAF6" w:themeFill="accent1" w:themeFillTint="33"/>
            <w:vAlign w:val="center"/>
            <w:hideMark/>
          </w:tcPr>
          <w:p w14:paraId="7D112768" w14:textId="77777777" w:rsidR="009D6D4E" w:rsidRPr="006D33A1" w:rsidRDefault="009D6D4E" w:rsidP="00BF3B71">
            <w:pPr>
              <w:jc w:val="right"/>
              <w:rPr>
                <w:i/>
                <w:iCs/>
                <w:sz w:val="18"/>
                <w:szCs w:val="18"/>
                <w:lang w:val="en-US"/>
              </w:rPr>
            </w:pPr>
            <w:r w:rsidRPr="006D33A1">
              <w:rPr>
                <w:i/>
                <w:iCs/>
                <w:sz w:val="18"/>
                <w:szCs w:val="18"/>
                <w:lang w:val="en-US"/>
              </w:rPr>
              <w:t>n/a</w:t>
            </w:r>
          </w:p>
        </w:tc>
      </w:tr>
      <w:tr w:rsidR="009D6D4E" w:rsidRPr="006D33A1" w14:paraId="14D33A01" w14:textId="77777777" w:rsidTr="00BF3B71">
        <w:trPr>
          <w:trHeight w:val="20"/>
        </w:trPr>
        <w:tc>
          <w:tcPr>
            <w:tcW w:w="811" w:type="pct"/>
            <w:vMerge/>
            <w:tcBorders>
              <w:top w:val="nil"/>
              <w:left w:val="single" w:sz="4" w:space="0" w:color="auto"/>
              <w:bottom w:val="double" w:sz="6" w:space="0" w:color="000000"/>
              <w:right w:val="dotted" w:sz="4" w:space="0" w:color="auto"/>
            </w:tcBorders>
            <w:shd w:val="clear" w:color="auto" w:fill="DEEAF6" w:themeFill="accent1" w:themeFillTint="33"/>
            <w:vAlign w:val="center"/>
            <w:hideMark/>
          </w:tcPr>
          <w:p w14:paraId="273D5D93" w14:textId="77777777" w:rsidR="009D6D4E" w:rsidRPr="006D33A1" w:rsidRDefault="009D6D4E" w:rsidP="00BF3B71">
            <w:pPr>
              <w:rPr>
                <w:b/>
                <w:bCs/>
                <w:sz w:val="18"/>
                <w:szCs w:val="18"/>
                <w:lang w:val="en-US"/>
              </w:rPr>
            </w:pPr>
          </w:p>
        </w:tc>
        <w:tc>
          <w:tcPr>
            <w:tcW w:w="1756" w:type="pct"/>
            <w:tcBorders>
              <w:top w:val="nil"/>
              <w:left w:val="nil"/>
              <w:bottom w:val="dotted" w:sz="4" w:space="0" w:color="auto"/>
              <w:right w:val="dotted" w:sz="4" w:space="0" w:color="auto"/>
            </w:tcBorders>
            <w:shd w:val="clear" w:color="auto" w:fill="DEEAF6" w:themeFill="accent1" w:themeFillTint="33"/>
            <w:noWrap/>
            <w:vAlign w:val="center"/>
            <w:hideMark/>
          </w:tcPr>
          <w:p w14:paraId="783B8599" w14:textId="77777777" w:rsidR="009D6D4E" w:rsidRPr="006D33A1" w:rsidRDefault="009D6D4E" w:rsidP="00BF3B71">
            <w:pPr>
              <w:rPr>
                <w:i/>
                <w:iCs/>
                <w:sz w:val="18"/>
                <w:szCs w:val="18"/>
                <w:lang w:val="en-US"/>
              </w:rPr>
            </w:pPr>
            <w:r>
              <w:rPr>
                <w:i/>
                <w:iCs/>
                <w:sz w:val="18"/>
                <w:szCs w:val="18"/>
                <w:lang w:val="en-US"/>
              </w:rPr>
              <w:t>Bilanxi buxhetor</w:t>
            </w:r>
            <w:r w:rsidRPr="006D33A1">
              <w:rPr>
                <w:i/>
                <w:iCs/>
                <w:sz w:val="18"/>
                <w:szCs w:val="18"/>
                <w:lang w:val="en-US"/>
              </w:rPr>
              <w:t xml:space="preserve"> (</w:t>
            </w:r>
            <w:r>
              <w:rPr>
                <w:i/>
                <w:iCs/>
                <w:sz w:val="18"/>
                <w:szCs w:val="18"/>
                <w:lang w:val="en-US"/>
              </w:rPr>
              <w:t>sipas rregullës fiskale</w:t>
            </w:r>
            <w:r w:rsidRPr="006D33A1">
              <w:rPr>
                <w:i/>
                <w:iCs/>
                <w:sz w:val="18"/>
                <w:szCs w:val="18"/>
                <w:lang w:val="en-US"/>
              </w:rPr>
              <w:t>)</w:t>
            </w:r>
          </w:p>
        </w:tc>
        <w:tc>
          <w:tcPr>
            <w:tcW w:w="383" w:type="pct"/>
            <w:tcBorders>
              <w:top w:val="nil"/>
              <w:left w:val="nil"/>
              <w:bottom w:val="dotted" w:sz="4" w:space="0" w:color="auto"/>
              <w:right w:val="dotted" w:sz="4" w:space="0" w:color="auto"/>
            </w:tcBorders>
            <w:shd w:val="clear" w:color="auto" w:fill="DEEAF6" w:themeFill="accent1" w:themeFillTint="33"/>
            <w:noWrap/>
            <w:vAlign w:val="center"/>
            <w:hideMark/>
          </w:tcPr>
          <w:p w14:paraId="1E813D70" w14:textId="77777777" w:rsidR="009D6D4E" w:rsidRPr="006D33A1" w:rsidRDefault="009D6D4E" w:rsidP="00BF3B71">
            <w:pPr>
              <w:jc w:val="right"/>
              <w:rPr>
                <w:sz w:val="18"/>
                <w:szCs w:val="18"/>
                <w:lang w:val="en-US"/>
              </w:rPr>
            </w:pPr>
            <w:r w:rsidRPr="006D33A1">
              <w:rPr>
                <w:sz w:val="18"/>
                <w:szCs w:val="18"/>
                <w:lang w:val="en-US"/>
              </w:rPr>
              <w:t>12.7%</w:t>
            </w:r>
          </w:p>
        </w:tc>
        <w:tc>
          <w:tcPr>
            <w:tcW w:w="425" w:type="pct"/>
            <w:tcBorders>
              <w:top w:val="nil"/>
              <w:left w:val="nil"/>
              <w:bottom w:val="dotted" w:sz="4" w:space="0" w:color="auto"/>
              <w:right w:val="dotted" w:sz="4" w:space="0" w:color="auto"/>
            </w:tcBorders>
            <w:shd w:val="clear" w:color="auto" w:fill="DEEAF6" w:themeFill="accent1" w:themeFillTint="33"/>
            <w:noWrap/>
            <w:vAlign w:val="center"/>
            <w:hideMark/>
          </w:tcPr>
          <w:p w14:paraId="5F1EB918" w14:textId="77777777" w:rsidR="009D6D4E" w:rsidRPr="006D33A1" w:rsidRDefault="009D6D4E" w:rsidP="00BF3B71">
            <w:pPr>
              <w:jc w:val="right"/>
              <w:rPr>
                <w:sz w:val="18"/>
                <w:szCs w:val="18"/>
                <w:lang w:val="en-US"/>
              </w:rPr>
            </w:pPr>
            <w:r w:rsidRPr="006D33A1">
              <w:rPr>
                <w:sz w:val="18"/>
                <w:szCs w:val="18"/>
                <w:lang w:val="en-US"/>
              </w:rPr>
              <w:t>28.4%</w:t>
            </w:r>
          </w:p>
        </w:tc>
        <w:tc>
          <w:tcPr>
            <w:tcW w:w="425" w:type="pct"/>
            <w:tcBorders>
              <w:top w:val="nil"/>
              <w:left w:val="nil"/>
              <w:bottom w:val="dotted" w:sz="4" w:space="0" w:color="auto"/>
              <w:right w:val="dotted" w:sz="4" w:space="0" w:color="auto"/>
            </w:tcBorders>
            <w:shd w:val="clear" w:color="auto" w:fill="DEEAF6" w:themeFill="accent1" w:themeFillTint="33"/>
            <w:noWrap/>
            <w:vAlign w:val="center"/>
            <w:hideMark/>
          </w:tcPr>
          <w:p w14:paraId="38AFAB88" w14:textId="77777777" w:rsidR="009D6D4E" w:rsidRPr="006D33A1" w:rsidRDefault="009D6D4E" w:rsidP="00BF3B71">
            <w:pPr>
              <w:jc w:val="right"/>
              <w:rPr>
                <w:sz w:val="18"/>
                <w:szCs w:val="18"/>
                <w:lang w:val="en-US"/>
              </w:rPr>
            </w:pPr>
            <w:r w:rsidRPr="006D33A1">
              <w:rPr>
                <w:sz w:val="18"/>
                <w:szCs w:val="18"/>
                <w:lang w:val="en-US"/>
              </w:rPr>
              <w:t>0.0%</w:t>
            </w:r>
          </w:p>
        </w:tc>
        <w:tc>
          <w:tcPr>
            <w:tcW w:w="411" w:type="pct"/>
            <w:tcBorders>
              <w:top w:val="nil"/>
              <w:left w:val="nil"/>
              <w:bottom w:val="dotted" w:sz="4" w:space="0" w:color="auto"/>
              <w:right w:val="dotted" w:sz="4" w:space="0" w:color="auto"/>
            </w:tcBorders>
            <w:shd w:val="clear" w:color="auto" w:fill="DEEAF6" w:themeFill="accent1" w:themeFillTint="33"/>
            <w:noWrap/>
            <w:vAlign w:val="center"/>
            <w:hideMark/>
          </w:tcPr>
          <w:p w14:paraId="465443C4" w14:textId="77777777" w:rsidR="009D6D4E" w:rsidRPr="006D33A1" w:rsidRDefault="009D6D4E" w:rsidP="00BF3B71">
            <w:pPr>
              <w:jc w:val="right"/>
              <w:rPr>
                <w:sz w:val="18"/>
                <w:szCs w:val="18"/>
                <w:lang w:val="en-US"/>
              </w:rPr>
            </w:pPr>
            <w:r w:rsidRPr="006D33A1">
              <w:rPr>
                <w:sz w:val="18"/>
                <w:szCs w:val="18"/>
                <w:lang w:val="en-US"/>
              </w:rPr>
              <w:t>-41.4%</w:t>
            </w:r>
          </w:p>
        </w:tc>
        <w:tc>
          <w:tcPr>
            <w:tcW w:w="411" w:type="pct"/>
            <w:tcBorders>
              <w:top w:val="nil"/>
              <w:left w:val="nil"/>
              <w:bottom w:val="dotted" w:sz="4" w:space="0" w:color="auto"/>
              <w:right w:val="dotted" w:sz="4" w:space="0" w:color="auto"/>
            </w:tcBorders>
            <w:shd w:val="clear" w:color="auto" w:fill="DEEAF6" w:themeFill="accent1" w:themeFillTint="33"/>
            <w:noWrap/>
            <w:vAlign w:val="center"/>
            <w:hideMark/>
          </w:tcPr>
          <w:p w14:paraId="29B89B5C" w14:textId="77777777" w:rsidR="009D6D4E" w:rsidRPr="006D33A1" w:rsidRDefault="009D6D4E" w:rsidP="00BF3B71">
            <w:pPr>
              <w:jc w:val="right"/>
              <w:rPr>
                <w:sz w:val="18"/>
                <w:szCs w:val="18"/>
                <w:lang w:val="en-US"/>
              </w:rPr>
            </w:pPr>
            <w:r w:rsidRPr="006D33A1">
              <w:rPr>
                <w:sz w:val="18"/>
                <w:szCs w:val="18"/>
                <w:lang w:val="en-US"/>
              </w:rPr>
              <w:t>-3.7%</w:t>
            </w:r>
          </w:p>
        </w:tc>
        <w:tc>
          <w:tcPr>
            <w:tcW w:w="378" w:type="pct"/>
            <w:tcBorders>
              <w:top w:val="nil"/>
              <w:left w:val="nil"/>
              <w:bottom w:val="dotted" w:sz="4" w:space="0" w:color="auto"/>
              <w:right w:val="single" w:sz="4" w:space="0" w:color="auto"/>
            </w:tcBorders>
            <w:shd w:val="clear" w:color="auto" w:fill="DEEAF6" w:themeFill="accent1" w:themeFillTint="33"/>
            <w:vAlign w:val="center"/>
            <w:hideMark/>
          </w:tcPr>
          <w:p w14:paraId="2A2CD424" w14:textId="77777777" w:rsidR="009D6D4E" w:rsidRPr="006D33A1" w:rsidRDefault="009D6D4E" w:rsidP="00BF3B71">
            <w:pPr>
              <w:jc w:val="right"/>
              <w:rPr>
                <w:i/>
                <w:iCs/>
                <w:sz w:val="18"/>
                <w:szCs w:val="18"/>
                <w:lang w:val="en-US"/>
              </w:rPr>
            </w:pPr>
            <w:r w:rsidRPr="006D33A1">
              <w:rPr>
                <w:i/>
                <w:iCs/>
                <w:sz w:val="18"/>
                <w:szCs w:val="18"/>
                <w:lang w:val="en-US"/>
              </w:rPr>
              <w:t>n/a</w:t>
            </w:r>
          </w:p>
        </w:tc>
      </w:tr>
      <w:tr w:rsidR="009D6D4E" w:rsidRPr="006D33A1" w14:paraId="012E7CDA" w14:textId="77777777" w:rsidTr="00BF3B71">
        <w:trPr>
          <w:trHeight w:val="20"/>
        </w:trPr>
        <w:tc>
          <w:tcPr>
            <w:tcW w:w="811" w:type="pct"/>
            <w:vMerge/>
            <w:tcBorders>
              <w:top w:val="nil"/>
              <w:left w:val="single" w:sz="4" w:space="0" w:color="auto"/>
              <w:bottom w:val="double" w:sz="6" w:space="0" w:color="000000"/>
              <w:right w:val="dotted" w:sz="4" w:space="0" w:color="auto"/>
            </w:tcBorders>
            <w:shd w:val="clear" w:color="auto" w:fill="DEEAF6" w:themeFill="accent1" w:themeFillTint="33"/>
            <w:vAlign w:val="center"/>
            <w:hideMark/>
          </w:tcPr>
          <w:p w14:paraId="0664F270" w14:textId="77777777" w:rsidR="009D6D4E" w:rsidRPr="006D33A1" w:rsidRDefault="009D6D4E" w:rsidP="00BF3B71">
            <w:pPr>
              <w:rPr>
                <w:b/>
                <w:bCs/>
                <w:sz w:val="18"/>
                <w:szCs w:val="18"/>
                <w:lang w:val="en-US"/>
              </w:rPr>
            </w:pPr>
          </w:p>
        </w:tc>
        <w:tc>
          <w:tcPr>
            <w:tcW w:w="1756" w:type="pct"/>
            <w:tcBorders>
              <w:top w:val="nil"/>
              <w:left w:val="nil"/>
              <w:bottom w:val="dotted" w:sz="4" w:space="0" w:color="auto"/>
              <w:right w:val="dotted" w:sz="4" w:space="0" w:color="auto"/>
            </w:tcBorders>
            <w:shd w:val="clear" w:color="auto" w:fill="DEEAF6" w:themeFill="accent1" w:themeFillTint="33"/>
            <w:noWrap/>
            <w:vAlign w:val="center"/>
            <w:hideMark/>
          </w:tcPr>
          <w:p w14:paraId="69B55D65" w14:textId="77777777" w:rsidR="009D6D4E" w:rsidRPr="006D33A1" w:rsidRDefault="009D6D4E" w:rsidP="00BF3B71">
            <w:pPr>
              <w:rPr>
                <w:sz w:val="18"/>
                <w:szCs w:val="18"/>
                <w:lang w:val="en-US"/>
              </w:rPr>
            </w:pPr>
            <w:r>
              <w:rPr>
                <w:sz w:val="18"/>
                <w:szCs w:val="18"/>
                <w:lang w:val="en-US"/>
              </w:rPr>
              <w:t>BPV</w:t>
            </w:r>
          </w:p>
        </w:tc>
        <w:tc>
          <w:tcPr>
            <w:tcW w:w="383" w:type="pct"/>
            <w:tcBorders>
              <w:top w:val="nil"/>
              <w:left w:val="nil"/>
              <w:bottom w:val="dotted" w:sz="4" w:space="0" w:color="auto"/>
              <w:right w:val="dotted" w:sz="4" w:space="0" w:color="auto"/>
            </w:tcBorders>
            <w:shd w:val="clear" w:color="auto" w:fill="DEEAF6" w:themeFill="accent1" w:themeFillTint="33"/>
            <w:noWrap/>
            <w:vAlign w:val="center"/>
            <w:hideMark/>
          </w:tcPr>
          <w:p w14:paraId="6DCCDA0F" w14:textId="77777777" w:rsidR="009D6D4E" w:rsidRPr="006D33A1" w:rsidRDefault="009D6D4E" w:rsidP="00BF3B71">
            <w:pPr>
              <w:jc w:val="right"/>
              <w:rPr>
                <w:sz w:val="18"/>
                <w:szCs w:val="18"/>
                <w:lang w:val="en-US"/>
              </w:rPr>
            </w:pPr>
            <w:r w:rsidRPr="006D33A1">
              <w:rPr>
                <w:sz w:val="18"/>
                <w:szCs w:val="18"/>
                <w:lang w:val="en-US"/>
              </w:rPr>
              <w:t>0.0%</w:t>
            </w:r>
          </w:p>
        </w:tc>
        <w:tc>
          <w:tcPr>
            <w:tcW w:w="425" w:type="pct"/>
            <w:tcBorders>
              <w:top w:val="nil"/>
              <w:left w:val="nil"/>
              <w:bottom w:val="dotted" w:sz="4" w:space="0" w:color="auto"/>
              <w:right w:val="dotted" w:sz="4" w:space="0" w:color="auto"/>
            </w:tcBorders>
            <w:shd w:val="clear" w:color="auto" w:fill="DEEAF6" w:themeFill="accent1" w:themeFillTint="33"/>
            <w:noWrap/>
            <w:vAlign w:val="center"/>
            <w:hideMark/>
          </w:tcPr>
          <w:p w14:paraId="66D660A4" w14:textId="77777777" w:rsidR="009D6D4E" w:rsidRPr="006D33A1" w:rsidRDefault="009D6D4E" w:rsidP="00BF3B71">
            <w:pPr>
              <w:jc w:val="right"/>
              <w:rPr>
                <w:sz w:val="18"/>
                <w:szCs w:val="18"/>
                <w:lang w:val="en-US"/>
              </w:rPr>
            </w:pPr>
            <w:r w:rsidRPr="006D33A1">
              <w:rPr>
                <w:sz w:val="18"/>
                <w:szCs w:val="18"/>
                <w:lang w:val="en-US"/>
              </w:rPr>
              <w:t>-0.5%</w:t>
            </w:r>
          </w:p>
        </w:tc>
        <w:tc>
          <w:tcPr>
            <w:tcW w:w="425" w:type="pct"/>
            <w:tcBorders>
              <w:top w:val="nil"/>
              <w:left w:val="nil"/>
              <w:bottom w:val="dotted" w:sz="4" w:space="0" w:color="auto"/>
              <w:right w:val="dotted" w:sz="4" w:space="0" w:color="auto"/>
            </w:tcBorders>
            <w:shd w:val="clear" w:color="auto" w:fill="DEEAF6" w:themeFill="accent1" w:themeFillTint="33"/>
            <w:noWrap/>
            <w:vAlign w:val="center"/>
            <w:hideMark/>
          </w:tcPr>
          <w:p w14:paraId="494662B2" w14:textId="77777777" w:rsidR="009D6D4E" w:rsidRPr="006D33A1" w:rsidRDefault="009D6D4E" w:rsidP="00BF3B71">
            <w:pPr>
              <w:jc w:val="right"/>
              <w:rPr>
                <w:sz w:val="18"/>
                <w:szCs w:val="18"/>
                <w:lang w:val="en-US"/>
              </w:rPr>
            </w:pPr>
            <w:r w:rsidRPr="006D33A1">
              <w:rPr>
                <w:sz w:val="18"/>
                <w:szCs w:val="18"/>
                <w:lang w:val="en-US"/>
              </w:rPr>
              <w:t>0.0%</w:t>
            </w:r>
          </w:p>
        </w:tc>
        <w:tc>
          <w:tcPr>
            <w:tcW w:w="411" w:type="pct"/>
            <w:tcBorders>
              <w:top w:val="nil"/>
              <w:left w:val="nil"/>
              <w:bottom w:val="dotted" w:sz="4" w:space="0" w:color="auto"/>
              <w:right w:val="dotted" w:sz="4" w:space="0" w:color="auto"/>
            </w:tcBorders>
            <w:shd w:val="clear" w:color="auto" w:fill="DEEAF6" w:themeFill="accent1" w:themeFillTint="33"/>
            <w:noWrap/>
            <w:vAlign w:val="center"/>
            <w:hideMark/>
          </w:tcPr>
          <w:p w14:paraId="2C452ED1" w14:textId="77777777" w:rsidR="009D6D4E" w:rsidRPr="006D33A1" w:rsidRDefault="009D6D4E" w:rsidP="00BF3B71">
            <w:pPr>
              <w:jc w:val="right"/>
              <w:rPr>
                <w:sz w:val="18"/>
                <w:szCs w:val="18"/>
                <w:lang w:val="en-US"/>
              </w:rPr>
            </w:pPr>
            <w:r w:rsidRPr="006D33A1">
              <w:rPr>
                <w:sz w:val="18"/>
                <w:szCs w:val="18"/>
                <w:lang w:val="en-US"/>
              </w:rPr>
              <w:t>-0.1%</w:t>
            </w:r>
          </w:p>
        </w:tc>
        <w:tc>
          <w:tcPr>
            <w:tcW w:w="411" w:type="pct"/>
            <w:tcBorders>
              <w:top w:val="nil"/>
              <w:left w:val="nil"/>
              <w:bottom w:val="dotted" w:sz="4" w:space="0" w:color="auto"/>
              <w:right w:val="dotted" w:sz="4" w:space="0" w:color="auto"/>
            </w:tcBorders>
            <w:shd w:val="clear" w:color="auto" w:fill="DEEAF6" w:themeFill="accent1" w:themeFillTint="33"/>
            <w:noWrap/>
            <w:vAlign w:val="center"/>
            <w:hideMark/>
          </w:tcPr>
          <w:p w14:paraId="7521CDD5" w14:textId="77777777" w:rsidR="009D6D4E" w:rsidRPr="006D33A1" w:rsidRDefault="009D6D4E" w:rsidP="00BF3B71">
            <w:pPr>
              <w:jc w:val="right"/>
              <w:rPr>
                <w:sz w:val="18"/>
                <w:szCs w:val="18"/>
                <w:lang w:val="en-US"/>
              </w:rPr>
            </w:pPr>
            <w:r w:rsidRPr="006D33A1">
              <w:rPr>
                <w:sz w:val="18"/>
                <w:szCs w:val="18"/>
                <w:lang w:val="en-US"/>
              </w:rPr>
              <w:t>-0.3%</w:t>
            </w:r>
          </w:p>
        </w:tc>
        <w:tc>
          <w:tcPr>
            <w:tcW w:w="378" w:type="pct"/>
            <w:tcBorders>
              <w:top w:val="nil"/>
              <w:left w:val="nil"/>
              <w:bottom w:val="dotted" w:sz="4" w:space="0" w:color="auto"/>
              <w:right w:val="single" w:sz="4" w:space="0" w:color="auto"/>
            </w:tcBorders>
            <w:shd w:val="clear" w:color="auto" w:fill="DEEAF6" w:themeFill="accent1" w:themeFillTint="33"/>
            <w:vAlign w:val="center"/>
            <w:hideMark/>
          </w:tcPr>
          <w:p w14:paraId="2CE25047" w14:textId="77777777" w:rsidR="009D6D4E" w:rsidRPr="006D33A1" w:rsidRDefault="009D6D4E" w:rsidP="00BF3B71">
            <w:pPr>
              <w:jc w:val="right"/>
              <w:rPr>
                <w:i/>
                <w:iCs/>
                <w:sz w:val="18"/>
                <w:szCs w:val="18"/>
                <w:lang w:val="en-US"/>
              </w:rPr>
            </w:pPr>
            <w:r w:rsidRPr="006D33A1">
              <w:rPr>
                <w:i/>
                <w:iCs/>
                <w:sz w:val="18"/>
                <w:szCs w:val="18"/>
                <w:lang w:val="en-US"/>
              </w:rPr>
              <w:t>n/a</w:t>
            </w:r>
          </w:p>
        </w:tc>
      </w:tr>
      <w:tr w:rsidR="009D6D4E" w:rsidRPr="006D33A1" w14:paraId="2351C707" w14:textId="77777777" w:rsidTr="00BF3B71">
        <w:trPr>
          <w:trHeight w:val="20"/>
        </w:trPr>
        <w:tc>
          <w:tcPr>
            <w:tcW w:w="811" w:type="pct"/>
            <w:vMerge/>
            <w:tcBorders>
              <w:top w:val="nil"/>
              <w:left w:val="single" w:sz="4" w:space="0" w:color="auto"/>
              <w:bottom w:val="double" w:sz="6" w:space="0" w:color="000000"/>
              <w:right w:val="dotted" w:sz="4" w:space="0" w:color="auto"/>
            </w:tcBorders>
            <w:shd w:val="clear" w:color="auto" w:fill="DEEAF6" w:themeFill="accent1" w:themeFillTint="33"/>
            <w:vAlign w:val="center"/>
            <w:hideMark/>
          </w:tcPr>
          <w:p w14:paraId="6F786E7D" w14:textId="77777777" w:rsidR="009D6D4E" w:rsidRPr="006D33A1" w:rsidRDefault="009D6D4E" w:rsidP="00BF3B71">
            <w:pPr>
              <w:rPr>
                <w:b/>
                <w:bCs/>
                <w:sz w:val="18"/>
                <w:szCs w:val="18"/>
                <w:lang w:val="en-US"/>
              </w:rPr>
            </w:pPr>
          </w:p>
        </w:tc>
        <w:tc>
          <w:tcPr>
            <w:tcW w:w="1756" w:type="pct"/>
            <w:tcBorders>
              <w:top w:val="nil"/>
              <w:left w:val="nil"/>
              <w:bottom w:val="dotted" w:sz="4" w:space="0" w:color="auto"/>
              <w:right w:val="dotted" w:sz="4" w:space="0" w:color="auto"/>
            </w:tcBorders>
            <w:shd w:val="clear" w:color="auto" w:fill="DEEAF6" w:themeFill="accent1" w:themeFillTint="33"/>
            <w:noWrap/>
            <w:vAlign w:val="center"/>
            <w:hideMark/>
          </w:tcPr>
          <w:p w14:paraId="7A33B38F" w14:textId="77777777" w:rsidR="009D6D4E" w:rsidRPr="006D33A1" w:rsidRDefault="009D6D4E" w:rsidP="00BF3B71">
            <w:pPr>
              <w:rPr>
                <w:sz w:val="18"/>
                <w:szCs w:val="18"/>
                <w:lang w:val="en-US"/>
              </w:rPr>
            </w:pPr>
            <w:r>
              <w:rPr>
                <w:sz w:val="18"/>
                <w:szCs w:val="18"/>
                <w:lang w:val="en-US"/>
              </w:rPr>
              <w:t>Deficiti i Përgjithshëm</w:t>
            </w:r>
            <w:r w:rsidRPr="006D33A1">
              <w:rPr>
                <w:sz w:val="18"/>
                <w:szCs w:val="18"/>
                <w:lang w:val="en-US"/>
              </w:rPr>
              <w:t xml:space="preserve">, </w:t>
            </w:r>
            <w:r>
              <w:rPr>
                <w:sz w:val="18"/>
                <w:szCs w:val="18"/>
                <w:lang w:val="en-US"/>
              </w:rPr>
              <w:t>si</w:t>
            </w:r>
            <w:r w:rsidRPr="006D33A1">
              <w:rPr>
                <w:sz w:val="18"/>
                <w:szCs w:val="18"/>
                <w:lang w:val="en-US"/>
              </w:rPr>
              <w:t xml:space="preserve"> % </w:t>
            </w:r>
            <w:r>
              <w:rPr>
                <w:sz w:val="18"/>
                <w:szCs w:val="18"/>
                <w:lang w:val="en-US"/>
              </w:rPr>
              <w:t>e BPV-së</w:t>
            </w:r>
          </w:p>
        </w:tc>
        <w:tc>
          <w:tcPr>
            <w:tcW w:w="383" w:type="pct"/>
            <w:tcBorders>
              <w:top w:val="nil"/>
              <w:left w:val="nil"/>
              <w:bottom w:val="dotted" w:sz="4" w:space="0" w:color="auto"/>
              <w:right w:val="dotted" w:sz="4" w:space="0" w:color="auto"/>
            </w:tcBorders>
            <w:shd w:val="clear" w:color="auto" w:fill="DEEAF6" w:themeFill="accent1" w:themeFillTint="33"/>
            <w:noWrap/>
            <w:vAlign w:val="center"/>
            <w:hideMark/>
          </w:tcPr>
          <w:p w14:paraId="2C7C6DF6" w14:textId="77777777" w:rsidR="009D6D4E" w:rsidRPr="006D33A1" w:rsidRDefault="009D6D4E" w:rsidP="00BF3B71">
            <w:pPr>
              <w:jc w:val="right"/>
              <w:rPr>
                <w:sz w:val="18"/>
                <w:szCs w:val="18"/>
                <w:lang w:val="en-US"/>
              </w:rPr>
            </w:pPr>
            <w:r w:rsidRPr="006D33A1">
              <w:rPr>
                <w:sz w:val="18"/>
                <w:szCs w:val="18"/>
                <w:lang w:val="en-US"/>
              </w:rPr>
              <w:t>0.1%</w:t>
            </w:r>
          </w:p>
        </w:tc>
        <w:tc>
          <w:tcPr>
            <w:tcW w:w="425" w:type="pct"/>
            <w:tcBorders>
              <w:top w:val="nil"/>
              <w:left w:val="nil"/>
              <w:bottom w:val="dotted" w:sz="4" w:space="0" w:color="auto"/>
              <w:right w:val="dotted" w:sz="4" w:space="0" w:color="auto"/>
            </w:tcBorders>
            <w:shd w:val="clear" w:color="auto" w:fill="DEEAF6" w:themeFill="accent1" w:themeFillTint="33"/>
            <w:noWrap/>
            <w:vAlign w:val="center"/>
            <w:hideMark/>
          </w:tcPr>
          <w:p w14:paraId="3C933755" w14:textId="77777777" w:rsidR="009D6D4E" w:rsidRPr="006D33A1" w:rsidRDefault="009D6D4E" w:rsidP="00BF3B71">
            <w:pPr>
              <w:jc w:val="right"/>
              <w:rPr>
                <w:sz w:val="18"/>
                <w:szCs w:val="18"/>
                <w:lang w:val="en-US"/>
              </w:rPr>
            </w:pPr>
            <w:r w:rsidRPr="006D33A1">
              <w:rPr>
                <w:sz w:val="18"/>
                <w:szCs w:val="18"/>
                <w:lang w:val="en-US"/>
              </w:rPr>
              <w:t>0.5%</w:t>
            </w:r>
          </w:p>
        </w:tc>
        <w:tc>
          <w:tcPr>
            <w:tcW w:w="425" w:type="pct"/>
            <w:tcBorders>
              <w:top w:val="nil"/>
              <w:left w:val="nil"/>
              <w:bottom w:val="dotted" w:sz="4" w:space="0" w:color="auto"/>
              <w:right w:val="dotted" w:sz="4" w:space="0" w:color="auto"/>
            </w:tcBorders>
            <w:shd w:val="clear" w:color="auto" w:fill="DEEAF6" w:themeFill="accent1" w:themeFillTint="33"/>
            <w:noWrap/>
            <w:vAlign w:val="center"/>
            <w:hideMark/>
          </w:tcPr>
          <w:p w14:paraId="76BE7DDC" w14:textId="77777777" w:rsidR="009D6D4E" w:rsidRPr="006D33A1" w:rsidRDefault="009D6D4E" w:rsidP="00BF3B71">
            <w:pPr>
              <w:jc w:val="right"/>
              <w:rPr>
                <w:sz w:val="18"/>
                <w:szCs w:val="18"/>
                <w:lang w:val="en-US"/>
              </w:rPr>
            </w:pPr>
            <w:r w:rsidRPr="006D33A1">
              <w:rPr>
                <w:sz w:val="18"/>
                <w:szCs w:val="18"/>
                <w:lang w:val="en-US"/>
              </w:rPr>
              <w:t>0.0%</w:t>
            </w:r>
          </w:p>
        </w:tc>
        <w:tc>
          <w:tcPr>
            <w:tcW w:w="411" w:type="pct"/>
            <w:tcBorders>
              <w:top w:val="nil"/>
              <w:left w:val="nil"/>
              <w:bottom w:val="dotted" w:sz="4" w:space="0" w:color="auto"/>
              <w:right w:val="dotted" w:sz="4" w:space="0" w:color="auto"/>
            </w:tcBorders>
            <w:shd w:val="clear" w:color="auto" w:fill="DEEAF6" w:themeFill="accent1" w:themeFillTint="33"/>
            <w:noWrap/>
            <w:vAlign w:val="center"/>
            <w:hideMark/>
          </w:tcPr>
          <w:p w14:paraId="04EF53CA" w14:textId="77777777" w:rsidR="009D6D4E" w:rsidRPr="006D33A1" w:rsidRDefault="009D6D4E" w:rsidP="00BF3B71">
            <w:pPr>
              <w:jc w:val="right"/>
              <w:rPr>
                <w:sz w:val="18"/>
                <w:szCs w:val="18"/>
                <w:lang w:val="en-US"/>
              </w:rPr>
            </w:pPr>
            <w:r w:rsidRPr="006D33A1">
              <w:rPr>
                <w:sz w:val="18"/>
                <w:szCs w:val="18"/>
                <w:lang w:val="en-US"/>
              </w:rPr>
              <w:t>-0.6%</w:t>
            </w:r>
          </w:p>
        </w:tc>
        <w:tc>
          <w:tcPr>
            <w:tcW w:w="411" w:type="pct"/>
            <w:tcBorders>
              <w:top w:val="nil"/>
              <w:left w:val="nil"/>
              <w:bottom w:val="dotted" w:sz="4" w:space="0" w:color="auto"/>
              <w:right w:val="dotted" w:sz="4" w:space="0" w:color="auto"/>
            </w:tcBorders>
            <w:shd w:val="clear" w:color="auto" w:fill="DEEAF6" w:themeFill="accent1" w:themeFillTint="33"/>
            <w:noWrap/>
            <w:vAlign w:val="center"/>
            <w:hideMark/>
          </w:tcPr>
          <w:p w14:paraId="6C6E3164" w14:textId="77777777" w:rsidR="009D6D4E" w:rsidRPr="006D33A1" w:rsidRDefault="009D6D4E" w:rsidP="00BF3B71">
            <w:pPr>
              <w:jc w:val="right"/>
              <w:rPr>
                <w:sz w:val="18"/>
                <w:szCs w:val="18"/>
                <w:lang w:val="en-US"/>
              </w:rPr>
            </w:pPr>
            <w:r w:rsidRPr="006D33A1">
              <w:rPr>
                <w:sz w:val="18"/>
                <w:szCs w:val="18"/>
                <w:lang w:val="en-US"/>
              </w:rPr>
              <w:t>-0.1%</w:t>
            </w:r>
          </w:p>
        </w:tc>
        <w:tc>
          <w:tcPr>
            <w:tcW w:w="378" w:type="pct"/>
            <w:tcBorders>
              <w:top w:val="nil"/>
              <w:left w:val="nil"/>
              <w:bottom w:val="dotted" w:sz="4" w:space="0" w:color="auto"/>
              <w:right w:val="single" w:sz="4" w:space="0" w:color="auto"/>
            </w:tcBorders>
            <w:shd w:val="clear" w:color="auto" w:fill="DEEAF6" w:themeFill="accent1" w:themeFillTint="33"/>
            <w:vAlign w:val="center"/>
            <w:hideMark/>
          </w:tcPr>
          <w:p w14:paraId="5A69AE55" w14:textId="77777777" w:rsidR="009D6D4E" w:rsidRPr="006D33A1" w:rsidRDefault="009D6D4E" w:rsidP="00BF3B71">
            <w:pPr>
              <w:jc w:val="right"/>
              <w:rPr>
                <w:i/>
                <w:iCs/>
                <w:sz w:val="18"/>
                <w:szCs w:val="18"/>
                <w:lang w:val="en-US"/>
              </w:rPr>
            </w:pPr>
            <w:r w:rsidRPr="006D33A1">
              <w:rPr>
                <w:i/>
                <w:iCs/>
                <w:sz w:val="18"/>
                <w:szCs w:val="18"/>
                <w:lang w:val="en-US"/>
              </w:rPr>
              <w:t>n/a</w:t>
            </w:r>
          </w:p>
        </w:tc>
      </w:tr>
      <w:tr w:rsidR="009D6D4E" w:rsidRPr="006D33A1" w14:paraId="28FCE48D" w14:textId="77777777" w:rsidTr="00BF3B71">
        <w:trPr>
          <w:trHeight w:val="20"/>
        </w:trPr>
        <w:tc>
          <w:tcPr>
            <w:tcW w:w="811" w:type="pct"/>
            <w:vMerge/>
            <w:tcBorders>
              <w:top w:val="nil"/>
              <w:left w:val="single" w:sz="4" w:space="0" w:color="auto"/>
              <w:bottom w:val="double" w:sz="6" w:space="0" w:color="000000"/>
              <w:right w:val="dotted" w:sz="4" w:space="0" w:color="auto"/>
            </w:tcBorders>
            <w:shd w:val="clear" w:color="auto" w:fill="DEEAF6" w:themeFill="accent1" w:themeFillTint="33"/>
            <w:vAlign w:val="center"/>
            <w:hideMark/>
          </w:tcPr>
          <w:p w14:paraId="134D0A59" w14:textId="77777777" w:rsidR="009D6D4E" w:rsidRPr="006D33A1" w:rsidRDefault="009D6D4E" w:rsidP="00BF3B71">
            <w:pPr>
              <w:rPr>
                <w:b/>
                <w:bCs/>
                <w:sz w:val="18"/>
                <w:szCs w:val="18"/>
                <w:lang w:val="en-US"/>
              </w:rPr>
            </w:pPr>
          </w:p>
        </w:tc>
        <w:tc>
          <w:tcPr>
            <w:tcW w:w="1756" w:type="pct"/>
            <w:tcBorders>
              <w:top w:val="nil"/>
              <w:left w:val="nil"/>
              <w:bottom w:val="dotted" w:sz="4" w:space="0" w:color="auto"/>
              <w:right w:val="dotted" w:sz="4" w:space="0" w:color="auto"/>
            </w:tcBorders>
            <w:shd w:val="clear" w:color="auto" w:fill="DEEAF6" w:themeFill="accent1" w:themeFillTint="33"/>
            <w:noWrap/>
            <w:vAlign w:val="center"/>
            <w:hideMark/>
          </w:tcPr>
          <w:p w14:paraId="0D92B1A8" w14:textId="77777777" w:rsidR="009D6D4E" w:rsidRPr="00FC648F" w:rsidRDefault="009D6D4E" w:rsidP="00BF3B71">
            <w:pPr>
              <w:rPr>
                <w:sz w:val="18"/>
                <w:szCs w:val="18"/>
                <w:lang w:val="fr-BE"/>
              </w:rPr>
            </w:pPr>
            <w:r w:rsidRPr="00FC648F">
              <w:rPr>
                <w:sz w:val="18"/>
                <w:szCs w:val="18"/>
                <w:lang w:val="fr-BE"/>
              </w:rPr>
              <w:t>Bilanci Bankar, si % e BPV-së</w:t>
            </w:r>
          </w:p>
        </w:tc>
        <w:tc>
          <w:tcPr>
            <w:tcW w:w="383" w:type="pct"/>
            <w:tcBorders>
              <w:top w:val="nil"/>
              <w:left w:val="nil"/>
              <w:bottom w:val="dotted" w:sz="4" w:space="0" w:color="auto"/>
              <w:right w:val="dotted" w:sz="4" w:space="0" w:color="auto"/>
            </w:tcBorders>
            <w:shd w:val="clear" w:color="auto" w:fill="DEEAF6" w:themeFill="accent1" w:themeFillTint="33"/>
            <w:noWrap/>
            <w:vAlign w:val="center"/>
            <w:hideMark/>
          </w:tcPr>
          <w:p w14:paraId="4FB62BC8" w14:textId="77777777" w:rsidR="009D6D4E" w:rsidRPr="006D33A1" w:rsidRDefault="009D6D4E" w:rsidP="00BF3B71">
            <w:pPr>
              <w:jc w:val="right"/>
              <w:rPr>
                <w:sz w:val="18"/>
                <w:szCs w:val="18"/>
                <w:lang w:val="en-US"/>
              </w:rPr>
            </w:pPr>
            <w:r w:rsidRPr="006D33A1">
              <w:rPr>
                <w:sz w:val="18"/>
                <w:szCs w:val="18"/>
                <w:lang w:val="en-US"/>
              </w:rPr>
              <w:t>0.0%</w:t>
            </w:r>
          </w:p>
        </w:tc>
        <w:tc>
          <w:tcPr>
            <w:tcW w:w="425" w:type="pct"/>
            <w:tcBorders>
              <w:top w:val="nil"/>
              <w:left w:val="nil"/>
              <w:bottom w:val="dotted" w:sz="4" w:space="0" w:color="auto"/>
              <w:right w:val="dotted" w:sz="4" w:space="0" w:color="auto"/>
            </w:tcBorders>
            <w:shd w:val="clear" w:color="auto" w:fill="DEEAF6" w:themeFill="accent1" w:themeFillTint="33"/>
            <w:noWrap/>
            <w:vAlign w:val="center"/>
            <w:hideMark/>
          </w:tcPr>
          <w:p w14:paraId="1ABA88E0" w14:textId="77777777" w:rsidR="009D6D4E" w:rsidRPr="006D33A1" w:rsidRDefault="009D6D4E" w:rsidP="00BF3B71">
            <w:pPr>
              <w:jc w:val="right"/>
              <w:rPr>
                <w:sz w:val="18"/>
                <w:szCs w:val="18"/>
                <w:lang w:val="en-US"/>
              </w:rPr>
            </w:pPr>
            <w:r w:rsidRPr="006D33A1">
              <w:rPr>
                <w:sz w:val="18"/>
                <w:szCs w:val="18"/>
                <w:lang w:val="en-US"/>
              </w:rPr>
              <w:t>-0.2%</w:t>
            </w:r>
          </w:p>
        </w:tc>
        <w:tc>
          <w:tcPr>
            <w:tcW w:w="425" w:type="pct"/>
            <w:tcBorders>
              <w:top w:val="nil"/>
              <w:left w:val="nil"/>
              <w:bottom w:val="dotted" w:sz="4" w:space="0" w:color="auto"/>
              <w:right w:val="dotted" w:sz="4" w:space="0" w:color="auto"/>
            </w:tcBorders>
            <w:shd w:val="clear" w:color="auto" w:fill="DEEAF6" w:themeFill="accent1" w:themeFillTint="33"/>
            <w:noWrap/>
            <w:vAlign w:val="center"/>
            <w:hideMark/>
          </w:tcPr>
          <w:p w14:paraId="0121BE77" w14:textId="77777777" w:rsidR="009D6D4E" w:rsidRPr="006D33A1" w:rsidRDefault="009D6D4E" w:rsidP="00BF3B71">
            <w:pPr>
              <w:jc w:val="right"/>
              <w:rPr>
                <w:sz w:val="18"/>
                <w:szCs w:val="18"/>
                <w:lang w:val="en-US"/>
              </w:rPr>
            </w:pPr>
            <w:r w:rsidRPr="006D33A1">
              <w:rPr>
                <w:sz w:val="18"/>
                <w:szCs w:val="18"/>
                <w:lang w:val="en-US"/>
              </w:rPr>
              <w:t>0.0%</w:t>
            </w:r>
          </w:p>
        </w:tc>
        <w:tc>
          <w:tcPr>
            <w:tcW w:w="411" w:type="pct"/>
            <w:tcBorders>
              <w:top w:val="nil"/>
              <w:left w:val="nil"/>
              <w:bottom w:val="dotted" w:sz="4" w:space="0" w:color="auto"/>
              <w:right w:val="dotted" w:sz="4" w:space="0" w:color="auto"/>
            </w:tcBorders>
            <w:shd w:val="clear" w:color="auto" w:fill="DEEAF6" w:themeFill="accent1" w:themeFillTint="33"/>
            <w:noWrap/>
            <w:vAlign w:val="center"/>
            <w:hideMark/>
          </w:tcPr>
          <w:p w14:paraId="06947A7B" w14:textId="77777777" w:rsidR="009D6D4E" w:rsidRPr="006D33A1" w:rsidRDefault="009D6D4E" w:rsidP="00BF3B71">
            <w:pPr>
              <w:jc w:val="right"/>
              <w:rPr>
                <w:sz w:val="18"/>
                <w:szCs w:val="18"/>
                <w:lang w:val="en-US"/>
              </w:rPr>
            </w:pPr>
            <w:r w:rsidRPr="006D33A1">
              <w:rPr>
                <w:sz w:val="18"/>
                <w:szCs w:val="18"/>
                <w:lang w:val="en-US"/>
              </w:rPr>
              <w:t>-0.1%</w:t>
            </w:r>
          </w:p>
        </w:tc>
        <w:tc>
          <w:tcPr>
            <w:tcW w:w="411" w:type="pct"/>
            <w:tcBorders>
              <w:top w:val="nil"/>
              <w:left w:val="nil"/>
              <w:bottom w:val="dotted" w:sz="4" w:space="0" w:color="auto"/>
              <w:right w:val="dotted" w:sz="4" w:space="0" w:color="auto"/>
            </w:tcBorders>
            <w:shd w:val="clear" w:color="auto" w:fill="DEEAF6" w:themeFill="accent1" w:themeFillTint="33"/>
            <w:noWrap/>
            <w:vAlign w:val="center"/>
            <w:hideMark/>
          </w:tcPr>
          <w:p w14:paraId="092B6A59" w14:textId="77777777" w:rsidR="009D6D4E" w:rsidRPr="006D33A1" w:rsidRDefault="009D6D4E" w:rsidP="00BF3B71">
            <w:pPr>
              <w:jc w:val="right"/>
              <w:rPr>
                <w:sz w:val="18"/>
                <w:szCs w:val="18"/>
                <w:lang w:val="en-US"/>
              </w:rPr>
            </w:pPr>
            <w:r w:rsidRPr="006D33A1">
              <w:rPr>
                <w:sz w:val="18"/>
                <w:szCs w:val="18"/>
                <w:lang w:val="en-US"/>
              </w:rPr>
              <w:t>-0.4%</w:t>
            </w:r>
          </w:p>
        </w:tc>
        <w:tc>
          <w:tcPr>
            <w:tcW w:w="378" w:type="pct"/>
            <w:tcBorders>
              <w:top w:val="nil"/>
              <w:left w:val="nil"/>
              <w:bottom w:val="dotted" w:sz="4" w:space="0" w:color="auto"/>
              <w:right w:val="single" w:sz="4" w:space="0" w:color="auto"/>
            </w:tcBorders>
            <w:shd w:val="clear" w:color="auto" w:fill="DEEAF6" w:themeFill="accent1" w:themeFillTint="33"/>
            <w:vAlign w:val="center"/>
            <w:hideMark/>
          </w:tcPr>
          <w:p w14:paraId="619B9701" w14:textId="77777777" w:rsidR="009D6D4E" w:rsidRPr="006D33A1" w:rsidRDefault="009D6D4E" w:rsidP="00BF3B71">
            <w:pPr>
              <w:jc w:val="right"/>
              <w:rPr>
                <w:i/>
                <w:iCs/>
                <w:sz w:val="18"/>
                <w:szCs w:val="18"/>
                <w:lang w:val="en-US"/>
              </w:rPr>
            </w:pPr>
            <w:r w:rsidRPr="006D33A1">
              <w:rPr>
                <w:i/>
                <w:iCs/>
                <w:sz w:val="18"/>
                <w:szCs w:val="18"/>
                <w:lang w:val="en-US"/>
              </w:rPr>
              <w:t>n/a</w:t>
            </w:r>
          </w:p>
        </w:tc>
      </w:tr>
      <w:tr w:rsidR="009D6D4E" w:rsidRPr="006D33A1" w14:paraId="187E4A88" w14:textId="77777777" w:rsidTr="00BF3B71">
        <w:trPr>
          <w:trHeight w:val="20"/>
        </w:trPr>
        <w:tc>
          <w:tcPr>
            <w:tcW w:w="811" w:type="pct"/>
            <w:vMerge/>
            <w:tcBorders>
              <w:top w:val="nil"/>
              <w:left w:val="single" w:sz="4" w:space="0" w:color="auto"/>
              <w:bottom w:val="double" w:sz="6" w:space="0" w:color="000000"/>
              <w:right w:val="dotted" w:sz="4" w:space="0" w:color="auto"/>
            </w:tcBorders>
            <w:shd w:val="clear" w:color="auto" w:fill="DEEAF6" w:themeFill="accent1" w:themeFillTint="33"/>
            <w:vAlign w:val="center"/>
            <w:hideMark/>
          </w:tcPr>
          <w:p w14:paraId="08D8C374" w14:textId="77777777" w:rsidR="009D6D4E" w:rsidRPr="006D33A1" w:rsidRDefault="009D6D4E" w:rsidP="00BF3B71">
            <w:pPr>
              <w:rPr>
                <w:b/>
                <w:bCs/>
                <w:sz w:val="18"/>
                <w:szCs w:val="18"/>
                <w:lang w:val="en-US"/>
              </w:rPr>
            </w:pPr>
          </w:p>
        </w:tc>
        <w:tc>
          <w:tcPr>
            <w:tcW w:w="1756" w:type="pct"/>
            <w:tcBorders>
              <w:top w:val="nil"/>
              <w:left w:val="nil"/>
              <w:bottom w:val="dotted" w:sz="4" w:space="0" w:color="auto"/>
              <w:right w:val="dotted" w:sz="4" w:space="0" w:color="auto"/>
            </w:tcBorders>
            <w:shd w:val="clear" w:color="auto" w:fill="DEEAF6" w:themeFill="accent1" w:themeFillTint="33"/>
            <w:noWrap/>
            <w:vAlign w:val="center"/>
            <w:hideMark/>
          </w:tcPr>
          <w:p w14:paraId="7ECEDE87" w14:textId="77777777" w:rsidR="009D6D4E" w:rsidRPr="00FC648F" w:rsidRDefault="009D6D4E" w:rsidP="00BF3B71">
            <w:pPr>
              <w:rPr>
                <w:sz w:val="18"/>
                <w:szCs w:val="18"/>
                <w:lang w:val="fr-BE"/>
              </w:rPr>
            </w:pPr>
            <w:r w:rsidRPr="00FC648F">
              <w:rPr>
                <w:i/>
                <w:iCs/>
                <w:sz w:val="18"/>
                <w:szCs w:val="18"/>
                <w:lang w:val="fr-BE"/>
              </w:rPr>
              <w:t>Shpenzimet kapitale</w:t>
            </w:r>
            <w:r w:rsidRPr="00FC648F">
              <w:rPr>
                <w:sz w:val="18"/>
                <w:szCs w:val="18"/>
                <w:lang w:val="fr-BE"/>
              </w:rPr>
              <w:t>, si % e BPV-së</w:t>
            </w:r>
          </w:p>
        </w:tc>
        <w:tc>
          <w:tcPr>
            <w:tcW w:w="383" w:type="pct"/>
            <w:tcBorders>
              <w:top w:val="nil"/>
              <w:left w:val="nil"/>
              <w:bottom w:val="dotted" w:sz="4" w:space="0" w:color="auto"/>
              <w:right w:val="dotted" w:sz="4" w:space="0" w:color="auto"/>
            </w:tcBorders>
            <w:shd w:val="clear" w:color="auto" w:fill="DEEAF6" w:themeFill="accent1" w:themeFillTint="33"/>
            <w:noWrap/>
            <w:vAlign w:val="center"/>
            <w:hideMark/>
          </w:tcPr>
          <w:p w14:paraId="613BD362" w14:textId="77777777" w:rsidR="009D6D4E" w:rsidRPr="00FC648F" w:rsidRDefault="009D6D4E" w:rsidP="00BF3B71">
            <w:pPr>
              <w:jc w:val="right"/>
              <w:rPr>
                <w:sz w:val="18"/>
                <w:szCs w:val="18"/>
                <w:lang w:val="fr-BE"/>
              </w:rPr>
            </w:pPr>
            <w:r w:rsidRPr="00FC648F">
              <w:rPr>
                <w:sz w:val="18"/>
                <w:szCs w:val="18"/>
                <w:lang w:val="fr-BE"/>
              </w:rPr>
              <w:t> </w:t>
            </w:r>
          </w:p>
        </w:tc>
        <w:tc>
          <w:tcPr>
            <w:tcW w:w="425" w:type="pct"/>
            <w:tcBorders>
              <w:top w:val="nil"/>
              <w:left w:val="nil"/>
              <w:bottom w:val="dotted" w:sz="4" w:space="0" w:color="auto"/>
              <w:right w:val="dotted" w:sz="4" w:space="0" w:color="auto"/>
            </w:tcBorders>
            <w:shd w:val="clear" w:color="auto" w:fill="DEEAF6" w:themeFill="accent1" w:themeFillTint="33"/>
            <w:noWrap/>
            <w:vAlign w:val="center"/>
            <w:hideMark/>
          </w:tcPr>
          <w:p w14:paraId="4F2937A2" w14:textId="77777777" w:rsidR="009D6D4E" w:rsidRPr="00FC648F" w:rsidRDefault="009D6D4E" w:rsidP="00BF3B71">
            <w:pPr>
              <w:jc w:val="right"/>
              <w:rPr>
                <w:sz w:val="18"/>
                <w:szCs w:val="18"/>
                <w:lang w:val="fr-BE"/>
              </w:rPr>
            </w:pPr>
            <w:r w:rsidRPr="00FC648F">
              <w:rPr>
                <w:sz w:val="18"/>
                <w:szCs w:val="18"/>
                <w:lang w:val="fr-BE"/>
              </w:rPr>
              <w:t> </w:t>
            </w:r>
          </w:p>
        </w:tc>
        <w:tc>
          <w:tcPr>
            <w:tcW w:w="425" w:type="pct"/>
            <w:tcBorders>
              <w:top w:val="nil"/>
              <w:left w:val="nil"/>
              <w:bottom w:val="dotted" w:sz="4" w:space="0" w:color="auto"/>
              <w:right w:val="dotted" w:sz="4" w:space="0" w:color="auto"/>
            </w:tcBorders>
            <w:shd w:val="clear" w:color="auto" w:fill="DEEAF6" w:themeFill="accent1" w:themeFillTint="33"/>
            <w:vAlign w:val="center"/>
            <w:hideMark/>
          </w:tcPr>
          <w:p w14:paraId="7B48244E" w14:textId="77777777" w:rsidR="009D6D4E" w:rsidRPr="00FC648F" w:rsidRDefault="009D6D4E" w:rsidP="00BF3B71">
            <w:pPr>
              <w:jc w:val="right"/>
              <w:rPr>
                <w:sz w:val="18"/>
                <w:szCs w:val="18"/>
                <w:lang w:val="fr-BE"/>
              </w:rPr>
            </w:pPr>
            <w:r w:rsidRPr="00FC648F">
              <w:rPr>
                <w:sz w:val="18"/>
                <w:szCs w:val="18"/>
                <w:lang w:val="fr-BE"/>
              </w:rPr>
              <w:t> </w:t>
            </w:r>
          </w:p>
        </w:tc>
        <w:tc>
          <w:tcPr>
            <w:tcW w:w="411" w:type="pct"/>
            <w:tcBorders>
              <w:top w:val="nil"/>
              <w:left w:val="nil"/>
              <w:bottom w:val="dotted" w:sz="4" w:space="0" w:color="auto"/>
              <w:right w:val="dotted" w:sz="4" w:space="0" w:color="auto"/>
            </w:tcBorders>
            <w:shd w:val="clear" w:color="auto" w:fill="DEEAF6" w:themeFill="accent1" w:themeFillTint="33"/>
            <w:noWrap/>
            <w:vAlign w:val="center"/>
            <w:hideMark/>
          </w:tcPr>
          <w:p w14:paraId="19A5B81A" w14:textId="77777777" w:rsidR="009D6D4E" w:rsidRPr="00FC648F" w:rsidRDefault="009D6D4E" w:rsidP="00BF3B71">
            <w:pPr>
              <w:jc w:val="right"/>
              <w:rPr>
                <w:sz w:val="18"/>
                <w:szCs w:val="18"/>
                <w:lang w:val="fr-BE"/>
              </w:rPr>
            </w:pPr>
            <w:r w:rsidRPr="00FC648F">
              <w:rPr>
                <w:sz w:val="18"/>
                <w:szCs w:val="18"/>
                <w:lang w:val="fr-BE"/>
              </w:rPr>
              <w:t> </w:t>
            </w:r>
          </w:p>
        </w:tc>
        <w:tc>
          <w:tcPr>
            <w:tcW w:w="411" w:type="pct"/>
            <w:tcBorders>
              <w:top w:val="nil"/>
              <w:left w:val="nil"/>
              <w:bottom w:val="dotted" w:sz="4" w:space="0" w:color="auto"/>
              <w:right w:val="dotted" w:sz="4" w:space="0" w:color="auto"/>
            </w:tcBorders>
            <w:shd w:val="clear" w:color="auto" w:fill="DEEAF6" w:themeFill="accent1" w:themeFillTint="33"/>
            <w:noWrap/>
            <w:vAlign w:val="center"/>
            <w:hideMark/>
          </w:tcPr>
          <w:p w14:paraId="0594895A" w14:textId="77777777" w:rsidR="009D6D4E" w:rsidRPr="00FC648F" w:rsidRDefault="009D6D4E" w:rsidP="00BF3B71">
            <w:pPr>
              <w:jc w:val="right"/>
              <w:rPr>
                <w:sz w:val="18"/>
                <w:szCs w:val="18"/>
                <w:lang w:val="fr-BE"/>
              </w:rPr>
            </w:pPr>
            <w:r w:rsidRPr="00FC648F">
              <w:rPr>
                <w:sz w:val="18"/>
                <w:szCs w:val="18"/>
                <w:lang w:val="fr-BE"/>
              </w:rPr>
              <w:t> </w:t>
            </w:r>
          </w:p>
        </w:tc>
        <w:tc>
          <w:tcPr>
            <w:tcW w:w="378" w:type="pct"/>
            <w:tcBorders>
              <w:top w:val="nil"/>
              <w:left w:val="nil"/>
              <w:bottom w:val="dotted" w:sz="4" w:space="0" w:color="auto"/>
              <w:right w:val="single" w:sz="4" w:space="0" w:color="auto"/>
            </w:tcBorders>
            <w:shd w:val="clear" w:color="auto" w:fill="DEEAF6" w:themeFill="accent1" w:themeFillTint="33"/>
            <w:noWrap/>
            <w:vAlign w:val="center"/>
            <w:hideMark/>
          </w:tcPr>
          <w:p w14:paraId="2E65F53F" w14:textId="77777777" w:rsidR="009D6D4E" w:rsidRPr="00FC648F" w:rsidRDefault="009D6D4E" w:rsidP="00BF3B71">
            <w:pPr>
              <w:jc w:val="right"/>
              <w:rPr>
                <w:i/>
                <w:iCs/>
                <w:sz w:val="18"/>
                <w:szCs w:val="18"/>
                <w:lang w:val="fr-BE"/>
              </w:rPr>
            </w:pPr>
            <w:r w:rsidRPr="00FC648F">
              <w:rPr>
                <w:i/>
                <w:iCs/>
                <w:sz w:val="18"/>
                <w:szCs w:val="18"/>
                <w:lang w:val="fr-BE"/>
              </w:rPr>
              <w:t> </w:t>
            </w:r>
          </w:p>
        </w:tc>
      </w:tr>
      <w:tr w:rsidR="009D6D4E" w:rsidRPr="006D33A1" w14:paraId="47C760C8" w14:textId="77777777" w:rsidTr="00BF3B71">
        <w:trPr>
          <w:trHeight w:val="20"/>
        </w:trPr>
        <w:tc>
          <w:tcPr>
            <w:tcW w:w="811" w:type="pct"/>
            <w:vMerge/>
            <w:tcBorders>
              <w:top w:val="nil"/>
              <w:left w:val="single" w:sz="4" w:space="0" w:color="auto"/>
              <w:bottom w:val="single" w:sz="4" w:space="0" w:color="auto"/>
              <w:right w:val="dotted" w:sz="4" w:space="0" w:color="auto"/>
            </w:tcBorders>
            <w:shd w:val="clear" w:color="auto" w:fill="DEEAF6" w:themeFill="accent1" w:themeFillTint="33"/>
            <w:vAlign w:val="center"/>
            <w:hideMark/>
          </w:tcPr>
          <w:p w14:paraId="3FFDF250" w14:textId="77777777" w:rsidR="009D6D4E" w:rsidRPr="00FC648F" w:rsidRDefault="009D6D4E" w:rsidP="00BF3B71">
            <w:pPr>
              <w:rPr>
                <w:b/>
                <w:bCs/>
                <w:sz w:val="18"/>
                <w:szCs w:val="18"/>
                <w:lang w:val="fr-BE"/>
              </w:rPr>
            </w:pPr>
          </w:p>
        </w:tc>
        <w:tc>
          <w:tcPr>
            <w:tcW w:w="1756" w:type="pct"/>
            <w:tcBorders>
              <w:top w:val="nil"/>
              <w:left w:val="nil"/>
              <w:bottom w:val="single" w:sz="4" w:space="0" w:color="auto"/>
              <w:right w:val="dotted" w:sz="4" w:space="0" w:color="auto"/>
            </w:tcBorders>
            <w:shd w:val="clear" w:color="auto" w:fill="DEEAF6" w:themeFill="accent1" w:themeFillTint="33"/>
            <w:noWrap/>
            <w:vAlign w:val="center"/>
            <w:hideMark/>
          </w:tcPr>
          <w:p w14:paraId="0C45B5AA" w14:textId="77777777" w:rsidR="009D6D4E" w:rsidRPr="00FC648F" w:rsidRDefault="009D6D4E" w:rsidP="00BF3B71">
            <w:pPr>
              <w:rPr>
                <w:sz w:val="18"/>
                <w:szCs w:val="18"/>
                <w:lang w:val="fr-BE"/>
              </w:rPr>
            </w:pPr>
            <w:r w:rsidRPr="00FC648F">
              <w:rPr>
                <w:i/>
                <w:iCs/>
                <w:sz w:val="18"/>
                <w:szCs w:val="18"/>
                <w:lang w:val="fr-BE"/>
              </w:rPr>
              <w:t>Shpenzimet rrjedhëse</w:t>
            </w:r>
            <w:r w:rsidRPr="00FC648F">
              <w:rPr>
                <w:sz w:val="18"/>
                <w:szCs w:val="18"/>
                <w:lang w:val="fr-BE"/>
              </w:rPr>
              <w:t>, si % e BPV-së</w:t>
            </w:r>
          </w:p>
        </w:tc>
        <w:tc>
          <w:tcPr>
            <w:tcW w:w="383" w:type="pct"/>
            <w:tcBorders>
              <w:top w:val="nil"/>
              <w:left w:val="nil"/>
              <w:bottom w:val="single" w:sz="4" w:space="0" w:color="auto"/>
              <w:right w:val="dotted" w:sz="4" w:space="0" w:color="auto"/>
            </w:tcBorders>
            <w:shd w:val="clear" w:color="auto" w:fill="DEEAF6" w:themeFill="accent1" w:themeFillTint="33"/>
            <w:noWrap/>
            <w:vAlign w:val="center"/>
            <w:hideMark/>
          </w:tcPr>
          <w:p w14:paraId="695702FD" w14:textId="77777777" w:rsidR="009D6D4E" w:rsidRPr="006D33A1" w:rsidRDefault="009D6D4E" w:rsidP="00BF3B71">
            <w:pPr>
              <w:jc w:val="right"/>
              <w:rPr>
                <w:sz w:val="18"/>
                <w:szCs w:val="18"/>
                <w:lang w:val="en-US"/>
              </w:rPr>
            </w:pPr>
            <w:r w:rsidRPr="006D33A1">
              <w:rPr>
                <w:sz w:val="18"/>
                <w:szCs w:val="18"/>
                <w:lang w:val="en-US"/>
              </w:rPr>
              <w:t>0.0%</w:t>
            </w:r>
          </w:p>
        </w:tc>
        <w:tc>
          <w:tcPr>
            <w:tcW w:w="425" w:type="pct"/>
            <w:tcBorders>
              <w:top w:val="nil"/>
              <w:left w:val="nil"/>
              <w:bottom w:val="single" w:sz="4" w:space="0" w:color="auto"/>
              <w:right w:val="dotted" w:sz="4" w:space="0" w:color="auto"/>
            </w:tcBorders>
            <w:shd w:val="clear" w:color="auto" w:fill="DEEAF6" w:themeFill="accent1" w:themeFillTint="33"/>
            <w:noWrap/>
            <w:vAlign w:val="center"/>
            <w:hideMark/>
          </w:tcPr>
          <w:p w14:paraId="4A1A81A5" w14:textId="77777777" w:rsidR="009D6D4E" w:rsidRPr="006D33A1" w:rsidRDefault="009D6D4E" w:rsidP="00BF3B71">
            <w:pPr>
              <w:jc w:val="right"/>
              <w:rPr>
                <w:sz w:val="18"/>
                <w:szCs w:val="18"/>
                <w:lang w:val="en-US"/>
              </w:rPr>
            </w:pPr>
            <w:r w:rsidRPr="006D33A1">
              <w:rPr>
                <w:sz w:val="18"/>
                <w:szCs w:val="18"/>
                <w:lang w:val="en-US"/>
              </w:rPr>
              <w:t>0.4%</w:t>
            </w:r>
          </w:p>
        </w:tc>
        <w:tc>
          <w:tcPr>
            <w:tcW w:w="425" w:type="pct"/>
            <w:tcBorders>
              <w:top w:val="nil"/>
              <w:left w:val="nil"/>
              <w:bottom w:val="single" w:sz="4" w:space="0" w:color="auto"/>
              <w:right w:val="dotted" w:sz="4" w:space="0" w:color="auto"/>
            </w:tcBorders>
            <w:shd w:val="clear" w:color="auto" w:fill="DEEAF6" w:themeFill="accent1" w:themeFillTint="33"/>
            <w:noWrap/>
            <w:vAlign w:val="center"/>
            <w:hideMark/>
          </w:tcPr>
          <w:p w14:paraId="75EC79B2" w14:textId="77777777" w:rsidR="009D6D4E" w:rsidRPr="006D33A1" w:rsidRDefault="009D6D4E" w:rsidP="00BF3B71">
            <w:pPr>
              <w:jc w:val="right"/>
              <w:rPr>
                <w:sz w:val="18"/>
                <w:szCs w:val="18"/>
                <w:lang w:val="en-US"/>
              </w:rPr>
            </w:pPr>
            <w:r w:rsidRPr="006D33A1">
              <w:rPr>
                <w:sz w:val="18"/>
                <w:szCs w:val="18"/>
                <w:lang w:val="en-US"/>
              </w:rPr>
              <w:t>0.0%</w:t>
            </w:r>
          </w:p>
        </w:tc>
        <w:tc>
          <w:tcPr>
            <w:tcW w:w="411" w:type="pct"/>
            <w:tcBorders>
              <w:top w:val="nil"/>
              <w:left w:val="nil"/>
              <w:bottom w:val="single" w:sz="4" w:space="0" w:color="auto"/>
              <w:right w:val="dotted" w:sz="4" w:space="0" w:color="auto"/>
            </w:tcBorders>
            <w:shd w:val="clear" w:color="auto" w:fill="DEEAF6" w:themeFill="accent1" w:themeFillTint="33"/>
            <w:noWrap/>
            <w:vAlign w:val="center"/>
            <w:hideMark/>
          </w:tcPr>
          <w:p w14:paraId="0C058AF1" w14:textId="77777777" w:rsidR="009D6D4E" w:rsidRPr="006D33A1" w:rsidRDefault="009D6D4E" w:rsidP="00BF3B71">
            <w:pPr>
              <w:jc w:val="right"/>
              <w:rPr>
                <w:sz w:val="18"/>
                <w:szCs w:val="18"/>
                <w:lang w:val="en-US"/>
              </w:rPr>
            </w:pPr>
            <w:r w:rsidRPr="006D33A1">
              <w:rPr>
                <w:sz w:val="18"/>
                <w:szCs w:val="18"/>
                <w:lang w:val="en-US"/>
              </w:rPr>
              <w:t>0.8%</w:t>
            </w:r>
          </w:p>
        </w:tc>
        <w:tc>
          <w:tcPr>
            <w:tcW w:w="411" w:type="pct"/>
            <w:tcBorders>
              <w:top w:val="nil"/>
              <w:left w:val="nil"/>
              <w:bottom w:val="single" w:sz="4" w:space="0" w:color="auto"/>
              <w:right w:val="dotted" w:sz="4" w:space="0" w:color="auto"/>
            </w:tcBorders>
            <w:shd w:val="clear" w:color="auto" w:fill="DEEAF6" w:themeFill="accent1" w:themeFillTint="33"/>
            <w:noWrap/>
            <w:vAlign w:val="center"/>
            <w:hideMark/>
          </w:tcPr>
          <w:p w14:paraId="4BAFFAF8" w14:textId="77777777" w:rsidR="009D6D4E" w:rsidRPr="006D33A1" w:rsidRDefault="009D6D4E" w:rsidP="00BF3B71">
            <w:pPr>
              <w:jc w:val="right"/>
              <w:rPr>
                <w:sz w:val="18"/>
                <w:szCs w:val="18"/>
                <w:lang w:val="en-US"/>
              </w:rPr>
            </w:pPr>
            <w:r w:rsidRPr="006D33A1">
              <w:rPr>
                <w:sz w:val="18"/>
                <w:szCs w:val="18"/>
                <w:lang w:val="en-US"/>
              </w:rPr>
              <w:t>0.9%</w:t>
            </w:r>
          </w:p>
        </w:tc>
        <w:tc>
          <w:tcPr>
            <w:tcW w:w="378" w:type="pct"/>
            <w:tcBorders>
              <w:top w:val="nil"/>
              <w:left w:val="nil"/>
              <w:bottom w:val="single" w:sz="4" w:space="0" w:color="auto"/>
              <w:right w:val="single" w:sz="4" w:space="0" w:color="auto"/>
            </w:tcBorders>
            <w:shd w:val="clear" w:color="auto" w:fill="DEEAF6" w:themeFill="accent1" w:themeFillTint="33"/>
            <w:vAlign w:val="center"/>
            <w:hideMark/>
          </w:tcPr>
          <w:p w14:paraId="393BD782" w14:textId="77777777" w:rsidR="009D6D4E" w:rsidRPr="006D33A1" w:rsidRDefault="009D6D4E" w:rsidP="00BF3B71">
            <w:pPr>
              <w:jc w:val="right"/>
              <w:rPr>
                <w:i/>
                <w:iCs/>
                <w:sz w:val="18"/>
                <w:szCs w:val="18"/>
                <w:lang w:val="en-US"/>
              </w:rPr>
            </w:pPr>
            <w:r w:rsidRPr="006D33A1">
              <w:rPr>
                <w:i/>
                <w:iCs/>
                <w:sz w:val="18"/>
                <w:szCs w:val="18"/>
                <w:lang w:val="en-US"/>
              </w:rPr>
              <w:t>n/a</w:t>
            </w:r>
          </w:p>
        </w:tc>
      </w:tr>
    </w:tbl>
    <w:p w14:paraId="46D8A83B" w14:textId="77777777" w:rsidR="009D6D4E" w:rsidRDefault="009D6D4E" w:rsidP="009D6D4E"/>
    <w:p w14:paraId="00BAB588" w14:textId="77777777" w:rsidR="009D6D4E" w:rsidRDefault="009D6D4E" w:rsidP="009D6D4E"/>
    <w:p w14:paraId="15D2CA92" w14:textId="77777777" w:rsidR="009D6D4E" w:rsidRDefault="009D6D4E" w:rsidP="009D6D4E">
      <w:r>
        <w:br w:type="page"/>
      </w:r>
    </w:p>
    <w:p w14:paraId="52B2044D" w14:textId="77777777" w:rsidR="009D6D4E" w:rsidRPr="0052584D" w:rsidRDefault="009D6D4E" w:rsidP="009D6D4E">
      <w:pPr>
        <w:pStyle w:val="ERPL1"/>
        <w:ind w:left="66"/>
      </w:pPr>
      <w:r>
        <w:t>Shtojca 2</w:t>
      </w:r>
    </w:p>
    <w:tbl>
      <w:tblPr>
        <w:tblW w:w="5000" w:type="pct"/>
        <w:tblLook w:val="04A0" w:firstRow="1" w:lastRow="0" w:firstColumn="1" w:lastColumn="0" w:noHBand="0" w:noVBand="1"/>
      </w:tblPr>
      <w:tblGrid>
        <w:gridCol w:w="2948"/>
        <w:gridCol w:w="1115"/>
        <w:gridCol w:w="1054"/>
        <w:gridCol w:w="849"/>
        <w:gridCol w:w="849"/>
        <w:gridCol w:w="849"/>
        <w:gridCol w:w="849"/>
        <w:gridCol w:w="801"/>
      </w:tblGrid>
      <w:tr w:rsidR="009D6D4E" w:rsidRPr="00030958" w14:paraId="322BB2E2" w14:textId="77777777" w:rsidTr="00BF3B71">
        <w:trPr>
          <w:trHeight w:val="20"/>
        </w:trPr>
        <w:tc>
          <w:tcPr>
            <w:tcW w:w="2180" w:type="pct"/>
            <w:gridSpan w:val="2"/>
            <w:tcBorders>
              <w:top w:val="nil"/>
              <w:left w:val="nil"/>
              <w:bottom w:val="nil"/>
              <w:right w:val="nil"/>
            </w:tcBorders>
            <w:shd w:val="clear" w:color="000000" w:fill="FFFFFF"/>
            <w:noWrap/>
            <w:vAlign w:val="bottom"/>
            <w:hideMark/>
          </w:tcPr>
          <w:p w14:paraId="125BEB55" w14:textId="77777777" w:rsidR="009D6D4E" w:rsidRPr="00030958" w:rsidRDefault="009D6D4E" w:rsidP="00BF3B71">
            <w:pPr>
              <w:rPr>
                <w:b/>
                <w:bCs/>
                <w:sz w:val="18"/>
                <w:szCs w:val="20"/>
                <w:lang w:val="en-US"/>
              </w:rPr>
            </w:pPr>
            <w:r w:rsidRPr="00030958">
              <w:rPr>
                <w:b/>
                <w:bCs/>
                <w:sz w:val="18"/>
                <w:szCs w:val="20"/>
                <w:lang w:val="en-US"/>
              </w:rPr>
              <w:t>Tabela 1a:  Parashikimet makroekonomike</w:t>
            </w:r>
          </w:p>
        </w:tc>
        <w:tc>
          <w:tcPr>
            <w:tcW w:w="566" w:type="pct"/>
            <w:tcBorders>
              <w:top w:val="nil"/>
              <w:left w:val="nil"/>
              <w:bottom w:val="nil"/>
              <w:right w:val="nil"/>
            </w:tcBorders>
            <w:shd w:val="clear" w:color="000000" w:fill="FFFFFF"/>
            <w:noWrap/>
            <w:vAlign w:val="bottom"/>
            <w:hideMark/>
          </w:tcPr>
          <w:p w14:paraId="6B5FE681" w14:textId="77777777" w:rsidR="009D6D4E" w:rsidRPr="00030958" w:rsidRDefault="009D6D4E" w:rsidP="00BF3B71">
            <w:pPr>
              <w:rPr>
                <w:sz w:val="18"/>
                <w:szCs w:val="20"/>
                <w:lang w:val="en-US"/>
              </w:rPr>
            </w:pPr>
            <w:r w:rsidRPr="00030958">
              <w:rPr>
                <w:sz w:val="18"/>
                <w:szCs w:val="20"/>
                <w:lang w:val="en-US"/>
              </w:rPr>
              <w:t> </w:t>
            </w:r>
          </w:p>
        </w:tc>
        <w:tc>
          <w:tcPr>
            <w:tcW w:w="456" w:type="pct"/>
            <w:tcBorders>
              <w:top w:val="nil"/>
              <w:left w:val="nil"/>
              <w:bottom w:val="nil"/>
              <w:right w:val="nil"/>
            </w:tcBorders>
            <w:shd w:val="clear" w:color="000000" w:fill="FFFFFF"/>
            <w:noWrap/>
            <w:vAlign w:val="bottom"/>
            <w:hideMark/>
          </w:tcPr>
          <w:p w14:paraId="591ADFC4" w14:textId="77777777" w:rsidR="009D6D4E" w:rsidRPr="00030958" w:rsidRDefault="009D6D4E" w:rsidP="00BF3B71">
            <w:pPr>
              <w:rPr>
                <w:sz w:val="18"/>
                <w:szCs w:val="20"/>
                <w:lang w:val="en-US"/>
              </w:rPr>
            </w:pPr>
            <w:r w:rsidRPr="00030958">
              <w:rPr>
                <w:sz w:val="18"/>
                <w:szCs w:val="20"/>
                <w:lang w:val="en-US"/>
              </w:rPr>
              <w:t> </w:t>
            </w:r>
          </w:p>
        </w:tc>
        <w:tc>
          <w:tcPr>
            <w:tcW w:w="456" w:type="pct"/>
            <w:tcBorders>
              <w:top w:val="nil"/>
              <w:left w:val="nil"/>
              <w:bottom w:val="nil"/>
              <w:right w:val="nil"/>
            </w:tcBorders>
            <w:shd w:val="clear" w:color="000000" w:fill="FFFFFF"/>
            <w:noWrap/>
            <w:vAlign w:val="bottom"/>
            <w:hideMark/>
          </w:tcPr>
          <w:p w14:paraId="77075A9C" w14:textId="77777777" w:rsidR="009D6D4E" w:rsidRPr="00030958" w:rsidRDefault="009D6D4E" w:rsidP="00BF3B71">
            <w:pPr>
              <w:rPr>
                <w:sz w:val="18"/>
                <w:szCs w:val="20"/>
                <w:lang w:val="en-US"/>
              </w:rPr>
            </w:pPr>
            <w:r w:rsidRPr="00030958">
              <w:rPr>
                <w:sz w:val="18"/>
                <w:szCs w:val="20"/>
                <w:lang w:val="en-US"/>
              </w:rPr>
              <w:t> </w:t>
            </w:r>
          </w:p>
        </w:tc>
        <w:tc>
          <w:tcPr>
            <w:tcW w:w="456" w:type="pct"/>
            <w:tcBorders>
              <w:top w:val="nil"/>
              <w:left w:val="nil"/>
              <w:bottom w:val="nil"/>
              <w:right w:val="nil"/>
            </w:tcBorders>
            <w:shd w:val="clear" w:color="000000" w:fill="FFFFFF"/>
            <w:noWrap/>
            <w:vAlign w:val="bottom"/>
            <w:hideMark/>
          </w:tcPr>
          <w:p w14:paraId="702C0EE6" w14:textId="77777777" w:rsidR="009D6D4E" w:rsidRPr="00030958" w:rsidRDefault="009D6D4E" w:rsidP="00BF3B71">
            <w:pPr>
              <w:rPr>
                <w:sz w:val="18"/>
                <w:szCs w:val="20"/>
                <w:lang w:val="en-US"/>
              </w:rPr>
            </w:pPr>
            <w:r w:rsidRPr="00030958">
              <w:rPr>
                <w:sz w:val="18"/>
                <w:szCs w:val="20"/>
                <w:lang w:val="en-US"/>
              </w:rPr>
              <w:t> </w:t>
            </w:r>
          </w:p>
        </w:tc>
        <w:tc>
          <w:tcPr>
            <w:tcW w:w="456" w:type="pct"/>
            <w:tcBorders>
              <w:top w:val="nil"/>
              <w:left w:val="nil"/>
              <w:bottom w:val="nil"/>
              <w:right w:val="nil"/>
            </w:tcBorders>
            <w:shd w:val="clear" w:color="000000" w:fill="FFFFFF"/>
            <w:noWrap/>
            <w:vAlign w:val="bottom"/>
            <w:hideMark/>
          </w:tcPr>
          <w:p w14:paraId="6544940D" w14:textId="77777777" w:rsidR="009D6D4E" w:rsidRPr="00030958" w:rsidRDefault="009D6D4E" w:rsidP="00BF3B71">
            <w:pPr>
              <w:rPr>
                <w:sz w:val="18"/>
                <w:szCs w:val="20"/>
                <w:lang w:val="en-US"/>
              </w:rPr>
            </w:pPr>
            <w:r w:rsidRPr="00030958">
              <w:rPr>
                <w:sz w:val="18"/>
                <w:szCs w:val="20"/>
                <w:lang w:val="en-US"/>
              </w:rPr>
              <w:t> </w:t>
            </w:r>
          </w:p>
        </w:tc>
        <w:tc>
          <w:tcPr>
            <w:tcW w:w="430" w:type="pct"/>
            <w:tcBorders>
              <w:top w:val="nil"/>
              <w:left w:val="nil"/>
              <w:bottom w:val="nil"/>
              <w:right w:val="nil"/>
            </w:tcBorders>
            <w:shd w:val="clear" w:color="000000" w:fill="FFFFFF"/>
            <w:noWrap/>
            <w:vAlign w:val="bottom"/>
            <w:hideMark/>
          </w:tcPr>
          <w:p w14:paraId="12F0925D" w14:textId="77777777" w:rsidR="009D6D4E" w:rsidRPr="00030958" w:rsidRDefault="009D6D4E" w:rsidP="00BF3B71">
            <w:pPr>
              <w:rPr>
                <w:sz w:val="18"/>
                <w:szCs w:val="20"/>
                <w:lang w:val="en-US"/>
              </w:rPr>
            </w:pPr>
            <w:r w:rsidRPr="00030958">
              <w:rPr>
                <w:sz w:val="18"/>
                <w:szCs w:val="20"/>
                <w:lang w:val="en-US"/>
              </w:rPr>
              <w:t> </w:t>
            </w:r>
          </w:p>
        </w:tc>
      </w:tr>
      <w:tr w:rsidR="009D6D4E" w:rsidRPr="00030958" w14:paraId="6CD79E0B" w14:textId="77777777" w:rsidTr="00BF3B71">
        <w:trPr>
          <w:trHeight w:val="20"/>
        </w:trPr>
        <w:tc>
          <w:tcPr>
            <w:tcW w:w="1582" w:type="pct"/>
            <w:tcBorders>
              <w:top w:val="double" w:sz="6" w:space="0" w:color="auto"/>
              <w:left w:val="double" w:sz="6" w:space="0" w:color="auto"/>
              <w:bottom w:val="nil"/>
              <w:right w:val="nil"/>
            </w:tcBorders>
            <w:shd w:val="clear" w:color="000000" w:fill="FFFFFF"/>
            <w:vAlign w:val="bottom"/>
            <w:hideMark/>
          </w:tcPr>
          <w:p w14:paraId="517A4B50" w14:textId="77777777" w:rsidR="009D6D4E" w:rsidRPr="00FC648F" w:rsidRDefault="009D6D4E" w:rsidP="00BF3B71">
            <w:pPr>
              <w:rPr>
                <w:sz w:val="18"/>
                <w:szCs w:val="20"/>
              </w:rPr>
            </w:pPr>
            <w:r w:rsidRPr="00FC648F">
              <w:rPr>
                <w:sz w:val="18"/>
                <w:szCs w:val="20"/>
              </w:rPr>
              <w:t>%, përveç nëse është theksuar ndryshe</w:t>
            </w:r>
          </w:p>
        </w:tc>
        <w:tc>
          <w:tcPr>
            <w:tcW w:w="598" w:type="pct"/>
            <w:tcBorders>
              <w:top w:val="double" w:sz="6" w:space="0" w:color="auto"/>
              <w:left w:val="dotted" w:sz="4" w:space="0" w:color="auto"/>
              <w:bottom w:val="nil"/>
              <w:right w:val="single" w:sz="8" w:space="0" w:color="auto"/>
            </w:tcBorders>
            <w:shd w:val="clear" w:color="000000" w:fill="FFFFFF"/>
            <w:vAlign w:val="bottom"/>
            <w:hideMark/>
          </w:tcPr>
          <w:p w14:paraId="5BA81347" w14:textId="77777777" w:rsidR="009D6D4E" w:rsidRPr="00030958" w:rsidRDefault="009D6D4E" w:rsidP="00BF3B71">
            <w:pPr>
              <w:rPr>
                <w:sz w:val="18"/>
                <w:szCs w:val="20"/>
                <w:lang w:val="en-US"/>
              </w:rPr>
            </w:pPr>
            <w:r w:rsidRPr="00030958">
              <w:rPr>
                <w:sz w:val="18"/>
                <w:szCs w:val="20"/>
                <w:lang w:val="en-US"/>
              </w:rPr>
              <w:t>ESA Code</w:t>
            </w:r>
          </w:p>
        </w:tc>
        <w:tc>
          <w:tcPr>
            <w:tcW w:w="566" w:type="pct"/>
            <w:tcBorders>
              <w:top w:val="double" w:sz="6" w:space="0" w:color="auto"/>
              <w:left w:val="nil"/>
              <w:bottom w:val="double" w:sz="6" w:space="0" w:color="auto"/>
              <w:right w:val="single" w:sz="8" w:space="0" w:color="auto"/>
            </w:tcBorders>
            <w:shd w:val="clear" w:color="000000" w:fill="FFFFFF"/>
            <w:vAlign w:val="bottom"/>
            <w:hideMark/>
          </w:tcPr>
          <w:p w14:paraId="59F8751D" w14:textId="77777777" w:rsidR="009D6D4E" w:rsidRPr="00030958" w:rsidRDefault="009D6D4E" w:rsidP="00BF3B71">
            <w:pPr>
              <w:jc w:val="center"/>
              <w:rPr>
                <w:sz w:val="18"/>
                <w:szCs w:val="20"/>
                <w:lang w:val="en-US"/>
              </w:rPr>
            </w:pPr>
            <w:r w:rsidRPr="00030958">
              <w:rPr>
                <w:sz w:val="18"/>
                <w:szCs w:val="20"/>
                <w:lang w:val="en-US"/>
              </w:rPr>
              <w:t>2018</w:t>
            </w:r>
          </w:p>
        </w:tc>
        <w:tc>
          <w:tcPr>
            <w:tcW w:w="456" w:type="pct"/>
            <w:tcBorders>
              <w:top w:val="double" w:sz="6" w:space="0" w:color="auto"/>
              <w:left w:val="nil"/>
              <w:bottom w:val="nil"/>
              <w:right w:val="dotted" w:sz="4" w:space="0" w:color="auto"/>
            </w:tcBorders>
            <w:shd w:val="clear" w:color="000000" w:fill="FFFFFF"/>
            <w:hideMark/>
          </w:tcPr>
          <w:p w14:paraId="2BB1D013" w14:textId="77777777" w:rsidR="009D6D4E" w:rsidRPr="00030958" w:rsidRDefault="009D6D4E" w:rsidP="00BF3B71">
            <w:pPr>
              <w:jc w:val="center"/>
              <w:rPr>
                <w:sz w:val="18"/>
                <w:szCs w:val="20"/>
                <w:lang w:val="en-US"/>
              </w:rPr>
            </w:pPr>
            <w:r w:rsidRPr="00030958">
              <w:rPr>
                <w:sz w:val="18"/>
                <w:szCs w:val="20"/>
                <w:lang w:val="en-US"/>
              </w:rPr>
              <w:t>2018</w:t>
            </w:r>
          </w:p>
        </w:tc>
        <w:tc>
          <w:tcPr>
            <w:tcW w:w="456" w:type="pct"/>
            <w:tcBorders>
              <w:top w:val="double" w:sz="6" w:space="0" w:color="auto"/>
              <w:left w:val="nil"/>
              <w:bottom w:val="nil"/>
              <w:right w:val="dotted" w:sz="4" w:space="0" w:color="auto"/>
            </w:tcBorders>
            <w:shd w:val="clear" w:color="000000" w:fill="FFFFFF"/>
            <w:hideMark/>
          </w:tcPr>
          <w:p w14:paraId="5F882A03" w14:textId="77777777" w:rsidR="009D6D4E" w:rsidRPr="00030958" w:rsidRDefault="009D6D4E" w:rsidP="00BF3B71">
            <w:pPr>
              <w:jc w:val="center"/>
              <w:rPr>
                <w:sz w:val="18"/>
                <w:szCs w:val="20"/>
                <w:lang w:val="en-US"/>
              </w:rPr>
            </w:pPr>
            <w:r w:rsidRPr="00030958">
              <w:rPr>
                <w:sz w:val="18"/>
                <w:szCs w:val="20"/>
                <w:lang w:val="en-US"/>
              </w:rPr>
              <w:t>2019</w:t>
            </w:r>
          </w:p>
        </w:tc>
        <w:tc>
          <w:tcPr>
            <w:tcW w:w="456" w:type="pct"/>
            <w:tcBorders>
              <w:top w:val="double" w:sz="6" w:space="0" w:color="auto"/>
              <w:left w:val="nil"/>
              <w:bottom w:val="nil"/>
              <w:right w:val="dotted" w:sz="4" w:space="0" w:color="auto"/>
            </w:tcBorders>
            <w:shd w:val="clear" w:color="000000" w:fill="FFFFFF"/>
            <w:hideMark/>
          </w:tcPr>
          <w:p w14:paraId="05C0AF60" w14:textId="77777777" w:rsidR="009D6D4E" w:rsidRPr="00030958" w:rsidRDefault="009D6D4E" w:rsidP="00BF3B71">
            <w:pPr>
              <w:jc w:val="center"/>
              <w:rPr>
                <w:sz w:val="18"/>
                <w:szCs w:val="20"/>
                <w:lang w:val="en-US"/>
              </w:rPr>
            </w:pPr>
            <w:r w:rsidRPr="00030958">
              <w:rPr>
                <w:sz w:val="18"/>
                <w:szCs w:val="20"/>
                <w:lang w:val="en-US"/>
              </w:rPr>
              <w:t>2020</w:t>
            </w:r>
          </w:p>
        </w:tc>
        <w:tc>
          <w:tcPr>
            <w:tcW w:w="456" w:type="pct"/>
            <w:tcBorders>
              <w:top w:val="double" w:sz="6" w:space="0" w:color="auto"/>
              <w:left w:val="nil"/>
              <w:bottom w:val="nil"/>
              <w:right w:val="dotted" w:sz="4" w:space="0" w:color="auto"/>
            </w:tcBorders>
            <w:shd w:val="clear" w:color="000000" w:fill="FFFFFF"/>
            <w:hideMark/>
          </w:tcPr>
          <w:p w14:paraId="4C14BA22" w14:textId="77777777" w:rsidR="009D6D4E" w:rsidRPr="00030958" w:rsidRDefault="009D6D4E" w:rsidP="00BF3B71">
            <w:pPr>
              <w:jc w:val="center"/>
              <w:rPr>
                <w:sz w:val="18"/>
                <w:szCs w:val="20"/>
                <w:lang w:val="en-US"/>
              </w:rPr>
            </w:pPr>
            <w:r w:rsidRPr="00030958">
              <w:rPr>
                <w:sz w:val="18"/>
                <w:szCs w:val="20"/>
                <w:lang w:val="en-US"/>
              </w:rPr>
              <w:t>2021</w:t>
            </w:r>
          </w:p>
        </w:tc>
        <w:tc>
          <w:tcPr>
            <w:tcW w:w="430" w:type="pct"/>
            <w:tcBorders>
              <w:top w:val="double" w:sz="6" w:space="0" w:color="auto"/>
              <w:left w:val="nil"/>
              <w:bottom w:val="nil"/>
              <w:right w:val="double" w:sz="6" w:space="0" w:color="auto"/>
            </w:tcBorders>
            <w:shd w:val="clear" w:color="000000" w:fill="FFFFFF"/>
            <w:hideMark/>
          </w:tcPr>
          <w:p w14:paraId="52359666" w14:textId="77777777" w:rsidR="009D6D4E" w:rsidRPr="00030958" w:rsidRDefault="009D6D4E" w:rsidP="00BF3B71">
            <w:pPr>
              <w:jc w:val="center"/>
              <w:rPr>
                <w:sz w:val="18"/>
                <w:szCs w:val="20"/>
                <w:lang w:val="en-US"/>
              </w:rPr>
            </w:pPr>
            <w:r w:rsidRPr="00030958">
              <w:rPr>
                <w:sz w:val="18"/>
                <w:szCs w:val="20"/>
                <w:lang w:val="en-US"/>
              </w:rPr>
              <w:t>2022</w:t>
            </w:r>
          </w:p>
        </w:tc>
      </w:tr>
      <w:tr w:rsidR="009D6D4E" w:rsidRPr="00030958" w14:paraId="3C9C2690" w14:textId="77777777" w:rsidTr="00BF3B71">
        <w:trPr>
          <w:trHeight w:val="20"/>
        </w:trPr>
        <w:tc>
          <w:tcPr>
            <w:tcW w:w="1582" w:type="pct"/>
            <w:tcBorders>
              <w:top w:val="nil"/>
              <w:left w:val="double" w:sz="6" w:space="0" w:color="auto"/>
              <w:bottom w:val="single" w:sz="8" w:space="0" w:color="auto"/>
              <w:right w:val="nil"/>
            </w:tcBorders>
            <w:shd w:val="clear" w:color="000000" w:fill="FFFFFF"/>
            <w:vAlign w:val="bottom"/>
            <w:hideMark/>
          </w:tcPr>
          <w:p w14:paraId="26D707C8" w14:textId="77777777" w:rsidR="009D6D4E" w:rsidRPr="00030958" w:rsidRDefault="009D6D4E" w:rsidP="00BF3B71">
            <w:pPr>
              <w:ind w:firstLineChars="100" w:firstLine="180"/>
              <w:rPr>
                <w:sz w:val="18"/>
                <w:szCs w:val="16"/>
                <w:lang w:val="en-US"/>
              </w:rPr>
            </w:pPr>
            <w:r w:rsidRPr="00030958">
              <w:rPr>
                <w:sz w:val="18"/>
                <w:szCs w:val="16"/>
                <w:lang w:val="en-US"/>
              </w:rPr>
              <w:t> </w:t>
            </w:r>
          </w:p>
        </w:tc>
        <w:tc>
          <w:tcPr>
            <w:tcW w:w="598" w:type="pct"/>
            <w:tcBorders>
              <w:top w:val="nil"/>
              <w:left w:val="dotted" w:sz="4" w:space="0" w:color="auto"/>
              <w:bottom w:val="single" w:sz="8" w:space="0" w:color="auto"/>
              <w:right w:val="single" w:sz="8" w:space="0" w:color="auto"/>
            </w:tcBorders>
            <w:shd w:val="clear" w:color="000000" w:fill="FFFFFF"/>
            <w:vAlign w:val="bottom"/>
            <w:hideMark/>
          </w:tcPr>
          <w:p w14:paraId="225239D5" w14:textId="77777777" w:rsidR="009D6D4E" w:rsidRPr="00030958" w:rsidRDefault="009D6D4E" w:rsidP="00BF3B71">
            <w:pPr>
              <w:jc w:val="center"/>
              <w:rPr>
                <w:sz w:val="18"/>
                <w:szCs w:val="16"/>
                <w:lang w:val="en-US"/>
              </w:rPr>
            </w:pPr>
            <w:r w:rsidRPr="00030958">
              <w:rPr>
                <w:sz w:val="18"/>
                <w:szCs w:val="16"/>
                <w:lang w:val="en-US"/>
              </w:rPr>
              <w:t> </w:t>
            </w:r>
          </w:p>
        </w:tc>
        <w:tc>
          <w:tcPr>
            <w:tcW w:w="566" w:type="pct"/>
            <w:tcBorders>
              <w:top w:val="nil"/>
              <w:left w:val="nil"/>
              <w:bottom w:val="single" w:sz="8" w:space="0" w:color="auto"/>
              <w:right w:val="single" w:sz="8" w:space="0" w:color="auto"/>
            </w:tcBorders>
            <w:shd w:val="clear" w:color="000000" w:fill="FFFFFF"/>
            <w:vAlign w:val="bottom"/>
            <w:hideMark/>
          </w:tcPr>
          <w:p w14:paraId="4781605E" w14:textId="77777777" w:rsidR="009D6D4E" w:rsidRPr="00030958" w:rsidRDefault="009D6D4E" w:rsidP="00BF3B71">
            <w:pPr>
              <w:jc w:val="center"/>
              <w:rPr>
                <w:b/>
                <w:bCs/>
                <w:sz w:val="18"/>
                <w:szCs w:val="20"/>
                <w:lang w:val="en-US"/>
              </w:rPr>
            </w:pPr>
            <w:r w:rsidRPr="00030958">
              <w:rPr>
                <w:b/>
                <w:bCs/>
                <w:sz w:val="18"/>
                <w:szCs w:val="20"/>
                <w:lang w:val="en-US"/>
              </w:rPr>
              <w:t>Level  (mn EUR)</w:t>
            </w:r>
          </w:p>
        </w:tc>
        <w:tc>
          <w:tcPr>
            <w:tcW w:w="2254" w:type="pct"/>
            <w:gridSpan w:val="5"/>
            <w:tcBorders>
              <w:top w:val="single" w:sz="4" w:space="0" w:color="auto"/>
              <w:left w:val="nil"/>
              <w:bottom w:val="single" w:sz="8" w:space="0" w:color="auto"/>
              <w:right w:val="double" w:sz="6" w:space="0" w:color="000000"/>
            </w:tcBorders>
            <w:shd w:val="clear" w:color="000000" w:fill="FFFFFF"/>
            <w:vAlign w:val="center"/>
            <w:hideMark/>
          </w:tcPr>
          <w:p w14:paraId="495AD4A2" w14:textId="77777777" w:rsidR="009D6D4E" w:rsidRPr="00030958" w:rsidRDefault="009D6D4E" w:rsidP="00BF3B71">
            <w:pPr>
              <w:jc w:val="center"/>
              <w:rPr>
                <w:b/>
                <w:bCs/>
                <w:sz w:val="18"/>
                <w:szCs w:val="20"/>
                <w:lang w:val="en-US"/>
              </w:rPr>
            </w:pPr>
            <w:r w:rsidRPr="00030958">
              <w:rPr>
                <w:b/>
                <w:bCs/>
                <w:sz w:val="18"/>
                <w:szCs w:val="20"/>
                <w:lang w:val="en-US"/>
              </w:rPr>
              <w:t> </w:t>
            </w:r>
          </w:p>
        </w:tc>
      </w:tr>
      <w:tr w:rsidR="009D6D4E" w:rsidRPr="00030958" w14:paraId="7DF74EFC" w14:textId="77777777" w:rsidTr="00BF3B71">
        <w:trPr>
          <w:trHeight w:val="20"/>
        </w:trPr>
        <w:tc>
          <w:tcPr>
            <w:tcW w:w="1582" w:type="pct"/>
            <w:tcBorders>
              <w:top w:val="nil"/>
              <w:left w:val="double" w:sz="6" w:space="0" w:color="auto"/>
              <w:bottom w:val="dotted" w:sz="4" w:space="0" w:color="auto"/>
              <w:right w:val="nil"/>
            </w:tcBorders>
            <w:shd w:val="clear" w:color="000000" w:fill="FFFFFF"/>
            <w:vAlign w:val="bottom"/>
            <w:hideMark/>
          </w:tcPr>
          <w:p w14:paraId="4D8048BD" w14:textId="77777777" w:rsidR="009D6D4E" w:rsidRPr="00030958" w:rsidRDefault="009D6D4E" w:rsidP="00BF3B71">
            <w:pPr>
              <w:rPr>
                <w:sz w:val="18"/>
                <w:szCs w:val="20"/>
                <w:lang w:val="en-US"/>
              </w:rPr>
            </w:pPr>
            <w:r w:rsidRPr="00030958">
              <w:rPr>
                <w:sz w:val="18"/>
                <w:szCs w:val="20"/>
                <w:lang w:val="en-US"/>
              </w:rPr>
              <w:t>1. BPV reale me çmime konstante</w:t>
            </w:r>
          </w:p>
        </w:tc>
        <w:tc>
          <w:tcPr>
            <w:tcW w:w="598" w:type="pct"/>
            <w:tcBorders>
              <w:top w:val="nil"/>
              <w:left w:val="dotted" w:sz="4" w:space="0" w:color="auto"/>
              <w:bottom w:val="dotted" w:sz="4" w:space="0" w:color="auto"/>
              <w:right w:val="single" w:sz="8" w:space="0" w:color="auto"/>
            </w:tcBorders>
            <w:shd w:val="clear" w:color="000000" w:fill="FFFFFF"/>
            <w:vAlign w:val="bottom"/>
            <w:hideMark/>
          </w:tcPr>
          <w:p w14:paraId="4D73601D" w14:textId="77777777" w:rsidR="009D6D4E" w:rsidRPr="00030958" w:rsidRDefault="009D6D4E" w:rsidP="00BF3B71">
            <w:pPr>
              <w:jc w:val="center"/>
              <w:rPr>
                <w:sz w:val="18"/>
                <w:szCs w:val="20"/>
                <w:lang w:val="en-US"/>
              </w:rPr>
            </w:pPr>
            <w:r w:rsidRPr="00030958">
              <w:rPr>
                <w:sz w:val="18"/>
                <w:szCs w:val="20"/>
                <w:lang w:val="en-US"/>
              </w:rPr>
              <w:t>B1*g</w:t>
            </w:r>
          </w:p>
        </w:tc>
        <w:tc>
          <w:tcPr>
            <w:tcW w:w="566" w:type="pct"/>
            <w:tcBorders>
              <w:top w:val="nil"/>
              <w:left w:val="nil"/>
              <w:bottom w:val="dotted" w:sz="4" w:space="0" w:color="auto"/>
              <w:right w:val="single" w:sz="8" w:space="0" w:color="auto"/>
            </w:tcBorders>
            <w:shd w:val="clear" w:color="000000" w:fill="FFFFFF"/>
            <w:vAlign w:val="bottom"/>
            <w:hideMark/>
          </w:tcPr>
          <w:p w14:paraId="5E3B1020" w14:textId="77777777" w:rsidR="009D6D4E" w:rsidRPr="00030958" w:rsidRDefault="009D6D4E" w:rsidP="00BF3B71">
            <w:pPr>
              <w:jc w:val="center"/>
              <w:rPr>
                <w:sz w:val="18"/>
                <w:szCs w:val="20"/>
                <w:lang w:val="en-US"/>
              </w:rPr>
            </w:pPr>
            <w:r>
              <w:rPr>
                <w:sz w:val="18"/>
                <w:szCs w:val="20"/>
                <w:lang w:val="en-US"/>
              </w:rPr>
              <w:t>6,658.6</w:t>
            </w:r>
          </w:p>
        </w:tc>
        <w:tc>
          <w:tcPr>
            <w:tcW w:w="456" w:type="pct"/>
            <w:tcBorders>
              <w:top w:val="nil"/>
              <w:left w:val="nil"/>
              <w:bottom w:val="dotted" w:sz="4" w:space="0" w:color="auto"/>
              <w:right w:val="dotted" w:sz="4" w:space="0" w:color="auto"/>
            </w:tcBorders>
            <w:shd w:val="clear" w:color="000000" w:fill="FFFFFF"/>
            <w:vAlign w:val="bottom"/>
            <w:hideMark/>
          </w:tcPr>
          <w:p w14:paraId="1AE6826E" w14:textId="77777777" w:rsidR="009D6D4E" w:rsidRPr="00030958" w:rsidRDefault="009D6D4E" w:rsidP="00BF3B71">
            <w:pPr>
              <w:jc w:val="center"/>
              <w:rPr>
                <w:sz w:val="18"/>
                <w:szCs w:val="20"/>
                <w:lang w:val="en-US"/>
              </w:rPr>
            </w:pPr>
            <w:r w:rsidRPr="00030958">
              <w:rPr>
                <w:sz w:val="18"/>
                <w:szCs w:val="20"/>
                <w:lang w:val="en-US"/>
              </w:rPr>
              <w:t>3.8</w:t>
            </w:r>
          </w:p>
        </w:tc>
        <w:tc>
          <w:tcPr>
            <w:tcW w:w="456" w:type="pct"/>
            <w:tcBorders>
              <w:top w:val="nil"/>
              <w:left w:val="nil"/>
              <w:bottom w:val="dotted" w:sz="4" w:space="0" w:color="auto"/>
              <w:right w:val="dotted" w:sz="4" w:space="0" w:color="auto"/>
            </w:tcBorders>
            <w:shd w:val="clear" w:color="000000" w:fill="FFFFFF"/>
            <w:vAlign w:val="bottom"/>
            <w:hideMark/>
          </w:tcPr>
          <w:p w14:paraId="18267188" w14:textId="77777777" w:rsidR="009D6D4E" w:rsidRPr="00030958" w:rsidRDefault="009D6D4E" w:rsidP="00BF3B71">
            <w:pPr>
              <w:jc w:val="center"/>
              <w:rPr>
                <w:sz w:val="18"/>
                <w:szCs w:val="20"/>
                <w:lang w:val="en-US"/>
              </w:rPr>
            </w:pPr>
            <w:r w:rsidRPr="00030958">
              <w:rPr>
                <w:sz w:val="18"/>
                <w:szCs w:val="20"/>
                <w:lang w:val="en-US"/>
              </w:rPr>
              <w:t>4.0</w:t>
            </w:r>
          </w:p>
        </w:tc>
        <w:tc>
          <w:tcPr>
            <w:tcW w:w="456" w:type="pct"/>
            <w:tcBorders>
              <w:top w:val="nil"/>
              <w:left w:val="nil"/>
              <w:bottom w:val="dotted" w:sz="4" w:space="0" w:color="auto"/>
              <w:right w:val="dotted" w:sz="4" w:space="0" w:color="auto"/>
            </w:tcBorders>
            <w:shd w:val="clear" w:color="000000" w:fill="FFFFFF"/>
            <w:vAlign w:val="bottom"/>
            <w:hideMark/>
          </w:tcPr>
          <w:p w14:paraId="15DE3165" w14:textId="77777777" w:rsidR="009D6D4E" w:rsidRPr="00030958" w:rsidRDefault="009D6D4E" w:rsidP="00BF3B71">
            <w:pPr>
              <w:jc w:val="center"/>
              <w:rPr>
                <w:sz w:val="18"/>
                <w:szCs w:val="20"/>
                <w:lang w:val="en-US"/>
              </w:rPr>
            </w:pPr>
            <w:r w:rsidRPr="00030958">
              <w:rPr>
                <w:sz w:val="18"/>
                <w:szCs w:val="20"/>
                <w:lang w:val="en-US"/>
              </w:rPr>
              <w:t>4.4</w:t>
            </w:r>
          </w:p>
        </w:tc>
        <w:tc>
          <w:tcPr>
            <w:tcW w:w="456" w:type="pct"/>
            <w:tcBorders>
              <w:top w:val="nil"/>
              <w:left w:val="nil"/>
              <w:bottom w:val="dotted" w:sz="4" w:space="0" w:color="auto"/>
              <w:right w:val="dotted" w:sz="4" w:space="0" w:color="auto"/>
            </w:tcBorders>
            <w:shd w:val="clear" w:color="000000" w:fill="FFFFFF"/>
            <w:vAlign w:val="bottom"/>
            <w:hideMark/>
          </w:tcPr>
          <w:p w14:paraId="0819B202" w14:textId="77777777" w:rsidR="009D6D4E" w:rsidRPr="00030958" w:rsidRDefault="009D6D4E" w:rsidP="00BF3B71">
            <w:pPr>
              <w:jc w:val="center"/>
              <w:rPr>
                <w:sz w:val="18"/>
                <w:szCs w:val="20"/>
                <w:lang w:val="en-US"/>
              </w:rPr>
            </w:pPr>
            <w:r w:rsidRPr="00030958">
              <w:rPr>
                <w:sz w:val="18"/>
                <w:szCs w:val="20"/>
                <w:lang w:val="en-US"/>
              </w:rPr>
              <w:t>4.5</w:t>
            </w:r>
          </w:p>
        </w:tc>
        <w:tc>
          <w:tcPr>
            <w:tcW w:w="430" w:type="pct"/>
            <w:tcBorders>
              <w:top w:val="nil"/>
              <w:left w:val="nil"/>
              <w:bottom w:val="dotted" w:sz="4" w:space="0" w:color="auto"/>
              <w:right w:val="double" w:sz="6" w:space="0" w:color="auto"/>
            </w:tcBorders>
            <w:shd w:val="clear" w:color="000000" w:fill="FFFFFF"/>
            <w:vAlign w:val="bottom"/>
            <w:hideMark/>
          </w:tcPr>
          <w:p w14:paraId="5CCEA0AF" w14:textId="77777777" w:rsidR="009D6D4E" w:rsidRPr="00030958" w:rsidRDefault="009D6D4E" w:rsidP="00BF3B71">
            <w:pPr>
              <w:jc w:val="center"/>
              <w:rPr>
                <w:sz w:val="18"/>
                <w:szCs w:val="20"/>
                <w:lang w:val="en-US"/>
              </w:rPr>
            </w:pPr>
            <w:r w:rsidRPr="00030958">
              <w:rPr>
                <w:sz w:val="18"/>
                <w:szCs w:val="20"/>
                <w:lang w:val="en-US"/>
              </w:rPr>
              <w:t>4.5</w:t>
            </w:r>
          </w:p>
        </w:tc>
      </w:tr>
      <w:tr w:rsidR="009D6D4E" w:rsidRPr="00030958" w14:paraId="48908A22" w14:textId="77777777" w:rsidTr="00BF3B71">
        <w:trPr>
          <w:trHeight w:val="20"/>
        </w:trPr>
        <w:tc>
          <w:tcPr>
            <w:tcW w:w="1582" w:type="pct"/>
            <w:tcBorders>
              <w:top w:val="nil"/>
              <w:left w:val="double" w:sz="6" w:space="0" w:color="auto"/>
              <w:bottom w:val="nil"/>
              <w:right w:val="nil"/>
            </w:tcBorders>
            <w:shd w:val="clear" w:color="000000" w:fill="FFFFFF"/>
            <w:vAlign w:val="bottom"/>
            <w:hideMark/>
          </w:tcPr>
          <w:p w14:paraId="139E0B97" w14:textId="77777777" w:rsidR="009D6D4E" w:rsidRPr="00030958" w:rsidRDefault="009D6D4E" w:rsidP="00BF3B71">
            <w:pPr>
              <w:rPr>
                <w:sz w:val="18"/>
                <w:szCs w:val="20"/>
                <w:lang w:val="en-US"/>
              </w:rPr>
            </w:pPr>
            <w:r w:rsidRPr="00030958">
              <w:rPr>
                <w:sz w:val="18"/>
                <w:szCs w:val="20"/>
                <w:lang w:val="en-US"/>
              </w:rPr>
              <w:t>2. BPV Nominale</w:t>
            </w:r>
          </w:p>
        </w:tc>
        <w:tc>
          <w:tcPr>
            <w:tcW w:w="598" w:type="pct"/>
            <w:tcBorders>
              <w:top w:val="nil"/>
              <w:left w:val="dotted" w:sz="4" w:space="0" w:color="auto"/>
              <w:bottom w:val="double" w:sz="6" w:space="0" w:color="auto"/>
              <w:right w:val="single" w:sz="8" w:space="0" w:color="auto"/>
            </w:tcBorders>
            <w:shd w:val="clear" w:color="000000" w:fill="FFFFFF"/>
            <w:vAlign w:val="bottom"/>
            <w:hideMark/>
          </w:tcPr>
          <w:p w14:paraId="312F6504" w14:textId="77777777" w:rsidR="009D6D4E" w:rsidRPr="00030958" w:rsidRDefault="009D6D4E" w:rsidP="00BF3B71">
            <w:pPr>
              <w:jc w:val="center"/>
              <w:rPr>
                <w:sz w:val="18"/>
                <w:szCs w:val="20"/>
                <w:lang w:val="en-US"/>
              </w:rPr>
            </w:pPr>
            <w:r w:rsidRPr="00030958">
              <w:rPr>
                <w:sz w:val="18"/>
                <w:szCs w:val="20"/>
                <w:lang w:val="en-US"/>
              </w:rPr>
              <w:t>B1*g</w:t>
            </w:r>
          </w:p>
        </w:tc>
        <w:tc>
          <w:tcPr>
            <w:tcW w:w="566" w:type="pct"/>
            <w:tcBorders>
              <w:top w:val="nil"/>
              <w:left w:val="nil"/>
              <w:bottom w:val="nil"/>
              <w:right w:val="single" w:sz="8" w:space="0" w:color="auto"/>
            </w:tcBorders>
            <w:shd w:val="clear" w:color="000000" w:fill="FFFFFF"/>
            <w:vAlign w:val="bottom"/>
            <w:hideMark/>
          </w:tcPr>
          <w:p w14:paraId="02431709" w14:textId="77777777" w:rsidR="009D6D4E" w:rsidRPr="00030958" w:rsidRDefault="009D6D4E" w:rsidP="00BF3B71">
            <w:pPr>
              <w:jc w:val="center"/>
              <w:rPr>
                <w:sz w:val="18"/>
                <w:szCs w:val="20"/>
                <w:lang w:val="en-US"/>
              </w:rPr>
            </w:pPr>
            <w:r>
              <w:rPr>
                <w:sz w:val="18"/>
                <w:szCs w:val="20"/>
                <w:lang w:val="en-US"/>
              </w:rPr>
              <w:t>6,726.1</w:t>
            </w:r>
          </w:p>
        </w:tc>
        <w:tc>
          <w:tcPr>
            <w:tcW w:w="456" w:type="pct"/>
            <w:tcBorders>
              <w:top w:val="nil"/>
              <w:left w:val="nil"/>
              <w:bottom w:val="nil"/>
              <w:right w:val="dotted" w:sz="4" w:space="0" w:color="auto"/>
            </w:tcBorders>
            <w:shd w:val="clear" w:color="000000" w:fill="FFFFFF"/>
            <w:vAlign w:val="bottom"/>
            <w:hideMark/>
          </w:tcPr>
          <w:p w14:paraId="62D759CF" w14:textId="77777777" w:rsidR="009D6D4E" w:rsidRPr="00030958" w:rsidRDefault="009D6D4E" w:rsidP="00BF3B71">
            <w:pPr>
              <w:jc w:val="center"/>
              <w:rPr>
                <w:sz w:val="18"/>
                <w:szCs w:val="20"/>
                <w:lang w:val="en-US"/>
              </w:rPr>
            </w:pPr>
            <w:r w:rsidRPr="00030958">
              <w:rPr>
                <w:sz w:val="18"/>
                <w:szCs w:val="20"/>
                <w:lang w:val="en-US"/>
              </w:rPr>
              <w:t>4.9</w:t>
            </w:r>
          </w:p>
        </w:tc>
        <w:tc>
          <w:tcPr>
            <w:tcW w:w="456" w:type="pct"/>
            <w:tcBorders>
              <w:top w:val="nil"/>
              <w:left w:val="nil"/>
              <w:bottom w:val="nil"/>
              <w:right w:val="dotted" w:sz="4" w:space="0" w:color="auto"/>
            </w:tcBorders>
            <w:shd w:val="clear" w:color="000000" w:fill="FFFFFF"/>
            <w:vAlign w:val="bottom"/>
            <w:hideMark/>
          </w:tcPr>
          <w:p w14:paraId="7A9D341D" w14:textId="77777777" w:rsidR="009D6D4E" w:rsidRPr="00030958" w:rsidRDefault="009D6D4E" w:rsidP="00BF3B71">
            <w:pPr>
              <w:jc w:val="center"/>
              <w:rPr>
                <w:sz w:val="18"/>
                <w:szCs w:val="20"/>
                <w:lang w:val="en-US"/>
              </w:rPr>
            </w:pPr>
            <w:r w:rsidRPr="00030958">
              <w:rPr>
                <w:sz w:val="18"/>
                <w:szCs w:val="20"/>
                <w:lang w:val="en-US"/>
              </w:rPr>
              <w:t>5.8</w:t>
            </w:r>
          </w:p>
        </w:tc>
        <w:tc>
          <w:tcPr>
            <w:tcW w:w="456" w:type="pct"/>
            <w:tcBorders>
              <w:top w:val="nil"/>
              <w:left w:val="nil"/>
              <w:bottom w:val="nil"/>
              <w:right w:val="dotted" w:sz="4" w:space="0" w:color="auto"/>
            </w:tcBorders>
            <w:shd w:val="clear" w:color="000000" w:fill="FFFFFF"/>
            <w:vAlign w:val="bottom"/>
            <w:hideMark/>
          </w:tcPr>
          <w:p w14:paraId="7BE52C2D" w14:textId="77777777" w:rsidR="009D6D4E" w:rsidRPr="00030958" w:rsidRDefault="009D6D4E" w:rsidP="00BF3B71">
            <w:pPr>
              <w:jc w:val="center"/>
              <w:rPr>
                <w:sz w:val="18"/>
                <w:szCs w:val="20"/>
                <w:lang w:val="en-US"/>
              </w:rPr>
            </w:pPr>
            <w:r w:rsidRPr="00030958">
              <w:rPr>
                <w:sz w:val="18"/>
                <w:szCs w:val="20"/>
                <w:lang w:val="en-US"/>
              </w:rPr>
              <w:t>5.9</w:t>
            </w:r>
          </w:p>
        </w:tc>
        <w:tc>
          <w:tcPr>
            <w:tcW w:w="456" w:type="pct"/>
            <w:tcBorders>
              <w:top w:val="nil"/>
              <w:left w:val="nil"/>
              <w:bottom w:val="nil"/>
              <w:right w:val="dotted" w:sz="4" w:space="0" w:color="auto"/>
            </w:tcBorders>
            <w:shd w:val="clear" w:color="000000" w:fill="FFFFFF"/>
            <w:vAlign w:val="bottom"/>
            <w:hideMark/>
          </w:tcPr>
          <w:p w14:paraId="21DCAD11" w14:textId="77777777" w:rsidR="009D6D4E" w:rsidRPr="00030958" w:rsidRDefault="009D6D4E" w:rsidP="00BF3B71">
            <w:pPr>
              <w:jc w:val="center"/>
              <w:rPr>
                <w:sz w:val="18"/>
                <w:szCs w:val="20"/>
                <w:lang w:val="en-US"/>
              </w:rPr>
            </w:pPr>
            <w:r w:rsidRPr="00030958">
              <w:rPr>
                <w:sz w:val="18"/>
                <w:szCs w:val="20"/>
                <w:lang w:val="en-US"/>
              </w:rPr>
              <w:t>5.5</w:t>
            </w:r>
          </w:p>
        </w:tc>
        <w:tc>
          <w:tcPr>
            <w:tcW w:w="430" w:type="pct"/>
            <w:tcBorders>
              <w:top w:val="nil"/>
              <w:left w:val="nil"/>
              <w:bottom w:val="nil"/>
              <w:right w:val="double" w:sz="6" w:space="0" w:color="auto"/>
            </w:tcBorders>
            <w:shd w:val="clear" w:color="000000" w:fill="FFFFFF"/>
            <w:vAlign w:val="bottom"/>
            <w:hideMark/>
          </w:tcPr>
          <w:p w14:paraId="29E81C40" w14:textId="77777777" w:rsidR="009D6D4E" w:rsidRPr="00030958" w:rsidRDefault="009D6D4E" w:rsidP="00BF3B71">
            <w:pPr>
              <w:jc w:val="center"/>
              <w:rPr>
                <w:sz w:val="18"/>
                <w:szCs w:val="20"/>
                <w:lang w:val="en-US"/>
              </w:rPr>
            </w:pPr>
            <w:r w:rsidRPr="00030958">
              <w:rPr>
                <w:sz w:val="18"/>
                <w:szCs w:val="20"/>
                <w:lang w:val="en-US"/>
              </w:rPr>
              <w:t>5.4</w:t>
            </w:r>
          </w:p>
        </w:tc>
      </w:tr>
      <w:tr w:rsidR="009D6D4E" w:rsidRPr="00030958" w14:paraId="3EEC3898" w14:textId="77777777" w:rsidTr="00BF3B71">
        <w:trPr>
          <w:trHeight w:val="20"/>
        </w:trPr>
        <w:tc>
          <w:tcPr>
            <w:tcW w:w="5000" w:type="pct"/>
            <w:gridSpan w:val="8"/>
            <w:tcBorders>
              <w:top w:val="double" w:sz="6" w:space="0" w:color="auto"/>
              <w:left w:val="double" w:sz="6" w:space="0" w:color="auto"/>
              <w:bottom w:val="double" w:sz="6" w:space="0" w:color="auto"/>
              <w:right w:val="double" w:sz="6" w:space="0" w:color="000000"/>
            </w:tcBorders>
            <w:shd w:val="clear" w:color="000000" w:fill="FFFFFF"/>
            <w:vAlign w:val="bottom"/>
            <w:hideMark/>
          </w:tcPr>
          <w:p w14:paraId="6C100DBF" w14:textId="77777777" w:rsidR="009D6D4E" w:rsidRPr="00030958" w:rsidRDefault="009D6D4E" w:rsidP="00BF3B71">
            <w:pPr>
              <w:jc w:val="center"/>
              <w:rPr>
                <w:b/>
                <w:bCs/>
                <w:sz w:val="18"/>
                <w:szCs w:val="20"/>
                <w:lang w:val="en-US"/>
              </w:rPr>
            </w:pPr>
            <w:r w:rsidRPr="00030958">
              <w:rPr>
                <w:b/>
                <w:bCs/>
                <w:sz w:val="18"/>
                <w:szCs w:val="20"/>
                <w:lang w:val="en-US"/>
              </w:rPr>
              <w:t>Komponentët e BPV-së</w:t>
            </w:r>
          </w:p>
        </w:tc>
      </w:tr>
      <w:tr w:rsidR="009D6D4E" w:rsidRPr="00030958" w14:paraId="27CB0330" w14:textId="77777777" w:rsidTr="00BF3B71">
        <w:trPr>
          <w:trHeight w:val="20"/>
        </w:trPr>
        <w:tc>
          <w:tcPr>
            <w:tcW w:w="1582" w:type="pct"/>
            <w:tcBorders>
              <w:top w:val="nil"/>
              <w:left w:val="double" w:sz="6" w:space="0" w:color="auto"/>
              <w:bottom w:val="dotted" w:sz="4" w:space="0" w:color="auto"/>
              <w:right w:val="nil"/>
            </w:tcBorders>
            <w:shd w:val="clear" w:color="000000" w:fill="FFFFFF"/>
            <w:vAlign w:val="bottom"/>
            <w:hideMark/>
          </w:tcPr>
          <w:p w14:paraId="074401C1" w14:textId="77777777" w:rsidR="009D6D4E" w:rsidRPr="00030958" w:rsidRDefault="009D6D4E" w:rsidP="00BF3B71">
            <w:pPr>
              <w:rPr>
                <w:sz w:val="18"/>
                <w:szCs w:val="20"/>
                <w:lang w:val="en-US"/>
              </w:rPr>
            </w:pPr>
            <w:r w:rsidRPr="00030958">
              <w:rPr>
                <w:sz w:val="18"/>
                <w:szCs w:val="20"/>
                <w:lang w:val="en-US"/>
              </w:rPr>
              <w:t>3. Konsumi privat</w:t>
            </w:r>
          </w:p>
        </w:tc>
        <w:tc>
          <w:tcPr>
            <w:tcW w:w="598" w:type="pct"/>
            <w:tcBorders>
              <w:top w:val="nil"/>
              <w:left w:val="dotted" w:sz="4" w:space="0" w:color="auto"/>
              <w:bottom w:val="dotted" w:sz="4" w:space="0" w:color="auto"/>
              <w:right w:val="single" w:sz="8" w:space="0" w:color="auto"/>
            </w:tcBorders>
            <w:shd w:val="clear" w:color="000000" w:fill="FFFFFF"/>
            <w:vAlign w:val="bottom"/>
            <w:hideMark/>
          </w:tcPr>
          <w:p w14:paraId="5703F71E" w14:textId="77777777" w:rsidR="009D6D4E" w:rsidRPr="00030958" w:rsidRDefault="009D6D4E" w:rsidP="00BF3B71">
            <w:pPr>
              <w:jc w:val="center"/>
              <w:rPr>
                <w:sz w:val="18"/>
                <w:szCs w:val="20"/>
                <w:lang w:val="en-US"/>
              </w:rPr>
            </w:pPr>
            <w:r w:rsidRPr="00030958">
              <w:rPr>
                <w:sz w:val="18"/>
                <w:szCs w:val="20"/>
                <w:lang w:val="en-US"/>
              </w:rPr>
              <w:t>P3</w:t>
            </w:r>
          </w:p>
        </w:tc>
        <w:tc>
          <w:tcPr>
            <w:tcW w:w="566" w:type="pct"/>
            <w:tcBorders>
              <w:top w:val="nil"/>
              <w:left w:val="nil"/>
              <w:bottom w:val="dotted" w:sz="4" w:space="0" w:color="auto"/>
              <w:right w:val="single" w:sz="8" w:space="0" w:color="auto"/>
            </w:tcBorders>
            <w:shd w:val="clear" w:color="000000" w:fill="FFFFFF"/>
            <w:vAlign w:val="bottom"/>
            <w:hideMark/>
          </w:tcPr>
          <w:p w14:paraId="4E2C27F8" w14:textId="77777777" w:rsidR="009D6D4E" w:rsidRPr="00030958" w:rsidRDefault="009D6D4E" w:rsidP="00BF3B71">
            <w:pPr>
              <w:jc w:val="center"/>
              <w:rPr>
                <w:sz w:val="18"/>
                <w:szCs w:val="20"/>
                <w:lang w:val="en-US"/>
              </w:rPr>
            </w:pPr>
            <w:r>
              <w:rPr>
                <w:sz w:val="18"/>
                <w:szCs w:val="20"/>
                <w:lang w:val="en-US"/>
              </w:rPr>
              <w:t>5,650.6</w:t>
            </w:r>
          </w:p>
        </w:tc>
        <w:tc>
          <w:tcPr>
            <w:tcW w:w="456" w:type="pct"/>
            <w:tcBorders>
              <w:top w:val="nil"/>
              <w:left w:val="nil"/>
              <w:bottom w:val="dotted" w:sz="4" w:space="0" w:color="auto"/>
              <w:right w:val="dotted" w:sz="4" w:space="0" w:color="auto"/>
            </w:tcBorders>
            <w:shd w:val="clear" w:color="000000" w:fill="FFFFFF"/>
            <w:vAlign w:val="bottom"/>
            <w:hideMark/>
          </w:tcPr>
          <w:p w14:paraId="0F06286B" w14:textId="77777777" w:rsidR="009D6D4E" w:rsidRPr="00030958" w:rsidRDefault="009D6D4E" w:rsidP="00BF3B71">
            <w:pPr>
              <w:jc w:val="center"/>
              <w:rPr>
                <w:sz w:val="18"/>
                <w:szCs w:val="20"/>
                <w:lang w:val="en-US"/>
              </w:rPr>
            </w:pPr>
            <w:r w:rsidRPr="00030958">
              <w:rPr>
                <w:sz w:val="18"/>
                <w:szCs w:val="20"/>
                <w:lang w:val="en-US"/>
              </w:rPr>
              <w:t>4.8</w:t>
            </w:r>
          </w:p>
        </w:tc>
        <w:tc>
          <w:tcPr>
            <w:tcW w:w="456" w:type="pct"/>
            <w:tcBorders>
              <w:top w:val="nil"/>
              <w:left w:val="nil"/>
              <w:bottom w:val="dotted" w:sz="4" w:space="0" w:color="auto"/>
              <w:right w:val="dotted" w:sz="4" w:space="0" w:color="auto"/>
            </w:tcBorders>
            <w:shd w:val="clear" w:color="000000" w:fill="FFFFFF"/>
            <w:vAlign w:val="bottom"/>
            <w:hideMark/>
          </w:tcPr>
          <w:p w14:paraId="7A4943BF" w14:textId="77777777" w:rsidR="009D6D4E" w:rsidRPr="00030958" w:rsidRDefault="009D6D4E" w:rsidP="00BF3B71">
            <w:pPr>
              <w:jc w:val="center"/>
              <w:rPr>
                <w:sz w:val="18"/>
                <w:szCs w:val="20"/>
                <w:lang w:val="en-US"/>
              </w:rPr>
            </w:pPr>
            <w:r w:rsidRPr="00030958">
              <w:rPr>
                <w:sz w:val="18"/>
                <w:szCs w:val="20"/>
                <w:lang w:val="en-US"/>
              </w:rPr>
              <w:t>2.3</w:t>
            </w:r>
          </w:p>
        </w:tc>
        <w:tc>
          <w:tcPr>
            <w:tcW w:w="456" w:type="pct"/>
            <w:tcBorders>
              <w:top w:val="nil"/>
              <w:left w:val="nil"/>
              <w:bottom w:val="dotted" w:sz="4" w:space="0" w:color="auto"/>
              <w:right w:val="dotted" w:sz="4" w:space="0" w:color="auto"/>
            </w:tcBorders>
            <w:shd w:val="clear" w:color="000000" w:fill="FFFFFF"/>
            <w:vAlign w:val="bottom"/>
            <w:hideMark/>
          </w:tcPr>
          <w:p w14:paraId="67B8DD09" w14:textId="77777777" w:rsidR="009D6D4E" w:rsidRPr="00030958" w:rsidRDefault="009D6D4E" w:rsidP="00BF3B71">
            <w:pPr>
              <w:jc w:val="center"/>
              <w:rPr>
                <w:sz w:val="18"/>
                <w:szCs w:val="20"/>
                <w:lang w:val="en-US"/>
              </w:rPr>
            </w:pPr>
            <w:r w:rsidRPr="00030958">
              <w:rPr>
                <w:sz w:val="18"/>
                <w:szCs w:val="20"/>
                <w:lang w:val="en-US"/>
              </w:rPr>
              <w:t>3.4</w:t>
            </w:r>
          </w:p>
        </w:tc>
        <w:tc>
          <w:tcPr>
            <w:tcW w:w="456" w:type="pct"/>
            <w:tcBorders>
              <w:top w:val="nil"/>
              <w:left w:val="nil"/>
              <w:bottom w:val="dotted" w:sz="4" w:space="0" w:color="auto"/>
              <w:right w:val="dotted" w:sz="4" w:space="0" w:color="auto"/>
            </w:tcBorders>
            <w:shd w:val="clear" w:color="000000" w:fill="FFFFFF"/>
            <w:vAlign w:val="bottom"/>
            <w:hideMark/>
          </w:tcPr>
          <w:p w14:paraId="3A049CC7" w14:textId="77777777" w:rsidR="009D6D4E" w:rsidRPr="00030958" w:rsidRDefault="009D6D4E" w:rsidP="00BF3B71">
            <w:pPr>
              <w:jc w:val="center"/>
              <w:rPr>
                <w:sz w:val="18"/>
                <w:szCs w:val="20"/>
                <w:lang w:val="en-US"/>
              </w:rPr>
            </w:pPr>
            <w:r w:rsidRPr="00030958">
              <w:rPr>
                <w:sz w:val="18"/>
                <w:szCs w:val="20"/>
                <w:lang w:val="en-US"/>
              </w:rPr>
              <w:t>4.1</w:t>
            </w:r>
          </w:p>
        </w:tc>
        <w:tc>
          <w:tcPr>
            <w:tcW w:w="430" w:type="pct"/>
            <w:tcBorders>
              <w:top w:val="nil"/>
              <w:left w:val="nil"/>
              <w:bottom w:val="dotted" w:sz="4" w:space="0" w:color="auto"/>
              <w:right w:val="double" w:sz="6" w:space="0" w:color="auto"/>
            </w:tcBorders>
            <w:shd w:val="clear" w:color="000000" w:fill="FFFFFF"/>
            <w:vAlign w:val="bottom"/>
            <w:hideMark/>
          </w:tcPr>
          <w:p w14:paraId="5DFF5775" w14:textId="77777777" w:rsidR="009D6D4E" w:rsidRPr="00030958" w:rsidRDefault="009D6D4E" w:rsidP="00BF3B71">
            <w:pPr>
              <w:jc w:val="center"/>
              <w:rPr>
                <w:sz w:val="18"/>
                <w:szCs w:val="20"/>
                <w:lang w:val="en-US"/>
              </w:rPr>
            </w:pPr>
            <w:r w:rsidRPr="00030958">
              <w:rPr>
                <w:sz w:val="18"/>
                <w:szCs w:val="20"/>
                <w:lang w:val="en-US"/>
              </w:rPr>
              <w:t>4.6</w:t>
            </w:r>
          </w:p>
        </w:tc>
      </w:tr>
      <w:tr w:rsidR="009D6D4E" w:rsidRPr="00030958" w14:paraId="0C6895BB" w14:textId="77777777" w:rsidTr="00BF3B71">
        <w:trPr>
          <w:trHeight w:val="20"/>
        </w:trPr>
        <w:tc>
          <w:tcPr>
            <w:tcW w:w="1582" w:type="pct"/>
            <w:tcBorders>
              <w:top w:val="nil"/>
              <w:left w:val="double" w:sz="6" w:space="0" w:color="auto"/>
              <w:bottom w:val="dotted" w:sz="4" w:space="0" w:color="auto"/>
              <w:right w:val="nil"/>
            </w:tcBorders>
            <w:shd w:val="clear" w:color="000000" w:fill="FFFFFF"/>
            <w:vAlign w:val="bottom"/>
            <w:hideMark/>
          </w:tcPr>
          <w:p w14:paraId="3246208E" w14:textId="77777777" w:rsidR="009D6D4E" w:rsidRPr="00030958" w:rsidRDefault="009D6D4E" w:rsidP="00BF3B71">
            <w:pPr>
              <w:rPr>
                <w:sz w:val="18"/>
                <w:szCs w:val="20"/>
                <w:lang w:val="en-US"/>
              </w:rPr>
            </w:pPr>
            <w:r w:rsidRPr="00030958">
              <w:rPr>
                <w:sz w:val="18"/>
                <w:szCs w:val="20"/>
                <w:lang w:val="en-US"/>
              </w:rPr>
              <w:t>4. Konsumi publik</w:t>
            </w:r>
          </w:p>
        </w:tc>
        <w:tc>
          <w:tcPr>
            <w:tcW w:w="598" w:type="pct"/>
            <w:tcBorders>
              <w:top w:val="nil"/>
              <w:left w:val="dotted" w:sz="4" w:space="0" w:color="auto"/>
              <w:bottom w:val="dotted" w:sz="4" w:space="0" w:color="auto"/>
              <w:right w:val="single" w:sz="8" w:space="0" w:color="auto"/>
            </w:tcBorders>
            <w:shd w:val="clear" w:color="000000" w:fill="FFFFFF"/>
            <w:vAlign w:val="bottom"/>
            <w:hideMark/>
          </w:tcPr>
          <w:p w14:paraId="475BB270" w14:textId="77777777" w:rsidR="009D6D4E" w:rsidRPr="00030958" w:rsidRDefault="009D6D4E" w:rsidP="00BF3B71">
            <w:pPr>
              <w:jc w:val="center"/>
              <w:rPr>
                <w:sz w:val="18"/>
                <w:szCs w:val="20"/>
                <w:lang w:val="en-US"/>
              </w:rPr>
            </w:pPr>
            <w:r w:rsidRPr="00030958">
              <w:rPr>
                <w:sz w:val="18"/>
                <w:szCs w:val="20"/>
                <w:lang w:val="en-US"/>
              </w:rPr>
              <w:t>P3</w:t>
            </w:r>
          </w:p>
        </w:tc>
        <w:tc>
          <w:tcPr>
            <w:tcW w:w="566" w:type="pct"/>
            <w:tcBorders>
              <w:top w:val="nil"/>
              <w:left w:val="nil"/>
              <w:bottom w:val="dotted" w:sz="4" w:space="0" w:color="auto"/>
              <w:right w:val="single" w:sz="8" w:space="0" w:color="auto"/>
            </w:tcBorders>
            <w:shd w:val="clear" w:color="000000" w:fill="FFFFFF"/>
            <w:vAlign w:val="bottom"/>
            <w:hideMark/>
          </w:tcPr>
          <w:p w14:paraId="23D95E23" w14:textId="77777777" w:rsidR="009D6D4E" w:rsidRPr="00030958" w:rsidRDefault="009D6D4E" w:rsidP="00BF3B71">
            <w:pPr>
              <w:jc w:val="center"/>
              <w:rPr>
                <w:sz w:val="18"/>
                <w:szCs w:val="20"/>
                <w:lang w:val="en-US"/>
              </w:rPr>
            </w:pPr>
            <w:r>
              <w:rPr>
                <w:sz w:val="18"/>
                <w:szCs w:val="20"/>
                <w:lang w:val="en-US"/>
              </w:rPr>
              <w:t>939.6</w:t>
            </w:r>
          </w:p>
        </w:tc>
        <w:tc>
          <w:tcPr>
            <w:tcW w:w="456" w:type="pct"/>
            <w:tcBorders>
              <w:top w:val="nil"/>
              <w:left w:val="nil"/>
              <w:bottom w:val="dotted" w:sz="4" w:space="0" w:color="auto"/>
              <w:right w:val="dotted" w:sz="4" w:space="0" w:color="auto"/>
            </w:tcBorders>
            <w:shd w:val="clear" w:color="000000" w:fill="FFFFFF"/>
            <w:vAlign w:val="bottom"/>
            <w:hideMark/>
          </w:tcPr>
          <w:p w14:paraId="64FD2A52" w14:textId="77777777" w:rsidR="009D6D4E" w:rsidRPr="00030958" w:rsidRDefault="009D6D4E" w:rsidP="00BF3B71">
            <w:pPr>
              <w:jc w:val="center"/>
              <w:rPr>
                <w:sz w:val="18"/>
                <w:szCs w:val="20"/>
                <w:lang w:val="en-US"/>
              </w:rPr>
            </w:pPr>
            <w:r w:rsidRPr="00030958">
              <w:rPr>
                <w:sz w:val="18"/>
                <w:szCs w:val="20"/>
                <w:lang w:val="en-US"/>
              </w:rPr>
              <w:t>8.9</w:t>
            </w:r>
          </w:p>
        </w:tc>
        <w:tc>
          <w:tcPr>
            <w:tcW w:w="456" w:type="pct"/>
            <w:tcBorders>
              <w:top w:val="nil"/>
              <w:left w:val="nil"/>
              <w:bottom w:val="dotted" w:sz="4" w:space="0" w:color="auto"/>
              <w:right w:val="dotted" w:sz="4" w:space="0" w:color="auto"/>
            </w:tcBorders>
            <w:shd w:val="clear" w:color="000000" w:fill="FFFFFF"/>
            <w:vAlign w:val="bottom"/>
            <w:hideMark/>
          </w:tcPr>
          <w:p w14:paraId="5F4D822D" w14:textId="77777777" w:rsidR="009D6D4E" w:rsidRPr="00030958" w:rsidRDefault="009D6D4E" w:rsidP="00BF3B71">
            <w:pPr>
              <w:jc w:val="center"/>
              <w:rPr>
                <w:sz w:val="18"/>
                <w:szCs w:val="20"/>
                <w:lang w:val="en-US"/>
              </w:rPr>
            </w:pPr>
            <w:r w:rsidRPr="00030958">
              <w:rPr>
                <w:sz w:val="18"/>
                <w:szCs w:val="20"/>
                <w:lang w:val="en-US"/>
              </w:rPr>
              <w:t>1.3</w:t>
            </w:r>
          </w:p>
        </w:tc>
        <w:tc>
          <w:tcPr>
            <w:tcW w:w="456" w:type="pct"/>
            <w:tcBorders>
              <w:top w:val="nil"/>
              <w:left w:val="nil"/>
              <w:bottom w:val="dotted" w:sz="4" w:space="0" w:color="auto"/>
              <w:right w:val="dotted" w:sz="4" w:space="0" w:color="auto"/>
            </w:tcBorders>
            <w:shd w:val="clear" w:color="000000" w:fill="FFFFFF"/>
            <w:vAlign w:val="bottom"/>
            <w:hideMark/>
          </w:tcPr>
          <w:p w14:paraId="3B87D1E3" w14:textId="77777777" w:rsidR="009D6D4E" w:rsidRPr="00030958" w:rsidRDefault="009D6D4E" w:rsidP="00BF3B71">
            <w:pPr>
              <w:jc w:val="center"/>
              <w:rPr>
                <w:sz w:val="18"/>
                <w:szCs w:val="20"/>
                <w:lang w:val="en-US"/>
              </w:rPr>
            </w:pPr>
            <w:r w:rsidRPr="00030958">
              <w:rPr>
                <w:sz w:val="18"/>
                <w:szCs w:val="20"/>
                <w:lang w:val="en-US"/>
              </w:rPr>
              <w:t>10.5</w:t>
            </w:r>
          </w:p>
        </w:tc>
        <w:tc>
          <w:tcPr>
            <w:tcW w:w="456" w:type="pct"/>
            <w:tcBorders>
              <w:top w:val="nil"/>
              <w:left w:val="nil"/>
              <w:bottom w:val="dotted" w:sz="4" w:space="0" w:color="auto"/>
              <w:right w:val="dotted" w:sz="4" w:space="0" w:color="auto"/>
            </w:tcBorders>
            <w:shd w:val="clear" w:color="000000" w:fill="FFFFFF"/>
            <w:vAlign w:val="bottom"/>
            <w:hideMark/>
          </w:tcPr>
          <w:p w14:paraId="648BCDA0" w14:textId="77777777" w:rsidR="009D6D4E" w:rsidRPr="00030958" w:rsidRDefault="009D6D4E" w:rsidP="00BF3B71">
            <w:pPr>
              <w:jc w:val="center"/>
              <w:rPr>
                <w:sz w:val="18"/>
                <w:szCs w:val="20"/>
                <w:lang w:val="en-US"/>
              </w:rPr>
            </w:pPr>
            <w:r w:rsidRPr="00030958">
              <w:rPr>
                <w:sz w:val="18"/>
                <w:szCs w:val="20"/>
                <w:lang w:val="en-US"/>
              </w:rPr>
              <w:t>0.3</w:t>
            </w:r>
          </w:p>
        </w:tc>
        <w:tc>
          <w:tcPr>
            <w:tcW w:w="430" w:type="pct"/>
            <w:tcBorders>
              <w:top w:val="nil"/>
              <w:left w:val="nil"/>
              <w:bottom w:val="dotted" w:sz="4" w:space="0" w:color="auto"/>
              <w:right w:val="double" w:sz="6" w:space="0" w:color="auto"/>
            </w:tcBorders>
            <w:shd w:val="clear" w:color="000000" w:fill="FFFFFF"/>
            <w:vAlign w:val="bottom"/>
            <w:hideMark/>
          </w:tcPr>
          <w:p w14:paraId="625C5CFF" w14:textId="77777777" w:rsidR="009D6D4E" w:rsidRPr="00030958" w:rsidRDefault="009D6D4E" w:rsidP="00BF3B71">
            <w:pPr>
              <w:jc w:val="center"/>
              <w:rPr>
                <w:sz w:val="18"/>
                <w:szCs w:val="20"/>
                <w:lang w:val="en-US"/>
              </w:rPr>
            </w:pPr>
            <w:r w:rsidRPr="00030958">
              <w:rPr>
                <w:sz w:val="18"/>
                <w:szCs w:val="20"/>
                <w:lang w:val="en-US"/>
              </w:rPr>
              <w:t>-2.0</w:t>
            </w:r>
          </w:p>
        </w:tc>
      </w:tr>
      <w:tr w:rsidR="009D6D4E" w:rsidRPr="00030958" w14:paraId="36AE8C3E" w14:textId="77777777" w:rsidTr="00BF3B71">
        <w:trPr>
          <w:trHeight w:val="20"/>
        </w:trPr>
        <w:tc>
          <w:tcPr>
            <w:tcW w:w="1582" w:type="pct"/>
            <w:tcBorders>
              <w:top w:val="nil"/>
              <w:left w:val="double" w:sz="6" w:space="0" w:color="auto"/>
              <w:bottom w:val="dotted" w:sz="4" w:space="0" w:color="auto"/>
              <w:right w:val="nil"/>
            </w:tcBorders>
            <w:shd w:val="clear" w:color="000000" w:fill="FFFFFF"/>
            <w:vAlign w:val="bottom"/>
            <w:hideMark/>
          </w:tcPr>
          <w:p w14:paraId="2344DA69" w14:textId="77777777" w:rsidR="009D6D4E" w:rsidRPr="00030958" w:rsidRDefault="009D6D4E" w:rsidP="00BF3B71">
            <w:pPr>
              <w:rPr>
                <w:sz w:val="18"/>
                <w:szCs w:val="20"/>
                <w:lang w:val="en-US"/>
              </w:rPr>
            </w:pPr>
            <w:r w:rsidRPr="00030958">
              <w:rPr>
                <w:sz w:val="18"/>
                <w:szCs w:val="20"/>
                <w:lang w:val="en-US"/>
              </w:rPr>
              <w:t>5. Formimi I kapitalit bruto</w:t>
            </w:r>
          </w:p>
        </w:tc>
        <w:tc>
          <w:tcPr>
            <w:tcW w:w="598" w:type="pct"/>
            <w:tcBorders>
              <w:top w:val="nil"/>
              <w:left w:val="dotted" w:sz="4" w:space="0" w:color="auto"/>
              <w:bottom w:val="dotted" w:sz="4" w:space="0" w:color="auto"/>
              <w:right w:val="single" w:sz="8" w:space="0" w:color="auto"/>
            </w:tcBorders>
            <w:shd w:val="clear" w:color="000000" w:fill="FFFFFF"/>
            <w:vAlign w:val="bottom"/>
            <w:hideMark/>
          </w:tcPr>
          <w:p w14:paraId="237BBFD2" w14:textId="77777777" w:rsidR="009D6D4E" w:rsidRPr="00030958" w:rsidRDefault="009D6D4E" w:rsidP="00BF3B71">
            <w:pPr>
              <w:jc w:val="center"/>
              <w:rPr>
                <w:sz w:val="18"/>
                <w:szCs w:val="20"/>
                <w:lang w:val="en-US"/>
              </w:rPr>
            </w:pPr>
            <w:r w:rsidRPr="00030958">
              <w:rPr>
                <w:sz w:val="18"/>
                <w:szCs w:val="20"/>
                <w:lang w:val="en-US"/>
              </w:rPr>
              <w:t>P51</w:t>
            </w:r>
          </w:p>
        </w:tc>
        <w:tc>
          <w:tcPr>
            <w:tcW w:w="566" w:type="pct"/>
            <w:tcBorders>
              <w:top w:val="nil"/>
              <w:left w:val="nil"/>
              <w:bottom w:val="dotted" w:sz="4" w:space="0" w:color="auto"/>
              <w:right w:val="single" w:sz="8" w:space="0" w:color="auto"/>
            </w:tcBorders>
            <w:shd w:val="clear" w:color="000000" w:fill="FFFFFF"/>
            <w:vAlign w:val="bottom"/>
            <w:hideMark/>
          </w:tcPr>
          <w:p w14:paraId="5D7A8E50" w14:textId="77777777" w:rsidR="009D6D4E" w:rsidRPr="00030958" w:rsidRDefault="009D6D4E" w:rsidP="00BF3B71">
            <w:pPr>
              <w:jc w:val="center"/>
              <w:rPr>
                <w:sz w:val="18"/>
                <w:szCs w:val="20"/>
                <w:lang w:val="en-US"/>
              </w:rPr>
            </w:pPr>
            <w:r w:rsidRPr="00030958">
              <w:rPr>
                <w:sz w:val="18"/>
                <w:szCs w:val="20"/>
                <w:lang w:val="en-US"/>
              </w:rPr>
              <w:t>1,834.3</w:t>
            </w:r>
          </w:p>
        </w:tc>
        <w:tc>
          <w:tcPr>
            <w:tcW w:w="456" w:type="pct"/>
            <w:tcBorders>
              <w:top w:val="nil"/>
              <w:left w:val="nil"/>
              <w:bottom w:val="dotted" w:sz="4" w:space="0" w:color="auto"/>
              <w:right w:val="dotted" w:sz="4" w:space="0" w:color="auto"/>
            </w:tcBorders>
            <w:shd w:val="clear" w:color="000000" w:fill="FFFFFF"/>
            <w:vAlign w:val="bottom"/>
            <w:hideMark/>
          </w:tcPr>
          <w:p w14:paraId="41B287A7" w14:textId="77777777" w:rsidR="009D6D4E" w:rsidRPr="00030958" w:rsidRDefault="009D6D4E" w:rsidP="00BF3B71">
            <w:pPr>
              <w:jc w:val="center"/>
              <w:rPr>
                <w:sz w:val="18"/>
                <w:szCs w:val="20"/>
                <w:lang w:val="en-US"/>
              </w:rPr>
            </w:pPr>
            <w:r w:rsidRPr="00030958">
              <w:rPr>
                <w:sz w:val="18"/>
                <w:szCs w:val="20"/>
                <w:lang w:val="en-US"/>
              </w:rPr>
              <w:t>6.1</w:t>
            </w:r>
          </w:p>
        </w:tc>
        <w:tc>
          <w:tcPr>
            <w:tcW w:w="456" w:type="pct"/>
            <w:tcBorders>
              <w:top w:val="nil"/>
              <w:left w:val="nil"/>
              <w:bottom w:val="dotted" w:sz="4" w:space="0" w:color="auto"/>
              <w:right w:val="dotted" w:sz="4" w:space="0" w:color="auto"/>
            </w:tcBorders>
            <w:shd w:val="clear" w:color="000000" w:fill="FFFFFF"/>
            <w:vAlign w:val="bottom"/>
            <w:hideMark/>
          </w:tcPr>
          <w:p w14:paraId="790ADD6B" w14:textId="77777777" w:rsidR="009D6D4E" w:rsidRPr="00030958" w:rsidRDefault="009D6D4E" w:rsidP="00BF3B71">
            <w:pPr>
              <w:jc w:val="center"/>
              <w:rPr>
                <w:sz w:val="18"/>
                <w:szCs w:val="20"/>
                <w:lang w:val="en-US"/>
              </w:rPr>
            </w:pPr>
            <w:r w:rsidRPr="00030958">
              <w:rPr>
                <w:sz w:val="18"/>
                <w:szCs w:val="20"/>
                <w:lang w:val="en-US"/>
              </w:rPr>
              <w:t>1.2</w:t>
            </w:r>
          </w:p>
        </w:tc>
        <w:tc>
          <w:tcPr>
            <w:tcW w:w="456" w:type="pct"/>
            <w:tcBorders>
              <w:top w:val="nil"/>
              <w:left w:val="nil"/>
              <w:bottom w:val="dotted" w:sz="4" w:space="0" w:color="auto"/>
              <w:right w:val="dotted" w:sz="4" w:space="0" w:color="auto"/>
            </w:tcBorders>
            <w:shd w:val="clear" w:color="000000" w:fill="FFFFFF"/>
            <w:vAlign w:val="bottom"/>
            <w:hideMark/>
          </w:tcPr>
          <w:p w14:paraId="30DD4437" w14:textId="77777777" w:rsidR="009D6D4E" w:rsidRPr="00030958" w:rsidRDefault="009D6D4E" w:rsidP="00BF3B71">
            <w:pPr>
              <w:jc w:val="center"/>
              <w:rPr>
                <w:sz w:val="18"/>
                <w:szCs w:val="20"/>
                <w:lang w:val="en-US"/>
              </w:rPr>
            </w:pPr>
            <w:r w:rsidRPr="00030958">
              <w:rPr>
                <w:sz w:val="18"/>
                <w:szCs w:val="20"/>
                <w:lang w:val="en-US"/>
              </w:rPr>
              <w:t>4.6</w:t>
            </w:r>
          </w:p>
        </w:tc>
        <w:tc>
          <w:tcPr>
            <w:tcW w:w="456" w:type="pct"/>
            <w:tcBorders>
              <w:top w:val="nil"/>
              <w:left w:val="nil"/>
              <w:bottom w:val="dotted" w:sz="4" w:space="0" w:color="auto"/>
              <w:right w:val="dotted" w:sz="4" w:space="0" w:color="auto"/>
            </w:tcBorders>
            <w:shd w:val="clear" w:color="000000" w:fill="FFFFFF"/>
            <w:vAlign w:val="bottom"/>
            <w:hideMark/>
          </w:tcPr>
          <w:p w14:paraId="338EACA7" w14:textId="77777777" w:rsidR="009D6D4E" w:rsidRPr="00030958" w:rsidRDefault="009D6D4E" w:rsidP="00BF3B71">
            <w:pPr>
              <w:jc w:val="center"/>
              <w:rPr>
                <w:sz w:val="18"/>
                <w:szCs w:val="20"/>
                <w:lang w:val="en-US"/>
              </w:rPr>
            </w:pPr>
            <w:r w:rsidRPr="00030958">
              <w:rPr>
                <w:sz w:val="18"/>
                <w:szCs w:val="20"/>
                <w:lang w:val="en-US"/>
              </w:rPr>
              <w:t>2.4</w:t>
            </w:r>
          </w:p>
        </w:tc>
        <w:tc>
          <w:tcPr>
            <w:tcW w:w="430" w:type="pct"/>
            <w:tcBorders>
              <w:top w:val="nil"/>
              <w:left w:val="nil"/>
              <w:bottom w:val="dotted" w:sz="4" w:space="0" w:color="auto"/>
              <w:right w:val="double" w:sz="6" w:space="0" w:color="auto"/>
            </w:tcBorders>
            <w:shd w:val="clear" w:color="000000" w:fill="FFFFFF"/>
            <w:vAlign w:val="bottom"/>
            <w:hideMark/>
          </w:tcPr>
          <w:p w14:paraId="03823EC4" w14:textId="77777777" w:rsidR="009D6D4E" w:rsidRPr="00030958" w:rsidRDefault="009D6D4E" w:rsidP="00BF3B71">
            <w:pPr>
              <w:jc w:val="center"/>
              <w:rPr>
                <w:sz w:val="18"/>
                <w:szCs w:val="20"/>
                <w:lang w:val="en-US"/>
              </w:rPr>
            </w:pPr>
            <w:r w:rsidRPr="00030958">
              <w:rPr>
                <w:sz w:val="18"/>
                <w:szCs w:val="20"/>
                <w:lang w:val="en-US"/>
              </w:rPr>
              <w:t>2.0</w:t>
            </w:r>
          </w:p>
        </w:tc>
      </w:tr>
      <w:tr w:rsidR="009D6D4E" w:rsidRPr="00030958" w14:paraId="32DEC0F0" w14:textId="77777777" w:rsidTr="00BF3B71">
        <w:trPr>
          <w:trHeight w:val="20"/>
        </w:trPr>
        <w:tc>
          <w:tcPr>
            <w:tcW w:w="1582" w:type="pct"/>
            <w:tcBorders>
              <w:top w:val="nil"/>
              <w:left w:val="double" w:sz="6" w:space="0" w:color="auto"/>
              <w:bottom w:val="dotted" w:sz="4" w:space="0" w:color="auto"/>
              <w:right w:val="nil"/>
            </w:tcBorders>
            <w:shd w:val="clear" w:color="000000" w:fill="FFFFFF"/>
            <w:vAlign w:val="bottom"/>
            <w:hideMark/>
          </w:tcPr>
          <w:p w14:paraId="6146F259" w14:textId="77777777" w:rsidR="009D6D4E" w:rsidRPr="00030958" w:rsidRDefault="009D6D4E" w:rsidP="00BF3B71">
            <w:pPr>
              <w:rPr>
                <w:sz w:val="18"/>
                <w:szCs w:val="20"/>
                <w:lang w:val="en-US"/>
              </w:rPr>
            </w:pPr>
            <w:r w:rsidRPr="00030958">
              <w:rPr>
                <w:sz w:val="18"/>
                <w:szCs w:val="20"/>
                <w:lang w:val="en-US"/>
              </w:rPr>
              <w:t xml:space="preserve">6. Ndryshimi në inventar dhe fitimi neto (% e BPV-së) </w:t>
            </w:r>
          </w:p>
        </w:tc>
        <w:tc>
          <w:tcPr>
            <w:tcW w:w="598" w:type="pct"/>
            <w:tcBorders>
              <w:top w:val="nil"/>
              <w:left w:val="dotted" w:sz="4" w:space="0" w:color="auto"/>
              <w:bottom w:val="dotted" w:sz="4" w:space="0" w:color="auto"/>
              <w:right w:val="single" w:sz="8" w:space="0" w:color="auto"/>
            </w:tcBorders>
            <w:shd w:val="clear" w:color="000000" w:fill="FFFFFF"/>
            <w:vAlign w:val="bottom"/>
            <w:hideMark/>
          </w:tcPr>
          <w:p w14:paraId="79CC39A3" w14:textId="77777777" w:rsidR="009D6D4E" w:rsidRPr="00030958" w:rsidRDefault="009D6D4E" w:rsidP="00BF3B71">
            <w:pPr>
              <w:jc w:val="center"/>
              <w:rPr>
                <w:sz w:val="18"/>
                <w:szCs w:val="20"/>
                <w:lang w:val="en-US"/>
              </w:rPr>
            </w:pPr>
            <w:r w:rsidRPr="00030958">
              <w:rPr>
                <w:sz w:val="18"/>
                <w:szCs w:val="20"/>
                <w:lang w:val="en-US"/>
              </w:rPr>
              <w:t>P52+P53</w:t>
            </w:r>
          </w:p>
        </w:tc>
        <w:tc>
          <w:tcPr>
            <w:tcW w:w="566" w:type="pct"/>
            <w:tcBorders>
              <w:top w:val="nil"/>
              <w:left w:val="nil"/>
              <w:bottom w:val="dotted" w:sz="4" w:space="0" w:color="auto"/>
              <w:right w:val="single" w:sz="8" w:space="0" w:color="auto"/>
            </w:tcBorders>
            <w:shd w:val="clear" w:color="000000" w:fill="FFFFFF"/>
            <w:vAlign w:val="bottom"/>
            <w:hideMark/>
          </w:tcPr>
          <w:p w14:paraId="2ACC2557" w14:textId="77777777" w:rsidR="009D6D4E" w:rsidRPr="00030958" w:rsidRDefault="009D6D4E" w:rsidP="00BF3B71">
            <w:pPr>
              <w:jc w:val="center"/>
              <w:rPr>
                <w:sz w:val="18"/>
                <w:szCs w:val="20"/>
                <w:lang w:val="en-US"/>
              </w:rPr>
            </w:pPr>
            <w:r w:rsidRPr="00030958">
              <w:rPr>
                <w:sz w:val="18"/>
                <w:szCs w:val="20"/>
                <w:lang w:val="en-US"/>
              </w:rPr>
              <w:t>132.5</w:t>
            </w:r>
          </w:p>
        </w:tc>
        <w:tc>
          <w:tcPr>
            <w:tcW w:w="456" w:type="pct"/>
            <w:tcBorders>
              <w:top w:val="nil"/>
              <w:left w:val="nil"/>
              <w:bottom w:val="dotted" w:sz="4" w:space="0" w:color="auto"/>
              <w:right w:val="dotted" w:sz="4" w:space="0" w:color="auto"/>
            </w:tcBorders>
            <w:shd w:val="clear" w:color="auto" w:fill="auto"/>
            <w:vAlign w:val="bottom"/>
            <w:hideMark/>
          </w:tcPr>
          <w:p w14:paraId="74C14FA5" w14:textId="77777777" w:rsidR="009D6D4E" w:rsidRPr="00030958" w:rsidRDefault="009D6D4E" w:rsidP="00BF3B71">
            <w:pPr>
              <w:jc w:val="center"/>
              <w:rPr>
                <w:sz w:val="18"/>
                <w:szCs w:val="20"/>
                <w:lang w:val="en-US"/>
              </w:rPr>
            </w:pPr>
            <w:r w:rsidRPr="00030958">
              <w:rPr>
                <w:sz w:val="18"/>
                <w:szCs w:val="20"/>
                <w:lang w:val="en-US"/>
              </w:rPr>
              <w:t>45.4</w:t>
            </w:r>
          </w:p>
        </w:tc>
        <w:tc>
          <w:tcPr>
            <w:tcW w:w="456" w:type="pct"/>
            <w:tcBorders>
              <w:top w:val="nil"/>
              <w:left w:val="nil"/>
              <w:bottom w:val="dotted" w:sz="4" w:space="0" w:color="auto"/>
              <w:right w:val="dotted" w:sz="4" w:space="0" w:color="auto"/>
            </w:tcBorders>
            <w:shd w:val="clear" w:color="auto" w:fill="auto"/>
            <w:vAlign w:val="bottom"/>
            <w:hideMark/>
          </w:tcPr>
          <w:p w14:paraId="3719735D" w14:textId="77777777" w:rsidR="009D6D4E" w:rsidRPr="00030958" w:rsidRDefault="009D6D4E" w:rsidP="00BF3B71">
            <w:pPr>
              <w:jc w:val="center"/>
              <w:rPr>
                <w:sz w:val="18"/>
                <w:szCs w:val="20"/>
                <w:lang w:val="en-US"/>
              </w:rPr>
            </w:pPr>
            <w:r w:rsidRPr="00030958">
              <w:rPr>
                <w:sz w:val="18"/>
                <w:szCs w:val="20"/>
                <w:lang w:val="en-US"/>
              </w:rPr>
              <w:t>45.8</w:t>
            </w:r>
          </w:p>
        </w:tc>
        <w:tc>
          <w:tcPr>
            <w:tcW w:w="456" w:type="pct"/>
            <w:tcBorders>
              <w:top w:val="nil"/>
              <w:left w:val="nil"/>
              <w:bottom w:val="dotted" w:sz="4" w:space="0" w:color="auto"/>
              <w:right w:val="dotted" w:sz="4" w:space="0" w:color="auto"/>
            </w:tcBorders>
            <w:shd w:val="clear" w:color="auto" w:fill="auto"/>
            <w:vAlign w:val="bottom"/>
            <w:hideMark/>
          </w:tcPr>
          <w:p w14:paraId="666B8B87" w14:textId="77777777" w:rsidR="009D6D4E" w:rsidRPr="00030958" w:rsidRDefault="009D6D4E" w:rsidP="00BF3B71">
            <w:pPr>
              <w:jc w:val="center"/>
              <w:rPr>
                <w:sz w:val="18"/>
                <w:szCs w:val="20"/>
                <w:lang w:val="en-US"/>
              </w:rPr>
            </w:pPr>
            <w:r w:rsidRPr="00030958">
              <w:rPr>
                <w:sz w:val="18"/>
                <w:szCs w:val="20"/>
                <w:lang w:val="en-US"/>
              </w:rPr>
              <w:t>59.3</w:t>
            </w:r>
          </w:p>
        </w:tc>
        <w:tc>
          <w:tcPr>
            <w:tcW w:w="456" w:type="pct"/>
            <w:tcBorders>
              <w:top w:val="nil"/>
              <w:left w:val="nil"/>
              <w:bottom w:val="dotted" w:sz="4" w:space="0" w:color="auto"/>
              <w:right w:val="dotted" w:sz="4" w:space="0" w:color="auto"/>
            </w:tcBorders>
            <w:shd w:val="clear" w:color="auto" w:fill="auto"/>
            <w:vAlign w:val="bottom"/>
            <w:hideMark/>
          </w:tcPr>
          <w:p w14:paraId="46D4A497" w14:textId="77777777" w:rsidR="009D6D4E" w:rsidRPr="00030958" w:rsidRDefault="009D6D4E" w:rsidP="00BF3B71">
            <w:pPr>
              <w:jc w:val="center"/>
              <w:rPr>
                <w:sz w:val="18"/>
                <w:szCs w:val="20"/>
                <w:lang w:val="en-US"/>
              </w:rPr>
            </w:pPr>
            <w:r w:rsidRPr="00030958">
              <w:rPr>
                <w:sz w:val="18"/>
                <w:szCs w:val="20"/>
                <w:lang w:val="en-US"/>
              </w:rPr>
              <w:t>69.5</w:t>
            </w:r>
          </w:p>
        </w:tc>
        <w:tc>
          <w:tcPr>
            <w:tcW w:w="430" w:type="pct"/>
            <w:tcBorders>
              <w:top w:val="nil"/>
              <w:left w:val="nil"/>
              <w:bottom w:val="dotted" w:sz="4" w:space="0" w:color="auto"/>
              <w:right w:val="double" w:sz="6" w:space="0" w:color="auto"/>
            </w:tcBorders>
            <w:shd w:val="clear" w:color="auto" w:fill="auto"/>
            <w:vAlign w:val="bottom"/>
            <w:hideMark/>
          </w:tcPr>
          <w:p w14:paraId="66BB19EF" w14:textId="77777777" w:rsidR="009D6D4E" w:rsidRPr="00030958" w:rsidRDefault="009D6D4E" w:rsidP="00BF3B71">
            <w:pPr>
              <w:jc w:val="center"/>
              <w:rPr>
                <w:sz w:val="18"/>
                <w:szCs w:val="20"/>
                <w:lang w:val="en-US"/>
              </w:rPr>
            </w:pPr>
            <w:r w:rsidRPr="00030958">
              <w:rPr>
                <w:sz w:val="18"/>
                <w:szCs w:val="20"/>
                <w:lang w:val="en-US"/>
              </w:rPr>
              <w:t>79.2</w:t>
            </w:r>
          </w:p>
        </w:tc>
      </w:tr>
      <w:tr w:rsidR="009D6D4E" w:rsidRPr="00030958" w14:paraId="0161BEF9" w14:textId="77777777" w:rsidTr="00BF3B71">
        <w:trPr>
          <w:trHeight w:val="20"/>
        </w:trPr>
        <w:tc>
          <w:tcPr>
            <w:tcW w:w="1582" w:type="pct"/>
            <w:tcBorders>
              <w:top w:val="nil"/>
              <w:left w:val="double" w:sz="6" w:space="0" w:color="auto"/>
              <w:bottom w:val="dotted" w:sz="4" w:space="0" w:color="auto"/>
              <w:right w:val="nil"/>
            </w:tcBorders>
            <w:shd w:val="clear" w:color="000000" w:fill="FFFFFF"/>
            <w:vAlign w:val="bottom"/>
            <w:hideMark/>
          </w:tcPr>
          <w:p w14:paraId="269C8C3C" w14:textId="77777777" w:rsidR="009D6D4E" w:rsidRPr="00030958" w:rsidRDefault="009D6D4E" w:rsidP="00BF3B71">
            <w:pPr>
              <w:rPr>
                <w:sz w:val="18"/>
                <w:szCs w:val="20"/>
                <w:lang w:val="en-US"/>
              </w:rPr>
            </w:pPr>
            <w:r w:rsidRPr="00030958">
              <w:rPr>
                <w:sz w:val="18"/>
                <w:szCs w:val="20"/>
                <w:lang w:val="en-US"/>
              </w:rPr>
              <w:t>7. Eksporti i mallrave dhe sherbimeve</w:t>
            </w:r>
          </w:p>
        </w:tc>
        <w:tc>
          <w:tcPr>
            <w:tcW w:w="598" w:type="pct"/>
            <w:tcBorders>
              <w:top w:val="nil"/>
              <w:left w:val="dotted" w:sz="4" w:space="0" w:color="auto"/>
              <w:bottom w:val="dotted" w:sz="4" w:space="0" w:color="auto"/>
              <w:right w:val="single" w:sz="8" w:space="0" w:color="auto"/>
            </w:tcBorders>
            <w:shd w:val="clear" w:color="000000" w:fill="FFFFFF"/>
            <w:vAlign w:val="bottom"/>
            <w:hideMark/>
          </w:tcPr>
          <w:p w14:paraId="5EBC937D" w14:textId="77777777" w:rsidR="009D6D4E" w:rsidRPr="00030958" w:rsidRDefault="009D6D4E" w:rsidP="00BF3B71">
            <w:pPr>
              <w:jc w:val="center"/>
              <w:rPr>
                <w:sz w:val="18"/>
                <w:szCs w:val="20"/>
                <w:lang w:val="en-US"/>
              </w:rPr>
            </w:pPr>
            <w:r w:rsidRPr="00030958">
              <w:rPr>
                <w:sz w:val="18"/>
                <w:szCs w:val="20"/>
                <w:lang w:val="en-US"/>
              </w:rPr>
              <w:t>P6</w:t>
            </w:r>
          </w:p>
        </w:tc>
        <w:tc>
          <w:tcPr>
            <w:tcW w:w="566" w:type="pct"/>
            <w:tcBorders>
              <w:top w:val="nil"/>
              <w:left w:val="nil"/>
              <w:bottom w:val="dotted" w:sz="4" w:space="0" w:color="auto"/>
              <w:right w:val="single" w:sz="8" w:space="0" w:color="auto"/>
            </w:tcBorders>
            <w:shd w:val="clear" w:color="000000" w:fill="FFFFFF"/>
            <w:vAlign w:val="bottom"/>
            <w:hideMark/>
          </w:tcPr>
          <w:p w14:paraId="03731D5F" w14:textId="77777777" w:rsidR="009D6D4E" w:rsidRPr="00030958" w:rsidRDefault="009D6D4E" w:rsidP="00BF3B71">
            <w:pPr>
              <w:jc w:val="center"/>
              <w:rPr>
                <w:sz w:val="18"/>
                <w:szCs w:val="20"/>
                <w:lang w:val="en-US"/>
              </w:rPr>
            </w:pPr>
            <w:r w:rsidRPr="00030958">
              <w:rPr>
                <w:sz w:val="18"/>
                <w:szCs w:val="20"/>
                <w:lang w:val="en-US"/>
              </w:rPr>
              <w:t>1,774.6</w:t>
            </w:r>
          </w:p>
        </w:tc>
        <w:tc>
          <w:tcPr>
            <w:tcW w:w="456" w:type="pct"/>
            <w:tcBorders>
              <w:top w:val="nil"/>
              <w:left w:val="nil"/>
              <w:bottom w:val="dotted" w:sz="4" w:space="0" w:color="auto"/>
              <w:right w:val="dotted" w:sz="4" w:space="0" w:color="auto"/>
            </w:tcBorders>
            <w:shd w:val="clear" w:color="000000" w:fill="FFFFFF"/>
            <w:vAlign w:val="bottom"/>
            <w:hideMark/>
          </w:tcPr>
          <w:p w14:paraId="723A7BC2" w14:textId="77777777" w:rsidR="009D6D4E" w:rsidRPr="00030958" w:rsidRDefault="009D6D4E" w:rsidP="00BF3B71">
            <w:pPr>
              <w:jc w:val="center"/>
              <w:rPr>
                <w:sz w:val="18"/>
                <w:szCs w:val="20"/>
                <w:lang w:val="en-US"/>
              </w:rPr>
            </w:pPr>
            <w:r w:rsidRPr="00030958">
              <w:rPr>
                <w:sz w:val="18"/>
                <w:szCs w:val="20"/>
                <w:lang w:val="en-US"/>
              </w:rPr>
              <w:t>3.8</w:t>
            </w:r>
          </w:p>
        </w:tc>
        <w:tc>
          <w:tcPr>
            <w:tcW w:w="456" w:type="pct"/>
            <w:tcBorders>
              <w:top w:val="nil"/>
              <w:left w:val="nil"/>
              <w:bottom w:val="dotted" w:sz="4" w:space="0" w:color="auto"/>
              <w:right w:val="dotted" w:sz="4" w:space="0" w:color="auto"/>
            </w:tcBorders>
            <w:shd w:val="clear" w:color="000000" w:fill="FFFFFF"/>
            <w:vAlign w:val="bottom"/>
            <w:hideMark/>
          </w:tcPr>
          <w:p w14:paraId="48AAAECC" w14:textId="77777777" w:rsidR="009D6D4E" w:rsidRPr="00030958" w:rsidRDefault="009D6D4E" w:rsidP="00BF3B71">
            <w:pPr>
              <w:jc w:val="center"/>
              <w:rPr>
                <w:sz w:val="18"/>
                <w:szCs w:val="20"/>
                <w:lang w:val="en-US"/>
              </w:rPr>
            </w:pPr>
            <w:r w:rsidRPr="00030958">
              <w:rPr>
                <w:sz w:val="18"/>
                <w:szCs w:val="20"/>
                <w:lang w:val="en-US"/>
              </w:rPr>
              <w:t>10.0</w:t>
            </w:r>
          </w:p>
        </w:tc>
        <w:tc>
          <w:tcPr>
            <w:tcW w:w="456" w:type="pct"/>
            <w:tcBorders>
              <w:top w:val="nil"/>
              <w:left w:val="nil"/>
              <w:bottom w:val="dotted" w:sz="4" w:space="0" w:color="auto"/>
              <w:right w:val="dotted" w:sz="4" w:space="0" w:color="auto"/>
            </w:tcBorders>
            <w:shd w:val="clear" w:color="000000" w:fill="FFFFFF"/>
            <w:vAlign w:val="bottom"/>
            <w:hideMark/>
          </w:tcPr>
          <w:p w14:paraId="5700A28C" w14:textId="77777777" w:rsidR="009D6D4E" w:rsidRPr="00030958" w:rsidRDefault="009D6D4E" w:rsidP="00BF3B71">
            <w:pPr>
              <w:jc w:val="center"/>
              <w:rPr>
                <w:sz w:val="18"/>
                <w:szCs w:val="20"/>
                <w:lang w:val="en-US"/>
              </w:rPr>
            </w:pPr>
            <w:r w:rsidRPr="00030958">
              <w:rPr>
                <w:sz w:val="18"/>
                <w:szCs w:val="20"/>
                <w:lang w:val="en-US"/>
              </w:rPr>
              <w:t>8.7</w:t>
            </w:r>
          </w:p>
        </w:tc>
        <w:tc>
          <w:tcPr>
            <w:tcW w:w="456" w:type="pct"/>
            <w:tcBorders>
              <w:top w:val="nil"/>
              <w:left w:val="nil"/>
              <w:bottom w:val="dotted" w:sz="4" w:space="0" w:color="auto"/>
              <w:right w:val="dotted" w:sz="4" w:space="0" w:color="auto"/>
            </w:tcBorders>
            <w:shd w:val="clear" w:color="000000" w:fill="FFFFFF"/>
            <w:vAlign w:val="bottom"/>
            <w:hideMark/>
          </w:tcPr>
          <w:p w14:paraId="4E68B7EA" w14:textId="77777777" w:rsidR="009D6D4E" w:rsidRPr="00030958" w:rsidRDefault="009D6D4E" w:rsidP="00BF3B71">
            <w:pPr>
              <w:jc w:val="center"/>
              <w:rPr>
                <w:sz w:val="18"/>
                <w:szCs w:val="20"/>
                <w:lang w:val="en-US"/>
              </w:rPr>
            </w:pPr>
            <w:r w:rsidRPr="00030958">
              <w:rPr>
                <w:sz w:val="18"/>
                <w:szCs w:val="20"/>
                <w:lang w:val="en-US"/>
              </w:rPr>
              <w:t>8.1</w:t>
            </w:r>
          </w:p>
        </w:tc>
        <w:tc>
          <w:tcPr>
            <w:tcW w:w="430" w:type="pct"/>
            <w:tcBorders>
              <w:top w:val="nil"/>
              <w:left w:val="nil"/>
              <w:bottom w:val="dotted" w:sz="4" w:space="0" w:color="auto"/>
              <w:right w:val="double" w:sz="6" w:space="0" w:color="auto"/>
            </w:tcBorders>
            <w:shd w:val="clear" w:color="000000" w:fill="FFFFFF"/>
            <w:vAlign w:val="bottom"/>
            <w:hideMark/>
          </w:tcPr>
          <w:p w14:paraId="22646ACB" w14:textId="77777777" w:rsidR="009D6D4E" w:rsidRPr="00030958" w:rsidRDefault="009D6D4E" w:rsidP="00BF3B71">
            <w:pPr>
              <w:jc w:val="center"/>
              <w:rPr>
                <w:sz w:val="18"/>
                <w:szCs w:val="20"/>
                <w:lang w:val="en-US"/>
              </w:rPr>
            </w:pPr>
            <w:r w:rsidRPr="00030958">
              <w:rPr>
                <w:sz w:val="18"/>
                <w:szCs w:val="20"/>
                <w:lang w:val="en-US"/>
              </w:rPr>
              <w:t>8.1</w:t>
            </w:r>
          </w:p>
        </w:tc>
      </w:tr>
      <w:tr w:rsidR="009D6D4E" w:rsidRPr="00030958" w14:paraId="6C03A7AF" w14:textId="77777777" w:rsidTr="00BF3B71">
        <w:trPr>
          <w:trHeight w:val="20"/>
        </w:trPr>
        <w:tc>
          <w:tcPr>
            <w:tcW w:w="1582" w:type="pct"/>
            <w:tcBorders>
              <w:top w:val="nil"/>
              <w:left w:val="double" w:sz="6" w:space="0" w:color="auto"/>
              <w:bottom w:val="nil"/>
              <w:right w:val="nil"/>
            </w:tcBorders>
            <w:shd w:val="clear" w:color="000000" w:fill="FFFFFF"/>
            <w:vAlign w:val="bottom"/>
            <w:hideMark/>
          </w:tcPr>
          <w:p w14:paraId="1DE8060A" w14:textId="77777777" w:rsidR="009D6D4E" w:rsidRPr="00030958" w:rsidRDefault="009D6D4E" w:rsidP="00BF3B71">
            <w:pPr>
              <w:rPr>
                <w:sz w:val="18"/>
                <w:szCs w:val="20"/>
                <w:lang w:val="en-US"/>
              </w:rPr>
            </w:pPr>
            <w:r w:rsidRPr="00030958">
              <w:rPr>
                <w:sz w:val="18"/>
                <w:szCs w:val="20"/>
                <w:lang w:val="en-US"/>
              </w:rPr>
              <w:t>8. Importi i mallrave dhe shërbimeve</w:t>
            </w:r>
          </w:p>
        </w:tc>
        <w:tc>
          <w:tcPr>
            <w:tcW w:w="598" w:type="pct"/>
            <w:tcBorders>
              <w:top w:val="nil"/>
              <w:left w:val="dotted" w:sz="4" w:space="0" w:color="auto"/>
              <w:bottom w:val="double" w:sz="6" w:space="0" w:color="auto"/>
              <w:right w:val="single" w:sz="8" w:space="0" w:color="auto"/>
            </w:tcBorders>
            <w:shd w:val="clear" w:color="000000" w:fill="FFFFFF"/>
            <w:vAlign w:val="bottom"/>
            <w:hideMark/>
          </w:tcPr>
          <w:p w14:paraId="693C6E38" w14:textId="77777777" w:rsidR="009D6D4E" w:rsidRPr="00030958" w:rsidRDefault="009D6D4E" w:rsidP="00BF3B71">
            <w:pPr>
              <w:jc w:val="center"/>
              <w:rPr>
                <w:sz w:val="18"/>
                <w:szCs w:val="20"/>
                <w:lang w:val="en-US"/>
              </w:rPr>
            </w:pPr>
            <w:r w:rsidRPr="00030958">
              <w:rPr>
                <w:sz w:val="18"/>
                <w:szCs w:val="20"/>
                <w:lang w:val="en-US"/>
              </w:rPr>
              <w:t>P7</w:t>
            </w:r>
          </w:p>
        </w:tc>
        <w:tc>
          <w:tcPr>
            <w:tcW w:w="566" w:type="pct"/>
            <w:tcBorders>
              <w:top w:val="nil"/>
              <w:left w:val="nil"/>
              <w:bottom w:val="nil"/>
              <w:right w:val="single" w:sz="8" w:space="0" w:color="auto"/>
            </w:tcBorders>
            <w:shd w:val="clear" w:color="000000" w:fill="FFFFFF"/>
            <w:vAlign w:val="bottom"/>
            <w:hideMark/>
          </w:tcPr>
          <w:p w14:paraId="4E5D55B6" w14:textId="77777777" w:rsidR="009D6D4E" w:rsidRPr="00030958" w:rsidRDefault="009D6D4E" w:rsidP="00BF3B71">
            <w:pPr>
              <w:jc w:val="center"/>
              <w:rPr>
                <w:sz w:val="18"/>
                <w:szCs w:val="20"/>
                <w:lang w:val="en-US"/>
              </w:rPr>
            </w:pPr>
            <w:r w:rsidRPr="00030958">
              <w:rPr>
                <w:sz w:val="18"/>
                <w:szCs w:val="20"/>
                <w:lang w:val="en-US"/>
              </w:rPr>
              <w:t>3,673.0</w:t>
            </w:r>
          </w:p>
        </w:tc>
        <w:tc>
          <w:tcPr>
            <w:tcW w:w="456" w:type="pct"/>
            <w:tcBorders>
              <w:top w:val="nil"/>
              <w:left w:val="nil"/>
              <w:bottom w:val="nil"/>
              <w:right w:val="dotted" w:sz="4" w:space="0" w:color="auto"/>
            </w:tcBorders>
            <w:shd w:val="clear" w:color="000000" w:fill="FFFFFF"/>
            <w:vAlign w:val="bottom"/>
            <w:hideMark/>
          </w:tcPr>
          <w:p w14:paraId="6DAE16E8" w14:textId="77777777" w:rsidR="009D6D4E" w:rsidRPr="00030958" w:rsidRDefault="009D6D4E" w:rsidP="00BF3B71">
            <w:pPr>
              <w:jc w:val="center"/>
              <w:rPr>
                <w:sz w:val="18"/>
                <w:szCs w:val="20"/>
                <w:lang w:val="en-US"/>
              </w:rPr>
            </w:pPr>
            <w:r w:rsidRPr="00030958">
              <w:rPr>
                <w:sz w:val="18"/>
                <w:szCs w:val="20"/>
                <w:lang w:val="en-US"/>
              </w:rPr>
              <w:t>9.0</w:t>
            </w:r>
          </w:p>
        </w:tc>
        <w:tc>
          <w:tcPr>
            <w:tcW w:w="456" w:type="pct"/>
            <w:tcBorders>
              <w:top w:val="nil"/>
              <w:left w:val="nil"/>
              <w:bottom w:val="nil"/>
              <w:right w:val="dotted" w:sz="4" w:space="0" w:color="auto"/>
            </w:tcBorders>
            <w:shd w:val="clear" w:color="000000" w:fill="FFFFFF"/>
            <w:vAlign w:val="bottom"/>
            <w:hideMark/>
          </w:tcPr>
          <w:p w14:paraId="4AB1C2C8" w14:textId="77777777" w:rsidR="009D6D4E" w:rsidRPr="00030958" w:rsidRDefault="009D6D4E" w:rsidP="00BF3B71">
            <w:pPr>
              <w:jc w:val="center"/>
              <w:rPr>
                <w:sz w:val="18"/>
                <w:szCs w:val="20"/>
                <w:lang w:val="en-US"/>
              </w:rPr>
            </w:pPr>
            <w:r w:rsidRPr="00030958">
              <w:rPr>
                <w:sz w:val="18"/>
                <w:szCs w:val="20"/>
                <w:lang w:val="en-US"/>
              </w:rPr>
              <w:t>3.1</w:t>
            </w:r>
          </w:p>
        </w:tc>
        <w:tc>
          <w:tcPr>
            <w:tcW w:w="456" w:type="pct"/>
            <w:tcBorders>
              <w:top w:val="nil"/>
              <w:left w:val="nil"/>
              <w:bottom w:val="nil"/>
              <w:right w:val="dotted" w:sz="4" w:space="0" w:color="auto"/>
            </w:tcBorders>
            <w:shd w:val="clear" w:color="000000" w:fill="FFFFFF"/>
            <w:vAlign w:val="bottom"/>
            <w:hideMark/>
          </w:tcPr>
          <w:p w14:paraId="208A6047" w14:textId="77777777" w:rsidR="009D6D4E" w:rsidRPr="00030958" w:rsidRDefault="009D6D4E" w:rsidP="00BF3B71">
            <w:pPr>
              <w:jc w:val="center"/>
              <w:rPr>
                <w:sz w:val="18"/>
                <w:szCs w:val="20"/>
                <w:lang w:val="en-US"/>
              </w:rPr>
            </w:pPr>
            <w:r w:rsidRPr="00030958">
              <w:rPr>
                <w:sz w:val="18"/>
                <w:szCs w:val="20"/>
                <w:lang w:val="en-US"/>
              </w:rPr>
              <w:t>7.8</w:t>
            </w:r>
          </w:p>
        </w:tc>
        <w:tc>
          <w:tcPr>
            <w:tcW w:w="456" w:type="pct"/>
            <w:tcBorders>
              <w:top w:val="nil"/>
              <w:left w:val="nil"/>
              <w:bottom w:val="nil"/>
              <w:right w:val="dotted" w:sz="4" w:space="0" w:color="auto"/>
            </w:tcBorders>
            <w:shd w:val="clear" w:color="000000" w:fill="FFFFFF"/>
            <w:vAlign w:val="bottom"/>
            <w:hideMark/>
          </w:tcPr>
          <w:p w14:paraId="779C53AA" w14:textId="77777777" w:rsidR="009D6D4E" w:rsidRPr="00030958" w:rsidRDefault="009D6D4E" w:rsidP="00BF3B71">
            <w:pPr>
              <w:jc w:val="center"/>
              <w:rPr>
                <w:sz w:val="18"/>
                <w:szCs w:val="20"/>
                <w:lang w:val="en-US"/>
              </w:rPr>
            </w:pPr>
            <w:r w:rsidRPr="00030958">
              <w:rPr>
                <w:sz w:val="18"/>
                <w:szCs w:val="20"/>
                <w:lang w:val="en-US"/>
              </w:rPr>
              <w:t>5.1</w:t>
            </w:r>
          </w:p>
        </w:tc>
        <w:tc>
          <w:tcPr>
            <w:tcW w:w="430" w:type="pct"/>
            <w:tcBorders>
              <w:top w:val="nil"/>
              <w:left w:val="nil"/>
              <w:bottom w:val="nil"/>
              <w:right w:val="double" w:sz="6" w:space="0" w:color="auto"/>
            </w:tcBorders>
            <w:shd w:val="clear" w:color="000000" w:fill="FFFFFF"/>
            <w:vAlign w:val="bottom"/>
            <w:hideMark/>
          </w:tcPr>
          <w:p w14:paraId="434292B9" w14:textId="77777777" w:rsidR="009D6D4E" w:rsidRPr="00030958" w:rsidRDefault="009D6D4E" w:rsidP="00BF3B71">
            <w:pPr>
              <w:jc w:val="center"/>
              <w:rPr>
                <w:sz w:val="18"/>
                <w:szCs w:val="20"/>
                <w:lang w:val="en-US"/>
              </w:rPr>
            </w:pPr>
            <w:r w:rsidRPr="00030958">
              <w:rPr>
                <w:sz w:val="18"/>
                <w:szCs w:val="20"/>
                <w:lang w:val="en-US"/>
              </w:rPr>
              <w:t>5.0</w:t>
            </w:r>
          </w:p>
        </w:tc>
      </w:tr>
      <w:tr w:rsidR="009D6D4E" w:rsidRPr="00030958" w14:paraId="629F73C5" w14:textId="77777777" w:rsidTr="00BF3B71">
        <w:trPr>
          <w:trHeight w:val="20"/>
        </w:trPr>
        <w:tc>
          <w:tcPr>
            <w:tcW w:w="5000" w:type="pct"/>
            <w:gridSpan w:val="8"/>
            <w:tcBorders>
              <w:top w:val="double" w:sz="6" w:space="0" w:color="auto"/>
              <w:left w:val="double" w:sz="6" w:space="0" w:color="auto"/>
              <w:bottom w:val="double" w:sz="6" w:space="0" w:color="auto"/>
              <w:right w:val="double" w:sz="6" w:space="0" w:color="000000"/>
            </w:tcBorders>
            <w:shd w:val="clear" w:color="000000" w:fill="FFFFFF"/>
            <w:vAlign w:val="bottom"/>
            <w:hideMark/>
          </w:tcPr>
          <w:p w14:paraId="6344D4AA" w14:textId="77777777" w:rsidR="009D6D4E" w:rsidRPr="00FC648F" w:rsidRDefault="009D6D4E" w:rsidP="00BF3B71">
            <w:pPr>
              <w:jc w:val="center"/>
              <w:rPr>
                <w:b/>
                <w:bCs/>
                <w:sz w:val="18"/>
                <w:szCs w:val="20"/>
                <w:lang w:val="fr-BE"/>
              </w:rPr>
            </w:pPr>
            <w:r w:rsidRPr="00FC648F">
              <w:rPr>
                <w:b/>
                <w:bCs/>
                <w:sz w:val="18"/>
                <w:szCs w:val="20"/>
                <w:lang w:val="fr-BE"/>
              </w:rPr>
              <w:t>Kontributi në rritjen e BPV-së</w:t>
            </w:r>
          </w:p>
        </w:tc>
      </w:tr>
      <w:tr w:rsidR="009D6D4E" w:rsidRPr="00030958" w14:paraId="2AB9FC61" w14:textId="77777777" w:rsidTr="00BF3B71">
        <w:trPr>
          <w:trHeight w:val="20"/>
        </w:trPr>
        <w:tc>
          <w:tcPr>
            <w:tcW w:w="1582" w:type="pct"/>
            <w:tcBorders>
              <w:top w:val="nil"/>
              <w:left w:val="double" w:sz="6" w:space="0" w:color="auto"/>
              <w:bottom w:val="dotted" w:sz="4" w:space="0" w:color="auto"/>
              <w:right w:val="nil"/>
            </w:tcBorders>
            <w:shd w:val="clear" w:color="000000" w:fill="FFFFFF"/>
            <w:vAlign w:val="bottom"/>
            <w:hideMark/>
          </w:tcPr>
          <w:p w14:paraId="1A2929A1" w14:textId="77777777" w:rsidR="009D6D4E" w:rsidRPr="00030958" w:rsidRDefault="009D6D4E" w:rsidP="00BF3B71">
            <w:pPr>
              <w:rPr>
                <w:sz w:val="18"/>
                <w:szCs w:val="20"/>
                <w:lang w:val="en-US"/>
              </w:rPr>
            </w:pPr>
            <w:r w:rsidRPr="00030958">
              <w:rPr>
                <w:sz w:val="18"/>
                <w:szCs w:val="20"/>
                <w:lang w:val="en-US"/>
              </w:rPr>
              <w:t>9. Kërkesa finale e brendshme</w:t>
            </w:r>
          </w:p>
        </w:tc>
        <w:tc>
          <w:tcPr>
            <w:tcW w:w="598" w:type="pct"/>
            <w:tcBorders>
              <w:top w:val="nil"/>
              <w:left w:val="dotted" w:sz="4" w:space="0" w:color="auto"/>
              <w:bottom w:val="dotted" w:sz="4" w:space="0" w:color="auto"/>
              <w:right w:val="single" w:sz="8" w:space="0" w:color="auto"/>
            </w:tcBorders>
            <w:shd w:val="clear" w:color="000000" w:fill="FFFFFF"/>
            <w:vAlign w:val="bottom"/>
            <w:hideMark/>
          </w:tcPr>
          <w:p w14:paraId="382ECFE5" w14:textId="77777777" w:rsidR="009D6D4E" w:rsidRPr="00030958" w:rsidRDefault="009D6D4E" w:rsidP="00BF3B71">
            <w:pPr>
              <w:jc w:val="center"/>
              <w:rPr>
                <w:sz w:val="18"/>
                <w:szCs w:val="20"/>
                <w:lang w:val="en-US"/>
              </w:rPr>
            </w:pPr>
            <w:r w:rsidRPr="00030958">
              <w:rPr>
                <w:sz w:val="18"/>
                <w:szCs w:val="20"/>
                <w:lang w:val="en-US"/>
              </w:rPr>
              <w:t> </w:t>
            </w:r>
          </w:p>
        </w:tc>
        <w:tc>
          <w:tcPr>
            <w:tcW w:w="566" w:type="pct"/>
            <w:tcBorders>
              <w:top w:val="nil"/>
              <w:left w:val="nil"/>
              <w:bottom w:val="dotted" w:sz="4" w:space="0" w:color="auto"/>
              <w:right w:val="single" w:sz="8" w:space="0" w:color="auto"/>
            </w:tcBorders>
            <w:shd w:val="clear" w:color="000000" w:fill="FFFFFF"/>
            <w:vAlign w:val="bottom"/>
            <w:hideMark/>
          </w:tcPr>
          <w:p w14:paraId="76EA45D3" w14:textId="77777777" w:rsidR="009D6D4E" w:rsidRPr="00030958" w:rsidRDefault="009D6D4E" w:rsidP="00BF3B71">
            <w:pPr>
              <w:jc w:val="center"/>
              <w:rPr>
                <w:sz w:val="18"/>
                <w:szCs w:val="20"/>
                <w:lang w:val="en-US"/>
              </w:rPr>
            </w:pPr>
            <w:r w:rsidRPr="00030958">
              <w:rPr>
                <w:sz w:val="18"/>
                <w:szCs w:val="20"/>
                <w:lang w:val="en-US"/>
              </w:rPr>
              <w:t>8,424.5</w:t>
            </w:r>
          </w:p>
        </w:tc>
        <w:tc>
          <w:tcPr>
            <w:tcW w:w="456" w:type="pct"/>
            <w:tcBorders>
              <w:top w:val="nil"/>
              <w:left w:val="nil"/>
              <w:bottom w:val="dotted" w:sz="4" w:space="0" w:color="auto"/>
              <w:right w:val="dotted" w:sz="4" w:space="0" w:color="auto"/>
            </w:tcBorders>
            <w:shd w:val="clear" w:color="000000" w:fill="FFFFFF"/>
            <w:vAlign w:val="bottom"/>
            <w:hideMark/>
          </w:tcPr>
          <w:p w14:paraId="1485B45A" w14:textId="77777777" w:rsidR="009D6D4E" w:rsidRPr="00030958" w:rsidRDefault="009D6D4E" w:rsidP="00BF3B71">
            <w:pPr>
              <w:jc w:val="center"/>
              <w:rPr>
                <w:sz w:val="18"/>
                <w:szCs w:val="20"/>
                <w:lang w:val="en-US"/>
              </w:rPr>
            </w:pPr>
            <w:r w:rsidRPr="00030958">
              <w:rPr>
                <w:sz w:val="18"/>
                <w:szCs w:val="20"/>
                <w:lang w:val="en-US"/>
              </w:rPr>
              <w:t>6.9</w:t>
            </w:r>
          </w:p>
        </w:tc>
        <w:tc>
          <w:tcPr>
            <w:tcW w:w="456" w:type="pct"/>
            <w:tcBorders>
              <w:top w:val="nil"/>
              <w:left w:val="nil"/>
              <w:bottom w:val="dotted" w:sz="4" w:space="0" w:color="auto"/>
              <w:right w:val="dotted" w:sz="4" w:space="0" w:color="auto"/>
            </w:tcBorders>
            <w:shd w:val="clear" w:color="000000" w:fill="FFFFFF"/>
            <w:vAlign w:val="bottom"/>
            <w:hideMark/>
          </w:tcPr>
          <w:p w14:paraId="6864AE8B" w14:textId="77777777" w:rsidR="009D6D4E" w:rsidRPr="00030958" w:rsidRDefault="009D6D4E" w:rsidP="00BF3B71">
            <w:pPr>
              <w:jc w:val="center"/>
              <w:rPr>
                <w:sz w:val="18"/>
                <w:szCs w:val="20"/>
                <w:lang w:val="en-US"/>
              </w:rPr>
            </w:pPr>
            <w:r w:rsidRPr="00030958">
              <w:rPr>
                <w:sz w:val="18"/>
                <w:szCs w:val="20"/>
                <w:lang w:val="en-US"/>
              </w:rPr>
              <w:t>2.5</w:t>
            </w:r>
          </w:p>
        </w:tc>
        <w:tc>
          <w:tcPr>
            <w:tcW w:w="456" w:type="pct"/>
            <w:tcBorders>
              <w:top w:val="nil"/>
              <w:left w:val="nil"/>
              <w:bottom w:val="dotted" w:sz="4" w:space="0" w:color="auto"/>
              <w:right w:val="dotted" w:sz="4" w:space="0" w:color="auto"/>
            </w:tcBorders>
            <w:shd w:val="clear" w:color="000000" w:fill="FFFFFF"/>
            <w:vAlign w:val="bottom"/>
            <w:hideMark/>
          </w:tcPr>
          <w:p w14:paraId="79890021" w14:textId="77777777" w:rsidR="009D6D4E" w:rsidRPr="00030958" w:rsidRDefault="009D6D4E" w:rsidP="00BF3B71">
            <w:pPr>
              <w:jc w:val="center"/>
              <w:rPr>
                <w:sz w:val="18"/>
                <w:szCs w:val="20"/>
                <w:lang w:val="en-US"/>
              </w:rPr>
            </w:pPr>
            <w:r w:rsidRPr="00030958">
              <w:rPr>
                <w:sz w:val="18"/>
                <w:szCs w:val="20"/>
                <w:lang w:val="en-US"/>
              </w:rPr>
              <w:t>5.6</w:t>
            </w:r>
          </w:p>
        </w:tc>
        <w:tc>
          <w:tcPr>
            <w:tcW w:w="456" w:type="pct"/>
            <w:tcBorders>
              <w:top w:val="nil"/>
              <w:left w:val="nil"/>
              <w:bottom w:val="dotted" w:sz="4" w:space="0" w:color="auto"/>
              <w:right w:val="dotted" w:sz="4" w:space="0" w:color="auto"/>
            </w:tcBorders>
            <w:shd w:val="clear" w:color="000000" w:fill="FFFFFF"/>
            <w:vAlign w:val="bottom"/>
            <w:hideMark/>
          </w:tcPr>
          <w:p w14:paraId="17D6F8F0" w14:textId="77777777" w:rsidR="009D6D4E" w:rsidRPr="00030958" w:rsidRDefault="009D6D4E" w:rsidP="00BF3B71">
            <w:pPr>
              <w:jc w:val="center"/>
              <w:rPr>
                <w:sz w:val="18"/>
                <w:szCs w:val="20"/>
                <w:lang w:val="en-US"/>
              </w:rPr>
            </w:pPr>
            <w:r w:rsidRPr="00030958">
              <w:rPr>
                <w:sz w:val="18"/>
                <w:szCs w:val="20"/>
                <w:lang w:val="en-US"/>
              </w:rPr>
              <w:t>4.2</w:t>
            </w:r>
          </w:p>
        </w:tc>
        <w:tc>
          <w:tcPr>
            <w:tcW w:w="430" w:type="pct"/>
            <w:tcBorders>
              <w:top w:val="nil"/>
              <w:left w:val="nil"/>
              <w:bottom w:val="dotted" w:sz="4" w:space="0" w:color="auto"/>
              <w:right w:val="double" w:sz="6" w:space="0" w:color="auto"/>
            </w:tcBorders>
            <w:shd w:val="clear" w:color="000000" w:fill="FFFFFF"/>
            <w:vAlign w:val="bottom"/>
            <w:hideMark/>
          </w:tcPr>
          <w:p w14:paraId="2D18C7E9" w14:textId="77777777" w:rsidR="009D6D4E" w:rsidRPr="00030958" w:rsidRDefault="009D6D4E" w:rsidP="00BF3B71">
            <w:pPr>
              <w:jc w:val="center"/>
              <w:rPr>
                <w:sz w:val="18"/>
                <w:szCs w:val="20"/>
                <w:lang w:val="en-US"/>
              </w:rPr>
            </w:pPr>
            <w:r w:rsidRPr="00030958">
              <w:rPr>
                <w:sz w:val="18"/>
                <w:szCs w:val="20"/>
                <w:lang w:val="en-US"/>
              </w:rPr>
              <w:t>4.1</w:t>
            </w:r>
          </w:p>
        </w:tc>
      </w:tr>
      <w:tr w:rsidR="009D6D4E" w:rsidRPr="00030958" w14:paraId="0C19AAC7" w14:textId="77777777" w:rsidTr="00BF3B71">
        <w:trPr>
          <w:trHeight w:val="20"/>
        </w:trPr>
        <w:tc>
          <w:tcPr>
            <w:tcW w:w="1582" w:type="pct"/>
            <w:tcBorders>
              <w:top w:val="nil"/>
              <w:left w:val="double" w:sz="6" w:space="0" w:color="auto"/>
              <w:bottom w:val="dotted" w:sz="4" w:space="0" w:color="auto"/>
              <w:right w:val="nil"/>
            </w:tcBorders>
            <w:shd w:val="clear" w:color="000000" w:fill="FFFFFF"/>
            <w:vAlign w:val="bottom"/>
            <w:hideMark/>
          </w:tcPr>
          <w:p w14:paraId="3C13DAB3" w14:textId="77777777" w:rsidR="009D6D4E" w:rsidRPr="00030958" w:rsidRDefault="009D6D4E" w:rsidP="00BF3B71">
            <w:pPr>
              <w:rPr>
                <w:sz w:val="18"/>
                <w:szCs w:val="20"/>
                <w:lang w:val="en-US"/>
              </w:rPr>
            </w:pPr>
            <w:r w:rsidRPr="00030958">
              <w:rPr>
                <w:sz w:val="18"/>
                <w:szCs w:val="20"/>
                <w:lang w:val="en-US"/>
              </w:rPr>
              <w:t>10. Ndryshimi në inventar dhe fitimi</w:t>
            </w:r>
            <w:r>
              <w:rPr>
                <w:sz w:val="18"/>
                <w:szCs w:val="20"/>
                <w:lang w:val="en-US"/>
              </w:rPr>
              <w:t xml:space="preserve"> </w:t>
            </w:r>
            <w:r w:rsidRPr="00030958">
              <w:rPr>
                <w:sz w:val="18"/>
                <w:szCs w:val="20"/>
                <w:lang w:val="en-US"/>
              </w:rPr>
              <w:t xml:space="preserve">neto (% e BPV-së) </w:t>
            </w:r>
          </w:p>
        </w:tc>
        <w:tc>
          <w:tcPr>
            <w:tcW w:w="598" w:type="pct"/>
            <w:tcBorders>
              <w:top w:val="nil"/>
              <w:left w:val="dotted" w:sz="4" w:space="0" w:color="auto"/>
              <w:bottom w:val="dotted" w:sz="4" w:space="0" w:color="auto"/>
              <w:right w:val="single" w:sz="8" w:space="0" w:color="auto"/>
            </w:tcBorders>
            <w:shd w:val="clear" w:color="000000" w:fill="FFFFFF"/>
            <w:vAlign w:val="bottom"/>
            <w:hideMark/>
          </w:tcPr>
          <w:p w14:paraId="60B9C71D" w14:textId="77777777" w:rsidR="009D6D4E" w:rsidRPr="00030958" w:rsidRDefault="009D6D4E" w:rsidP="00BF3B71">
            <w:pPr>
              <w:jc w:val="center"/>
              <w:rPr>
                <w:sz w:val="18"/>
                <w:szCs w:val="20"/>
                <w:lang w:val="en-US"/>
              </w:rPr>
            </w:pPr>
            <w:r w:rsidRPr="00030958">
              <w:rPr>
                <w:sz w:val="18"/>
                <w:szCs w:val="20"/>
                <w:lang w:val="en-US"/>
              </w:rPr>
              <w:t>P52+P53</w:t>
            </w:r>
          </w:p>
        </w:tc>
        <w:tc>
          <w:tcPr>
            <w:tcW w:w="566" w:type="pct"/>
            <w:tcBorders>
              <w:top w:val="nil"/>
              <w:left w:val="nil"/>
              <w:bottom w:val="dotted" w:sz="4" w:space="0" w:color="auto"/>
              <w:right w:val="single" w:sz="8" w:space="0" w:color="auto"/>
            </w:tcBorders>
            <w:shd w:val="clear" w:color="000000" w:fill="FFFFFF"/>
            <w:vAlign w:val="bottom"/>
            <w:hideMark/>
          </w:tcPr>
          <w:p w14:paraId="52188551" w14:textId="77777777" w:rsidR="009D6D4E" w:rsidRPr="00030958" w:rsidRDefault="009D6D4E" w:rsidP="00BF3B71">
            <w:pPr>
              <w:jc w:val="center"/>
              <w:rPr>
                <w:sz w:val="18"/>
                <w:szCs w:val="20"/>
                <w:lang w:val="en-US"/>
              </w:rPr>
            </w:pPr>
            <w:r w:rsidRPr="00030958">
              <w:rPr>
                <w:sz w:val="18"/>
                <w:szCs w:val="20"/>
                <w:lang w:val="en-US"/>
              </w:rPr>
              <w:t>132.5</w:t>
            </w:r>
          </w:p>
        </w:tc>
        <w:tc>
          <w:tcPr>
            <w:tcW w:w="456" w:type="pct"/>
            <w:tcBorders>
              <w:top w:val="nil"/>
              <w:left w:val="nil"/>
              <w:bottom w:val="dotted" w:sz="4" w:space="0" w:color="auto"/>
              <w:right w:val="dotted" w:sz="4" w:space="0" w:color="auto"/>
            </w:tcBorders>
            <w:shd w:val="clear" w:color="000000" w:fill="FFFFFF"/>
            <w:vAlign w:val="bottom"/>
            <w:hideMark/>
          </w:tcPr>
          <w:p w14:paraId="11BF4FD7" w14:textId="77777777" w:rsidR="009D6D4E" w:rsidRPr="00030958" w:rsidRDefault="009D6D4E" w:rsidP="00BF3B71">
            <w:pPr>
              <w:jc w:val="center"/>
              <w:rPr>
                <w:sz w:val="18"/>
                <w:szCs w:val="20"/>
                <w:lang w:val="en-US"/>
              </w:rPr>
            </w:pPr>
            <w:r w:rsidRPr="00030958">
              <w:rPr>
                <w:sz w:val="18"/>
                <w:szCs w:val="20"/>
                <w:lang w:val="en-US"/>
              </w:rPr>
              <w:t>0.6</w:t>
            </w:r>
          </w:p>
        </w:tc>
        <w:tc>
          <w:tcPr>
            <w:tcW w:w="456" w:type="pct"/>
            <w:tcBorders>
              <w:top w:val="nil"/>
              <w:left w:val="nil"/>
              <w:bottom w:val="dotted" w:sz="4" w:space="0" w:color="auto"/>
              <w:right w:val="dotted" w:sz="4" w:space="0" w:color="auto"/>
            </w:tcBorders>
            <w:shd w:val="clear" w:color="000000" w:fill="FFFFFF"/>
            <w:vAlign w:val="bottom"/>
            <w:hideMark/>
          </w:tcPr>
          <w:p w14:paraId="7366B5A8" w14:textId="77777777" w:rsidR="009D6D4E" w:rsidRPr="00030958" w:rsidRDefault="009D6D4E" w:rsidP="00BF3B71">
            <w:pPr>
              <w:jc w:val="center"/>
              <w:rPr>
                <w:sz w:val="18"/>
                <w:szCs w:val="20"/>
                <w:lang w:val="en-US"/>
              </w:rPr>
            </w:pPr>
            <w:r w:rsidRPr="00030958">
              <w:rPr>
                <w:sz w:val="18"/>
                <w:szCs w:val="20"/>
                <w:lang w:val="en-US"/>
              </w:rPr>
              <w:t>0.6</w:t>
            </w:r>
          </w:p>
        </w:tc>
        <w:tc>
          <w:tcPr>
            <w:tcW w:w="456" w:type="pct"/>
            <w:tcBorders>
              <w:top w:val="nil"/>
              <w:left w:val="nil"/>
              <w:bottom w:val="dotted" w:sz="4" w:space="0" w:color="auto"/>
              <w:right w:val="dotted" w:sz="4" w:space="0" w:color="auto"/>
            </w:tcBorders>
            <w:shd w:val="clear" w:color="000000" w:fill="FFFFFF"/>
            <w:vAlign w:val="bottom"/>
            <w:hideMark/>
          </w:tcPr>
          <w:p w14:paraId="4653E3F8" w14:textId="77777777" w:rsidR="009D6D4E" w:rsidRPr="00030958" w:rsidRDefault="009D6D4E" w:rsidP="00BF3B71">
            <w:pPr>
              <w:jc w:val="center"/>
              <w:rPr>
                <w:sz w:val="18"/>
                <w:szCs w:val="20"/>
                <w:lang w:val="en-US"/>
              </w:rPr>
            </w:pPr>
            <w:r w:rsidRPr="00030958">
              <w:rPr>
                <w:sz w:val="18"/>
                <w:szCs w:val="20"/>
                <w:lang w:val="en-US"/>
              </w:rPr>
              <w:t>0.8</w:t>
            </w:r>
          </w:p>
        </w:tc>
        <w:tc>
          <w:tcPr>
            <w:tcW w:w="456" w:type="pct"/>
            <w:tcBorders>
              <w:top w:val="nil"/>
              <w:left w:val="nil"/>
              <w:bottom w:val="dotted" w:sz="4" w:space="0" w:color="auto"/>
              <w:right w:val="dotted" w:sz="4" w:space="0" w:color="auto"/>
            </w:tcBorders>
            <w:shd w:val="clear" w:color="000000" w:fill="FFFFFF"/>
            <w:vAlign w:val="bottom"/>
            <w:hideMark/>
          </w:tcPr>
          <w:p w14:paraId="1B5D7757" w14:textId="77777777" w:rsidR="009D6D4E" w:rsidRPr="00030958" w:rsidRDefault="009D6D4E" w:rsidP="00BF3B71">
            <w:pPr>
              <w:jc w:val="center"/>
              <w:rPr>
                <w:sz w:val="18"/>
                <w:szCs w:val="20"/>
                <w:lang w:val="en-US"/>
              </w:rPr>
            </w:pPr>
            <w:r w:rsidRPr="00030958">
              <w:rPr>
                <w:sz w:val="18"/>
                <w:szCs w:val="20"/>
                <w:lang w:val="en-US"/>
              </w:rPr>
              <w:t>0.9</w:t>
            </w:r>
          </w:p>
        </w:tc>
        <w:tc>
          <w:tcPr>
            <w:tcW w:w="430" w:type="pct"/>
            <w:tcBorders>
              <w:top w:val="nil"/>
              <w:left w:val="nil"/>
              <w:bottom w:val="dotted" w:sz="4" w:space="0" w:color="auto"/>
              <w:right w:val="double" w:sz="6" w:space="0" w:color="auto"/>
            </w:tcBorders>
            <w:shd w:val="clear" w:color="000000" w:fill="FFFFFF"/>
            <w:vAlign w:val="bottom"/>
            <w:hideMark/>
          </w:tcPr>
          <w:p w14:paraId="6BB7FAB4" w14:textId="77777777" w:rsidR="009D6D4E" w:rsidRPr="00030958" w:rsidRDefault="009D6D4E" w:rsidP="00BF3B71">
            <w:pPr>
              <w:jc w:val="center"/>
              <w:rPr>
                <w:sz w:val="18"/>
                <w:szCs w:val="20"/>
                <w:lang w:val="en-US"/>
              </w:rPr>
            </w:pPr>
            <w:r w:rsidRPr="00030958">
              <w:rPr>
                <w:sz w:val="18"/>
                <w:szCs w:val="20"/>
                <w:lang w:val="en-US"/>
              </w:rPr>
              <w:t>0.9</w:t>
            </w:r>
          </w:p>
        </w:tc>
      </w:tr>
      <w:tr w:rsidR="009D6D4E" w:rsidRPr="00030958" w14:paraId="7CAFBA32" w14:textId="77777777" w:rsidTr="00BF3B71">
        <w:trPr>
          <w:trHeight w:val="20"/>
        </w:trPr>
        <w:tc>
          <w:tcPr>
            <w:tcW w:w="1582" w:type="pct"/>
            <w:tcBorders>
              <w:top w:val="nil"/>
              <w:left w:val="double" w:sz="6" w:space="0" w:color="auto"/>
              <w:bottom w:val="double" w:sz="6" w:space="0" w:color="auto"/>
              <w:right w:val="nil"/>
            </w:tcBorders>
            <w:shd w:val="clear" w:color="000000" w:fill="FFFFFF"/>
            <w:vAlign w:val="bottom"/>
            <w:hideMark/>
          </w:tcPr>
          <w:p w14:paraId="4FB9509C" w14:textId="77777777" w:rsidR="009D6D4E" w:rsidRPr="00030958" w:rsidRDefault="009D6D4E" w:rsidP="00BF3B71">
            <w:pPr>
              <w:rPr>
                <w:sz w:val="18"/>
                <w:szCs w:val="20"/>
                <w:lang w:val="en-US"/>
              </w:rPr>
            </w:pPr>
            <w:r w:rsidRPr="00030958">
              <w:rPr>
                <w:sz w:val="18"/>
                <w:szCs w:val="20"/>
                <w:lang w:val="en-US"/>
              </w:rPr>
              <w:t>11. Bilanci i jashtëm në mallra dhe shërbime</w:t>
            </w:r>
          </w:p>
        </w:tc>
        <w:tc>
          <w:tcPr>
            <w:tcW w:w="598" w:type="pct"/>
            <w:tcBorders>
              <w:top w:val="nil"/>
              <w:left w:val="dotted" w:sz="4" w:space="0" w:color="auto"/>
              <w:bottom w:val="double" w:sz="6" w:space="0" w:color="auto"/>
              <w:right w:val="single" w:sz="8" w:space="0" w:color="auto"/>
            </w:tcBorders>
            <w:shd w:val="clear" w:color="000000" w:fill="FFFFFF"/>
            <w:vAlign w:val="bottom"/>
            <w:hideMark/>
          </w:tcPr>
          <w:p w14:paraId="135652FB" w14:textId="77777777" w:rsidR="009D6D4E" w:rsidRPr="00030958" w:rsidRDefault="009D6D4E" w:rsidP="00BF3B71">
            <w:pPr>
              <w:jc w:val="center"/>
              <w:rPr>
                <w:sz w:val="18"/>
                <w:szCs w:val="20"/>
                <w:lang w:val="en-US"/>
              </w:rPr>
            </w:pPr>
            <w:r w:rsidRPr="00030958">
              <w:rPr>
                <w:sz w:val="18"/>
                <w:szCs w:val="20"/>
                <w:lang w:val="en-US"/>
              </w:rPr>
              <w:t>B11</w:t>
            </w:r>
          </w:p>
        </w:tc>
        <w:tc>
          <w:tcPr>
            <w:tcW w:w="566" w:type="pct"/>
            <w:tcBorders>
              <w:top w:val="nil"/>
              <w:left w:val="nil"/>
              <w:bottom w:val="double" w:sz="6" w:space="0" w:color="auto"/>
              <w:right w:val="single" w:sz="8" w:space="0" w:color="auto"/>
            </w:tcBorders>
            <w:shd w:val="clear" w:color="000000" w:fill="FFFFFF"/>
            <w:vAlign w:val="bottom"/>
            <w:hideMark/>
          </w:tcPr>
          <w:p w14:paraId="71BA26A5" w14:textId="77777777" w:rsidR="009D6D4E" w:rsidRPr="00030958" w:rsidRDefault="009D6D4E" w:rsidP="00BF3B71">
            <w:pPr>
              <w:jc w:val="center"/>
              <w:rPr>
                <w:sz w:val="18"/>
                <w:szCs w:val="20"/>
                <w:lang w:val="en-US"/>
              </w:rPr>
            </w:pPr>
            <w:r w:rsidRPr="00030958">
              <w:rPr>
                <w:sz w:val="18"/>
                <w:szCs w:val="20"/>
                <w:lang w:val="en-US"/>
              </w:rPr>
              <w:t>-1,898.4</w:t>
            </w:r>
          </w:p>
        </w:tc>
        <w:tc>
          <w:tcPr>
            <w:tcW w:w="456" w:type="pct"/>
            <w:tcBorders>
              <w:top w:val="nil"/>
              <w:left w:val="nil"/>
              <w:bottom w:val="double" w:sz="6" w:space="0" w:color="auto"/>
              <w:right w:val="dotted" w:sz="4" w:space="0" w:color="auto"/>
            </w:tcBorders>
            <w:shd w:val="clear" w:color="000000" w:fill="FFFFFF"/>
            <w:vAlign w:val="bottom"/>
            <w:hideMark/>
          </w:tcPr>
          <w:p w14:paraId="0D698261" w14:textId="77777777" w:rsidR="009D6D4E" w:rsidRPr="00030958" w:rsidRDefault="009D6D4E" w:rsidP="00BF3B71">
            <w:pPr>
              <w:jc w:val="center"/>
              <w:rPr>
                <w:sz w:val="18"/>
                <w:szCs w:val="20"/>
                <w:lang w:val="en-US"/>
              </w:rPr>
            </w:pPr>
            <w:r w:rsidRPr="00030958">
              <w:rPr>
                <w:sz w:val="18"/>
                <w:szCs w:val="20"/>
                <w:lang w:val="en-US"/>
              </w:rPr>
              <w:t>-3.7</w:t>
            </w:r>
          </w:p>
        </w:tc>
        <w:tc>
          <w:tcPr>
            <w:tcW w:w="456" w:type="pct"/>
            <w:tcBorders>
              <w:top w:val="nil"/>
              <w:left w:val="nil"/>
              <w:bottom w:val="double" w:sz="6" w:space="0" w:color="auto"/>
              <w:right w:val="dotted" w:sz="4" w:space="0" w:color="auto"/>
            </w:tcBorders>
            <w:shd w:val="clear" w:color="000000" w:fill="FFFFFF"/>
            <w:vAlign w:val="bottom"/>
            <w:hideMark/>
          </w:tcPr>
          <w:p w14:paraId="23BB6F39" w14:textId="77777777" w:rsidR="009D6D4E" w:rsidRPr="00030958" w:rsidRDefault="009D6D4E" w:rsidP="00BF3B71">
            <w:pPr>
              <w:jc w:val="center"/>
              <w:rPr>
                <w:sz w:val="18"/>
                <w:szCs w:val="20"/>
                <w:lang w:val="en-US"/>
              </w:rPr>
            </w:pPr>
            <w:r w:rsidRPr="00030958">
              <w:rPr>
                <w:sz w:val="18"/>
                <w:szCs w:val="20"/>
                <w:lang w:val="en-US"/>
              </w:rPr>
              <w:t>0.9</w:t>
            </w:r>
          </w:p>
        </w:tc>
        <w:tc>
          <w:tcPr>
            <w:tcW w:w="456" w:type="pct"/>
            <w:tcBorders>
              <w:top w:val="nil"/>
              <w:left w:val="nil"/>
              <w:bottom w:val="double" w:sz="6" w:space="0" w:color="auto"/>
              <w:right w:val="dotted" w:sz="4" w:space="0" w:color="auto"/>
            </w:tcBorders>
            <w:shd w:val="clear" w:color="000000" w:fill="FFFFFF"/>
            <w:vAlign w:val="bottom"/>
            <w:hideMark/>
          </w:tcPr>
          <w:p w14:paraId="68A6A915" w14:textId="77777777" w:rsidR="009D6D4E" w:rsidRPr="00030958" w:rsidRDefault="009D6D4E" w:rsidP="00BF3B71">
            <w:pPr>
              <w:jc w:val="center"/>
              <w:rPr>
                <w:sz w:val="18"/>
                <w:szCs w:val="20"/>
                <w:lang w:val="en-US"/>
              </w:rPr>
            </w:pPr>
            <w:r w:rsidRPr="00030958">
              <w:rPr>
                <w:sz w:val="18"/>
                <w:szCs w:val="20"/>
                <w:lang w:val="en-US"/>
              </w:rPr>
              <w:t>-2.0</w:t>
            </w:r>
          </w:p>
        </w:tc>
        <w:tc>
          <w:tcPr>
            <w:tcW w:w="456" w:type="pct"/>
            <w:tcBorders>
              <w:top w:val="nil"/>
              <w:left w:val="nil"/>
              <w:bottom w:val="double" w:sz="6" w:space="0" w:color="auto"/>
              <w:right w:val="dotted" w:sz="4" w:space="0" w:color="auto"/>
            </w:tcBorders>
            <w:shd w:val="clear" w:color="000000" w:fill="FFFFFF"/>
            <w:vAlign w:val="bottom"/>
            <w:hideMark/>
          </w:tcPr>
          <w:p w14:paraId="5CB1807D" w14:textId="77777777" w:rsidR="009D6D4E" w:rsidRPr="00030958" w:rsidRDefault="009D6D4E" w:rsidP="00BF3B71">
            <w:pPr>
              <w:jc w:val="center"/>
              <w:rPr>
                <w:sz w:val="18"/>
                <w:szCs w:val="20"/>
                <w:lang w:val="en-US"/>
              </w:rPr>
            </w:pPr>
            <w:r w:rsidRPr="00030958">
              <w:rPr>
                <w:sz w:val="18"/>
                <w:szCs w:val="20"/>
                <w:lang w:val="en-US"/>
              </w:rPr>
              <w:t>-0.7</w:t>
            </w:r>
          </w:p>
        </w:tc>
        <w:tc>
          <w:tcPr>
            <w:tcW w:w="430" w:type="pct"/>
            <w:tcBorders>
              <w:top w:val="nil"/>
              <w:left w:val="nil"/>
              <w:bottom w:val="double" w:sz="6" w:space="0" w:color="auto"/>
              <w:right w:val="double" w:sz="6" w:space="0" w:color="auto"/>
            </w:tcBorders>
            <w:shd w:val="clear" w:color="000000" w:fill="FFFFFF"/>
            <w:vAlign w:val="bottom"/>
            <w:hideMark/>
          </w:tcPr>
          <w:p w14:paraId="209B30E6" w14:textId="77777777" w:rsidR="009D6D4E" w:rsidRPr="00030958" w:rsidRDefault="009D6D4E" w:rsidP="00BF3B71">
            <w:pPr>
              <w:jc w:val="center"/>
              <w:rPr>
                <w:sz w:val="18"/>
                <w:szCs w:val="20"/>
                <w:lang w:val="en-US"/>
              </w:rPr>
            </w:pPr>
            <w:r w:rsidRPr="00030958">
              <w:rPr>
                <w:sz w:val="18"/>
                <w:szCs w:val="20"/>
                <w:lang w:val="en-US"/>
              </w:rPr>
              <w:t>-0.5</w:t>
            </w:r>
          </w:p>
        </w:tc>
      </w:tr>
    </w:tbl>
    <w:p w14:paraId="7C871DC6" w14:textId="77777777" w:rsidR="009D6D4E" w:rsidRDefault="009D6D4E" w:rsidP="009D6D4E"/>
    <w:tbl>
      <w:tblPr>
        <w:tblW w:w="5000" w:type="pct"/>
        <w:tblLook w:val="04A0" w:firstRow="1" w:lastRow="0" w:firstColumn="1" w:lastColumn="0" w:noHBand="0" w:noVBand="1"/>
      </w:tblPr>
      <w:tblGrid>
        <w:gridCol w:w="3522"/>
        <w:gridCol w:w="977"/>
        <w:gridCol w:w="963"/>
        <w:gridCol w:w="963"/>
        <w:gridCol w:w="963"/>
        <w:gridCol w:w="963"/>
        <w:gridCol w:w="963"/>
      </w:tblGrid>
      <w:tr w:rsidR="009D6D4E" w:rsidRPr="00030958" w14:paraId="3D2FD3F9" w14:textId="77777777" w:rsidTr="00BF3B71">
        <w:trPr>
          <w:trHeight w:val="20"/>
        </w:trPr>
        <w:tc>
          <w:tcPr>
            <w:tcW w:w="2414" w:type="pct"/>
            <w:gridSpan w:val="2"/>
            <w:tcBorders>
              <w:top w:val="nil"/>
              <w:left w:val="nil"/>
              <w:bottom w:val="nil"/>
              <w:right w:val="nil"/>
            </w:tcBorders>
            <w:shd w:val="clear" w:color="000000" w:fill="FFFFFF"/>
            <w:noWrap/>
            <w:vAlign w:val="center"/>
            <w:hideMark/>
          </w:tcPr>
          <w:p w14:paraId="668E40D2" w14:textId="77777777" w:rsidR="009D6D4E" w:rsidRPr="00FC648F" w:rsidRDefault="009D6D4E" w:rsidP="00BF3B71">
            <w:pPr>
              <w:rPr>
                <w:b/>
                <w:bCs/>
                <w:sz w:val="18"/>
                <w:szCs w:val="20"/>
                <w:lang w:val="fr-BE"/>
              </w:rPr>
            </w:pPr>
            <w:r w:rsidRPr="00FC648F">
              <w:rPr>
                <w:b/>
                <w:bCs/>
                <w:sz w:val="18"/>
                <w:szCs w:val="20"/>
                <w:lang w:val="fr-BE"/>
              </w:rPr>
              <w:t>Tabela 1b:  Çmimet dhe parashikimet e çmimeve</w:t>
            </w:r>
          </w:p>
        </w:tc>
        <w:tc>
          <w:tcPr>
            <w:tcW w:w="517" w:type="pct"/>
            <w:tcBorders>
              <w:top w:val="nil"/>
              <w:left w:val="nil"/>
              <w:bottom w:val="nil"/>
              <w:right w:val="nil"/>
            </w:tcBorders>
            <w:shd w:val="clear" w:color="000000" w:fill="FFFFFF"/>
            <w:noWrap/>
            <w:vAlign w:val="center"/>
            <w:hideMark/>
          </w:tcPr>
          <w:p w14:paraId="7A5996EC" w14:textId="77777777" w:rsidR="009D6D4E" w:rsidRPr="00FC648F" w:rsidRDefault="009D6D4E" w:rsidP="00BF3B71">
            <w:pPr>
              <w:rPr>
                <w:sz w:val="18"/>
                <w:szCs w:val="20"/>
                <w:lang w:val="fr-BE"/>
              </w:rPr>
            </w:pPr>
            <w:r w:rsidRPr="00FC648F">
              <w:rPr>
                <w:sz w:val="18"/>
                <w:szCs w:val="20"/>
                <w:lang w:val="fr-BE"/>
              </w:rPr>
              <w:t> </w:t>
            </w:r>
          </w:p>
        </w:tc>
        <w:tc>
          <w:tcPr>
            <w:tcW w:w="517" w:type="pct"/>
            <w:tcBorders>
              <w:top w:val="nil"/>
              <w:left w:val="nil"/>
              <w:bottom w:val="nil"/>
              <w:right w:val="nil"/>
            </w:tcBorders>
            <w:shd w:val="clear" w:color="000000" w:fill="FFFFFF"/>
            <w:noWrap/>
            <w:vAlign w:val="center"/>
            <w:hideMark/>
          </w:tcPr>
          <w:p w14:paraId="59FFC562" w14:textId="77777777" w:rsidR="009D6D4E" w:rsidRPr="00FC648F" w:rsidRDefault="009D6D4E" w:rsidP="00BF3B71">
            <w:pPr>
              <w:rPr>
                <w:sz w:val="18"/>
                <w:szCs w:val="20"/>
                <w:lang w:val="fr-BE"/>
              </w:rPr>
            </w:pPr>
            <w:r w:rsidRPr="00FC648F">
              <w:rPr>
                <w:sz w:val="18"/>
                <w:szCs w:val="20"/>
                <w:lang w:val="fr-BE"/>
              </w:rPr>
              <w:t> </w:t>
            </w:r>
          </w:p>
        </w:tc>
        <w:tc>
          <w:tcPr>
            <w:tcW w:w="517" w:type="pct"/>
            <w:tcBorders>
              <w:top w:val="nil"/>
              <w:left w:val="nil"/>
              <w:bottom w:val="nil"/>
              <w:right w:val="nil"/>
            </w:tcBorders>
            <w:shd w:val="clear" w:color="000000" w:fill="FFFFFF"/>
            <w:noWrap/>
            <w:vAlign w:val="center"/>
            <w:hideMark/>
          </w:tcPr>
          <w:p w14:paraId="44441EF0" w14:textId="77777777" w:rsidR="009D6D4E" w:rsidRPr="00FC648F" w:rsidRDefault="009D6D4E" w:rsidP="00BF3B71">
            <w:pPr>
              <w:rPr>
                <w:sz w:val="18"/>
                <w:szCs w:val="20"/>
                <w:lang w:val="fr-BE"/>
              </w:rPr>
            </w:pPr>
            <w:r w:rsidRPr="00FC648F">
              <w:rPr>
                <w:sz w:val="18"/>
                <w:szCs w:val="20"/>
                <w:lang w:val="fr-BE"/>
              </w:rPr>
              <w:t> </w:t>
            </w:r>
          </w:p>
        </w:tc>
        <w:tc>
          <w:tcPr>
            <w:tcW w:w="517" w:type="pct"/>
            <w:tcBorders>
              <w:top w:val="nil"/>
              <w:left w:val="nil"/>
              <w:bottom w:val="nil"/>
              <w:right w:val="nil"/>
            </w:tcBorders>
            <w:shd w:val="clear" w:color="000000" w:fill="FFFFFF"/>
            <w:noWrap/>
            <w:vAlign w:val="center"/>
            <w:hideMark/>
          </w:tcPr>
          <w:p w14:paraId="0463AAF8" w14:textId="77777777" w:rsidR="009D6D4E" w:rsidRPr="00FC648F" w:rsidRDefault="009D6D4E" w:rsidP="00BF3B71">
            <w:pPr>
              <w:rPr>
                <w:sz w:val="18"/>
                <w:szCs w:val="20"/>
                <w:lang w:val="fr-BE"/>
              </w:rPr>
            </w:pPr>
            <w:r w:rsidRPr="00FC648F">
              <w:rPr>
                <w:sz w:val="18"/>
                <w:szCs w:val="20"/>
                <w:lang w:val="fr-BE"/>
              </w:rPr>
              <w:t> </w:t>
            </w:r>
          </w:p>
        </w:tc>
        <w:tc>
          <w:tcPr>
            <w:tcW w:w="517" w:type="pct"/>
            <w:tcBorders>
              <w:top w:val="nil"/>
              <w:left w:val="nil"/>
              <w:bottom w:val="nil"/>
              <w:right w:val="nil"/>
            </w:tcBorders>
            <w:shd w:val="clear" w:color="000000" w:fill="FFFFFF"/>
            <w:noWrap/>
            <w:vAlign w:val="center"/>
            <w:hideMark/>
          </w:tcPr>
          <w:p w14:paraId="7EA28E08" w14:textId="77777777" w:rsidR="009D6D4E" w:rsidRPr="00FC648F" w:rsidRDefault="009D6D4E" w:rsidP="00BF3B71">
            <w:pPr>
              <w:rPr>
                <w:sz w:val="18"/>
                <w:szCs w:val="20"/>
                <w:lang w:val="fr-BE"/>
              </w:rPr>
            </w:pPr>
            <w:r w:rsidRPr="00FC648F">
              <w:rPr>
                <w:sz w:val="18"/>
                <w:szCs w:val="20"/>
                <w:lang w:val="fr-BE"/>
              </w:rPr>
              <w:t> </w:t>
            </w:r>
          </w:p>
        </w:tc>
      </w:tr>
      <w:tr w:rsidR="009D6D4E" w:rsidRPr="00030958" w14:paraId="66EE8D88" w14:textId="77777777" w:rsidTr="00BF3B71">
        <w:trPr>
          <w:trHeight w:val="20"/>
        </w:trPr>
        <w:tc>
          <w:tcPr>
            <w:tcW w:w="1890" w:type="pct"/>
            <w:tcBorders>
              <w:top w:val="double" w:sz="6" w:space="0" w:color="auto"/>
              <w:left w:val="double" w:sz="6" w:space="0" w:color="auto"/>
              <w:bottom w:val="double" w:sz="6" w:space="0" w:color="auto"/>
              <w:right w:val="nil"/>
            </w:tcBorders>
            <w:shd w:val="clear" w:color="000000" w:fill="FFFFFF"/>
            <w:vAlign w:val="center"/>
            <w:hideMark/>
          </w:tcPr>
          <w:p w14:paraId="6EE3D617" w14:textId="77777777" w:rsidR="009D6D4E" w:rsidRPr="00FC648F" w:rsidRDefault="009D6D4E" w:rsidP="00BF3B71">
            <w:pPr>
              <w:rPr>
                <w:sz w:val="18"/>
                <w:szCs w:val="20"/>
              </w:rPr>
            </w:pPr>
            <w:r w:rsidRPr="00FC648F">
              <w:rPr>
                <w:sz w:val="18"/>
                <w:szCs w:val="20"/>
              </w:rPr>
              <w:t xml:space="preserve">Ndryshimi në përqindje, mesatarja vjetore </w:t>
            </w:r>
          </w:p>
        </w:tc>
        <w:tc>
          <w:tcPr>
            <w:tcW w:w="524" w:type="pct"/>
            <w:tcBorders>
              <w:top w:val="double" w:sz="6" w:space="0" w:color="auto"/>
              <w:left w:val="dotted" w:sz="4" w:space="0" w:color="auto"/>
              <w:bottom w:val="double" w:sz="6" w:space="0" w:color="auto"/>
              <w:right w:val="single" w:sz="8" w:space="0" w:color="auto"/>
            </w:tcBorders>
            <w:shd w:val="clear" w:color="000000" w:fill="FFFFFF"/>
            <w:vAlign w:val="center"/>
            <w:hideMark/>
          </w:tcPr>
          <w:p w14:paraId="35991A01" w14:textId="77777777" w:rsidR="009D6D4E" w:rsidRPr="00FC648F" w:rsidRDefault="009D6D4E" w:rsidP="00BF3B71">
            <w:pPr>
              <w:jc w:val="center"/>
              <w:rPr>
                <w:sz w:val="18"/>
                <w:szCs w:val="20"/>
              </w:rPr>
            </w:pPr>
            <w:r w:rsidRPr="00FC648F">
              <w:rPr>
                <w:sz w:val="18"/>
                <w:szCs w:val="20"/>
              </w:rPr>
              <w:t> </w:t>
            </w:r>
          </w:p>
        </w:tc>
        <w:tc>
          <w:tcPr>
            <w:tcW w:w="517" w:type="pct"/>
            <w:tcBorders>
              <w:top w:val="double" w:sz="6" w:space="0" w:color="auto"/>
              <w:left w:val="nil"/>
              <w:bottom w:val="double" w:sz="6" w:space="0" w:color="auto"/>
              <w:right w:val="dotted" w:sz="4" w:space="0" w:color="auto"/>
            </w:tcBorders>
            <w:shd w:val="clear" w:color="000000" w:fill="FFFFFF"/>
            <w:vAlign w:val="center"/>
            <w:hideMark/>
          </w:tcPr>
          <w:p w14:paraId="4D8776B3" w14:textId="77777777" w:rsidR="009D6D4E" w:rsidRPr="00030958" w:rsidRDefault="009D6D4E" w:rsidP="00BF3B71">
            <w:pPr>
              <w:jc w:val="center"/>
              <w:rPr>
                <w:sz w:val="18"/>
                <w:szCs w:val="20"/>
                <w:lang w:val="en-US"/>
              </w:rPr>
            </w:pPr>
            <w:r w:rsidRPr="00030958">
              <w:rPr>
                <w:sz w:val="18"/>
                <w:szCs w:val="20"/>
                <w:lang w:val="en-US"/>
              </w:rPr>
              <w:t>2018</w:t>
            </w:r>
          </w:p>
        </w:tc>
        <w:tc>
          <w:tcPr>
            <w:tcW w:w="517" w:type="pct"/>
            <w:tcBorders>
              <w:top w:val="double" w:sz="6" w:space="0" w:color="auto"/>
              <w:left w:val="nil"/>
              <w:bottom w:val="double" w:sz="6" w:space="0" w:color="auto"/>
              <w:right w:val="dotted" w:sz="4" w:space="0" w:color="auto"/>
            </w:tcBorders>
            <w:shd w:val="clear" w:color="000000" w:fill="FFFFFF"/>
            <w:vAlign w:val="center"/>
            <w:hideMark/>
          </w:tcPr>
          <w:p w14:paraId="60E17ECD" w14:textId="77777777" w:rsidR="009D6D4E" w:rsidRPr="00030958" w:rsidRDefault="009D6D4E" w:rsidP="00BF3B71">
            <w:pPr>
              <w:jc w:val="center"/>
              <w:rPr>
                <w:sz w:val="18"/>
                <w:szCs w:val="20"/>
                <w:lang w:val="en-US"/>
              </w:rPr>
            </w:pPr>
            <w:r w:rsidRPr="00030958">
              <w:rPr>
                <w:sz w:val="18"/>
                <w:szCs w:val="20"/>
                <w:lang w:val="en-US"/>
              </w:rPr>
              <w:t>2019</w:t>
            </w:r>
          </w:p>
        </w:tc>
        <w:tc>
          <w:tcPr>
            <w:tcW w:w="517" w:type="pct"/>
            <w:tcBorders>
              <w:top w:val="double" w:sz="6" w:space="0" w:color="auto"/>
              <w:left w:val="nil"/>
              <w:bottom w:val="double" w:sz="6" w:space="0" w:color="auto"/>
              <w:right w:val="dotted" w:sz="4" w:space="0" w:color="auto"/>
            </w:tcBorders>
            <w:shd w:val="clear" w:color="000000" w:fill="FFFFFF"/>
            <w:vAlign w:val="center"/>
            <w:hideMark/>
          </w:tcPr>
          <w:p w14:paraId="45CA6D24" w14:textId="77777777" w:rsidR="009D6D4E" w:rsidRPr="00030958" w:rsidRDefault="009D6D4E" w:rsidP="00BF3B71">
            <w:pPr>
              <w:jc w:val="center"/>
              <w:rPr>
                <w:sz w:val="18"/>
                <w:szCs w:val="20"/>
                <w:lang w:val="en-US"/>
              </w:rPr>
            </w:pPr>
            <w:r w:rsidRPr="00030958">
              <w:rPr>
                <w:sz w:val="18"/>
                <w:szCs w:val="20"/>
                <w:lang w:val="en-US"/>
              </w:rPr>
              <w:t>2020</w:t>
            </w:r>
          </w:p>
        </w:tc>
        <w:tc>
          <w:tcPr>
            <w:tcW w:w="517" w:type="pct"/>
            <w:tcBorders>
              <w:top w:val="double" w:sz="6" w:space="0" w:color="auto"/>
              <w:left w:val="nil"/>
              <w:bottom w:val="double" w:sz="6" w:space="0" w:color="auto"/>
              <w:right w:val="dotted" w:sz="4" w:space="0" w:color="auto"/>
            </w:tcBorders>
            <w:shd w:val="clear" w:color="000000" w:fill="FFFFFF"/>
            <w:vAlign w:val="center"/>
            <w:hideMark/>
          </w:tcPr>
          <w:p w14:paraId="01C9E2C9" w14:textId="77777777" w:rsidR="009D6D4E" w:rsidRPr="00030958" w:rsidRDefault="009D6D4E" w:rsidP="00BF3B71">
            <w:pPr>
              <w:jc w:val="center"/>
              <w:rPr>
                <w:sz w:val="18"/>
                <w:szCs w:val="20"/>
                <w:lang w:val="en-US"/>
              </w:rPr>
            </w:pPr>
            <w:r w:rsidRPr="00030958">
              <w:rPr>
                <w:sz w:val="18"/>
                <w:szCs w:val="20"/>
                <w:lang w:val="en-US"/>
              </w:rPr>
              <w:t>2021</w:t>
            </w:r>
          </w:p>
        </w:tc>
        <w:tc>
          <w:tcPr>
            <w:tcW w:w="517" w:type="pct"/>
            <w:tcBorders>
              <w:top w:val="double" w:sz="6" w:space="0" w:color="auto"/>
              <w:left w:val="nil"/>
              <w:bottom w:val="double" w:sz="6" w:space="0" w:color="auto"/>
              <w:right w:val="double" w:sz="6" w:space="0" w:color="auto"/>
            </w:tcBorders>
            <w:shd w:val="clear" w:color="000000" w:fill="FFFFFF"/>
            <w:vAlign w:val="center"/>
            <w:hideMark/>
          </w:tcPr>
          <w:p w14:paraId="390DF14B" w14:textId="77777777" w:rsidR="009D6D4E" w:rsidRPr="00030958" w:rsidRDefault="009D6D4E" w:rsidP="00BF3B71">
            <w:pPr>
              <w:jc w:val="center"/>
              <w:rPr>
                <w:sz w:val="18"/>
                <w:szCs w:val="20"/>
                <w:lang w:val="en-US"/>
              </w:rPr>
            </w:pPr>
            <w:r w:rsidRPr="00030958">
              <w:rPr>
                <w:sz w:val="18"/>
                <w:szCs w:val="20"/>
                <w:lang w:val="en-US"/>
              </w:rPr>
              <w:t>2022</w:t>
            </w:r>
          </w:p>
        </w:tc>
      </w:tr>
      <w:tr w:rsidR="009D6D4E" w:rsidRPr="00030958" w14:paraId="0A5D6E9B" w14:textId="77777777" w:rsidTr="00BF3B71">
        <w:trPr>
          <w:trHeight w:val="20"/>
        </w:trPr>
        <w:tc>
          <w:tcPr>
            <w:tcW w:w="1890" w:type="pct"/>
            <w:tcBorders>
              <w:top w:val="nil"/>
              <w:left w:val="double" w:sz="6" w:space="0" w:color="auto"/>
              <w:bottom w:val="dotted" w:sz="4" w:space="0" w:color="auto"/>
              <w:right w:val="nil"/>
            </w:tcBorders>
            <w:shd w:val="clear" w:color="000000" w:fill="FFFFFF"/>
            <w:vAlign w:val="center"/>
            <w:hideMark/>
          </w:tcPr>
          <w:p w14:paraId="68B88F98" w14:textId="77777777" w:rsidR="009D6D4E" w:rsidRPr="00030958" w:rsidRDefault="009D6D4E" w:rsidP="00BF3B71">
            <w:pPr>
              <w:rPr>
                <w:sz w:val="18"/>
                <w:szCs w:val="20"/>
                <w:lang w:val="en-US"/>
              </w:rPr>
            </w:pPr>
            <w:r w:rsidRPr="00030958">
              <w:rPr>
                <w:sz w:val="18"/>
                <w:szCs w:val="20"/>
                <w:lang w:val="en-US"/>
              </w:rPr>
              <w:t>1. Deflatori i BPV-së</w:t>
            </w:r>
          </w:p>
        </w:tc>
        <w:tc>
          <w:tcPr>
            <w:tcW w:w="524" w:type="pct"/>
            <w:tcBorders>
              <w:top w:val="nil"/>
              <w:left w:val="dotted" w:sz="4" w:space="0" w:color="auto"/>
              <w:bottom w:val="dotted" w:sz="4" w:space="0" w:color="auto"/>
              <w:right w:val="single" w:sz="8" w:space="0" w:color="auto"/>
            </w:tcBorders>
            <w:shd w:val="clear" w:color="000000" w:fill="FFFFFF"/>
            <w:vAlign w:val="center"/>
            <w:hideMark/>
          </w:tcPr>
          <w:p w14:paraId="0B69975C" w14:textId="77777777" w:rsidR="009D6D4E" w:rsidRPr="00030958" w:rsidRDefault="009D6D4E" w:rsidP="00BF3B71">
            <w:pPr>
              <w:jc w:val="center"/>
              <w:rPr>
                <w:sz w:val="18"/>
                <w:szCs w:val="20"/>
                <w:lang w:val="en-US"/>
              </w:rPr>
            </w:pPr>
            <w:r w:rsidRPr="00030958">
              <w:rPr>
                <w:sz w:val="18"/>
                <w:szCs w:val="20"/>
                <w:lang w:val="en-US"/>
              </w:rPr>
              <w:t>%, yoy</w:t>
            </w:r>
          </w:p>
        </w:tc>
        <w:tc>
          <w:tcPr>
            <w:tcW w:w="517" w:type="pct"/>
            <w:tcBorders>
              <w:top w:val="nil"/>
              <w:left w:val="nil"/>
              <w:bottom w:val="dotted" w:sz="4" w:space="0" w:color="auto"/>
              <w:right w:val="dotted" w:sz="4" w:space="0" w:color="auto"/>
            </w:tcBorders>
            <w:shd w:val="clear" w:color="000000" w:fill="FFFFFF"/>
            <w:vAlign w:val="center"/>
            <w:hideMark/>
          </w:tcPr>
          <w:p w14:paraId="6CE04F6E" w14:textId="77777777" w:rsidR="009D6D4E" w:rsidRPr="00030958" w:rsidRDefault="009D6D4E" w:rsidP="00BF3B71">
            <w:pPr>
              <w:jc w:val="center"/>
              <w:rPr>
                <w:sz w:val="18"/>
                <w:szCs w:val="20"/>
                <w:lang w:val="en-US"/>
              </w:rPr>
            </w:pPr>
            <w:r w:rsidRPr="00030958">
              <w:rPr>
                <w:sz w:val="18"/>
                <w:szCs w:val="20"/>
                <w:lang w:val="en-US"/>
              </w:rPr>
              <w:t>1.0</w:t>
            </w:r>
          </w:p>
        </w:tc>
        <w:tc>
          <w:tcPr>
            <w:tcW w:w="517" w:type="pct"/>
            <w:tcBorders>
              <w:top w:val="nil"/>
              <w:left w:val="nil"/>
              <w:bottom w:val="dotted" w:sz="4" w:space="0" w:color="auto"/>
              <w:right w:val="dotted" w:sz="4" w:space="0" w:color="auto"/>
            </w:tcBorders>
            <w:shd w:val="clear" w:color="000000" w:fill="FFFFFF"/>
            <w:vAlign w:val="center"/>
            <w:hideMark/>
          </w:tcPr>
          <w:p w14:paraId="745412D6" w14:textId="77777777" w:rsidR="009D6D4E" w:rsidRPr="00030958" w:rsidRDefault="009D6D4E" w:rsidP="00BF3B71">
            <w:pPr>
              <w:jc w:val="center"/>
              <w:rPr>
                <w:sz w:val="18"/>
                <w:szCs w:val="20"/>
                <w:lang w:val="en-US"/>
              </w:rPr>
            </w:pPr>
            <w:r w:rsidRPr="00030958">
              <w:rPr>
                <w:sz w:val="18"/>
                <w:szCs w:val="20"/>
                <w:lang w:val="en-US"/>
              </w:rPr>
              <w:t>1.7</w:t>
            </w:r>
          </w:p>
        </w:tc>
        <w:tc>
          <w:tcPr>
            <w:tcW w:w="517" w:type="pct"/>
            <w:tcBorders>
              <w:top w:val="nil"/>
              <w:left w:val="nil"/>
              <w:bottom w:val="dotted" w:sz="4" w:space="0" w:color="auto"/>
              <w:right w:val="dotted" w:sz="4" w:space="0" w:color="auto"/>
            </w:tcBorders>
            <w:shd w:val="clear" w:color="000000" w:fill="FFFFFF"/>
            <w:vAlign w:val="center"/>
            <w:hideMark/>
          </w:tcPr>
          <w:p w14:paraId="5863A0E3" w14:textId="77777777" w:rsidR="009D6D4E" w:rsidRPr="00030958" w:rsidRDefault="009D6D4E" w:rsidP="00BF3B71">
            <w:pPr>
              <w:jc w:val="center"/>
              <w:rPr>
                <w:sz w:val="18"/>
                <w:szCs w:val="20"/>
                <w:lang w:val="en-US"/>
              </w:rPr>
            </w:pPr>
            <w:r w:rsidRPr="00030958">
              <w:rPr>
                <w:sz w:val="18"/>
                <w:szCs w:val="20"/>
                <w:lang w:val="en-US"/>
              </w:rPr>
              <w:t>1.4</w:t>
            </w:r>
          </w:p>
        </w:tc>
        <w:tc>
          <w:tcPr>
            <w:tcW w:w="517" w:type="pct"/>
            <w:tcBorders>
              <w:top w:val="nil"/>
              <w:left w:val="nil"/>
              <w:bottom w:val="dotted" w:sz="4" w:space="0" w:color="auto"/>
              <w:right w:val="dotted" w:sz="4" w:space="0" w:color="auto"/>
            </w:tcBorders>
            <w:shd w:val="clear" w:color="000000" w:fill="FFFFFF"/>
            <w:vAlign w:val="center"/>
            <w:hideMark/>
          </w:tcPr>
          <w:p w14:paraId="01201C21" w14:textId="77777777" w:rsidR="009D6D4E" w:rsidRPr="00030958" w:rsidRDefault="009D6D4E" w:rsidP="00BF3B71">
            <w:pPr>
              <w:jc w:val="center"/>
              <w:rPr>
                <w:sz w:val="18"/>
                <w:szCs w:val="20"/>
                <w:lang w:val="en-US"/>
              </w:rPr>
            </w:pPr>
            <w:r w:rsidRPr="00030958">
              <w:rPr>
                <w:sz w:val="18"/>
                <w:szCs w:val="20"/>
                <w:lang w:val="en-US"/>
              </w:rPr>
              <w:t>1.0</w:t>
            </w:r>
          </w:p>
        </w:tc>
        <w:tc>
          <w:tcPr>
            <w:tcW w:w="517" w:type="pct"/>
            <w:tcBorders>
              <w:top w:val="nil"/>
              <w:left w:val="nil"/>
              <w:bottom w:val="dotted" w:sz="4" w:space="0" w:color="auto"/>
              <w:right w:val="double" w:sz="6" w:space="0" w:color="auto"/>
            </w:tcBorders>
            <w:shd w:val="clear" w:color="000000" w:fill="FFFFFF"/>
            <w:vAlign w:val="center"/>
            <w:hideMark/>
          </w:tcPr>
          <w:p w14:paraId="47E3D489" w14:textId="77777777" w:rsidR="009D6D4E" w:rsidRPr="00030958" w:rsidRDefault="009D6D4E" w:rsidP="00BF3B71">
            <w:pPr>
              <w:jc w:val="center"/>
              <w:rPr>
                <w:sz w:val="18"/>
                <w:szCs w:val="20"/>
                <w:lang w:val="en-US"/>
              </w:rPr>
            </w:pPr>
            <w:r w:rsidRPr="00030958">
              <w:rPr>
                <w:sz w:val="18"/>
                <w:szCs w:val="20"/>
                <w:lang w:val="en-US"/>
              </w:rPr>
              <w:t>0.9</w:t>
            </w:r>
          </w:p>
        </w:tc>
      </w:tr>
      <w:tr w:rsidR="009D6D4E" w:rsidRPr="00030958" w14:paraId="464A33E0" w14:textId="77777777" w:rsidTr="00BF3B71">
        <w:trPr>
          <w:trHeight w:val="20"/>
        </w:trPr>
        <w:tc>
          <w:tcPr>
            <w:tcW w:w="1890" w:type="pct"/>
            <w:tcBorders>
              <w:top w:val="nil"/>
              <w:left w:val="double" w:sz="6" w:space="0" w:color="auto"/>
              <w:bottom w:val="dotted" w:sz="4" w:space="0" w:color="auto"/>
              <w:right w:val="nil"/>
            </w:tcBorders>
            <w:shd w:val="clear" w:color="000000" w:fill="FFFFFF"/>
            <w:vAlign w:val="center"/>
            <w:hideMark/>
          </w:tcPr>
          <w:p w14:paraId="3D68DF4A" w14:textId="77777777" w:rsidR="009D6D4E" w:rsidRPr="00030958" w:rsidRDefault="009D6D4E" w:rsidP="00BF3B71">
            <w:pPr>
              <w:rPr>
                <w:sz w:val="18"/>
                <w:szCs w:val="20"/>
                <w:lang w:val="en-US"/>
              </w:rPr>
            </w:pPr>
            <w:r w:rsidRPr="00030958">
              <w:rPr>
                <w:sz w:val="18"/>
                <w:szCs w:val="20"/>
                <w:lang w:val="en-US"/>
              </w:rPr>
              <w:t xml:space="preserve">2. Deflatori i konsumit privat </w:t>
            </w:r>
          </w:p>
        </w:tc>
        <w:tc>
          <w:tcPr>
            <w:tcW w:w="524" w:type="pct"/>
            <w:tcBorders>
              <w:top w:val="nil"/>
              <w:left w:val="dotted" w:sz="4" w:space="0" w:color="auto"/>
              <w:bottom w:val="dotted" w:sz="4" w:space="0" w:color="auto"/>
              <w:right w:val="single" w:sz="8" w:space="0" w:color="auto"/>
            </w:tcBorders>
            <w:shd w:val="clear" w:color="000000" w:fill="FFFFFF"/>
            <w:vAlign w:val="center"/>
            <w:hideMark/>
          </w:tcPr>
          <w:p w14:paraId="7B4AEF73" w14:textId="77777777" w:rsidR="009D6D4E" w:rsidRPr="00030958" w:rsidRDefault="009D6D4E" w:rsidP="00BF3B71">
            <w:pPr>
              <w:jc w:val="center"/>
              <w:rPr>
                <w:sz w:val="18"/>
                <w:szCs w:val="20"/>
                <w:lang w:val="en-US"/>
              </w:rPr>
            </w:pPr>
            <w:r w:rsidRPr="00030958">
              <w:rPr>
                <w:sz w:val="18"/>
                <w:szCs w:val="20"/>
                <w:lang w:val="en-US"/>
              </w:rPr>
              <w:t>%, yoy</w:t>
            </w:r>
          </w:p>
        </w:tc>
        <w:tc>
          <w:tcPr>
            <w:tcW w:w="517" w:type="pct"/>
            <w:tcBorders>
              <w:top w:val="nil"/>
              <w:left w:val="nil"/>
              <w:bottom w:val="dotted" w:sz="4" w:space="0" w:color="auto"/>
              <w:right w:val="dotted" w:sz="4" w:space="0" w:color="auto"/>
            </w:tcBorders>
            <w:shd w:val="clear" w:color="000000" w:fill="FFFFFF"/>
            <w:vAlign w:val="center"/>
            <w:hideMark/>
          </w:tcPr>
          <w:p w14:paraId="04D0F941" w14:textId="77777777" w:rsidR="009D6D4E" w:rsidRPr="00030958" w:rsidRDefault="009D6D4E" w:rsidP="00BF3B71">
            <w:pPr>
              <w:jc w:val="center"/>
              <w:rPr>
                <w:sz w:val="18"/>
                <w:szCs w:val="20"/>
                <w:lang w:val="en-US"/>
              </w:rPr>
            </w:pPr>
            <w:r w:rsidRPr="00030958">
              <w:rPr>
                <w:sz w:val="18"/>
                <w:szCs w:val="20"/>
                <w:lang w:val="en-US"/>
              </w:rPr>
              <w:t>2.0</w:t>
            </w:r>
          </w:p>
        </w:tc>
        <w:tc>
          <w:tcPr>
            <w:tcW w:w="517" w:type="pct"/>
            <w:tcBorders>
              <w:top w:val="nil"/>
              <w:left w:val="nil"/>
              <w:bottom w:val="dotted" w:sz="4" w:space="0" w:color="auto"/>
              <w:right w:val="dotted" w:sz="4" w:space="0" w:color="auto"/>
            </w:tcBorders>
            <w:shd w:val="clear" w:color="000000" w:fill="FFFFFF"/>
            <w:vAlign w:val="center"/>
            <w:hideMark/>
          </w:tcPr>
          <w:p w14:paraId="5FF6EA6F" w14:textId="77777777" w:rsidR="009D6D4E" w:rsidRPr="00030958" w:rsidRDefault="009D6D4E" w:rsidP="00BF3B71">
            <w:pPr>
              <w:jc w:val="center"/>
              <w:rPr>
                <w:sz w:val="18"/>
                <w:szCs w:val="20"/>
                <w:lang w:val="en-US"/>
              </w:rPr>
            </w:pPr>
            <w:r w:rsidRPr="00030958">
              <w:rPr>
                <w:sz w:val="18"/>
                <w:szCs w:val="20"/>
                <w:lang w:val="en-US"/>
              </w:rPr>
              <w:t>2.7</w:t>
            </w:r>
          </w:p>
        </w:tc>
        <w:tc>
          <w:tcPr>
            <w:tcW w:w="517" w:type="pct"/>
            <w:tcBorders>
              <w:top w:val="nil"/>
              <w:left w:val="nil"/>
              <w:bottom w:val="dotted" w:sz="4" w:space="0" w:color="auto"/>
              <w:right w:val="dotted" w:sz="4" w:space="0" w:color="auto"/>
            </w:tcBorders>
            <w:shd w:val="clear" w:color="000000" w:fill="FFFFFF"/>
            <w:vAlign w:val="center"/>
            <w:hideMark/>
          </w:tcPr>
          <w:p w14:paraId="1E8C8A87" w14:textId="77777777" w:rsidR="009D6D4E" w:rsidRPr="00030958" w:rsidRDefault="009D6D4E" w:rsidP="00BF3B71">
            <w:pPr>
              <w:jc w:val="center"/>
              <w:rPr>
                <w:sz w:val="18"/>
                <w:szCs w:val="20"/>
                <w:lang w:val="en-US"/>
              </w:rPr>
            </w:pPr>
            <w:r w:rsidRPr="00030958">
              <w:rPr>
                <w:sz w:val="18"/>
                <w:szCs w:val="20"/>
                <w:lang w:val="en-US"/>
              </w:rPr>
              <w:t>1.8</w:t>
            </w:r>
          </w:p>
        </w:tc>
        <w:tc>
          <w:tcPr>
            <w:tcW w:w="517" w:type="pct"/>
            <w:tcBorders>
              <w:top w:val="nil"/>
              <w:left w:val="nil"/>
              <w:bottom w:val="dotted" w:sz="4" w:space="0" w:color="auto"/>
              <w:right w:val="dotted" w:sz="4" w:space="0" w:color="auto"/>
            </w:tcBorders>
            <w:shd w:val="clear" w:color="000000" w:fill="FFFFFF"/>
            <w:vAlign w:val="center"/>
            <w:hideMark/>
          </w:tcPr>
          <w:p w14:paraId="10AB2D98" w14:textId="77777777" w:rsidR="009D6D4E" w:rsidRPr="00030958" w:rsidRDefault="009D6D4E" w:rsidP="00BF3B71">
            <w:pPr>
              <w:jc w:val="center"/>
              <w:rPr>
                <w:sz w:val="18"/>
                <w:szCs w:val="20"/>
                <w:lang w:val="en-US"/>
              </w:rPr>
            </w:pPr>
            <w:r w:rsidRPr="00030958">
              <w:rPr>
                <w:sz w:val="18"/>
                <w:szCs w:val="20"/>
                <w:lang w:val="en-US"/>
              </w:rPr>
              <w:t>0.8</w:t>
            </w:r>
          </w:p>
        </w:tc>
        <w:tc>
          <w:tcPr>
            <w:tcW w:w="517" w:type="pct"/>
            <w:tcBorders>
              <w:top w:val="nil"/>
              <w:left w:val="nil"/>
              <w:bottom w:val="dotted" w:sz="4" w:space="0" w:color="auto"/>
              <w:right w:val="double" w:sz="6" w:space="0" w:color="auto"/>
            </w:tcBorders>
            <w:shd w:val="clear" w:color="000000" w:fill="FFFFFF"/>
            <w:vAlign w:val="center"/>
            <w:hideMark/>
          </w:tcPr>
          <w:p w14:paraId="1200DDD0" w14:textId="77777777" w:rsidR="009D6D4E" w:rsidRPr="00030958" w:rsidRDefault="009D6D4E" w:rsidP="00BF3B71">
            <w:pPr>
              <w:jc w:val="center"/>
              <w:rPr>
                <w:sz w:val="18"/>
                <w:szCs w:val="20"/>
                <w:lang w:val="en-US"/>
              </w:rPr>
            </w:pPr>
            <w:r w:rsidRPr="00030958">
              <w:rPr>
                <w:sz w:val="18"/>
                <w:szCs w:val="20"/>
                <w:lang w:val="en-US"/>
              </w:rPr>
              <w:t>0.7</w:t>
            </w:r>
          </w:p>
        </w:tc>
      </w:tr>
      <w:tr w:rsidR="009D6D4E" w:rsidRPr="00030958" w14:paraId="5F4636C5" w14:textId="77777777" w:rsidTr="00BF3B71">
        <w:trPr>
          <w:trHeight w:val="20"/>
        </w:trPr>
        <w:tc>
          <w:tcPr>
            <w:tcW w:w="1890" w:type="pct"/>
            <w:tcBorders>
              <w:top w:val="nil"/>
              <w:left w:val="double" w:sz="6" w:space="0" w:color="auto"/>
              <w:bottom w:val="dotted" w:sz="4" w:space="0" w:color="auto"/>
              <w:right w:val="nil"/>
            </w:tcBorders>
            <w:shd w:val="clear" w:color="000000" w:fill="FFFFFF"/>
            <w:vAlign w:val="center"/>
            <w:hideMark/>
          </w:tcPr>
          <w:p w14:paraId="27B504DF" w14:textId="77777777" w:rsidR="009D6D4E" w:rsidRPr="00030958" w:rsidRDefault="009D6D4E" w:rsidP="00BF3B71">
            <w:pPr>
              <w:rPr>
                <w:sz w:val="18"/>
                <w:szCs w:val="20"/>
                <w:lang w:val="en-US"/>
              </w:rPr>
            </w:pPr>
            <w:r w:rsidRPr="00030958">
              <w:rPr>
                <w:sz w:val="18"/>
                <w:szCs w:val="20"/>
                <w:lang w:val="en-US"/>
              </w:rPr>
              <w:t>3. IHÇK</w:t>
            </w:r>
          </w:p>
        </w:tc>
        <w:tc>
          <w:tcPr>
            <w:tcW w:w="524" w:type="pct"/>
            <w:tcBorders>
              <w:top w:val="nil"/>
              <w:left w:val="dotted" w:sz="4" w:space="0" w:color="auto"/>
              <w:bottom w:val="dotted" w:sz="4" w:space="0" w:color="auto"/>
              <w:right w:val="single" w:sz="8" w:space="0" w:color="auto"/>
            </w:tcBorders>
            <w:shd w:val="clear" w:color="000000" w:fill="FFFFFF"/>
            <w:vAlign w:val="center"/>
            <w:hideMark/>
          </w:tcPr>
          <w:p w14:paraId="6688B973" w14:textId="77777777" w:rsidR="009D6D4E" w:rsidRPr="00030958" w:rsidRDefault="009D6D4E" w:rsidP="00BF3B71">
            <w:pPr>
              <w:jc w:val="center"/>
              <w:rPr>
                <w:sz w:val="18"/>
                <w:szCs w:val="20"/>
                <w:lang w:val="en-US"/>
              </w:rPr>
            </w:pPr>
            <w:r w:rsidRPr="00030958">
              <w:rPr>
                <w:sz w:val="18"/>
                <w:szCs w:val="20"/>
                <w:lang w:val="en-US"/>
              </w:rPr>
              <w:t>%, yoy</w:t>
            </w:r>
          </w:p>
        </w:tc>
        <w:tc>
          <w:tcPr>
            <w:tcW w:w="517" w:type="pct"/>
            <w:tcBorders>
              <w:top w:val="nil"/>
              <w:left w:val="nil"/>
              <w:bottom w:val="dotted" w:sz="4" w:space="0" w:color="auto"/>
              <w:right w:val="dotted" w:sz="4" w:space="0" w:color="auto"/>
            </w:tcBorders>
            <w:shd w:val="clear" w:color="auto" w:fill="auto"/>
            <w:vAlign w:val="center"/>
            <w:hideMark/>
          </w:tcPr>
          <w:p w14:paraId="263F53D6" w14:textId="77777777" w:rsidR="009D6D4E" w:rsidRPr="00030958" w:rsidRDefault="009D6D4E" w:rsidP="00BF3B71">
            <w:pPr>
              <w:jc w:val="center"/>
              <w:rPr>
                <w:sz w:val="18"/>
                <w:szCs w:val="20"/>
                <w:lang w:val="en-US"/>
              </w:rPr>
            </w:pPr>
            <w:r w:rsidRPr="00030958">
              <w:rPr>
                <w:sz w:val="18"/>
                <w:szCs w:val="20"/>
                <w:lang w:val="en-US"/>
              </w:rPr>
              <w:t>1.0</w:t>
            </w:r>
          </w:p>
        </w:tc>
        <w:tc>
          <w:tcPr>
            <w:tcW w:w="517" w:type="pct"/>
            <w:tcBorders>
              <w:top w:val="nil"/>
              <w:left w:val="nil"/>
              <w:bottom w:val="dotted" w:sz="4" w:space="0" w:color="auto"/>
              <w:right w:val="dotted" w:sz="4" w:space="0" w:color="auto"/>
            </w:tcBorders>
            <w:shd w:val="clear" w:color="auto" w:fill="auto"/>
            <w:vAlign w:val="center"/>
            <w:hideMark/>
          </w:tcPr>
          <w:p w14:paraId="667FF129" w14:textId="77777777" w:rsidR="009D6D4E" w:rsidRPr="00030958" w:rsidRDefault="009D6D4E" w:rsidP="00BF3B71">
            <w:pPr>
              <w:jc w:val="center"/>
              <w:rPr>
                <w:sz w:val="18"/>
                <w:szCs w:val="20"/>
                <w:lang w:val="en-US"/>
              </w:rPr>
            </w:pPr>
            <w:r w:rsidRPr="00030958">
              <w:rPr>
                <w:sz w:val="18"/>
                <w:szCs w:val="20"/>
                <w:lang w:val="en-US"/>
              </w:rPr>
              <w:t>2.7</w:t>
            </w:r>
          </w:p>
        </w:tc>
        <w:tc>
          <w:tcPr>
            <w:tcW w:w="517" w:type="pct"/>
            <w:tcBorders>
              <w:top w:val="nil"/>
              <w:left w:val="nil"/>
              <w:bottom w:val="dotted" w:sz="4" w:space="0" w:color="auto"/>
              <w:right w:val="dotted" w:sz="4" w:space="0" w:color="auto"/>
            </w:tcBorders>
            <w:shd w:val="clear" w:color="auto" w:fill="auto"/>
            <w:vAlign w:val="center"/>
            <w:hideMark/>
          </w:tcPr>
          <w:p w14:paraId="5553A97B" w14:textId="77777777" w:rsidR="009D6D4E" w:rsidRPr="00030958" w:rsidRDefault="009D6D4E" w:rsidP="00BF3B71">
            <w:pPr>
              <w:jc w:val="center"/>
              <w:rPr>
                <w:sz w:val="18"/>
                <w:szCs w:val="20"/>
                <w:lang w:val="en-US"/>
              </w:rPr>
            </w:pPr>
            <w:r w:rsidRPr="00030958">
              <w:rPr>
                <w:sz w:val="18"/>
                <w:szCs w:val="20"/>
                <w:lang w:val="en-US"/>
              </w:rPr>
              <w:t>1.8</w:t>
            </w:r>
          </w:p>
        </w:tc>
        <w:tc>
          <w:tcPr>
            <w:tcW w:w="517" w:type="pct"/>
            <w:tcBorders>
              <w:top w:val="nil"/>
              <w:left w:val="nil"/>
              <w:bottom w:val="dotted" w:sz="4" w:space="0" w:color="auto"/>
              <w:right w:val="dotted" w:sz="4" w:space="0" w:color="auto"/>
            </w:tcBorders>
            <w:shd w:val="clear" w:color="auto" w:fill="auto"/>
            <w:vAlign w:val="center"/>
            <w:hideMark/>
          </w:tcPr>
          <w:p w14:paraId="0599A9A1" w14:textId="77777777" w:rsidR="009D6D4E" w:rsidRPr="00030958" w:rsidRDefault="009D6D4E" w:rsidP="00BF3B71">
            <w:pPr>
              <w:jc w:val="center"/>
              <w:rPr>
                <w:sz w:val="18"/>
                <w:szCs w:val="20"/>
                <w:lang w:val="en-US"/>
              </w:rPr>
            </w:pPr>
            <w:r w:rsidRPr="00030958">
              <w:rPr>
                <w:sz w:val="18"/>
                <w:szCs w:val="20"/>
                <w:lang w:val="en-US"/>
              </w:rPr>
              <w:t>1.3</w:t>
            </w:r>
          </w:p>
        </w:tc>
        <w:tc>
          <w:tcPr>
            <w:tcW w:w="517" w:type="pct"/>
            <w:tcBorders>
              <w:top w:val="nil"/>
              <w:left w:val="nil"/>
              <w:bottom w:val="dotted" w:sz="4" w:space="0" w:color="auto"/>
              <w:right w:val="double" w:sz="6" w:space="0" w:color="auto"/>
            </w:tcBorders>
            <w:shd w:val="clear" w:color="auto" w:fill="auto"/>
            <w:vAlign w:val="center"/>
            <w:hideMark/>
          </w:tcPr>
          <w:p w14:paraId="730D4613" w14:textId="77777777" w:rsidR="009D6D4E" w:rsidRPr="00030958" w:rsidRDefault="009D6D4E" w:rsidP="00BF3B71">
            <w:pPr>
              <w:jc w:val="center"/>
              <w:rPr>
                <w:sz w:val="18"/>
                <w:szCs w:val="20"/>
                <w:lang w:val="en-US"/>
              </w:rPr>
            </w:pPr>
            <w:r w:rsidRPr="00030958">
              <w:rPr>
                <w:sz w:val="18"/>
                <w:szCs w:val="20"/>
                <w:lang w:val="en-US"/>
              </w:rPr>
              <w:t>1.2</w:t>
            </w:r>
          </w:p>
        </w:tc>
      </w:tr>
      <w:tr w:rsidR="009D6D4E" w:rsidRPr="00030958" w14:paraId="2E934167" w14:textId="77777777" w:rsidTr="00BF3B71">
        <w:trPr>
          <w:trHeight w:val="20"/>
        </w:trPr>
        <w:tc>
          <w:tcPr>
            <w:tcW w:w="1890" w:type="pct"/>
            <w:tcBorders>
              <w:top w:val="nil"/>
              <w:left w:val="double" w:sz="6" w:space="0" w:color="auto"/>
              <w:bottom w:val="dotted" w:sz="4" w:space="0" w:color="auto"/>
              <w:right w:val="nil"/>
            </w:tcBorders>
            <w:shd w:val="clear" w:color="000000" w:fill="FFFFFF"/>
            <w:vAlign w:val="center"/>
            <w:hideMark/>
          </w:tcPr>
          <w:p w14:paraId="23B004C0" w14:textId="77777777" w:rsidR="009D6D4E" w:rsidRPr="00030958" w:rsidRDefault="009D6D4E" w:rsidP="00BF3B71">
            <w:pPr>
              <w:rPr>
                <w:sz w:val="18"/>
                <w:szCs w:val="20"/>
                <w:lang w:val="en-US"/>
              </w:rPr>
            </w:pPr>
            <w:r w:rsidRPr="00030958">
              <w:rPr>
                <w:sz w:val="18"/>
                <w:szCs w:val="20"/>
                <w:lang w:val="en-US"/>
              </w:rPr>
              <w:t>4. Ndryshimi në IÇK</w:t>
            </w:r>
          </w:p>
        </w:tc>
        <w:tc>
          <w:tcPr>
            <w:tcW w:w="524" w:type="pct"/>
            <w:tcBorders>
              <w:top w:val="nil"/>
              <w:left w:val="dotted" w:sz="4" w:space="0" w:color="auto"/>
              <w:bottom w:val="dotted" w:sz="4" w:space="0" w:color="auto"/>
              <w:right w:val="single" w:sz="8" w:space="0" w:color="auto"/>
            </w:tcBorders>
            <w:shd w:val="clear" w:color="000000" w:fill="FFFFFF"/>
            <w:vAlign w:val="center"/>
            <w:hideMark/>
          </w:tcPr>
          <w:p w14:paraId="32B303C8" w14:textId="77777777" w:rsidR="009D6D4E" w:rsidRPr="00030958" w:rsidRDefault="009D6D4E" w:rsidP="00BF3B71">
            <w:pPr>
              <w:jc w:val="center"/>
              <w:rPr>
                <w:sz w:val="18"/>
                <w:szCs w:val="20"/>
                <w:lang w:val="en-US"/>
              </w:rPr>
            </w:pPr>
            <w:r w:rsidRPr="00030958">
              <w:rPr>
                <w:sz w:val="18"/>
                <w:szCs w:val="20"/>
                <w:lang w:val="en-US"/>
              </w:rPr>
              <w:t>%, yoy</w:t>
            </w:r>
          </w:p>
        </w:tc>
        <w:tc>
          <w:tcPr>
            <w:tcW w:w="517" w:type="pct"/>
            <w:tcBorders>
              <w:top w:val="nil"/>
              <w:left w:val="nil"/>
              <w:bottom w:val="dotted" w:sz="4" w:space="0" w:color="auto"/>
              <w:right w:val="dotted" w:sz="4" w:space="0" w:color="auto"/>
            </w:tcBorders>
            <w:shd w:val="clear" w:color="000000" w:fill="FFFFFF"/>
            <w:vAlign w:val="center"/>
            <w:hideMark/>
          </w:tcPr>
          <w:p w14:paraId="18A4D4D1" w14:textId="77777777" w:rsidR="009D6D4E" w:rsidRPr="00030958" w:rsidRDefault="009D6D4E" w:rsidP="00BF3B71">
            <w:pPr>
              <w:jc w:val="center"/>
              <w:rPr>
                <w:sz w:val="18"/>
                <w:szCs w:val="20"/>
                <w:lang w:val="en-US"/>
              </w:rPr>
            </w:pPr>
            <w:r w:rsidRPr="00030958">
              <w:rPr>
                <w:sz w:val="18"/>
                <w:szCs w:val="20"/>
                <w:lang w:val="en-US"/>
              </w:rPr>
              <w:t>1.0</w:t>
            </w:r>
          </w:p>
        </w:tc>
        <w:tc>
          <w:tcPr>
            <w:tcW w:w="517" w:type="pct"/>
            <w:tcBorders>
              <w:top w:val="nil"/>
              <w:left w:val="nil"/>
              <w:bottom w:val="dotted" w:sz="4" w:space="0" w:color="auto"/>
              <w:right w:val="dotted" w:sz="4" w:space="0" w:color="auto"/>
            </w:tcBorders>
            <w:shd w:val="clear" w:color="000000" w:fill="FFFFFF"/>
            <w:vAlign w:val="center"/>
            <w:hideMark/>
          </w:tcPr>
          <w:p w14:paraId="06852282" w14:textId="77777777" w:rsidR="009D6D4E" w:rsidRPr="00030958" w:rsidRDefault="009D6D4E" w:rsidP="00BF3B71">
            <w:pPr>
              <w:jc w:val="center"/>
              <w:rPr>
                <w:sz w:val="18"/>
                <w:szCs w:val="20"/>
                <w:lang w:val="en-US"/>
              </w:rPr>
            </w:pPr>
            <w:r w:rsidRPr="00030958">
              <w:rPr>
                <w:sz w:val="18"/>
                <w:szCs w:val="20"/>
                <w:lang w:val="en-US"/>
              </w:rPr>
              <w:t>2.7</w:t>
            </w:r>
          </w:p>
        </w:tc>
        <w:tc>
          <w:tcPr>
            <w:tcW w:w="517" w:type="pct"/>
            <w:tcBorders>
              <w:top w:val="nil"/>
              <w:left w:val="nil"/>
              <w:bottom w:val="dotted" w:sz="4" w:space="0" w:color="auto"/>
              <w:right w:val="dotted" w:sz="4" w:space="0" w:color="auto"/>
            </w:tcBorders>
            <w:shd w:val="clear" w:color="000000" w:fill="FFFFFF"/>
            <w:vAlign w:val="center"/>
            <w:hideMark/>
          </w:tcPr>
          <w:p w14:paraId="3C897AC4" w14:textId="77777777" w:rsidR="009D6D4E" w:rsidRPr="00030958" w:rsidRDefault="009D6D4E" w:rsidP="00BF3B71">
            <w:pPr>
              <w:jc w:val="center"/>
              <w:rPr>
                <w:sz w:val="18"/>
                <w:szCs w:val="20"/>
                <w:lang w:val="en-US"/>
              </w:rPr>
            </w:pPr>
            <w:r w:rsidRPr="00030958">
              <w:rPr>
                <w:sz w:val="18"/>
                <w:szCs w:val="20"/>
                <w:lang w:val="en-US"/>
              </w:rPr>
              <w:t>1.8</w:t>
            </w:r>
          </w:p>
        </w:tc>
        <w:tc>
          <w:tcPr>
            <w:tcW w:w="517" w:type="pct"/>
            <w:tcBorders>
              <w:top w:val="nil"/>
              <w:left w:val="nil"/>
              <w:bottom w:val="dotted" w:sz="4" w:space="0" w:color="auto"/>
              <w:right w:val="dotted" w:sz="4" w:space="0" w:color="auto"/>
            </w:tcBorders>
            <w:shd w:val="clear" w:color="000000" w:fill="FFFFFF"/>
            <w:vAlign w:val="center"/>
            <w:hideMark/>
          </w:tcPr>
          <w:p w14:paraId="01378B1F" w14:textId="77777777" w:rsidR="009D6D4E" w:rsidRPr="00030958" w:rsidRDefault="009D6D4E" w:rsidP="00BF3B71">
            <w:pPr>
              <w:jc w:val="center"/>
              <w:rPr>
                <w:sz w:val="18"/>
                <w:szCs w:val="20"/>
                <w:lang w:val="en-US"/>
              </w:rPr>
            </w:pPr>
            <w:r w:rsidRPr="00030958">
              <w:rPr>
                <w:sz w:val="18"/>
                <w:szCs w:val="20"/>
                <w:lang w:val="en-US"/>
              </w:rPr>
              <w:t>1.3</w:t>
            </w:r>
          </w:p>
        </w:tc>
        <w:tc>
          <w:tcPr>
            <w:tcW w:w="517" w:type="pct"/>
            <w:tcBorders>
              <w:top w:val="nil"/>
              <w:left w:val="nil"/>
              <w:bottom w:val="dotted" w:sz="4" w:space="0" w:color="auto"/>
              <w:right w:val="double" w:sz="6" w:space="0" w:color="auto"/>
            </w:tcBorders>
            <w:shd w:val="clear" w:color="000000" w:fill="FFFFFF"/>
            <w:vAlign w:val="center"/>
            <w:hideMark/>
          </w:tcPr>
          <w:p w14:paraId="4AE0D68A" w14:textId="77777777" w:rsidR="009D6D4E" w:rsidRPr="00030958" w:rsidRDefault="009D6D4E" w:rsidP="00BF3B71">
            <w:pPr>
              <w:jc w:val="center"/>
              <w:rPr>
                <w:sz w:val="18"/>
                <w:szCs w:val="20"/>
                <w:lang w:val="en-US"/>
              </w:rPr>
            </w:pPr>
            <w:r w:rsidRPr="00030958">
              <w:rPr>
                <w:sz w:val="18"/>
                <w:szCs w:val="20"/>
                <w:lang w:val="en-US"/>
              </w:rPr>
              <w:t>1.2</w:t>
            </w:r>
          </w:p>
        </w:tc>
      </w:tr>
      <w:tr w:rsidR="009D6D4E" w:rsidRPr="00030958" w14:paraId="04807598" w14:textId="77777777" w:rsidTr="00BF3B71">
        <w:trPr>
          <w:trHeight w:val="20"/>
        </w:trPr>
        <w:tc>
          <w:tcPr>
            <w:tcW w:w="1890" w:type="pct"/>
            <w:tcBorders>
              <w:top w:val="nil"/>
              <w:left w:val="double" w:sz="6" w:space="0" w:color="auto"/>
              <w:bottom w:val="dotted" w:sz="4" w:space="0" w:color="auto"/>
              <w:right w:val="nil"/>
            </w:tcBorders>
            <w:shd w:val="clear" w:color="000000" w:fill="FFFFFF"/>
            <w:vAlign w:val="center"/>
            <w:hideMark/>
          </w:tcPr>
          <w:p w14:paraId="6240E67B" w14:textId="77777777" w:rsidR="009D6D4E" w:rsidRPr="00030958" w:rsidRDefault="009D6D4E" w:rsidP="00BF3B71">
            <w:pPr>
              <w:rPr>
                <w:sz w:val="18"/>
                <w:szCs w:val="20"/>
                <w:lang w:val="en-US"/>
              </w:rPr>
            </w:pPr>
            <w:r w:rsidRPr="00030958">
              <w:rPr>
                <w:sz w:val="18"/>
                <w:szCs w:val="20"/>
                <w:lang w:val="en-US"/>
              </w:rPr>
              <w:t>5. Deflatori i konsumit publik</w:t>
            </w:r>
          </w:p>
        </w:tc>
        <w:tc>
          <w:tcPr>
            <w:tcW w:w="524" w:type="pct"/>
            <w:tcBorders>
              <w:top w:val="nil"/>
              <w:left w:val="dotted" w:sz="4" w:space="0" w:color="auto"/>
              <w:bottom w:val="dotted" w:sz="4" w:space="0" w:color="auto"/>
              <w:right w:val="single" w:sz="8" w:space="0" w:color="auto"/>
            </w:tcBorders>
            <w:shd w:val="clear" w:color="000000" w:fill="FFFFFF"/>
            <w:vAlign w:val="center"/>
            <w:hideMark/>
          </w:tcPr>
          <w:p w14:paraId="6ED6E342" w14:textId="77777777" w:rsidR="009D6D4E" w:rsidRPr="00030958" w:rsidRDefault="009D6D4E" w:rsidP="00BF3B71">
            <w:pPr>
              <w:jc w:val="center"/>
              <w:rPr>
                <w:sz w:val="18"/>
                <w:szCs w:val="20"/>
                <w:lang w:val="en-US"/>
              </w:rPr>
            </w:pPr>
            <w:r w:rsidRPr="00030958">
              <w:rPr>
                <w:sz w:val="18"/>
                <w:szCs w:val="20"/>
                <w:lang w:val="en-US"/>
              </w:rPr>
              <w:t>%, yoy</w:t>
            </w:r>
          </w:p>
        </w:tc>
        <w:tc>
          <w:tcPr>
            <w:tcW w:w="517" w:type="pct"/>
            <w:tcBorders>
              <w:top w:val="nil"/>
              <w:left w:val="nil"/>
              <w:bottom w:val="dotted" w:sz="4" w:space="0" w:color="auto"/>
              <w:right w:val="dotted" w:sz="4" w:space="0" w:color="auto"/>
            </w:tcBorders>
            <w:shd w:val="clear" w:color="000000" w:fill="FFFFFF"/>
            <w:vAlign w:val="center"/>
            <w:hideMark/>
          </w:tcPr>
          <w:p w14:paraId="44D94E5E" w14:textId="77777777" w:rsidR="009D6D4E" w:rsidRPr="00030958" w:rsidRDefault="009D6D4E" w:rsidP="00BF3B71">
            <w:pPr>
              <w:jc w:val="center"/>
              <w:rPr>
                <w:sz w:val="18"/>
                <w:szCs w:val="20"/>
                <w:lang w:val="en-US"/>
              </w:rPr>
            </w:pPr>
            <w:r w:rsidRPr="00030958">
              <w:rPr>
                <w:sz w:val="18"/>
                <w:szCs w:val="20"/>
                <w:lang w:val="en-US"/>
              </w:rPr>
              <w:t>0.4</w:t>
            </w:r>
          </w:p>
        </w:tc>
        <w:tc>
          <w:tcPr>
            <w:tcW w:w="517" w:type="pct"/>
            <w:tcBorders>
              <w:top w:val="nil"/>
              <w:left w:val="nil"/>
              <w:bottom w:val="dotted" w:sz="4" w:space="0" w:color="auto"/>
              <w:right w:val="dotted" w:sz="4" w:space="0" w:color="auto"/>
            </w:tcBorders>
            <w:shd w:val="clear" w:color="000000" w:fill="FFFFFF"/>
            <w:vAlign w:val="center"/>
            <w:hideMark/>
          </w:tcPr>
          <w:p w14:paraId="5FA03B7F" w14:textId="77777777" w:rsidR="009D6D4E" w:rsidRPr="00030958" w:rsidRDefault="009D6D4E" w:rsidP="00BF3B71">
            <w:pPr>
              <w:jc w:val="center"/>
              <w:rPr>
                <w:sz w:val="18"/>
                <w:szCs w:val="20"/>
                <w:lang w:val="en-US"/>
              </w:rPr>
            </w:pPr>
            <w:r w:rsidRPr="00030958">
              <w:rPr>
                <w:sz w:val="18"/>
                <w:szCs w:val="20"/>
                <w:lang w:val="en-US"/>
              </w:rPr>
              <w:t>1.2</w:t>
            </w:r>
          </w:p>
        </w:tc>
        <w:tc>
          <w:tcPr>
            <w:tcW w:w="517" w:type="pct"/>
            <w:tcBorders>
              <w:top w:val="nil"/>
              <w:left w:val="nil"/>
              <w:bottom w:val="dotted" w:sz="4" w:space="0" w:color="auto"/>
              <w:right w:val="dotted" w:sz="4" w:space="0" w:color="auto"/>
            </w:tcBorders>
            <w:shd w:val="clear" w:color="000000" w:fill="FFFFFF"/>
            <w:vAlign w:val="center"/>
            <w:hideMark/>
          </w:tcPr>
          <w:p w14:paraId="21175EB1" w14:textId="77777777" w:rsidR="009D6D4E" w:rsidRPr="00030958" w:rsidRDefault="009D6D4E" w:rsidP="00BF3B71">
            <w:pPr>
              <w:jc w:val="center"/>
              <w:rPr>
                <w:sz w:val="18"/>
                <w:szCs w:val="20"/>
                <w:lang w:val="en-US"/>
              </w:rPr>
            </w:pPr>
            <w:r w:rsidRPr="00030958">
              <w:rPr>
                <w:sz w:val="18"/>
                <w:szCs w:val="20"/>
                <w:lang w:val="en-US"/>
              </w:rPr>
              <w:t>3.3</w:t>
            </w:r>
          </w:p>
        </w:tc>
        <w:tc>
          <w:tcPr>
            <w:tcW w:w="517" w:type="pct"/>
            <w:tcBorders>
              <w:top w:val="nil"/>
              <w:left w:val="nil"/>
              <w:bottom w:val="dotted" w:sz="4" w:space="0" w:color="auto"/>
              <w:right w:val="dotted" w:sz="4" w:space="0" w:color="auto"/>
            </w:tcBorders>
            <w:shd w:val="clear" w:color="000000" w:fill="FFFFFF"/>
            <w:vAlign w:val="center"/>
            <w:hideMark/>
          </w:tcPr>
          <w:p w14:paraId="189860D4" w14:textId="77777777" w:rsidR="009D6D4E" w:rsidRPr="00030958" w:rsidRDefault="009D6D4E" w:rsidP="00BF3B71">
            <w:pPr>
              <w:jc w:val="center"/>
              <w:rPr>
                <w:sz w:val="18"/>
                <w:szCs w:val="20"/>
                <w:lang w:val="en-US"/>
              </w:rPr>
            </w:pPr>
            <w:r w:rsidRPr="00030958">
              <w:rPr>
                <w:sz w:val="18"/>
                <w:szCs w:val="20"/>
                <w:lang w:val="en-US"/>
              </w:rPr>
              <w:t>5.2</w:t>
            </w:r>
          </w:p>
        </w:tc>
        <w:tc>
          <w:tcPr>
            <w:tcW w:w="517" w:type="pct"/>
            <w:tcBorders>
              <w:top w:val="nil"/>
              <w:left w:val="nil"/>
              <w:bottom w:val="dotted" w:sz="4" w:space="0" w:color="auto"/>
              <w:right w:val="double" w:sz="6" w:space="0" w:color="auto"/>
            </w:tcBorders>
            <w:shd w:val="clear" w:color="000000" w:fill="FFFFFF"/>
            <w:vAlign w:val="center"/>
            <w:hideMark/>
          </w:tcPr>
          <w:p w14:paraId="28C76528" w14:textId="77777777" w:rsidR="009D6D4E" w:rsidRPr="00030958" w:rsidRDefault="009D6D4E" w:rsidP="00BF3B71">
            <w:pPr>
              <w:jc w:val="center"/>
              <w:rPr>
                <w:sz w:val="18"/>
                <w:szCs w:val="20"/>
                <w:lang w:val="en-US"/>
              </w:rPr>
            </w:pPr>
            <w:r w:rsidRPr="00030958">
              <w:rPr>
                <w:sz w:val="18"/>
                <w:szCs w:val="20"/>
                <w:lang w:val="en-US"/>
              </w:rPr>
              <w:t>6.0</w:t>
            </w:r>
          </w:p>
        </w:tc>
      </w:tr>
      <w:tr w:rsidR="009D6D4E" w:rsidRPr="00030958" w14:paraId="36902A53" w14:textId="77777777" w:rsidTr="00BF3B71">
        <w:trPr>
          <w:trHeight w:val="20"/>
        </w:trPr>
        <w:tc>
          <w:tcPr>
            <w:tcW w:w="1890" w:type="pct"/>
            <w:tcBorders>
              <w:top w:val="nil"/>
              <w:left w:val="double" w:sz="6" w:space="0" w:color="auto"/>
              <w:bottom w:val="dotted" w:sz="4" w:space="0" w:color="auto"/>
              <w:right w:val="nil"/>
            </w:tcBorders>
            <w:shd w:val="clear" w:color="000000" w:fill="FFFFFF"/>
            <w:vAlign w:val="center"/>
            <w:hideMark/>
          </w:tcPr>
          <w:p w14:paraId="4F2BF553" w14:textId="77777777" w:rsidR="009D6D4E" w:rsidRPr="00030958" w:rsidRDefault="009D6D4E" w:rsidP="00BF3B71">
            <w:pPr>
              <w:rPr>
                <w:sz w:val="18"/>
                <w:szCs w:val="20"/>
                <w:lang w:val="en-US"/>
              </w:rPr>
            </w:pPr>
            <w:r w:rsidRPr="00030958">
              <w:rPr>
                <w:sz w:val="18"/>
                <w:szCs w:val="20"/>
                <w:lang w:val="en-US"/>
              </w:rPr>
              <w:t>6. Deflatori i investimeve</w:t>
            </w:r>
          </w:p>
        </w:tc>
        <w:tc>
          <w:tcPr>
            <w:tcW w:w="524" w:type="pct"/>
            <w:tcBorders>
              <w:top w:val="nil"/>
              <w:left w:val="dotted" w:sz="4" w:space="0" w:color="auto"/>
              <w:bottom w:val="dotted" w:sz="4" w:space="0" w:color="auto"/>
              <w:right w:val="single" w:sz="8" w:space="0" w:color="auto"/>
            </w:tcBorders>
            <w:shd w:val="clear" w:color="000000" w:fill="FFFFFF"/>
            <w:vAlign w:val="center"/>
            <w:hideMark/>
          </w:tcPr>
          <w:p w14:paraId="646F5854" w14:textId="77777777" w:rsidR="009D6D4E" w:rsidRPr="00030958" w:rsidRDefault="009D6D4E" w:rsidP="00BF3B71">
            <w:pPr>
              <w:jc w:val="center"/>
              <w:rPr>
                <w:sz w:val="18"/>
                <w:szCs w:val="20"/>
                <w:lang w:val="en-US"/>
              </w:rPr>
            </w:pPr>
            <w:r w:rsidRPr="00030958">
              <w:rPr>
                <w:sz w:val="18"/>
                <w:szCs w:val="20"/>
                <w:lang w:val="en-US"/>
              </w:rPr>
              <w:t>%, yoy</w:t>
            </w:r>
          </w:p>
        </w:tc>
        <w:tc>
          <w:tcPr>
            <w:tcW w:w="517" w:type="pct"/>
            <w:tcBorders>
              <w:top w:val="nil"/>
              <w:left w:val="nil"/>
              <w:bottom w:val="dotted" w:sz="4" w:space="0" w:color="auto"/>
              <w:right w:val="dotted" w:sz="4" w:space="0" w:color="auto"/>
            </w:tcBorders>
            <w:shd w:val="clear" w:color="000000" w:fill="FFFFFF"/>
            <w:vAlign w:val="center"/>
            <w:hideMark/>
          </w:tcPr>
          <w:p w14:paraId="1E9C6CED" w14:textId="77777777" w:rsidR="009D6D4E" w:rsidRPr="00030958" w:rsidRDefault="009D6D4E" w:rsidP="00BF3B71">
            <w:pPr>
              <w:jc w:val="center"/>
              <w:rPr>
                <w:sz w:val="18"/>
                <w:szCs w:val="20"/>
                <w:lang w:val="en-US"/>
              </w:rPr>
            </w:pPr>
            <w:r w:rsidRPr="00030958">
              <w:rPr>
                <w:sz w:val="18"/>
                <w:szCs w:val="20"/>
                <w:lang w:val="en-US"/>
              </w:rPr>
              <w:t>2.9</w:t>
            </w:r>
          </w:p>
        </w:tc>
        <w:tc>
          <w:tcPr>
            <w:tcW w:w="517" w:type="pct"/>
            <w:tcBorders>
              <w:top w:val="nil"/>
              <w:left w:val="nil"/>
              <w:bottom w:val="dotted" w:sz="4" w:space="0" w:color="auto"/>
              <w:right w:val="dotted" w:sz="4" w:space="0" w:color="auto"/>
            </w:tcBorders>
            <w:shd w:val="clear" w:color="000000" w:fill="FFFFFF"/>
            <w:vAlign w:val="center"/>
            <w:hideMark/>
          </w:tcPr>
          <w:p w14:paraId="720B94D7" w14:textId="77777777" w:rsidR="009D6D4E" w:rsidRPr="00030958" w:rsidRDefault="009D6D4E" w:rsidP="00BF3B71">
            <w:pPr>
              <w:jc w:val="center"/>
              <w:rPr>
                <w:sz w:val="18"/>
                <w:szCs w:val="20"/>
                <w:lang w:val="en-US"/>
              </w:rPr>
            </w:pPr>
            <w:r w:rsidRPr="00030958">
              <w:rPr>
                <w:sz w:val="18"/>
                <w:szCs w:val="20"/>
                <w:lang w:val="en-US"/>
              </w:rPr>
              <w:t>4.5</w:t>
            </w:r>
          </w:p>
        </w:tc>
        <w:tc>
          <w:tcPr>
            <w:tcW w:w="517" w:type="pct"/>
            <w:tcBorders>
              <w:top w:val="nil"/>
              <w:left w:val="nil"/>
              <w:bottom w:val="dotted" w:sz="4" w:space="0" w:color="auto"/>
              <w:right w:val="dotted" w:sz="4" w:space="0" w:color="auto"/>
            </w:tcBorders>
            <w:shd w:val="clear" w:color="000000" w:fill="FFFFFF"/>
            <w:vAlign w:val="center"/>
            <w:hideMark/>
          </w:tcPr>
          <w:p w14:paraId="4159E6A7" w14:textId="77777777" w:rsidR="009D6D4E" w:rsidRPr="00030958" w:rsidRDefault="009D6D4E" w:rsidP="00BF3B71">
            <w:pPr>
              <w:jc w:val="center"/>
              <w:rPr>
                <w:sz w:val="18"/>
                <w:szCs w:val="20"/>
                <w:lang w:val="en-US"/>
              </w:rPr>
            </w:pPr>
            <w:r w:rsidRPr="00030958">
              <w:rPr>
                <w:sz w:val="18"/>
                <w:szCs w:val="20"/>
                <w:lang w:val="en-US"/>
              </w:rPr>
              <w:t>3.9</w:t>
            </w:r>
          </w:p>
        </w:tc>
        <w:tc>
          <w:tcPr>
            <w:tcW w:w="517" w:type="pct"/>
            <w:tcBorders>
              <w:top w:val="nil"/>
              <w:left w:val="nil"/>
              <w:bottom w:val="dotted" w:sz="4" w:space="0" w:color="auto"/>
              <w:right w:val="dotted" w:sz="4" w:space="0" w:color="auto"/>
            </w:tcBorders>
            <w:shd w:val="clear" w:color="000000" w:fill="FFFFFF"/>
            <w:vAlign w:val="center"/>
            <w:hideMark/>
          </w:tcPr>
          <w:p w14:paraId="30F279E6" w14:textId="77777777" w:rsidR="009D6D4E" w:rsidRPr="00030958" w:rsidRDefault="009D6D4E" w:rsidP="00BF3B71">
            <w:pPr>
              <w:jc w:val="center"/>
              <w:rPr>
                <w:sz w:val="18"/>
                <w:szCs w:val="20"/>
                <w:lang w:val="en-US"/>
              </w:rPr>
            </w:pPr>
            <w:r w:rsidRPr="00030958">
              <w:rPr>
                <w:sz w:val="18"/>
                <w:szCs w:val="20"/>
                <w:lang w:val="en-US"/>
              </w:rPr>
              <w:t>3.7</w:t>
            </w:r>
          </w:p>
        </w:tc>
        <w:tc>
          <w:tcPr>
            <w:tcW w:w="517" w:type="pct"/>
            <w:tcBorders>
              <w:top w:val="nil"/>
              <w:left w:val="nil"/>
              <w:bottom w:val="dotted" w:sz="4" w:space="0" w:color="auto"/>
              <w:right w:val="double" w:sz="6" w:space="0" w:color="auto"/>
            </w:tcBorders>
            <w:shd w:val="clear" w:color="000000" w:fill="FFFFFF"/>
            <w:vAlign w:val="center"/>
            <w:hideMark/>
          </w:tcPr>
          <w:p w14:paraId="613B2F3D" w14:textId="77777777" w:rsidR="009D6D4E" w:rsidRPr="00030958" w:rsidRDefault="009D6D4E" w:rsidP="00BF3B71">
            <w:pPr>
              <w:jc w:val="center"/>
              <w:rPr>
                <w:sz w:val="18"/>
                <w:szCs w:val="20"/>
                <w:lang w:val="en-US"/>
              </w:rPr>
            </w:pPr>
            <w:r w:rsidRPr="00030958">
              <w:rPr>
                <w:sz w:val="18"/>
                <w:szCs w:val="20"/>
                <w:lang w:val="en-US"/>
              </w:rPr>
              <w:t>3.8</w:t>
            </w:r>
          </w:p>
        </w:tc>
      </w:tr>
      <w:tr w:rsidR="009D6D4E" w:rsidRPr="00030958" w14:paraId="64175563" w14:textId="77777777" w:rsidTr="00BF3B71">
        <w:trPr>
          <w:trHeight w:val="20"/>
        </w:trPr>
        <w:tc>
          <w:tcPr>
            <w:tcW w:w="1890" w:type="pct"/>
            <w:tcBorders>
              <w:top w:val="nil"/>
              <w:left w:val="double" w:sz="6" w:space="0" w:color="auto"/>
              <w:bottom w:val="dotted" w:sz="4" w:space="0" w:color="auto"/>
              <w:right w:val="nil"/>
            </w:tcBorders>
            <w:shd w:val="clear" w:color="000000" w:fill="FFFFFF"/>
            <w:vAlign w:val="center"/>
            <w:hideMark/>
          </w:tcPr>
          <w:p w14:paraId="53B492F5" w14:textId="77777777" w:rsidR="009D6D4E" w:rsidRPr="00030958" w:rsidRDefault="009D6D4E" w:rsidP="00BF3B71">
            <w:pPr>
              <w:rPr>
                <w:sz w:val="18"/>
                <w:szCs w:val="20"/>
                <w:lang w:val="en-US"/>
              </w:rPr>
            </w:pPr>
            <w:r w:rsidRPr="00030958">
              <w:rPr>
                <w:sz w:val="18"/>
                <w:szCs w:val="20"/>
                <w:lang w:val="en-US"/>
              </w:rPr>
              <w:t xml:space="preserve">7.  Deflatori i çmimeve të eksportit (mallrave dhe shërbimeve) </w:t>
            </w:r>
          </w:p>
        </w:tc>
        <w:tc>
          <w:tcPr>
            <w:tcW w:w="524" w:type="pct"/>
            <w:tcBorders>
              <w:top w:val="nil"/>
              <w:left w:val="dotted" w:sz="4" w:space="0" w:color="auto"/>
              <w:bottom w:val="dotted" w:sz="4" w:space="0" w:color="auto"/>
              <w:right w:val="single" w:sz="8" w:space="0" w:color="auto"/>
            </w:tcBorders>
            <w:shd w:val="clear" w:color="000000" w:fill="FFFFFF"/>
            <w:vAlign w:val="center"/>
            <w:hideMark/>
          </w:tcPr>
          <w:p w14:paraId="5176B4EB" w14:textId="77777777" w:rsidR="009D6D4E" w:rsidRPr="00030958" w:rsidRDefault="009D6D4E" w:rsidP="00BF3B71">
            <w:pPr>
              <w:jc w:val="center"/>
              <w:rPr>
                <w:sz w:val="18"/>
                <w:szCs w:val="20"/>
                <w:lang w:val="en-US"/>
              </w:rPr>
            </w:pPr>
            <w:r w:rsidRPr="00030958">
              <w:rPr>
                <w:sz w:val="18"/>
                <w:szCs w:val="20"/>
                <w:lang w:val="en-US"/>
              </w:rPr>
              <w:t>%, yoy</w:t>
            </w:r>
          </w:p>
        </w:tc>
        <w:tc>
          <w:tcPr>
            <w:tcW w:w="517" w:type="pct"/>
            <w:tcBorders>
              <w:top w:val="nil"/>
              <w:left w:val="nil"/>
              <w:bottom w:val="dotted" w:sz="4" w:space="0" w:color="auto"/>
              <w:right w:val="dotted" w:sz="4" w:space="0" w:color="auto"/>
            </w:tcBorders>
            <w:shd w:val="clear" w:color="000000" w:fill="FFFFFF"/>
            <w:vAlign w:val="center"/>
            <w:hideMark/>
          </w:tcPr>
          <w:p w14:paraId="52077522" w14:textId="77777777" w:rsidR="009D6D4E" w:rsidRPr="00030958" w:rsidRDefault="009D6D4E" w:rsidP="00BF3B71">
            <w:pPr>
              <w:jc w:val="center"/>
              <w:rPr>
                <w:sz w:val="18"/>
                <w:szCs w:val="20"/>
                <w:lang w:val="en-US"/>
              </w:rPr>
            </w:pPr>
            <w:r w:rsidRPr="00030958">
              <w:rPr>
                <w:sz w:val="18"/>
                <w:szCs w:val="20"/>
                <w:lang w:val="en-US"/>
              </w:rPr>
              <w:t>0.2</w:t>
            </w:r>
          </w:p>
        </w:tc>
        <w:tc>
          <w:tcPr>
            <w:tcW w:w="517" w:type="pct"/>
            <w:tcBorders>
              <w:top w:val="nil"/>
              <w:left w:val="nil"/>
              <w:bottom w:val="dotted" w:sz="4" w:space="0" w:color="auto"/>
              <w:right w:val="dotted" w:sz="4" w:space="0" w:color="auto"/>
            </w:tcBorders>
            <w:shd w:val="clear" w:color="000000" w:fill="FFFFFF"/>
            <w:vAlign w:val="center"/>
            <w:hideMark/>
          </w:tcPr>
          <w:p w14:paraId="03258A6C" w14:textId="77777777" w:rsidR="009D6D4E" w:rsidRPr="00030958" w:rsidRDefault="009D6D4E" w:rsidP="00BF3B71">
            <w:pPr>
              <w:jc w:val="center"/>
              <w:rPr>
                <w:sz w:val="18"/>
                <w:szCs w:val="20"/>
                <w:lang w:val="en-US"/>
              </w:rPr>
            </w:pPr>
            <w:r w:rsidRPr="00030958">
              <w:rPr>
                <w:sz w:val="18"/>
                <w:szCs w:val="20"/>
                <w:lang w:val="en-US"/>
              </w:rPr>
              <w:t>0.5</w:t>
            </w:r>
          </w:p>
        </w:tc>
        <w:tc>
          <w:tcPr>
            <w:tcW w:w="517" w:type="pct"/>
            <w:tcBorders>
              <w:top w:val="nil"/>
              <w:left w:val="nil"/>
              <w:bottom w:val="dotted" w:sz="4" w:space="0" w:color="auto"/>
              <w:right w:val="dotted" w:sz="4" w:space="0" w:color="auto"/>
            </w:tcBorders>
            <w:shd w:val="clear" w:color="000000" w:fill="FFFFFF"/>
            <w:vAlign w:val="center"/>
            <w:hideMark/>
          </w:tcPr>
          <w:p w14:paraId="523C0861" w14:textId="77777777" w:rsidR="009D6D4E" w:rsidRPr="00030958" w:rsidRDefault="009D6D4E" w:rsidP="00BF3B71">
            <w:pPr>
              <w:jc w:val="center"/>
              <w:rPr>
                <w:sz w:val="18"/>
                <w:szCs w:val="20"/>
                <w:lang w:val="en-US"/>
              </w:rPr>
            </w:pPr>
            <w:r w:rsidRPr="00030958">
              <w:rPr>
                <w:sz w:val="18"/>
                <w:szCs w:val="20"/>
                <w:lang w:val="en-US"/>
              </w:rPr>
              <w:t>0.4</w:t>
            </w:r>
          </w:p>
        </w:tc>
        <w:tc>
          <w:tcPr>
            <w:tcW w:w="517" w:type="pct"/>
            <w:tcBorders>
              <w:top w:val="nil"/>
              <w:left w:val="nil"/>
              <w:bottom w:val="dotted" w:sz="4" w:space="0" w:color="auto"/>
              <w:right w:val="dotted" w:sz="4" w:space="0" w:color="auto"/>
            </w:tcBorders>
            <w:shd w:val="clear" w:color="000000" w:fill="FFFFFF"/>
            <w:vAlign w:val="center"/>
            <w:hideMark/>
          </w:tcPr>
          <w:p w14:paraId="641A6574" w14:textId="77777777" w:rsidR="009D6D4E" w:rsidRPr="00030958" w:rsidRDefault="009D6D4E" w:rsidP="00BF3B71">
            <w:pPr>
              <w:jc w:val="center"/>
              <w:rPr>
                <w:sz w:val="18"/>
                <w:szCs w:val="20"/>
                <w:lang w:val="en-US"/>
              </w:rPr>
            </w:pPr>
            <w:r w:rsidRPr="00030958">
              <w:rPr>
                <w:sz w:val="18"/>
                <w:szCs w:val="20"/>
                <w:lang w:val="en-US"/>
              </w:rPr>
              <w:t>0.2</w:t>
            </w:r>
          </w:p>
        </w:tc>
        <w:tc>
          <w:tcPr>
            <w:tcW w:w="517" w:type="pct"/>
            <w:tcBorders>
              <w:top w:val="nil"/>
              <w:left w:val="nil"/>
              <w:bottom w:val="dotted" w:sz="4" w:space="0" w:color="auto"/>
              <w:right w:val="double" w:sz="6" w:space="0" w:color="auto"/>
            </w:tcBorders>
            <w:shd w:val="clear" w:color="000000" w:fill="FFFFFF"/>
            <w:vAlign w:val="center"/>
            <w:hideMark/>
          </w:tcPr>
          <w:p w14:paraId="63B2F96A" w14:textId="77777777" w:rsidR="009D6D4E" w:rsidRPr="00030958" w:rsidRDefault="009D6D4E" w:rsidP="00BF3B71">
            <w:pPr>
              <w:jc w:val="center"/>
              <w:rPr>
                <w:sz w:val="18"/>
                <w:szCs w:val="20"/>
                <w:lang w:val="en-US"/>
              </w:rPr>
            </w:pPr>
            <w:r w:rsidRPr="00030958">
              <w:rPr>
                <w:sz w:val="18"/>
                <w:szCs w:val="20"/>
                <w:lang w:val="en-US"/>
              </w:rPr>
              <w:t>0.3</w:t>
            </w:r>
          </w:p>
        </w:tc>
      </w:tr>
      <w:tr w:rsidR="009D6D4E" w:rsidRPr="00030958" w14:paraId="3F25D05F" w14:textId="77777777" w:rsidTr="00BF3B71">
        <w:trPr>
          <w:trHeight w:val="20"/>
        </w:trPr>
        <w:tc>
          <w:tcPr>
            <w:tcW w:w="1890" w:type="pct"/>
            <w:tcBorders>
              <w:top w:val="nil"/>
              <w:left w:val="double" w:sz="6" w:space="0" w:color="auto"/>
              <w:bottom w:val="double" w:sz="6" w:space="0" w:color="auto"/>
              <w:right w:val="nil"/>
            </w:tcBorders>
            <w:shd w:val="clear" w:color="000000" w:fill="FFFFFF"/>
            <w:vAlign w:val="center"/>
            <w:hideMark/>
          </w:tcPr>
          <w:p w14:paraId="6E3396CC" w14:textId="77777777" w:rsidR="009D6D4E" w:rsidRPr="00030958" w:rsidRDefault="009D6D4E" w:rsidP="00BF3B71">
            <w:pPr>
              <w:rPr>
                <w:sz w:val="18"/>
                <w:szCs w:val="20"/>
                <w:lang w:val="en-US"/>
              </w:rPr>
            </w:pPr>
            <w:r w:rsidRPr="00030958">
              <w:rPr>
                <w:sz w:val="18"/>
                <w:szCs w:val="20"/>
                <w:lang w:val="en-US"/>
              </w:rPr>
              <w:t xml:space="preserve">8. Deflatori i çmimeve të importit (mallrave dhe shërbimeve) </w:t>
            </w:r>
          </w:p>
        </w:tc>
        <w:tc>
          <w:tcPr>
            <w:tcW w:w="524" w:type="pct"/>
            <w:tcBorders>
              <w:top w:val="nil"/>
              <w:left w:val="dotted" w:sz="4" w:space="0" w:color="auto"/>
              <w:bottom w:val="double" w:sz="6" w:space="0" w:color="auto"/>
              <w:right w:val="single" w:sz="8" w:space="0" w:color="auto"/>
            </w:tcBorders>
            <w:shd w:val="clear" w:color="000000" w:fill="FFFFFF"/>
            <w:vAlign w:val="center"/>
            <w:hideMark/>
          </w:tcPr>
          <w:p w14:paraId="4C2CF629" w14:textId="77777777" w:rsidR="009D6D4E" w:rsidRPr="00030958" w:rsidRDefault="009D6D4E" w:rsidP="00BF3B71">
            <w:pPr>
              <w:jc w:val="center"/>
              <w:rPr>
                <w:sz w:val="18"/>
                <w:szCs w:val="20"/>
                <w:lang w:val="en-US"/>
              </w:rPr>
            </w:pPr>
            <w:r w:rsidRPr="00030958">
              <w:rPr>
                <w:sz w:val="18"/>
                <w:szCs w:val="20"/>
                <w:lang w:val="en-US"/>
              </w:rPr>
              <w:t>%, yoy</w:t>
            </w:r>
          </w:p>
        </w:tc>
        <w:tc>
          <w:tcPr>
            <w:tcW w:w="517" w:type="pct"/>
            <w:tcBorders>
              <w:top w:val="nil"/>
              <w:left w:val="nil"/>
              <w:bottom w:val="double" w:sz="6" w:space="0" w:color="auto"/>
              <w:right w:val="dotted" w:sz="4" w:space="0" w:color="auto"/>
            </w:tcBorders>
            <w:shd w:val="clear" w:color="000000" w:fill="FFFFFF"/>
            <w:vAlign w:val="center"/>
            <w:hideMark/>
          </w:tcPr>
          <w:p w14:paraId="73EC6C04" w14:textId="77777777" w:rsidR="009D6D4E" w:rsidRPr="00030958" w:rsidRDefault="009D6D4E" w:rsidP="00BF3B71">
            <w:pPr>
              <w:jc w:val="center"/>
              <w:rPr>
                <w:sz w:val="18"/>
                <w:szCs w:val="20"/>
                <w:lang w:val="en-US"/>
              </w:rPr>
            </w:pPr>
            <w:r w:rsidRPr="00030958">
              <w:rPr>
                <w:sz w:val="18"/>
                <w:szCs w:val="20"/>
                <w:lang w:val="en-US"/>
              </w:rPr>
              <w:t>1.8</w:t>
            </w:r>
          </w:p>
        </w:tc>
        <w:tc>
          <w:tcPr>
            <w:tcW w:w="517" w:type="pct"/>
            <w:tcBorders>
              <w:top w:val="nil"/>
              <w:left w:val="nil"/>
              <w:bottom w:val="double" w:sz="6" w:space="0" w:color="auto"/>
              <w:right w:val="dotted" w:sz="4" w:space="0" w:color="auto"/>
            </w:tcBorders>
            <w:shd w:val="clear" w:color="000000" w:fill="FFFFFF"/>
            <w:vAlign w:val="center"/>
            <w:hideMark/>
          </w:tcPr>
          <w:p w14:paraId="4FF8CF96" w14:textId="77777777" w:rsidR="009D6D4E" w:rsidRPr="00030958" w:rsidRDefault="009D6D4E" w:rsidP="00BF3B71">
            <w:pPr>
              <w:jc w:val="center"/>
              <w:rPr>
                <w:sz w:val="18"/>
                <w:szCs w:val="20"/>
                <w:lang w:val="en-US"/>
              </w:rPr>
            </w:pPr>
            <w:r w:rsidRPr="00030958">
              <w:rPr>
                <w:sz w:val="18"/>
                <w:szCs w:val="20"/>
                <w:lang w:val="en-US"/>
              </w:rPr>
              <w:t>2.6</w:t>
            </w:r>
          </w:p>
        </w:tc>
        <w:tc>
          <w:tcPr>
            <w:tcW w:w="517" w:type="pct"/>
            <w:tcBorders>
              <w:top w:val="nil"/>
              <w:left w:val="nil"/>
              <w:bottom w:val="double" w:sz="6" w:space="0" w:color="auto"/>
              <w:right w:val="dotted" w:sz="4" w:space="0" w:color="auto"/>
            </w:tcBorders>
            <w:shd w:val="clear" w:color="000000" w:fill="FFFFFF"/>
            <w:vAlign w:val="center"/>
            <w:hideMark/>
          </w:tcPr>
          <w:p w14:paraId="17408A55" w14:textId="77777777" w:rsidR="009D6D4E" w:rsidRPr="00030958" w:rsidRDefault="009D6D4E" w:rsidP="00BF3B71">
            <w:pPr>
              <w:jc w:val="center"/>
              <w:rPr>
                <w:sz w:val="18"/>
                <w:szCs w:val="20"/>
                <w:lang w:val="en-US"/>
              </w:rPr>
            </w:pPr>
            <w:r w:rsidRPr="00030958">
              <w:rPr>
                <w:sz w:val="18"/>
                <w:szCs w:val="20"/>
                <w:lang w:val="en-US"/>
              </w:rPr>
              <w:t>1.8</w:t>
            </w:r>
          </w:p>
        </w:tc>
        <w:tc>
          <w:tcPr>
            <w:tcW w:w="517" w:type="pct"/>
            <w:tcBorders>
              <w:top w:val="nil"/>
              <w:left w:val="nil"/>
              <w:bottom w:val="double" w:sz="6" w:space="0" w:color="auto"/>
              <w:right w:val="dotted" w:sz="4" w:space="0" w:color="auto"/>
            </w:tcBorders>
            <w:shd w:val="clear" w:color="000000" w:fill="FFFFFF"/>
            <w:vAlign w:val="center"/>
            <w:hideMark/>
          </w:tcPr>
          <w:p w14:paraId="22079461" w14:textId="77777777" w:rsidR="009D6D4E" w:rsidRPr="00030958" w:rsidRDefault="009D6D4E" w:rsidP="00BF3B71">
            <w:pPr>
              <w:jc w:val="center"/>
              <w:rPr>
                <w:sz w:val="18"/>
                <w:szCs w:val="20"/>
                <w:lang w:val="en-US"/>
              </w:rPr>
            </w:pPr>
            <w:r w:rsidRPr="00030958">
              <w:rPr>
                <w:sz w:val="18"/>
                <w:szCs w:val="20"/>
                <w:lang w:val="en-US"/>
              </w:rPr>
              <w:t>1.1</w:t>
            </w:r>
          </w:p>
        </w:tc>
        <w:tc>
          <w:tcPr>
            <w:tcW w:w="517" w:type="pct"/>
            <w:tcBorders>
              <w:top w:val="nil"/>
              <w:left w:val="nil"/>
              <w:bottom w:val="double" w:sz="6" w:space="0" w:color="auto"/>
              <w:right w:val="double" w:sz="6" w:space="0" w:color="auto"/>
            </w:tcBorders>
            <w:shd w:val="clear" w:color="000000" w:fill="FFFFFF"/>
            <w:vAlign w:val="center"/>
            <w:hideMark/>
          </w:tcPr>
          <w:p w14:paraId="17D41B3E" w14:textId="77777777" w:rsidR="009D6D4E" w:rsidRPr="00030958" w:rsidRDefault="009D6D4E" w:rsidP="00BF3B71">
            <w:pPr>
              <w:jc w:val="center"/>
              <w:rPr>
                <w:sz w:val="18"/>
                <w:szCs w:val="20"/>
                <w:lang w:val="en-US"/>
              </w:rPr>
            </w:pPr>
            <w:r w:rsidRPr="00030958">
              <w:rPr>
                <w:sz w:val="18"/>
                <w:szCs w:val="20"/>
                <w:lang w:val="en-US"/>
              </w:rPr>
              <w:t>1.4</w:t>
            </w:r>
          </w:p>
        </w:tc>
      </w:tr>
    </w:tbl>
    <w:p w14:paraId="28B7A4DB" w14:textId="77777777" w:rsidR="009D6D4E" w:rsidRDefault="009D6D4E" w:rsidP="009D6D4E"/>
    <w:p w14:paraId="283C1EF5" w14:textId="77777777" w:rsidR="009D6D4E" w:rsidRDefault="009D6D4E" w:rsidP="009D6D4E"/>
    <w:tbl>
      <w:tblPr>
        <w:tblW w:w="5000" w:type="pct"/>
        <w:tblLook w:val="04A0" w:firstRow="1" w:lastRow="0" w:firstColumn="1" w:lastColumn="0" w:noHBand="0" w:noVBand="1"/>
      </w:tblPr>
      <w:tblGrid>
        <w:gridCol w:w="4038"/>
        <w:gridCol w:w="1188"/>
        <w:gridCol w:w="831"/>
        <w:gridCol w:w="831"/>
        <w:gridCol w:w="831"/>
        <w:gridCol w:w="831"/>
        <w:gridCol w:w="764"/>
      </w:tblGrid>
      <w:tr w:rsidR="009D6D4E" w:rsidRPr="00030958" w14:paraId="40C2051D" w14:textId="77777777" w:rsidTr="00BF3B71">
        <w:trPr>
          <w:trHeight w:val="20"/>
        </w:trPr>
        <w:tc>
          <w:tcPr>
            <w:tcW w:w="2166" w:type="pct"/>
            <w:tcBorders>
              <w:top w:val="nil"/>
              <w:left w:val="nil"/>
              <w:bottom w:val="nil"/>
              <w:right w:val="nil"/>
            </w:tcBorders>
            <w:shd w:val="clear" w:color="000000" w:fill="FFFFFF"/>
            <w:noWrap/>
            <w:vAlign w:val="bottom"/>
            <w:hideMark/>
          </w:tcPr>
          <w:p w14:paraId="257C55BA" w14:textId="77777777" w:rsidR="009D6D4E" w:rsidRPr="00030958" w:rsidRDefault="009D6D4E" w:rsidP="00BF3B71">
            <w:pPr>
              <w:rPr>
                <w:b/>
                <w:bCs/>
                <w:sz w:val="18"/>
                <w:szCs w:val="20"/>
                <w:lang w:val="en-US"/>
              </w:rPr>
            </w:pPr>
            <w:r w:rsidRPr="00030958">
              <w:rPr>
                <w:b/>
                <w:bCs/>
                <w:sz w:val="18"/>
                <w:szCs w:val="20"/>
                <w:lang w:val="en-US"/>
              </w:rPr>
              <w:t>Table 1f:  Zhvillimet në sektorin e jashtëm</w:t>
            </w:r>
          </w:p>
        </w:tc>
        <w:tc>
          <w:tcPr>
            <w:tcW w:w="638" w:type="pct"/>
            <w:tcBorders>
              <w:top w:val="nil"/>
              <w:left w:val="nil"/>
              <w:bottom w:val="nil"/>
              <w:right w:val="nil"/>
            </w:tcBorders>
            <w:shd w:val="clear" w:color="000000" w:fill="FFFFFF"/>
            <w:noWrap/>
            <w:vAlign w:val="bottom"/>
            <w:hideMark/>
          </w:tcPr>
          <w:p w14:paraId="2DF1874E" w14:textId="77777777" w:rsidR="009D6D4E" w:rsidRPr="00030958" w:rsidRDefault="009D6D4E" w:rsidP="00BF3B71">
            <w:pPr>
              <w:jc w:val="center"/>
              <w:rPr>
                <w:b/>
                <w:bCs/>
                <w:sz w:val="18"/>
                <w:lang w:val="en-US"/>
              </w:rPr>
            </w:pPr>
            <w:r w:rsidRPr="00030958">
              <w:rPr>
                <w:b/>
                <w:bCs/>
                <w:sz w:val="18"/>
                <w:lang w:val="en-US"/>
              </w:rPr>
              <w:t> </w:t>
            </w:r>
          </w:p>
        </w:tc>
        <w:tc>
          <w:tcPr>
            <w:tcW w:w="446" w:type="pct"/>
            <w:tcBorders>
              <w:top w:val="nil"/>
              <w:left w:val="nil"/>
              <w:bottom w:val="nil"/>
              <w:right w:val="nil"/>
            </w:tcBorders>
            <w:shd w:val="clear" w:color="000000" w:fill="FFFFFF"/>
            <w:noWrap/>
            <w:vAlign w:val="bottom"/>
            <w:hideMark/>
          </w:tcPr>
          <w:p w14:paraId="25E080CC" w14:textId="77777777" w:rsidR="009D6D4E" w:rsidRPr="00030958" w:rsidRDefault="009D6D4E" w:rsidP="00BF3B71">
            <w:pPr>
              <w:rPr>
                <w:sz w:val="18"/>
                <w:szCs w:val="20"/>
                <w:lang w:val="en-US"/>
              </w:rPr>
            </w:pPr>
            <w:r w:rsidRPr="00030958">
              <w:rPr>
                <w:sz w:val="18"/>
                <w:szCs w:val="20"/>
                <w:lang w:val="en-US"/>
              </w:rPr>
              <w:t> </w:t>
            </w:r>
          </w:p>
        </w:tc>
        <w:tc>
          <w:tcPr>
            <w:tcW w:w="446" w:type="pct"/>
            <w:tcBorders>
              <w:top w:val="nil"/>
              <w:left w:val="nil"/>
              <w:bottom w:val="nil"/>
              <w:right w:val="nil"/>
            </w:tcBorders>
            <w:shd w:val="clear" w:color="000000" w:fill="FFFFFF"/>
            <w:noWrap/>
            <w:vAlign w:val="bottom"/>
            <w:hideMark/>
          </w:tcPr>
          <w:p w14:paraId="30B9D433" w14:textId="77777777" w:rsidR="009D6D4E" w:rsidRPr="00030958" w:rsidRDefault="009D6D4E" w:rsidP="00BF3B71">
            <w:pPr>
              <w:rPr>
                <w:sz w:val="18"/>
                <w:szCs w:val="20"/>
                <w:lang w:val="en-US"/>
              </w:rPr>
            </w:pPr>
            <w:r w:rsidRPr="00030958">
              <w:rPr>
                <w:sz w:val="18"/>
                <w:szCs w:val="20"/>
                <w:lang w:val="en-US"/>
              </w:rPr>
              <w:t> </w:t>
            </w:r>
          </w:p>
        </w:tc>
        <w:tc>
          <w:tcPr>
            <w:tcW w:w="446" w:type="pct"/>
            <w:tcBorders>
              <w:top w:val="nil"/>
              <w:left w:val="nil"/>
              <w:bottom w:val="nil"/>
              <w:right w:val="nil"/>
            </w:tcBorders>
            <w:shd w:val="clear" w:color="000000" w:fill="FFFFFF"/>
            <w:noWrap/>
            <w:vAlign w:val="bottom"/>
            <w:hideMark/>
          </w:tcPr>
          <w:p w14:paraId="640E63F2" w14:textId="77777777" w:rsidR="009D6D4E" w:rsidRPr="00030958" w:rsidRDefault="009D6D4E" w:rsidP="00BF3B71">
            <w:pPr>
              <w:rPr>
                <w:sz w:val="18"/>
                <w:szCs w:val="20"/>
                <w:lang w:val="en-US"/>
              </w:rPr>
            </w:pPr>
            <w:r w:rsidRPr="00030958">
              <w:rPr>
                <w:sz w:val="18"/>
                <w:szCs w:val="20"/>
                <w:lang w:val="en-US"/>
              </w:rPr>
              <w:t> </w:t>
            </w:r>
          </w:p>
        </w:tc>
        <w:tc>
          <w:tcPr>
            <w:tcW w:w="446" w:type="pct"/>
            <w:tcBorders>
              <w:top w:val="nil"/>
              <w:left w:val="nil"/>
              <w:bottom w:val="nil"/>
              <w:right w:val="nil"/>
            </w:tcBorders>
            <w:shd w:val="clear" w:color="000000" w:fill="FFFFFF"/>
            <w:noWrap/>
            <w:vAlign w:val="bottom"/>
            <w:hideMark/>
          </w:tcPr>
          <w:p w14:paraId="171D1654" w14:textId="77777777" w:rsidR="009D6D4E" w:rsidRPr="00030958" w:rsidRDefault="009D6D4E" w:rsidP="00BF3B71">
            <w:pPr>
              <w:jc w:val="right"/>
              <w:rPr>
                <w:b/>
                <w:bCs/>
                <w:sz w:val="18"/>
                <w:szCs w:val="20"/>
                <w:lang w:val="en-US"/>
              </w:rPr>
            </w:pPr>
            <w:r w:rsidRPr="00030958">
              <w:rPr>
                <w:b/>
                <w:bCs/>
                <w:sz w:val="18"/>
                <w:szCs w:val="20"/>
                <w:lang w:val="en-US"/>
              </w:rPr>
              <w:t> </w:t>
            </w:r>
          </w:p>
        </w:tc>
        <w:tc>
          <w:tcPr>
            <w:tcW w:w="410" w:type="pct"/>
            <w:tcBorders>
              <w:top w:val="nil"/>
              <w:left w:val="nil"/>
              <w:bottom w:val="nil"/>
              <w:right w:val="nil"/>
            </w:tcBorders>
            <w:shd w:val="clear" w:color="000000" w:fill="FFFFFF"/>
            <w:noWrap/>
            <w:vAlign w:val="bottom"/>
            <w:hideMark/>
          </w:tcPr>
          <w:p w14:paraId="51EE5F12" w14:textId="77777777" w:rsidR="009D6D4E" w:rsidRPr="00030958" w:rsidRDefault="009D6D4E" w:rsidP="00BF3B71">
            <w:pPr>
              <w:rPr>
                <w:sz w:val="18"/>
                <w:szCs w:val="20"/>
                <w:lang w:val="en-US"/>
              </w:rPr>
            </w:pPr>
            <w:r w:rsidRPr="00030958">
              <w:rPr>
                <w:sz w:val="18"/>
                <w:szCs w:val="20"/>
                <w:lang w:val="en-US"/>
              </w:rPr>
              <w:t> </w:t>
            </w:r>
          </w:p>
        </w:tc>
      </w:tr>
      <w:tr w:rsidR="009D6D4E" w:rsidRPr="00030958" w14:paraId="73124E1F" w14:textId="77777777" w:rsidTr="00BF3B71">
        <w:trPr>
          <w:trHeight w:val="20"/>
        </w:trPr>
        <w:tc>
          <w:tcPr>
            <w:tcW w:w="2166" w:type="pct"/>
            <w:tcBorders>
              <w:top w:val="double" w:sz="6" w:space="0" w:color="auto"/>
              <w:left w:val="double" w:sz="6" w:space="0" w:color="auto"/>
              <w:bottom w:val="double" w:sz="6" w:space="0" w:color="auto"/>
              <w:right w:val="single" w:sz="8" w:space="0" w:color="auto"/>
            </w:tcBorders>
            <w:shd w:val="clear" w:color="000000" w:fill="FFFFFF"/>
            <w:vAlign w:val="bottom"/>
            <w:hideMark/>
          </w:tcPr>
          <w:p w14:paraId="6E4AFFA0" w14:textId="77777777" w:rsidR="009D6D4E" w:rsidRPr="00FC648F" w:rsidRDefault="009D6D4E" w:rsidP="00BF3B71">
            <w:pPr>
              <w:rPr>
                <w:sz w:val="18"/>
                <w:szCs w:val="20"/>
              </w:rPr>
            </w:pPr>
            <w:r w:rsidRPr="00FC648F">
              <w:rPr>
                <w:sz w:val="18"/>
                <w:szCs w:val="20"/>
              </w:rPr>
              <w:t>Në mln. Euro përveç nëse theksohet</w:t>
            </w:r>
            <w:r w:rsidRPr="00FC648F">
              <w:rPr>
                <w:sz w:val="18"/>
                <w:szCs w:val="20"/>
              </w:rPr>
              <w:br/>
              <w:t xml:space="preserve">ndryshe </w:t>
            </w:r>
          </w:p>
        </w:tc>
        <w:tc>
          <w:tcPr>
            <w:tcW w:w="638" w:type="pct"/>
            <w:tcBorders>
              <w:top w:val="double" w:sz="6" w:space="0" w:color="auto"/>
              <w:left w:val="nil"/>
              <w:bottom w:val="double" w:sz="6" w:space="0" w:color="auto"/>
              <w:right w:val="single" w:sz="8" w:space="0" w:color="auto"/>
            </w:tcBorders>
            <w:shd w:val="clear" w:color="000000" w:fill="FFFFFF"/>
            <w:vAlign w:val="bottom"/>
            <w:hideMark/>
          </w:tcPr>
          <w:p w14:paraId="4E3D9203" w14:textId="77777777" w:rsidR="009D6D4E" w:rsidRPr="00FC648F" w:rsidRDefault="009D6D4E" w:rsidP="00BF3B71">
            <w:pPr>
              <w:rPr>
                <w:sz w:val="18"/>
                <w:szCs w:val="20"/>
              </w:rPr>
            </w:pPr>
            <w:r w:rsidRPr="00FC648F">
              <w:rPr>
                <w:sz w:val="18"/>
                <w:szCs w:val="20"/>
              </w:rPr>
              <w:t> </w:t>
            </w:r>
          </w:p>
        </w:tc>
        <w:tc>
          <w:tcPr>
            <w:tcW w:w="446" w:type="pct"/>
            <w:tcBorders>
              <w:top w:val="double" w:sz="6" w:space="0" w:color="auto"/>
              <w:left w:val="nil"/>
              <w:bottom w:val="double" w:sz="6" w:space="0" w:color="auto"/>
              <w:right w:val="dotted" w:sz="4" w:space="0" w:color="auto"/>
            </w:tcBorders>
            <w:shd w:val="clear" w:color="000000" w:fill="FFFFFF"/>
            <w:hideMark/>
          </w:tcPr>
          <w:p w14:paraId="2B1764B8" w14:textId="77777777" w:rsidR="009D6D4E" w:rsidRPr="00030958" w:rsidRDefault="009D6D4E" w:rsidP="00BF3B71">
            <w:pPr>
              <w:jc w:val="center"/>
              <w:rPr>
                <w:sz w:val="18"/>
                <w:szCs w:val="20"/>
                <w:lang w:val="en-US"/>
              </w:rPr>
            </w:pPr>
            <w:r w:rsidRPr="00030958">
              <w:rPr>
                <w:sz w:val="18"/>
                <w:szCs w:val="20"/>
                <w:lang w:val="en-US"/>
              </w:rPr>
              <w:t>2018</w:t>
            </w:r>
          </w:p>
        </w:tc>
        <w:tc>
          <w:tcPr>
            <w:tcW w:w="446" w:type="pct"/>
            <w:tcBorders>
              <w:top w:val="double" w:sz="6" w:space="0" w:color="auto"/>
              <w:left w:val="nil"/>
              <w:bottom w:val="double" w:sz="6" w:space="0" w:color="auto"/>
              <w:right w:val="dotted" w:sz="4" w:space="0" w:color="auto"/>
            </w:tcBorders>
            <w:shd w:val="clear" w:color="000000" w:fill="FFFFFF"/>
            <w:hideMark/>
          </w:tcPr>
          <w:p w14:paraId="3B7FA256" w14:textId="77777777" w:rsidR="009D6D4E" w:rsidRPr="00030958" w:rsidRDefault="009D6D4E" w:rsidP="00BF3B71">
            <w:pPr>
              <w:jc w:val="center"/>
              <w:rPr>
                <w:sz w:val="18"/>
                <w:szCs w:val="20"/>
                <w:lang w:val="en-US"/>
              </w:rPr>
            </w:pPr>
            <w:r w:rsidRPr="00030958">
              <w:rPr>
                <w:sz w:val="18"/>
                <w:szCs w:val="20"/>
                <w:lang w:val="en-US"/>
              </w:rPr>
              <w:t>2019</w:t>
            </w:r>
          </w:p>
        </w:tc>
        <w:tc>
          <w:tcPr>
            <w:tcW w:w="446" w:type="pct"/>
            <w:tcBorders>
              <w:top w:val="double" w:sz="6" w:space="0" w:color="auto"/>
              <w:left w:val="nil"/>
              <w:bottom w:val="double" w:sz="6" w:space="0" w:color="auto"/>
              <w:right w:val="dotted" w:sz="4" w:space="0" w:color="auto"/>
            </w:tcBorders>
            <w:shd w:val="clear" w:color="000000" w:fill="FFFFFF"/>
            <w:hideMark/>
          </w:tcPr>
          <w:p w14:paraId="2A839FA0" w14:textId="77777777" w:rsidR="009D6D4E" w:rsidRPr="00030958" w:rsidRDefault="009D6D4E" w:rsidP="00BF3B71">
            <w:pPr>
              <w:jc w:val="center"/>
              <w:rPr>
                <w:sz w:val="18"/>
                <w:szCs w:val="20"/>
                <w:lang w:val="en-US"/>
              </w:rPr>
            </w:pPr>
            <w:r w:rsidRPr="00030958">
              <w:rPr>
                <w:sz w:val="18"/>
                <w:szCs w:val="20"/>
                <w:lang w:val="en-US"/>
              </w:rPr>
              <w:t>2020</w:t>
            </w:r>
          </w:p>
        </w:tc>
        <w:tc>
          <w:tcPr>
            <w:tcW w:w="446" w:type="pct"/>
            <w:tcBorders>
              <w:top w:val="double" w:sz="6" w:space="0" w:color="auto"/>
              <w:left w:val="nil"/>
              <w:bottom w:val="double" w:sz="6" w:space="0" w:color="auto"/>
              <w:right w:val="dotted" w:sz="4" w:space="0" w:color="auto"/>
            </w:tcBorders>
            <w:shd w:val="clear" w:color="000000" w:fill="FFFFFF"/>
            <w:hideMark/>
          </w:tcPr>
          <w:p w14:paraId="168F838F" w14:textId="77777777" w:rsidR="009D6D4E" w:rsidRPr="00030958" w:rsidRDefault="009D6D4E" w:rsidP="00BF3B71">
            <w:pPr>
              <w:jc w:val="center"/>
              <w:rPr>
                <w:sz w:val="18"/>
                <w:szCs w:val="20"/>
                <w:lang w:val="en-US"/>
              </w:rPr>
            </w:pPr>
            <w:r w:rsidRPr="00030958">
              <w:rPr>
                <w:sz w:val="18"/>
                <w:szCs w:val="20"/>
                <w:lang w:val="en-US"/>
              </w:rPr>
              <w:t>2021</w:t>
            </w:r>
          </w:p>
        </w:tc>
        <w:tc>
          <w:tcPr>
            <w:tcW w:w="410" w:type="pct"/>
            <w:tcBorders>
              <w:top w:val="double" w:sz="6" w:space="0" w:color="auto"/>
              <w:left w:val="nil"/>
              <w:bottom w:val="double" w:sz="6" w:space="0" w:color="auto"/>
              <w:right w:val="double" w:sz="6" w:space="0" w:color="auto"/>
            </w:tcBorders>
            <w:shd w:val="clear" w:color="000000" w:fill="FFFFFF"/>
            <w:hideMark/>
          </w:tcPr>
          <w:p w14:paraId="1AB6D4E6" w14:textId="77777777" w:rsidR="009D6D4E" w:rsidRPr="00030958" w:rsidRDefault="009D6D4E" w:rsidP="00BF3B71">
            <w:pPr>
              <w:jc w:val="center"/>
              <w:rPr>
                <w:sz w:val="18"/>
                <w:szCs w:val="20"/>
                <w:lang w:val="en-US"/>
              </w:rPr>
            </w:pPr>
            <w:r w:rsidRPr="00030958">
              <w:rPr>
                <w:sz w:val="18"/>
                <w:szCs w:val="20"/>
                <w:lang w:val="en-US"/>
              </w:rPr>
              <w:t>2022</w:t>
            </w:r>
          </w:p>
        </w:tc>
      </w:tr>
      <w:tr w:rsidR="009D6D4E" w:rsidRPr="00030958" w14:paraId="6F9E5EB5" w14:textId="77777777" w:rsidTr="00BF3B71">
        <w:trPr>
          <w:trHeight w:val="20"/>
        </w:trPr>
        <w:tc>
          <w:tcPr>
            <w:tcW w:w="2166" w:type="pct"/>
            <w:tcBorders>
              <w:top w:val="nil"/>
              <w:left w:val="double" w:sz="6" w:space="0" w:color="auto"/>
              <w:bottom w:val="dotted" w:sz="4" w:space="0" w:color="auto"/>
              <w:right w:val="nil"/>
            </w:tcBorders>
            <w:shd w:val="clear" w:color="000000" w:fill="FFFFFF"/>
            <w:hideMark/>
          </w:tcPr>
          <w:p w14:paraId="204C01E9" w14:textId="77777777" w:rsidR="009D6D4E" w:rsidRPr="00FC648F" w:rsidRDefault="009D6D4E" w:rsidP="00BF3B71">
            <w:pPr>
              <w:rPr>
                <w:sz w:val="18"/>
                <w:szCs w:val="20"/>
                <w:lang w:val="fr-BE"/>
              </w:rPr>
            </w:pPr>
            <w:r w:rsidRPr="00FC648F">
              <w:rPr>
                <w:sz w:val="18"/>
                <w:szCs w:val="20"/>
                <w:lang w:val="fr-BE"/>
              </w:rPr>
              <w:t>1.Bilanci i llogarisë rrjedhëse (si % e BPV-së)</w:t>
            </w:r>
          </w:p>
        </w:tc>
        <w:tc>
          <w:tcPr>
            <w:tcW w:w="638" w:type="pct"/>
            <w:tcBorders>
              <w:top w:val="nil"/>
              <w:left w:val="single" w:sz="8" w:space="0" w:color="auto"/>
              <w:bottom w:val="dotted" w:sz="4" w:space="0" w:color="auto"/>
              <w:right w:val="single" w:sz="8" w:space="0" w:color="auto"/>
            </w:tcBorders>
            <w:shd w:val="clear" w:color="000000" w:fill="FFFFFF"/>
            <w:hideMark/>
          </w:tcPr>
          <w:p w14:paraId="1EF20ADC" w14:textId="77777777" w:rsidR="009D6D4E" w:rsidRPr="00030958" w:rsidRDefault="009D6D4E" w:rsidP="00BF3B71">
            <w:pPr>
              <w:jc w:val="center"/>
              <w:rPr>
                <w:sz w:val="18"/>
                <w:szCs w:val="16"/>
                <w:lang w:val="en-US"/>
              </w:rPr>
            </w:pPr>
            <w:r w:rsidRPr="00030958">
              <w:rPr>
                <w:sz w:val="18"/>
                <w:szCs w:val="16"/>
                <w:lang w:val="en-US"/>
              </w:rPr>
              <w:t>% e BPV-së</w:t>
            </w:r>
          </w:p>
        </w:tc>
        <w:tc>
          <w:tcPr>
            <w:tcW w:w="446" w:type="pct"/>
            <w:tcBorders>
              <w:top w:val="nil"/>
              <w:left w:val="nil"/>
              <w:bottom w:val="dotted" w:sz="4" w:space="0" w:color="auto"/>
              <w:right w:val="nil"/>
            </w:tcBorders>
            <w:shd w:val="clear" w:color="000000" w:fill="FFFFFF"/>
            <w:hideMark/>
          </w:tcPr>
          <w:p w14:paraId="46974AC6" w14:textId="77777777" w:rsidR="009D6D4E" w:rsidRPr="00030958" w:rsidRDefault="009D6D4E" w:rsidP="00BF3B71">
            <w:pPr>
              <w:jc w:val="center"/>
              <w:rPr>
                <w:sz w:val="18"/>
                <w:szCs w:val="20"/>
                <w:lang w:val="en-US"/>
              </w:rPr>
            </w:pPr>
            <w:r w:rsidRPr="00030958">
              <w:rPr>
                <w:sz w:val="18"/>
                <w:szCs w:val="20"/>
                <w:lang w:val="en-US"/>
              </w:rPr>
              <w:t>-7.6</w:t>
            </w:r>
          </w:p>
        </w:tc>
        <w:tc>
          <w:tcPr>
            <w:tcW w:w="446" w:type="pct"/>
            <w:tcBorders>
              <w:top w:val="nil"/>
              <w:left w:val="dotted" w:sz="4" w:space="0" w:color="auto"/>
              <w:bottom w:val="dotted" w:sz="4" w:space="0" w:color="auto"/>
              <w:right w:val="dotted" w:sz="4" w:space="0" w:color="auto"/>
            </w:tcBorders>
            <w:shd w:val="clear" w:color="000000" w:fill="FFFFFF"/>
            <w:hideMark/>
          </w:tcPr>
          <w:p w14:paraId="351C7841" w14:textId="77777777" w:rsidR="009D6D4E" w:rsidRPr="00030958" w:rsidRDefault="009D6D4E" w:rsidP="00BF3B71">
            <w:pPr>
              <w:jc w:val="center"/>
              <w:rPr>
                <w:sz w:val="18"/>
                <w:szCs w:val="20"/>
                <w:lang w:val="en-US"/>
              </w:rPr>
            </w:pPr>
            <w:r w:rsidRPr="00030958">
              <w:rPr>
                <w:sz w:val="18"/>
                <w:szCs w:val="20"/>
                <w:lang w:val="en-US"/>
              </w:rPr>
              <w:t>-5.6</w:t>
            </w:r>
          </w:p>
        </w:tc>
        <w:tc>
          <w:tcPr>
            <w:tcW w:w="446" w:type="pct"/>
            <w:tcBorders>
              <w:top w:val="nil"/>
              <w:left w:val="nil"/>
              <w:bottom w:val="dotted" w:sz="4" w:space="0" w:color="auto"/>
              <w:right w:val="nil"/>
            </w:tcBorders>
            <w:shd w:val="clear" w:color="000000" w:fill="FFFFFF"/>
            <w:hideMark/>
          </w:tcPr>
          <w:p w14:paraId="203E25CA" w14:textId="77777777" w:rsidR="009D6D4E" w:rsidRPr="00030958" w:rsidRDefault="009D6D4E" w:rsidP="00BF3B71">
            <w:pPr>
              <w:jc w:val="center"/>
              <w:rPr>
                <w:sz w:val="18"/>
                <w:szCs w:val="20"/>
                <w:lang w:val="en-US"/>
              </w:rPr>
            </w:pPr>
            <w:r w:rsidRPr="00030958">
              <w:rPr>
                <w:sz w:val="18"/>
                <w:szCs w:val="20"/>
                <w:lang w:val="en-US"/>
              </w:rPr>
              <w:t>-7.5</w:t>
            </w:r>
          </w:p>
        </w:tc>
        <w:tc>
          <w:tcPr>
            <w:tcW w:w="446" w:type="pct"/>
            <w:tcBorders>
              <w:top w:val="nil"/>
              <w:left w:val="dotted" w:sz="4" w:space="0" w:color="auto"/>
              <w:bottom w:val="dotted" w:sz="4" w:space="0" w:color="auto"/>
              <w:right w:val="dotted" w:sz="4" w:space="0" w:color="auto"/>
            </w:tcBorders>
            <w:shd w:val="clear" w:color="000000" w:fill="FFFFFF"/>
            <w:hideMark/>
          </w:tcPr>
          <w:p w14:paraId="0B3C7780" w14:textId="77777777" w:rsidR="009D6D4E" w:rsidRPr="00030958" w:rsidRDefault="009D6D4E" w:rsidP="00BF3B71">
            <w:pPr>
              <w:jc w:val="center"/>
              <w:rPr>
                <w:sz w:val="18"/>
                <w:szCs w:val="20"/>
                <w:lang w:val="en-US"/>
              </w:rPr>
            </w:pPr>
            <w:r w:rsidRPr="00030958">
              <w:rPr>
                <w:sz w:val="18"/>
                <w:szCs w:val="20"/>
                <w:lang w:val="en-US"/>
              </w:rPr>
              <w:t>-6.9</w:t>
            </w:r>
          </w:p>
        </w:tc>
        <w:tc>
          <w:tcPr>
            <w:tcW w:w="410" w:type="pct"/>
            <w:tcBorders>
              <w:top w:val="nil"/>
              <w:left w:val="nil"/>
              <w:bottom w:val="dotted" w:sz="4" w:space="0" w:color="auto"/>
              <w:right w:val="double" w:sz="6" w:space="0" w:color="auto"/>
            </w:tcBorders>
            <w:shd w:val="clear" w:color="000000" w:fill="FFFFFF"/>
            <w:hideMark/>
          </w:tcPr>
          <w:p w14:paraId="29C1170F" w14:textId="77777777" w:rsidR="009D6D4E" w:rsidRPr="00030958" w:rsidRDefault="009D6D4E" w:rsidP="00BF3B71">
            <w:pPr>
              <w:jc w:val="center"/>
              <w:rPr>
                <w:sz w:val="18"/>
                <w:szCs w:val="20"/>
                <w:lang w:val="en-US"/>
              </w:rPr>
            </w:pPr>
            <w:r w:rsidRPr="00030958">
              <w:rPr>
                <w:sz w:val="18"/>
                <w:szCs w:val="20"/>
                <w:lang w:val="en-US"/>
              </w:rPr>
              <w:t>-6.6</w:t>
            </w:r>
          </w:p>
        </w:tc>
      </w:tr>
      <w:tr w:rsidR="009D6D4E" w:rsidRPr="00030958" w14:paraId="4434315E" w14:textId="77777777" w:rsidTr="00BF3B71">
        <w:trPr>
          <w:trHeight w:val="20"/>
        </w:trPr>
        <w:tc>
          <w:tcPr>
            <w:tcW w:w="2166" w:type="pct"/>
            <w:tcBorders>
              <w:top w:val="nil"/>
              <w:left w:val="double" w:sz="6" w:space="0" w:color="auto"/>
              <w:bottom w:val="dotted" w:sz="4" w:space="0" w:color="auto"/>
              <w:right w:val="nil"/>
            </w:tcBorders>
            <w:shd w:val="clear" w:color="000000" w:fill="FFFFFF"/>
            <w:hideMark/>
          </w:tcPr>
          <w:p w14:paraId="29A431CD" w14:textId="77777777" w:rsidR="009D6D4E" w:rsidRPr="00030958" w:rsidRDefault="009D6D4E" w:rsidP="00BF3B71">
            <w:pPr>
              <w:rPr>
                <w:sz w:val="18"/>
                <w:szCs w:val="20"/>
                <w:lang w:val="en-US"/>
              </w:rPr>
            </w:pPr>
            <w:r w:rsidRPr="00030958">
              <w:rPr>
                <w:sz w:val="18"/>
                <w:szCs w:val="20"/>
                <w:lang w:val="en-US"/>
              </w:rPr>
              <w:t xml:space="preserve">2. Eksporti I mallrave </w:t>
            </w:r>
          </w:p>
        </w:tc>
        <w:tc>
          <w:tcPr>
            <w:tcW w:w="638" w:type="pct"/>
            <w:tcBorders>
              <w:top w:val="nil"/>
              <w:left w:val="single" w:sz="8" w:space="0" w:color="auto"/>
              <w:bottom w:val="dotted" w:sz="4" w:space="0" w:color="auto"/>
              <w:right w:val="single" w:sz="8" w:space="0" w:color="auto"/>
            </w:tcBorders>
            <w:shd w:val="clear" w:color="000000" w:fill="FFFFFF"/>
            <w:hideMark/>
          </w:tcPr>
          <w:p w14:paraId="1B175C9E" w14:textId="77777777" w:rsidR="009D6D4E" w:rsidRPr="00030958" w:rsidRDefault="009D6D4E" w:rsidP="00BF3B71">
            <w:pPr>
              <w:jc w:val="center"/>
              <w:rPr>
                <w:sz w:val="18"/>
                <w:szCs w:val="16"/>
                <w:lang w:val="en-US"/>
              </w:rPr>
            </w:pPr>
            <w:r w:rsidRPr="00030958">
              <w:rPr>
                <w:sz w:val="18"/>
                <w:szCs w:val="16"/>
                <w:lang w:val="en-US"/>
              </w:rPr>
              <w:t>mn EUR</w:t>
            </w:r>
          </w:p>
        </w:tc>
        <w:tc>
          <w:tcPr>
            <w:tcW w:w="446" w:type="pct"/>
            <w:tcBorders>
              <w:top w:val="nil"/>
              <w:left w:val="nil"/>
              <w:bottom w:val="dotted" w:sz="4" w:space="0" w:color="auto"/>
              <w:right w:val="nil"/>
            </w:tcBorders>
            <w:shd w:val="clear" w:color="000000" w:fill="FFFFFF"/>
            <w:hideMark/>
          </w:tcPr>
          <w:p w14:paraId="6A48D663" w14:textId="77777777" w:rsidR="009D6D4E" w:rsidRPr="00030958" w:rsidRDefault="009D6D4E" w:rsidP="00BF3B71">
            <w:pPr>
              <w:jc w:val="center"/>
              <w:rPr>
                <w:sz w:val="18"/>
                <w:szCs w:val="20"/>
                <w:lang w:val="en-US"/>
              </w:rPr>
            </w:pPr>
            <w:r w:rsidRPr="00030958">
              <w:rPr>
                <w:sz w:val="18"/>
                <w:szCs w:val="20"/>
                <w:lang w:val="en-US"/>
              </w:rPr>
              <w:t>376.7</w:t>
            </w:r>
          </w:p>
        </w:tc>
        <w:tc>
          <w:tcPr>
            <w:tcW w:w="446" w:type="pct"/>
            <w:tcBorders>
              <w:top w:val="nil"/>
              <w:left w:val="dotted" w:sz="4" w:space="0" w:color="auto"/>
              <w:bottom w:val="dotted" w:sz="4" w:space="0" w:color="auto"/>
              <w:right w:val="dotted" w:sz="4" w:space="0" w:color="auto"/>
            </w:tcBorders>
            <w:shd w:val="clear" w:color="000000" w:fill="FFFFFF"/>
            <w:hideMark/>
          </w:tcPr>
          <w:p w14:paraId="07558EA0" w14:textId="77777777" w:rsidR="009D6D4E" w:rsidRPr="00030958" w:rsidRDefault="009D6D4E" w:rsidP="00BF3B71">
            <w:pPr>
              <w:jc w:val="center"/>
              <w:rPr>
                <w:sz w:val="18"/>
                <w:szCs w:val="20"/>
                <w:lang w:val="en-US"/>
              </w:rPr>
            </w:pPr>
            <w:r w:rsidRPr="00030958">
              <w:rPr>
                <w:sz w:val="18"/>
                <w:szCs w:val="20"/>
                <w:lang w:val="en-US"/>
              </w:rPr>
              <w:t>398.2</w:t>
            </w:r>
          </w:p>
        </w:tc>
        <w:tc>
          <w:tcPr>
            <w:tcW w:w="446" w:type="pct"/>
            <w:tcBorders>
              <w:top w:val="nil"/>
              <w:left w:val="nil"/>
              <w:bottom w:val="dotted" w:sz="4" w:space="0" w:color="auto"/>
              <w:right w:val="nil"/>
            </w:tcBorders>
            <w:shd w:val="clear" w:color="000000" w:fill="FFFFFF"/>
            <w:hideMark/>
          </w:tcPr>
          <w:p w14:paraId="784D50DC" w14:textId="77777777" w:rsidR="009D6D4E" w:rsidRPr="00030958" w:rsidRDefault="009D6D4E" w:rsidP="00BF3B71">
            <w:pPr>
              <w:jc w:val="center"/>
              <w:rPr>
                <w:sz w:val="18"/>
                <w:szCs w:val="20"/>
                <w:lang w:val="en-US"/>
              </w:rPr>
            </w:pPr>
            <w:r w:rsidRPr="00030958">
              <w:rPr>
                <w:sz w:val="18"/>
                <w:szCs w:val="20"/>
                <w:lang w:val="en-US"/>
              </w:rPr>
              <w:t>425.0</w:t>
            </w:r>
          </w:p>
        </w:tc>
        <w:tc>
          <w:tcPr>
            <w:tcW w:w="446" w:type="pct"/>
            <w:tcBorders>
              <w:top w:val="nil"/>
              <w:left w:val="dotted" w:sz="4" w:space="0" w:color="auto"/>
              <w:bottom w:val="dotted" w:sz="4" w:space="0" w:color="auto"/>
              <w:right w:val="dotted" w:sz="4" w:space="0" w:color="auto"/>
            </w:tcBorders>
            <w:shd w:val="clear" w:color="000000" w:fill="FFFFFF"/>
            <w:hideMark/>
          </w:tcPr>
          <w:p w14:paraId="492405BA" w14:textId="77777777" w:rsidR="009D6D4E" w:rsidRPr="00030958" w:rsidRDefault="009D6D4E" w:rsidP="00BF3B71">
            <w:pPr>
              <w:jc w:val="center"/>
              <w:rPr>
                <w:sz w:val="18"/>
                <w:szCs w:val="20"/>
                <w:lang w:val="en-US"/>
              </w:rPr>
            </w:pPr>
            <w:r w:rsidRPr="00030958">
              <w:rPr>
                <w:sz w:val="18"/>
                <w:szCs w:val="20"/>
                <w:lang w:val="en-US"/>
              </w:rPr>
              <w:t>437.6</w:t>
            </w:r>
          </w:p>
        </w:tc>
        <w:tc>
          <w:tcPr>
            <w:tcW w:w="410" w:type="pct"/>
            <w:tcBorders>
              <w:top w:val="nil"/>
              <w:left w:val="nil"/>
              <w:bottom w:val="dotted" w:sz="4" w:space="0" w:color="auto"/>
              <w:right w:val="double" w:sz="6" w:space="0" w:color="auto"/>
            </w:tcBorders>
            <w:shd w:val="clear" w:color="000000" w:fill="FFFFFF"/>
            <w:hideMark/>
          </w:tcPr>
          <w:p w14:paraId="05FC8984" w14:textId="77777777" w:rsidR="009D6D4E" w:rsidRPr="00030958" w:rsidRDefault="009D6D4E" w:rsidP="00BF3B71">
            <w:pPr>
              <w:jc w:val="center"/>
              <w:rPr>
                <w:sz w:val="18"/>
                <w:szCs w:val="20"/>
                <w:lang w:val="en-US"/>
              </w:rPr>
            </w:pPr>
            <w:r w:rsidRPr="00030958">
              <w:rPr>
                <w:sz w:val="18"/>
                <w:szCs w:val="20"/>
                <w:lang w:val="en-US"/>
              </w:rPr>
              <w:t>448.7</w:t>
            </w:r>
          </w:p>
        </w:tc>
      </w:tr>
      <w:tr w:rsidR="009D6D4E" w:rsidRPr="00030958" w14:paraId="0091AC3F" w14:textId="77777777" w:rsidTr="00BF3B71">
        <w:trPr>
          <w:trHeight w:val="20"/>
        </w:trPr>
        <w:tc>
          <w:tcPr>
            <w:tcW w:w="2166" w:type="pct"/>
            <w:tcBorders>
              <w:top w:val="nil"/>
              <w:left w:val="double" w:sz="6" w:space="0" w:color="auto"/>
              <w:bottom w:val="dotted" w:sz="4" w:space="0" w:color="auto"/>
              <w:right w:val="nil"/>
            </w:tcBorders>
            <w:shd w:val="clear" w:color="000000" w:fill="FFFFFF"/>
            <w:hideMark/>
          </w:tcPr>
          <w:p w14:paraId="2156C7A1" w14:textId="77777777" w:rsidR="009D6D4E" w:rsidRPr="00030958" w:rsidRDefault="009D6D4E" w:rsidP="00BF3B71">
            <w:pPr>
              <w:rPr>
                <w:sz w:val="18"/>
                <w:szCs w:val="20"/>
                <w:lang w:val="en-US"/>
              </w:rPr>
            </w:pPr>
            <w:r w:rsidRPr="00030958">
              <w:rPr>
                <w:sz w:val="18"/>
                <w:szCs w:val="20"/>
                <w:lang w:val="en-US"/>
              </w:rPr>
              <w:t xml:space="preserve">3. Importi I mallrave </w:t>
            </w:r>
          </w:p>
        </w:tc>
        <w:tc>
          <w:tcPr>
            <w:tcW w:w="638" w:type="pct"/>
            <w:tcBorders>
              <w:top w:val="nil"/>
              <w:left w:val="single" w:sz="8" w:space="0" w:color="auto"/>
              <w:bottom w:val="dotted" w:sz="4" w:space="0" w:color="auto"/>
              <w:right w:val="single" w:sz="8" w:space="0" w:color="auto"/>
            </w:tcBorders>
            <w:shd w:val="clear" w:color="000000" w:fill="FFFFFF"/>
            <w:hideMark/>
          </w:tcPr>
          <w:p w14:paraId="19353538" w14:textId="77777777" w:rsidR="009D6D4E" w:rsidRPr="00030958" w:rsidRDefault="009D6D4E" w:rsidP="00BF3B71">
            <w:pPr>
              <w:jc w:val="center"/>
              <w:rPr>
                <w:sz w:val="18"/>
                <w:szCs w:val="16"/>
                <w:lang w:val="en-US"/>
              </w:rPr>
            </w:pPr>
            <w:r w:rsidRPr="00030958">
              <w:rPr>
                <w:sz w:val="18"/>
                <w:szCs w:val="16"/>
                <w:lang w:val="en-US"/>
              </w:rPr>
              <w:t>mn EUR</w:t>
            </w:r>
          </w:p>
        </w:tc>
        <w:tc>
          <w:tcPr>
            <w:tcW w:w="446" w:type="pct"/>
            <w:tcBorders>
              <w:top w:val="nil"/>
              <w:left w:val="nil"/>
              <w:bottom w:val="dotted" w:sz="4" w:space="0" w:color="auto"/>
              <w:right w:val="nil"/>
            </w:tcBorders>
            <w:shd w:val="clear" w:color="000000" w:fill="FFFFFF"/>
            <w:hideMark/>
          </w:tcPr>
          <w:p w14:paraId="294774FF" w14:textId="77777777" w:rsidR="009D6D4E" w:rsidRPr="00030958" w:rsidRDefault="009D6D4E" w:rsidP="00BF3B71">
            <w:pPr>
              <w:jc w:val="center"/>
              <w:rPr>
                <w:sz w:val="18"/>
                <w:szCs w:val="20"/>
                <w:lang w:val="en-US"/>
              </w:rPr>
            </w:pPr>
            <w:r w:rsidRPr="00030958">
              <w:rPr>
                <w:sz w:val="18"/>
                <w:szCs w:val="20"/>
                <w:lang w:val="en-US"/>
              </w:rPr>
              <w:t>3,115</w:t>
            </w:r>
          </w:p>
        </w:tc>
        <w:tc>
          <w:tcPr>
            <w:tcW w:w="446" w:type="pct"/>
            <w:tcBorders>
              <w:top w:val="nil"/>
              <w:left w:val="dotted" w:sz="4" w:space="0" w:color="auto"/>
              <w:bottom w:val="dotted" w:sz="4" w:space="0" w:color="auto"/>
              <w:right w:val="dotted" w:sz="4" w:space="0" w:color="auto"/>
            </w:tcBorders>
            <w:shd w:val="clear" w:color="000000" w:fill="FFFFFF"/>
            <w:hideMark/>
          </w:tcPr>
          <w:p w14:paraId="35601156" w14:textId="77777777" w:rsidR="009D6D4E" w:rsidRPr="00030958" w:rsidRDefault="009D6D4E" w:rsidP="00BF3B71">
            <w:pPr>
              <w:jc w:val="center"/>
              <w:rPr>
                <w:sz w:val="18"/>
                <w:szCs w:val="20"/>
                <w:lang w:val="en-US"/>
              </w:rPr>
            </w:pPr>
            <w:r w:rsidRPr="00030958">
              <w:rPr>
                <w:sz w:val="18"/>
                <w:szCs w:val="20"/>
                <w:lang w:val="en-US"/>
              </w:rPr>
              <w:t>3,273</w:t>
            </w:r>
          </w:p>
        </w:tc>
        <w:tc>
          <w:tcPr>
            <w:tcW w:w="446" w:type="pct"/>
            <w:tcBorders>
              <w:top w:val="nil"/>
              <w:left w:val="nil"/>
              <w:bottom w:val="dotted" w:sz="4" w:space="0" w:color="auto"/>
              <w:right w:val="nil"/>
            </w:tcBorders>
            <w:shd w:val="clear" w:color="000000" w:fill="FFFFFF"/>
            <w:hideMark/>
          </w:tcPr>
          <w:p w14:paraId="4185DAA5" w14:textId="77777777" w:rsidR="009D6D4E" w:rsidRPr="00030958" w:rsidRDefault="009D6D4E" w:rsidP="00BF3B71">
            <w:pPr>
              <w:jc w:val="center"/>
              <w:rPr>
                <w:sz w:val="18"/>
                <w:szCs w:val="20"/>
                <w:lang w:val="en-US"/>
              </w:rPr>
            </w:pPr>
            <w:r w:rsidRPr="00030958">
              <w:rPr>
                <w:sz w:val="18"/>
                <w:szCs w:val="20"/>
                <w:lang w:val="en-US"/>
              </w:rPr>
              <w:t>3,604</w:t>
            </w:r>
          </w:p>
        </w:tc>
        <w:tc>
          <w:tcPr>
            <w:tcW w:w="446" w:type="pct"/>
            <w:tcBorders>
              <w:top w:val="nil"/>
              <w:left w:val="dotted" w:sz="4" w:space="0" w:color="auto"/>
              <w:bottom w:val="dotted" w:sz="4" w:space="0" w:color="auto"/>
              <w:right w:val="dotted" w:sz="4" w:space="0" w:color="auto"/>
            </w:tcBorders>
            <w:shd w:val="clear" w:color="000000" w:fill="FFFFFF"/>
            <w:hideMark/>
          </w:tcPr>
          <w:p w14:paraId="4721D3F1" w14:textId="77777777" w:rsidR="009D6D4E" w:rsidRPr="00030958" w:rsidRDefault="009D6D4E" w:rsidP="00BF3B71">
            <w:pPr>
              <w:jc w:val="center"/>
              <w:rPr>
                <w:sz w:val="18"/>
                <w:szCs w:val="20"/>
                <w:lang w:val="en-US"/>
              </w:rPr>
            </w:pPr>
            <w:r w:rsidRPr="00030958">
              <w:rPr>
                <w:sz w:val="18"/>
                <w:szCs w:val="20"/>
                <w:lang w:val="en-US"/>
              </w:rPr>
              <w:t>3,820</w:t>
            </w:r>
          </w:p>
        </w:tc>
        <w:tc>
          <w:tcPr>
            <w:tcW w:w="410" w:type="pct"/>
            <w:tcBorders>
              <w:top w:val="nil"/>
              <w:left w:val="nil"/>
              <w:bottom w:val="dotted" w:sz="4" w:space="0" w:color="auto"/>
              <w:right w:val="double" w:sz="6" w:space="0" w:color="auto"/>
            </w:tcBorders>
            <w:shd w:val="clear" w:color="000000" w:fill="FFFFFF"/>
            <w:hideMark/>
          </w:tcPr>
          <w:p w14:paraId="77CCA2E2" w14:textId="77777777" w:rsidR="009D6D4E" w:rsidRPr="00030958" w:rsidRDefault="009D6D4E" w:rsidP="00BF3B71">
            <w:pPr>
              <w:jc w:val="center"/>
              <w:rPr>
                <w:sz w:val="18"/>
                <w:szCs w:val="20"/>
                <w:lang w:val="en-US"/>
              </w:rPr>
            </w:pPr>
            <w:r w:rsidRPr="00030958">
              <w:rPr>
                <w:sz w:val="18"/>
                <w:szCs w:val="20"/>
                <w:lang w:val="en-US"/>
              </w:rPr>
              <w:t>4,052</w:t>
            </w:r>
          </w:p>
        </w:tc>
      </w:tr>
      <w:tr w:rsidR="009D6D4E" w:rsidRPr="00030958" w14:paraId="13869178" w14:textId="77777777" w:rsidTr="00BF3B71">
        <w:trPr>
          <w:trHeight w:val="20"/>
        </w:trPr>
        <w:tc>
          <w:tcPr>
            <w:tcW w:w="2166" w:type="pct"/>
            <w:tcBorders>
              <w:top w:val="nil"/>
              <w:left w:val="double" w:sz="6" w:space="0" w:color="auto"/>
              <w:bottom w:val="dotted" w:sz="4" w:space="0" w:color="auto"/>
              <w:right w:val="nil"/>
            </w:tcBorders>
            <w:shd w:val="clear" w:color="000000" w:fill="FFFFFF"/>
            <w:hideMark/>
          </w:tcPr>
          <w:p w14:paraId="6F898EFA" w14:textId="77777777" w:rsidR="009D6D4E" w:rsidRPr="00030958" w:rsidRDefault="009D6D4E" w:rsidP="00BF3B71">
            <w:pPr>
              <w:rPr>
                <w:sz w:val="18"/>
                <w:szCs w:val="20"/>
                <w:lang w:val="en-US"/>
              </w:rPr>
            </w:pPr>
            <w:r w:rsidRPr="00030958">
              <w:rPr>
                <w:sz w:val="18"/>
                <w:szCs w:val="20"/>
                <w:lang w:val="en-US"/>
              </w:rPr>
              <w:t xml:space="preserve">4. Bilanci tregtar </w:t>
            </w:r>
          </w:p>
        </w:tc>
        <w:tc>
          <w:tcPr>
            <w:tcW w:w="638" w:type="pct"/>
            <w:tcBorders>
              <w:top w:val="nil"/>
              <w:left w:val="single" w:sz="8" w:space="0" w:color="auto"/>
              <w:bottom w:val="dotted" w:sz="4" w:space="0" w:color="auto"/>
              <w:right w:val="single" w:sz="8" w:space="0" w:color="auto"/>
            </w:tcBorders>
            <w:shd w:val="clear" w:color="000000" w:fill="FFFFFF"/>
            <w:hideMark/>
          </w:tcPr>
          <w:p w14:paraId="0B3EFF77" w14:textId="77777777" w:rsidR="009D6D4E" w:rsidRPr="00030958" w:rsidRDefault="009D6D4E" w:rsidP="00BF3B71">
            <w:pPr>
              <w:jc w:val="center"/>
              <w:rPr>
                <w:sz w:val="18"/>
                <w:szCs w:val="16"/>
                <w:lang w:val="en-US"/>
              </w:rPr>
            </w:pPr>
            <w:r w:rsidRPr="00030958">
              <w:rPr>
                <w:sz w:val="18"/>
                <w:szCs w:val="16"/>
                <w:lang w:val="en-US"/>
              </w:rPr>
              <w:t>mn EUR</w:t>
            </w:r>
          </w:p>
        </w:tc>
        <w:tc>
          <w:tcPr>
            <w:tcW w:w="446" w:type="pct"/>
            <w:tcBorders>
              <w:top w:val="nil"/>
              <w:left w:val="nil"/>
              <w:bottom w:val="dotted" w:sz="4" w:space="0" w:color="auto"/>
              <w:right w:val="nil"/>
            </w:tcBorders>
            <w:shd w:val="clear" w:color="000000" w:fill="FFFFFF"/>
            <w:hideMark/>
          </w:tcPr>
          <w:p w14:paraId="0ADB33CD" w14:textId="77777777" w:rsidR="009D6D4E" w:rsidRPr="00030958" w:rsidRDefault="009D6D4E" w:rsidP="00BF3B71">
            <w:pPr>
              <w:jc w:val="center"/>
              <w:rPr>
                <w:sz w:val="18"/>
                <w:szCs w:val="20"/>
                <w:lang w:val="en-US"/>
              </w:rPr>
            </w:pPr>
            <w:r w:rsidRPr="00030958">
              <w:rPr>
                <w:sz w:val="18"/>
                <w:szCs w:val="20"/>
                <w:lang w:val="en-US"/>
              </w:rPr>
              <w:t>-2,738</w:t>
            </w:r>
          </w:p>
        </w:tc>
        <w:tc>
          <w:tcPr>
            <w:tcW w:w="446" w:type="pct"/>
            <w:tcBorders>
              <w:top w:val="nil"/>
              <w:left w:val="dotted" w:sz="4" w:space="0" w:color="auto"/>
              <w:bottom w:val="dotted" w:sz="4" w:space="0" w:color="auto"/>
              <w:right w:val="dotted" w:sz="4" w:space="0" w:color="auto"/>
            </w:tcBorders>
            <w:shd w:val="clear" w:color="000000" w:fill="FFFFFF"/>
            <w:hideMark/>
          </w:tcPr>
          <w:p w14:paraId="165F0276" w14:textId="77777777" w:rsidR="009D6D4E" w:rsidRPr="00030958" w:rsidRDefault="009D6D4E" w:rsidP="00BF3B71">
            <w:pPr>
              <w:jc w:val="center"/>
              <w:rPr>
                <w:sz w:val="18"/>
                <w:szCs w:val="20"/>
                <w:lang w:val="en-US"/>
              </w:rPr>
            </w:pPr>
            <w:r w:rsidRPr="00030958">
              <w:rPr>
                <w:sz w:val="18"/>
                <w:szCs w:val="20"/>
                <w:lang w:val="en-US"/>
              </w:rPr>
              <w:t>-2,875</w:t>
            </w:r>
          </w:p>
        </w:tc>
        <w:tc>
          <w:tcPr>
            <w:tcW w:w="446" w:type="pct"/>
            <w:tcBorders>
              <w:top w:val="nil"/>
              <w:left w:val="nil"/>
              <w:bottom w:val="dotted" w:sz="4" w:space="0" w:color="auto"/>
              <w:right w:val="nil"/>
            </w:tcBorders>
            <w:shd w:val="clear" w:color="000000" w:fill="FFFFFF"/>
            <w:hideMark/>
          </w:tcPr>
          <w:p w14:paraId="55EE2B2D" w14:textId="77777777" w:rsidR="009D6D4E" w:rsidRPr="00030958" w:rsidRDefault="009D6D4E" w:rsidP="00BF3B71">
            <w:pPr>
              <w:jc w:val="center"/>
              <w:rPr>
                <w:sz w:val="18"/>
                <w:szCs w:val="20"/>
                <w:lang w:val="en-US"/>
              </w:rPr>
            </w:pPr>
            <w:r w:rsidRPr="00030958">
              <w:rPr>
                <w:sz w:val="18"/>
                <w:szCs w:val="20"/>
                <w:lang w:val="en-US"/>
              </w:rPr>
              <w:t>-3,179</w:t>
            </w:r>
          </w:p>
        </w:tc>
        <w:tc>
          <w:tcPr>
            <w:tcW w:w="446" w:type="pct"/>
            <w:tcBorders>
              <w:top w:val="nil"/>
              <w:left w:val="dotted" w:sz="4" w:space="0" w:color="auto"/>
              <w:bottom w:val="dotted" w:sz="4" w:space="0" w:color="auto"/>
              <w:right w:val="dotted" w:sz="4" w:space="0" w:color="auto"/>
            </w:tcBorders>
            <w:shd w:val="clear" w:color="000000" w:fill="FFFFFF"/>
            <w:hideMark/>
          </w:tcPr>
          <w:p w14:paraId="2CFB5409" w14:textId="77777777" w:rsidR="009D6D4E" w:rsidRPr="00030958" w:rsidRDefault="009D6D4E" w:rsidP="00BF3B71">
            <w:pPr>
              <w:jc w:val="center"/>
              <w:rPr>
                <w:sz w:val="18"/>
                <w:szCs w:val="20"/>
                <w:lang w:val="en-US"/>
              </w:rPr>
            </w:pPr>
            <w:r w:rsidRPr="00030958">
              <w:rPr>
                <w:sz w:val="18"/>
                <w:szCs w:val="20"/>
                <w:lang w:val="en-US"/>
              </w:rPr>
              <w:t>-3,383</w:t>
            </w:r>
          </w:p>
        </w:tc>
        <w:tc>
          <w:tcPr>
            <w:tcW w:w="410" w:type="pct"/>
            <w:tcBorders>
              <w:top w:val="nil"/>
              <w:left w:val="nil"/>
              <w:bottom w:val="dotted" w:sz="4" w:space="0" w:color="auto"/>
              <w:right w:val="double" w:sz="6" w:space="0" w:color="auto"/>
            </w:tcBorders>
            <w:shd w:val="clear" w:color="000000" w:fill="FFFFFF"/>
            <w:hideMark/>
          </w:tcPr>
          <w:p w14:paraId="40D3AC52" w14:textId="77777777" w:rsidR="009D6D4E" w:rsidRPr="00030958" w:rsidRDefault="009D6D4E" w:rsidP="00BF3B71">
            <w:pPr>
              <w:jc w:val="center"/>
              <w:rPr>
                <w:sz w:val="18"/>
                <w:szCs w:val="20"/>
                <w:lang w:val="en-US"/>
              </w:rPr>
            </w:pPr>
            <w:r w:rsidRPr="00030958">
              <w:rPr>
                <w:sz w:val="18"/>
                <w:szCs w:val="20"/>
                <w:lang w:val="en-US"/>
              </w:rPr>
              <w:t>-3,603</w:t>
            </w:r>
          </w:p>
        </w:tc>
      </w:tr>
      <w:tr w:rsidR="009D6D4E" w:rsidRPr="00030958" w14:paraId="4DC858E3" w14:textId="77777777" w:rsidTr="00BF3B71">
        <w:trPr>
          <w:trHeight w:val="20"/>
        </w:trPr>
        <w:tc>
          <w:tcPr>
            <w:tcW w:w="2166" w:type="pct"/>
            <w:tcBorders>
              <w:top w:val="nil"/>
              <w:left w:val="double" w:sz="6" w:space="0" w:color="auto"/>
              <w:bottom w:val="dotted" w:sz="4" w:space="0" w:color="auto"/>
              <w:right w:val="nil"/>
            </w:tcBorders>
            <w:shd w:val="clear" w:color="000000" w:fill="FFFFFF"/>
            <w:hideMark/>
          </w:tcPr>
          <w:p w14:paraId="2C876D9B" w14:textId="77777777" w:rsidR="009D6D4E" w:rsidRPr="00030958" w:rsidRDefault="009D6D4E" w:rsidP="00BF3B71">
            <w:pPr>
              <w:rPr>
                <w:sz w:val="18"/>
                <w:szCs w:val="20"/>
                <w:lang w:val="en-US"/>
              </w:rPr>
            </w:pPr>
            <w:r w:rsidRPr="00030958">
              <w:rPr>
                <w:sz w:val="18"/>
                <w:szCs w:val="20"/>
                <w:lang w:val="en-US"/>
              </w:rPr>
              <w:t xml:space="preserve">5. Eksporti I shërbimeve </w:t>
            </w:r>
          </w:p>
        </w:tc>
        <w:tc>
          <w:tcPr>
            <w:tcW w:w="638" w:type="pct"/>
            <w:tcBorders>
              <w:top w:val="nil"/>
              <w:left w:val="single" w:sz="8" w:space="0" w:color="auto"/>
              <w:bottom w:val="dotted" w:sz="4" w:space="0" w:color="auto"/>
              <w:right w:val="single" w:sz="8" w:space="0" w:color="auto"/>
            </w:tcBorders>
            <w:shd w:val="clear" w:color="000000" w:fill="FFFFFF"/>
            <w:hideMark/>
          </w:tcPr>
          <w:p w14:paraId="628491F2" w14:textId="77777777" w:rsidR="009D6D4E" w:rsidRPr="00030958" w:rsidRDefault="009D6D4E" w:rsidP="00BF3B71">
            <w:pPr>
              <w:jc w:val="center"/>
              <w:rPr>
                <w:sz w:val="18"/>
                <w:szCs w:val="16"/>
                <w:lang w:val="en-US"/>
              </w:rPr>
            </w:pPr>
            <w:r w:rsidRPr="00030958">
              <w:rPr>
                <w:sz w:val="18"/>
                <w:szCs w:val="16"/>
                <w:lang w:val="en-US"/>
              </w:rPr>
              <w:t>mn EUR</w:t>
            </w:r>
          </w:p>
        </w:tc>
        <w:tc>
          <w:tcPr>
            <w:tcW w:w="446" w:type="pct"/>
            <w:tcBorders>
              <w:top w:val="nil"/>
              <w:left w:val="nil"/>
              <w:bottom w:val="dotted" w:sz="4" w:space="0" w:color="auto"/>
              <w:right w:val="nil"/>
            </w:tcBorders>
            <w:shd w:val="clear" w:color="000000" w:fill="FFFFFF"/>
            <w:hideMark/>
          </w:tcPr>
          <w:p w14:paraId="12DFEB6D" w14:textId="77777777" w:rsidR="009D6D4E" w:rsidRPr="00030958" w:rsidRDefault="009D6D4E" w:rsidP="00BF3B71">
            <w:pPr>
              <w:jc w:val="center"/>
              <w:rPr>
                <w:sz w:val="18"/>
                <w:szCs w:val="20"/>
                <w:lang w:val="en-US"/>
              </w:rPr>
            </w:pPr>
            <w:r w:rsidRPr="00030958">
              <w:rPr>
                <w:sz w:val="18"/>
                <w:szCs w:val="20"/>
                <w:lang w:val="en-US"/>
              </w:rPr>
              <w:t>1,562</w:t>
            </w:r>
          </w:p>
        </w:tc>
        <w:tc>
          <w:tcPr>
            <w:tcW w:w="446" w:type="pct"/>
            <w:tcBorders>
              <w:top w:val="nil"/>
              <w:left w:val="dotted" w:sz="4" w:space="0" w:color="auto"/>
              <w:bottom w:val="dotted" w:sz="4" w:space="0" w:color="auto"/>
              <w:right w:val="dotted" w:sz="4" w:space="0" w:color="auto"/>
            </w:tcBorders>
            <w:shd w:val="clear" w:color="000000" w:fill="FFFFFF"/>
            <w:hideMark/>
          </w:tcPr>
          <w:p w14:paraId="33576766" w14:textId="77777777" w:rsidR="009D6D4E" w:rsidRPr="00030958" w:rsidRDefault="009D6D4E" w:rsidP="00BF3B71">
            <w:pPr>
              <w:jc w:val="center"/>
              <w:rPr>
                <w:sz w:val="18"/>
                <w:szCs w:val="20"/>
                <w:lang w:val="en-US"/>
              </w:rPr>
            </w:pPr>
            <w:r w:rsidRPr="00030958">
              <w:rPr>
                <w:sz w:val="18"/>
                <w:szCs w:val="20"/>
                <w:lang w:val="en-US"/>
              </w:rPr>
              <w:t>1,744</w:t>
            </w:r>
          </w:p>
        </w:tc>
        <w:tc>
          <w:tcPr>
            <w:tcW w:w="446" w:type="pct"/>
            <w:tcBorders>
              <w:top w:val="nil"/>
              <w:left w:val="nil"/>
              <w:bottom w:val="dotted" w:sz="4" w:space="0" w:color="auto"/>
              <w:right w:val="nil"/>
            </w:tcBorders>
            <w:shd w:val="clear" w:color="000000" w:fill="FFFFFF"/>
            <w:hideMark/>
          </w:tcPr>
          <w:p w14:paraId="3B2693BD" w14:textId="77777777" w:rsidR="009D6D4E" w:rsidRPr="00030958" w:rsidRDefault="009D6D4E" w:rsidP="00BF3B71">
            <w:pPr>
              <w:jc w:val="center"/>
              <w:rPr>
                <w:sz w:val="18"/>
                <w:szCs w:val="20"/>
                <w:lang w:val="en-US"/>
              </w:rPr>
            </w:pPr>
            <w:r w:rsidRPr="00030958">
              <w:rPr>
                <w:sz w:val="18"/>
                <w:szCs w:val="20"/>
                <w:lang w:val="en-US"/>
              </w:rPr>
              <w:t>1,913</w:t>
            </w:r>
          </w:p>
        </w:tc>
        <w:tc>
          <w:tcPr>
            <w:tcW w:w="446" w:type="pct"/>
            <w:tcBorders>
              <w:top w:val="nil"/>
              <w:left w:val="dotted" w:sz="4" w:space="0" w:color="auto"/>
              <w:bottom w:val="dotted" w:sz="4" w:space="0" w:color="auto"/>
              <w:right w:val="dotted" w:sz="4" w:space="0" w:color="auto"/>
            </w:tcBorders>
            <w:shd w:val="clear" w:color="000000" w:fill="FFFFFF"/>
            <w:hideMark/>
          </w:tcPr>
          <w:p w14:paraId="51FE91C6" w14:textId="77777777" w:rsidR="009D6D4E" w:rsidRPr="00030958" w:rsidRDefault="009D6D4E" w:rsidP="00BF3B71">
            <w:pPr>
              <w:jc w:val="center"/>
              <w:rPr>
                <w:sz w:val="18"/>
                <w:szCs w:val="20"/>
                <w:lang w:val="en-US"/>
              </w:rPr>
            </w:pPr>
            <w:r w:rsidRPr="00030958">
              <w:rPr>
                <w:sz w:val="18"/>
                <w:szCs w:val="20"/>
                <w:lang w:val="en-US"/>
              </w:rPr>
              <w:t>2,099</w:t>
            </w:r>
          </w:p>
        </w:tc>
        <w:tc>
          <w:tcPr>
            <w:tcW w:w="410" w:type="pct"/>
            <w:tcBorders>
              <w:top w:val="nil"/>
              <w:left w:val="nil"/>
              <w:bottom w:val="dotted" w:sz="4" w:space="0" w:color="auto"/>
              <w:right w:val="double" w:sz="6" w:space="0" w:color="auto"/>
            </w:tcBorders>
            <w:shd w:val="clear" w:color="000000" w:fill="FFFFFF"/>
            <w:hideMark/>
          </w:tcPr>
          <w:p w14:paraId="2E2B4A26" w14:textId="77777777" w:rsidR="009D6D4E" w:rsidRPr="00030958" w:rsidRDefault="009D6D4E" w:rsidP="00BF3B71">
            <w:pPr>
              <w:jc w:val="center"/>
              <w:rPr>
                <w:sz w:val="18"/>
                <w:szCs w:val="20"/>
                <w:lang w:val="en-US"/>
              </w:rPr>
            </w:pPr>
            <w:r w:rsidRPr="00030958">
              <w:rPr>
                <w:sz w:val="18"/>
                <w:szCs w:val="20"/>
                <w:lang w:val="en-US"/>
              </w:rPr>
              <w:t>2,302</w:t>
            </w:r>
          </w:p>
        </w:tc>
      </w:tr>
      <w:tr w:rsidR="009D6D4E" w:rsidRPr="00030958" w14:paraId="390BEB9A" w14:textId="77777777" w:rsidTr="00BF3B71">
        <w:trPr>
          <w:trHeight w:val="20"/>
        </w:trPr>
        <w:tc>
          <w:tcPr>
            <w:tcW w:w="2166" w:type="pct"/>
            <w:tcBorders>
              <w:top w:val="nil"/>
              <w:left w:val="double" w:sz="6" w:space="0" w:color="auto"/>
              <w:bottom w:val="dotted" w:sz="4" w:space="0" w:color="auto"/>
              <w:right w:val="nil"/>
            </w:tcBorders>
            <w:shd w:val="clear" w:color="000000" w:fill="FFFFFF"/>
            <w:hideMark/>
          </w:tcPr>
          <w:p w14:paraId="1A06E870" w14:textId="77777777" w:rsidR="009D6D4E" w:rsidRPr="00030958" w:rsidRDefault="009D6D4E" w:rsidP="00BF3B71">
            <w:pPr>
              <w:rPr>
                <w:sz w:val="18"/>
                <w:szCs w:val="20"/>
                <w:lang w:val="en-US"/>
              </w:rPr>
            </w:pPr>
            <w:r w:rsidRPr="00030958">
              <w:rPr>
                <w:sz w:val="18"/>
                <w:szCs w:val="20"/>
                <w:lang w:val="en-US"/>
              </w:rPr>
              <w:t xml:space="preserve">6. Importi I shërbimeve </w:t>
            </w:r>
          </w:p>
        </w:tc>
        <w:tc>
          <w:tcPr>
            <w:tcW w:w="638" w:type="pct"/>
            <w:tcBorders>
              <w:top w:val="nil"/>
              <w:left w:val="single" w:sz="8" w:space="0" w:color="auto"/>
              <w:bottom w:val="dotted" w:sz="4" w:space="0" w:color="auto"/>
              <w:right w:val="single" w:sz="8" w:space="0" w:color="auto"/>
            </w:tcBorders>
            <w:shd w:val="clear" w:color="000000" w:fill="FFFFFF"/>
            <w:hideMark/>
          </w:tcPr>
          <w:p w14:paraId="160FE0B7" w14:textId="77777777" w:rsidR="009D6D4E" w:rsidRPr="00030958" w:rsidRDefault="009D6D4E" w:rsidP="00BF3B71">
            <w:pPr>
              <w:jc w:val="center"/>
              <w:rPr>
                <w:sz w:val="18"/>
                <w:szCs w:val="16"/>
                <w:lang w:val="en-US"/>
              </w:rPr>
            </w:pPr>
            <w:r w:rsidRPr="00030958">
              <w:rPr>
                <w:sz w:val="18"/>
                <w:szCs w:val="16"/>
                <w:lang w:val="en-US"/>
              </w:rPr>
              <w:t>mn EUR</w:t>
            </w:r>
          </w:p>
        </w:tc>
        <w:tc>
          <w:tcPr>
            <w:tcW w:w="446" w:type="pct"/>
            <w:tcBorders>
              <w:top w:val="nil"/>
              <w:left w:val="nil"/>
              <w:bottom w:val="dotted" w:sz="4" w:space="0" w:color="auto"/>
              <w:right w:val="nil"/>
            </w:tcBorders>
            <w:shd w:val="clear" w:color="000000" w:fill="FFFFFF"/>
            <w:hideMark/>
          </w:tcPr>
          <w:p w14:paraId="7A2C7FA7" w14:textId="77777777" w:rsidR="009D6D4E" w:rsidRPr="00030958" w:rsidRDefault="009D6D4E" w:rsidP="00BF3B71">
            <w:pPr>
              <w:jc w:val="center"/>
              <w:rPr>
                <w:sz w:val="18"/>
                <w:szCs w:val="20"/>
                <w:lang w:val="en-US"/>
              </w:rPr>
            </w:pPr>
            <w:r w:rsidRPr="00030958">
              <w:rPr>
                <w:sz w:val="18"/>
                <w:szCs w:val="20"/>
                <w:lang w:val="en-US"/>
              </w:rPr>
              <w:t>706</w:t>
            </w:r>
          </w:p>
        </w:tc>
        <w:tc>
          <w:tcPr>
            <w:tcW w:w="446" w:type="pct"/>
            <w:tcBorders>
              <w:top w:val="nil"/>
              <w:left w:val="dotted" w:sz="4" w:space="0" w:color="auto"/>
              <w:bottom w:val="dotted" w:sz="4" w:space="0" w:color="auto"/>
              <w:right w:val="dotted" w:sz="4" w:space="0" w:color="auto"/>
            </w:tcBorders>
            <w:shd w:val="clear" w:color="000000" w:fill="FFFFFF"/>
            <w:hideMark/>
          </w:tcPr>
          <w:p w14:paraId="182A2C32" w14:textId="77777777" w:rsidR="009D6D4E" w:rsidRPr="00030958" w:rsidRDefault="009D6D4E" w:rsidP="00BF3B71">
            <w:pPr>
              <w:jc w:val="center"/>
              <w:rPr>
                <w:sz w:val="18"/>
                <w:szCs w:val="20"/>
                <w:lang w:val="en-US"/>
              </w:rPr>
            </w:pPr>
            <w:r w:rsidRPr="00030958">
              <w:rPr>
                <w:sz w:val="18"/>
                <w:szCs w:val="20"/>
                <w:lang w:val="en-US"/>
              </w:rPr>
              <w:t>762</w:t>
            </w:r>
          </w:p>
        </w:tc>
        <w:tc>
          <w:tcPr>
            <w:tcW w:w="446" w:type="pct"/>
            <w:tcBorders>
              <w:top w:val="nil"/>
              <w:left w:val="nil"/>
              <w:bottom w:val="dotted" w:sz="4" w:space="0" w:color="auto"/>
              <w:right w:val="nil"/>
            </w:tcBorders>
            <w:shd w:val="clear" w:color="000000" w:fill="FFFFFF"/>
            <w:hideMark/>
          </w:tcPr>
          <w:p w14:paraId="24EE3DD4" w14:textId="77777777" w:rsidR="009D6D4E" w:rsidRPr="00030958" w:rsidRDefault="009D6D4E" w:rsidP="00BF3B71">
            <w:pPr>
              <w:jc w:val="center"/>
              <w:rPr>
                <w:sz w:val="18"/>
                <w:szCs w:val="20"/>
                <w:lang w:val="en-US"/>
              </w:rPr>
            </w:pPr>
            <w:r w:rsidRPr="00030958">
              <w:rPr>
                <w:sz w:val="18"/>
                <w:szCs w:val="20"/>
                <w:lang w:val="en-US"/>
              </w:rPr>
              <w:t>823</w:t>
            </w:r>
          </w:p>
        </w:tc>
        <w:tc>
          <w:tcPr>
            <w:tcW w:w="446" w:type="pct"/>
            <w:tcBorders>
              <w:top w:val="nil"/>
              <w:left w:val="dotted" w:sz="4" w:space="0" w:color="auto"/>
              <w:bottom w:val="dotted" w:sz="4" w:space="0" w:color="auto"/>
              <w:right w:val="dotted" w:sz="4" w:space="0" w:color="auto"/>
            </w:tcBorders>
            <w:shd w:val="clear" w:color="000000" w:fill="FFFFFF"/>
            <w:hideMark/>
          </w:tcPr>
          <w:p w14:paraId="62C6A250" w14:textId="77777777" w:rsidR="009D6D4E" w:rsidRPr="00030958" w:rsidRDefault="009D6D4E" w:rsidP="00BF3B71">
            <w:pPr>
              <w:jc w:val="center"/>
              <w:rPr>
                <w:sz w:val="18"/>
                <w:szCs w:val="20"/>
                <w:lang w:val="en-US"/>
              </w:rPr>
            </w:pPr>
            <w:r w:rsidRPr="00030958">
              <w:rPr>
                <w:sz w:val="18"/>
                <w:szCs w:val="20"/>
                <w:lang w:val="en-US"/>
              </w:rPr>
              <w:t>889</w:t>
            </w:r>
          </w:p>
        </w:tc>
        <w:tc>
          <w:tcPr>
            <w:tcW w:w="410" w:type="pct"/>
            <w:tcBorders>
              <w:top w:val="nil"/>
              <w:left w:val="nil"/>
              <w:bottom w:val="dotted" w:sz="4" w:space="0" w:color="auto"/>
              <w:right w:val="double" w:sz="6" w:space="0" w:color="auto"/>
            </w:tcBorders>
            <w:shd w:val="clear" w:color="000000" w:fill="FFFFFF"/>
            <w:hideMark/>
          </w:tcPr>
          <w:p w14:paraId="794DCF05" w14:textId="77777777" w:rsidR="009D6D4E" w:rsidRPr="00030958" w:rsidRDefault="009D6D4E" w:rsidP="00BF3B71">
            <w:pPr>
              <w:jc w:val="center"/>
              <w:rPr>
                <w:sz w:val="18"/>
                <w:szCs w:val="20"/>
                <w:lang w:val="en-US"/>
              </w:rPr>
            </w:pPr>
            <w:r w:rsidRPr="00030958">
              <w:rPr>
                <w:sz w:val="18"/>
                <w:szCs w:val="20"/>
                <w:lang w:val="en-US"/>
              </w:rPr>
              <w:t>960</w:t>
            </w:r>
          </w:p>
        </w:tc>
      </w:tr>
      <w:tr w:rsidR="009D6D4E" w:rsidRPr="00030958" w14:paraId="0F6AF496" w14:textId="77777777" w:rsidTr="00BF3B71">
        <w:trPr>
          <w:trHeight w:val="20"/>
        </w:trPr>
        <w:tc>
          <w:tcPr>
            <w:tcW w:w="2166" w:type="pct"/>
            <w:tcBorders>
              <w:top w:val="nil"/>
              <w:left w:val="double" w:sz="6" w:space="0" w:color="auto"/>
              <w:bottom w:val="dotted" w:sz="4" w:space="0" w:color="auto"/>
              <w:right w:val="nil"/>
            </w:tcBorders>
            <w:shd w:val="clear" w:color="000000" w:fill="FFFFFF"/>
            <w:hideMark/>
          </w:tcPr>
          <w:p w14:paraId="195A454B" w14:textId="77777777" w:rsidR="009D6D4E" w:rsidRPr="00030958" w:rsidRDefault="009D6D4E" w:rsidP="00BF3B71">
            <w:pPr>
              <w:rPr>
                <w:sz w:val="18"/>
                <w:szCs w:val="20"/>
                <w:lang w:val="en-US"/>
              </w:rPr>
            </w:pPr>
            <w:r w:rsidRPr="00030958">
              <w:rPr>
                <w:sz w:val="18"/>
                <w:szCs w:val="20"/>
                <w:lang w:val="en-US"/>
              </w:rPr>
              <w:t xml:space="preserve">7. Bilanci I shërbimeve </w:t>
            </w:r>
          </w:p>
        </w:tc>
        <w:tc>
          <w:tcPr>
            <w:tcW w:w="638" w:type="pct"/>
            <w:tcBorders>
              <w:top w:val="nil"/>
              <w:left w:val="single" w:sz="8" w:space="0" w:color="auto"/>
              <w:bottom w:val="dotted" w:sz="4" w:space="0" w:color="auto"/>
              <w:right w:val="single" w:sz="8" w:space="0" w:color="auto"/>
            </w:tcBorders>
            <w:shd w:val="clear" w:color="000000" w:fill="FFFFFF"/>
            <w:hideMark/>
          </w:tcPr>
          <w:p w14:paraId="372119A0" w14:textId="77777777" w:rsidR="009D6D4E" w:rsidRPr="00030958" w:rsidRDefault="009D6D4E" w:rsidP="00BF3B71">
            <w:pPr>
              <w:jc w:val="center"/>
              <w:rPr>
                <w:sz w:val="18"/>
                <w:szCs w:val="16"/>
                <w:lang w:val="en-US"/>
              </w:rPr>
            </w:pPr>
            <w:r w:rsidRPr="00030958">
              <w:rPr>
                <w:sz w:val="18"/>
                <w:szCs w:val="16"/>
                <w:lang w:val="en-US"/>
              </w:rPr>
              <w:t>mn EUR</w:t>
            </w:r>
          </w:p>
        </w:tc>
        <w:tc>
          <w:tcPr>
            <w:tcW w:w="446" w:type="pct"/>
            <w:tcBorders>
              <w:top w:val="nil"/>
              <w:left w:val="nil"/>
              <w:bottom w:val="dotted" w:sz="4" w:space="0" w:color="auto"/>
              <w:right w:val="nil"/>
            </w:tcBorders>
            <w:shd w:val="clear" w:color="000000" w:fill="FFFFFF"/>
            <w:hideMark/>
          </w:tcPr>
          <w:p w14:paraId="0BE0DEA1" w14:textId="77777777" w:rsidR="009D6D4E" w:rsidRPr="00030958" w:rsidRDefault="009D6D4E" w:rsidP="00BF3B71">
            <w:pPr>
              <w:jc w:val="center"/>
              <w:rPr>
                <w:sz w:val="18"/>
                <w:szCs w:val="20"/>
                <w:lang w:val="en-US"/>
              </w:rPr>
            </w:pPr>
            <w:r w:rsidRPr="00030958">
              <w:rPr>
                <w:sz w:val="18"/>
                <w:szCs w:val="20"/>
                <w:lang w:val="en-US"/>
              </w:rPr>
              <w:t>856</w:t>
            </w:r>
          </w:p>
        </w:tc>
        <w:tc>
          <w:tcPr>
            <w:tcW w:w="446" w:type="pct"/>
            <w:tcBorders>
              <w:top w:val="nil"/>
              <w:left w:val="dotted" w:sz="4" w:space="0" w:color="auto"/>
              <w:bottom w:val="dotted" w:sz="4" w:space="0" w:color="auto"/>
              <w:right w:val="dotted" w:sz="4" w:space="0" w:color="auto"/>
            </w:tcBorders>
            <w:shd w:val="clear" w:color="000000" w:fill="FFFFFF"/>
            <w:hideMark/>
          </w:tcPr>
          <w:p w14:paraId="4CC96F40" w14:textId="77777777" w:rsidR="009D6D4E" w:rsidRPr="00030958" w:rsidRDefault="009D6D4E" w:rsidP="00BF3B71">
            <w:pPr>
              <w:jc w:val="center"/>
              <w:rPr>
                <w:sz w:val="18"/>
                <w:szCs w:val="20"/>
                <w:lang w:val="en-US"/>
              </w:rPr>
            </w:pPr>
            <w:r w:rsidRPr="00030958">
              <w:rPr>
                <w:sz w:val="18"/>
                <w:szCs w:val="20"/>
                <w:lang w:val="en-US"/>
              </w:rPr>
              <w:t>982</w:t>
            </w:r>
          </w:p>
        </w:tc>
        <w:tc>
          <w:tcPr>
            <w:tcW w:w="446" w:type="pct"/>
            <w:tcBorders>
              <w:top w:val="nil"/>
              <w:left w:val="nil"/>
              <w:bottom w:val="dotted" w:sz="4" w:space="0" w:color="auto"/>
              <w:right w:val="nil"/>
            </w:tcBorders>
            <w:shd w:val="clear" w:color="000000" w:fill="FFFFFF"/>
            <w:hideMark/>
          </w:tcPr>
          <w:p w14:paraId="66BDBCE5" w14:textId="77777777" w:rsidR="009D6D4E" w:rsidRPr="00030958" w:rsidRDefault="009D6D4E" w:rsidP="00BF3B71">
            <w:pPr>
              <w:jc w:val="center"/>
              <w:rPr>
                <w:sz w:val="18"/>
                <w:szCs w:val="20"/>
                <w:lang w:val="en-US"/>
              </w:rPr>
            </w:pPr>
            <w:r w:rsidRPr="00030958">
              <w:rPr>
                <w:sz w:val="18"/>
                <w:szCs w:val="20"/>
                <w:lang w:val="en-US"/>
              </w:rPr>
              <w:t>1,090</w:t>
            </w:r>
          </w:p>
        </w:tc>
        <w:tc>
          <w:tcPr>
            <w:tcW w:w="446" w:type="pct"/>
            <w:tcBorders>
              <w:top w:val="nil"/>
              <w:left w:val="dotted" w:sz="4" w:space="0" w:color="auto"/>
              <w:bottom w:val="dotted" w:sz="4" w:space="0" w:color="auto"/>
              <w:right w:val="dotted" w:sz="4" w:space="0" w:color="auto"/>
            </w:tcBorders>
            <w:shd w:val="clear" w:color="000000" w:fill="FFFFFF"/>
            <w:hideMark/>
          </w:tcPr>
          <w:p w14:paraId="18048472" w14:textId="77777777" w:rsidR="009D6D4E" w:rsidRPr="00030958" w:rsidRDefault="009D6D4E" w:rsidP="00BF3B71">
            <w:pPr>
              <w:jc w:val="center"/>
              <w:rPr>
                <w:sz w:val="18"/>
                <w:szCs w:val="20"/>
                <w:lang w:val="en-US"/>
              </w:rPr>
            </w:pPr>
            <w:r w:rsidRPr="00030958">
              <w:rPr>
                <w:sz w:val="18"/>
                <w:szCs w:val="20"/>
                <w:lang w:val="en-US"/>
              </w:rPr>
              <w:t>1,210</w:t>
            </w:r>
          </w:p>
        </w:tc>
        <w:tc>
          <w:tcPr>
            <w:tcW w:w="410" w:type="pct"/>
            <w:tcBorders>
              <w:top w:val="nil"/>
              <w:left w:val="nil"/>
              <w:bottom w:val="dotted" w:sz="4" w:space="0" w:color="auto"/>
              <w:right w:val="double" w:sz="6" w:space="0" w:color="auto"/>
            </w:tcBorders>
            <w:shd w:val="clear" w:color="000000" w:fill="FFFFFF"/>
            <w:hideMark/>
          </w:tcPr>
          <w:p w14:paraId="0059C86F" w14:textId="77777777" w:rsidR="009D6D4E" w:rsidRPr="00030958" w:rsidRDefault="009D6D4E" w:rsidP="00BF3B71">
            <w:pPr>
              <w:jc w:val="center"/>
              <w:rPr>
                <w:sz w:val="18"/>
                <w:szCs w:val="20"/>
                <w:lang w:val="en-US"/>
              </w:rPr>
            </w:pPr>
            <w:r w:rsidRPr="00030958">
              <w:rPr>
                <w:sz w:val="18"/>
                <w:szCs w:val="20"/>
                <w:lang w:val="en-US"/>
              </w:rPr>
              <w:t>1,342</w:t>
            </w:r>
          </w:p>
        </w:tc>
      </w:tr>
      <w:tr w:rsidR="009D6D4E" w:rsidRPr="00030958" w14:paraId="3A27B516" w14:textId="77777777" w:rsidTr="00BF3B71">
        <w:trPr>
          <w:trHeight w:val="20"/>
        </w:trPr>
        <w:tc>
          <w:tcPr>
            <w:tcW w:w="2166" w:type="pct"/>
            <w:tcBorders>
              <w:top w:val="nil"/>
              <w:left w:val="double" w:sz="6" w:space="0" w:color="auto"/>
              <w:bottom w:val="dotted" w:sz="4" w:space="0" w:color="auto"/>
              <w:right w:val="nil"/>
            </w:tcBorders>
            <w:shd w:val="clear" w:color="000000" w:fill="FFFFFF"/>
            <w:hideMark/>
          </w:tcPr>
          <w:p w14:paraId="1535E30E" w14:textId="77777777" w:rsidR="009D6D4E" w:rsidRPr="00030958" w:rsidRDefault="009D6D4E" w:rsidP="00BF3B71">
            <w:pPr>
              <w:rPr>
                <w:sz w:val="18"/>
                <w:szCs w:val="20"/>
                <w:lang w:val="en-US"/>
              </w:rPr>
            </w:pPr>
            <w:r w:rsidRPr="00030958">
              <w:rPr>
                <w:sz w:val="18"/>
                <w:szCs w:val="20"/>
                <w:lang w:val="en-US"/>
              </w:rPr>
              <w:t xml:space="preserve">8. Pagesat neto të interesit nga jashtë </w:t>
            </w:r>
          </w:p>
        </w:tc>
        <w:tc>
          <w:tcPr>
            <w:tcW w:w="638" w:type="pct"/>
            <w:tcBorders>
              <w:top w:val="nil"/>
              <w:left w:val="single" w:sz="8" w:space="0" w:color="auto"/>
              <w:bottom w:val="dotted" w:sz="4" w:space="0" w:color="auto"/>
              <w:right w:val="single" w:sz="8" w:space="0" w:color="auto"/>
            </w:tcBorders>
            <w:shd w:val="clear" w:color="000000" w:fill="FFFFFF"/>
            <w:hideMark/>
          </w:tcPr>
          <w:p w14:paraId="4F5459A5" w14:textId="77777777" w:rsidR="009D6D4E" w:rsidRPr="00030958" w:rsidRDefault="009D6D4E" w:rsidP="00BF3B71">
            <w:pPr>
              <w:jc w:val="center"/>
              <w:rPr>
                <w:sz w:val="18"/>
                <w:szCs w:val="16"/>
                <w:lang w:val="en-US"/>
              </w:rPr>
            </w:pPr>
            <w:r w:rsidRPr="00030958">
              <w:rPr>
                <w:sz w:val="18"/>
                <w:szCs w:val="16"/>
                <w:lang w:val="en-US"/>
              </w:rPr>
              <w:t>mn EUR</w:t>
            </w:r>
          </w:p>
        </w:tc>
        <w:tc>
          <w:tcPr>
            <w:tcW w:w="446" w:type="pct"/>
            <w:tcBorders>
              <w:top w:val="nil"/>
              <w:left w:val="nil"/>
              <w:bottom w:val="dotted" w:sz="4" w:space="0" w:color="auto"/>
              <w:right w:val="nil"/>
            </w:tcBorders>
            <w:shd w:val="clear" w:color="000000" w:fill="FFFFFF"/>
            <w:hideMark/>
          </w:tcPr>
          <w:p w14:paraId="71FFFEDD" w14:textId="77777777" w:rsidR="009D6D4E" w:rsidRPr="00030958" w:rsidRDefault="009D6D4E" w:rsidP="00BF3B71">
            <w:pPr>
              <w:jc w:val="center"/>
              <w:rPr>
                <w:sz w:val="18"/>
                <w:szCs w:val="20"/>
                <w:lang w:val="en-US"/>
              </w:rPr>
            </w:pPr>
            <w:r w:rsidRPr="00030958">
              <w:rPr>
                <w:sz w:val="18"/>
                <w:szCs w:val="20"/>
                <w:lang w:val="en-US"/>
              </w:rPr>
              <w:t>:</w:t>
            </w:r>
          </w:p>
        </w:tc>
        <w:tc>
          <w:tcPr>
            <w:tcW w:w="446" w:type="pct"/>
            <w:tcBorders>
              <w:top w:val="nil"/>
              <w:left w:val="dotted" w:sz="4" w:space="0" w:color="auto"/>
              <w:bottom w:val="dotted" w:sz="4" w:space="0" w:color="auto"/>
              <w:right w:val="dotted" w:sz="4" w:space="0" w:color="auto"/>
            </w:tcBorders>
            <w:shd w:val="clear" w:color="000000" w:fill="FFFFFF"/>
            <w:hideMark/>
          </w:tcPr>
          <w:p w14:paraId="04E1543B" w14:textId="77777777" w:rsidR="009D6D4E" w:rsidRPr="00030958" w:rsidRDefault="009D6D4E" w:rsidP="00BF3B71">
            <w:pPr>
              <w:jc w:val="center"/>
              <w:rPr>
                <w:sz w:val="18"/>
                <w:szCs w:val="20"/>
                <w:lang w:val="en-US"/>
              </w:rPr>
            </w:pPr>
            <w:r w:rsidRPr="00030958">
              <w:rPr>
                <w:sz w:val="18"/>
                <w:szCs w:val="20"/>
                <w:lang w:val="en-US"/>
              </w:rPr>
              <w:t>:</w:t>
            </w:r>
          </w:p>
        </w:tc>
        <w:tc>
          <w:tcPr>
            <w:tcW w:w="446" w:type="pct"/>
            <w:tcBorders>
              <w:top w:val="nil"/>
              <w:left w:val="nil"/>
              <w:bottom w:val="dotted" w:sz="4" w:space="0" w:color="auto"/>
              <w:right w:val="nil"/>
            </w:tcBorders>
            <w:shd w:val="clear" w:color="000000" w:fill="FFFFFF"/>
            <w:hideMark/>
          </w:tcPr>
          <w:p w14:paraId="53691D4B" w14:textId="77777777" w:rsidR="009D6D4E" w:rsidRPr="00030958" w:rsidRDefault="009D6D4E" w:rsidP="00BF3B71">
            <w:pPr>
              <w:jc w:val="center"/>
              <w:rPr>
                <w:sz w:val="18"/>
                <w:szCs w:val="20"/>
                <w:lang w:val="en-US"/>
              </w:rPr>
            </w:pPr>
            <w:r w:rsidRPr="00030958">
              <w:rPr>
                <w:sz w:val="18"/>
                <w:szCs w:val="20"/>
                <w:lang w:val="en-US"/>
              </w:rPr>
              <w:t>:</w:t>
            </w:r>
          </w:p>
        </w:tc>
        <w:tc>
          <w:tcPr>
            <w:tcW w:w="446" w:type="pct"/>
            <w:tcBorders>
              <w:top w:val="nil"/>
              <w:left w:val="dotted" w:sz="4" w:space="0" w:color="auto"/>
              <w:bottom w:val="dotted" w:sz="4" w:space="0" w:color="auto"/>
              <w:right w:val="dotted" w:sz="4" w:space="0" w:color="auto"/>
            </w:tcBorders>
            <w:shd w:val="clear" w:color="000000" w:fill="FFFFFF"/>
            <w:hideMark/>
          </w:tcPr>
          <w:p w14:paraId="0295B97D" w14:textId="77777777" w:rsidR="009D6D4E" w:rsidRPr="00030958" w:rsidRDefault="009D6D4E" w:rsidP="00BF3B71">
            <w:pPr>
              <w:jc w:val="center"/>
              <w:rPr>
                <w:sz w:val="18"/>
                <w:szCs w:val="20"/>
                <w:lang w:val="en-US"/>
              </w:rPr>
            </w:pPr>
            <w:r w:rsidRPr="00030958">
              <w:rPr>
                <w:sz w:val="18"/>
                <w:szCs w:val="20"/>
                <w:lang w:val="en-US"/>
              </w:rPr>
              <w:t>:</w:t>
            </w:r>
          </w:p>
        </w:tc>
        <w:tc>
          <w:tcPr>
            <w:tcW w:w="410" w:type="pct"/>
            <w:tcBorders>
              <w:top w:val="nil"/>
              <w:left w:val="nil"/>
              <w:bottom w:val="dotted" w:sz="4" w:space="0" w:color="auto"/>
              <w:right w:val="double" w:sz="6" w:space="0" w:color="auto"/>
            </w:tcBorders>
            <w:shd w:val="clear" w:color="000000" w:fill="FFFFFF"/>
            <w:hideMark/>
          </w:tcPr>
          <w:p w14:paraId="44F9B1D3" w14:textId="77777777" w:rsidR="009D6D4E" w:rsidRPr="00030958" w:rsidRDefault="009D6D4E" w:rsidP="00BF3B71">
            <w:pPr>
              <w:jc w:val="center"/>
              <w:rPr>
                <w:sz w:val="18"/>
                <w:szCs w:val="20"/>
                <w:lang w:val="en-US"/>
              </w:rPr>
            </w:pPr>
            <w:r w:rsidRPr="00030958">
              <w:rPr>
                <w:sz w:val="18"/>
                <w:szCs w:val="20"/>
                <w:lang w:val="en-US"/>
              </w:rPr>
              <w:t>:</w:t>
            </w:r>
          </w:p>
        </w:tc>
      </w:tr>
      <w:tr w:rsidR="009D6D4E" w:rsidRPr="00030958" w14:paraId="26D21256" w14:textId="77777777" w:rsidTr="00BF3B71">
        <w:trPr>
          <w:trHeight w:val="20"/>
        </w:trPr>
        <w:tc>
          <w:tcPr>
            <w:tcW w:w="2166" w:type="pct"/>
            <w:tcBorders>
              <w:top w:val="nil"/>
              <w:left w:val="double" w:sz="6" w:space="0" w:color="auto"/>
              <w:bottom w:val="dotted" w:sz="4" w:space="0" w:color="auto"/>
              <w:right w:val="nil"/>
            </w:tcBorders>
            <w:shd w:val="clear" w:color="000000" w:fill="FFFFFF"/>
            <w:hideMark/>
          </w:tcPr>
          <w:p w14:paraId="205AD7C6" w14:textId="77777777" w:rsidR="009D6D4E" w:rsidRPr="00FC648F" w:rsidRDefault="009D6D4E" w:rsidP="00BF3B71">
            <w:pPr>
              <w:rPr>
                <w:sz w:val="18"/>
                <w:szCs w:val="20"/>
              </w:rPr>
            </w:pPr>
            <w:r w:rsidRPr="00FC648F">
              <w:rPr>
                <w:sz w:val="18"/>
                <w:szCs w:val="20"/>
              </w:rPr>
              <w:t xml:space="preserve">9. Të hyrat tjera nga jashtë </w:t>
            </w:r>
          </w:p>
        </w:tc>
        <w:tc>
          <w:tcPr>
            <w:tcW w:w="638" w:type="pct"/>
            <w:tcBorders>
              <w:top w:val="nil"/>
              <w:left w:val="single" w:sz="8" w:space="0" w:color="auto"/>
              <w:bottom w:val="dotted" w:sz="4" w:space="0" w:color="auto"/>
              <w:right w:val="single" w:sz="8" w:space="0" w:color="auto"/>
            </w:tcBorders>
            <w:shd w:val="clear" w:color="000000" w:fill="FFFFFF"/>
            <w:hideMark/>
          </w:tcPr>
          <w:p w14:paraId="5814850B" w14:textId="77777777" w:rsidR="009D6D4E" w:rsidRPr="00030958" w:rsidRDefault="009D6D4E" w:rsidP="00BF3B71">
            <w:pPr>
              <w:jc w:val="center"/>
              <w:rPr>
                <w:sz w:val="18"/>
                <w:szCs w:val="16"/>
                <w:lang w:val="en-US"/>
              </w:rPr>
            </w:pPr>
            <w:r w:rsidRPr="00030958">
              <w:rPr>
                <w:sz w:val="18"/>
                <w:szCs w:val="16"/>
                <w:lang w:val="en-US"/>
              </w:rPr>
              <w:t>mn EUR</w:t>
            </w:r>
          </w:p>
        </w:tc>
        <w:tc>
          <w:tcPr>
            <w:tcW w:w="446" w:type="pct"/>
            <w:tcBorders>
              <w:top w:val="nil"/>
              <w:left w:val="nil"/>
              <w:bottom w:val="dotted" w:sz="4" w:space="0" w:color="auto"/>
              <w:right w:val="nil"/>
            </w:tcBorders>
            <w:shd w:val="clear" w:color="000000" w:fill="FFFFFF"/>
            <w:hideMark/>
          </w:tcPr>
          <w:p w14:paraId="2640E717" w14:textId="77777777" w:rsidR="009D6D4E" w:rsidRPr="00030958" w:rsidRDefault="009D6D4E" w:rsidP="00BF3B71">
            <w:pPr>
              <w:jc w:val="center"/>
              <w:rPr>
                <w:sz w:val="18"/>
                <w:szCs w:val="20"/>
                <w:lang w:val="en-US"/>
              </w:rPr>
            </w:pPr>
            <w:r w:rsidRPr="00030958">
              <w:rPr>
                <w:sz w:val="18"/>
                <w:szCs w:val="20"/>
                <w:lang w:val="en-US"/>
              </w:rPr>
              <w:t>113.1</w:t>
            </w:r>
          </w:p>
        </w:tc>
        <w:tc>
          <w:tcPr>
            <w:tcW w:w="446" w:type="pct"/>
            <w:tcBorders>
              <w:top w:val="nil"/>
              <w:left w:val="dotted" w:sz="4" w:space="0" w:color="auto"/>
              <w:bottom w:val="dotted" w:sz="4" w:space="0" w:color="auto"/>
              <w:right w:val="dotted" w:sz="4" w:space="0" w:color="auto"/>
            </w:tcBorders>
            <w:shd w:val="clear" w:color="000000" w:fill="FFFFFF"/>
            <w:hideMark/>
          </w:tcPr>
          <w:p w14:paraId="22EE2D02" w14:textId="77777777" w:rsidR="009D6D4E" w:rsidRPr="00030958" w:rsidRDefault="009D6D4E" w:rsidP="00BF3B71">
            <w:pPr>
              <w:jc w:val="center"/>
              <w:rPr>
                <w:sz w:val="18"/>
                <w:szCs w:val="20"/>
                <w:lang w:val="en-US"/>
              </w:rPr>
            </w:pPr>
            <w:r w:rsidRPr="00030958">
              <w:rPr>
                <w:sz w:val="18"/>
                <w:szCs w:val="20"/>
                <w:lang w:val="en-US"/>
              </w:rPr>
              <w:t>176.6</w:t>
            </w:r>
          </w:p>
        </w:tc>
        <w:tc>
          <w:tcPr>
            <w:tcW w:w="446" w:type="pct"/>
            <w:tcBorders>
              <w:top w:val="nil"/>
              <w:left w:val="nil"/>
              <w:bottom w:val="dotted" w:sz="4" w:space="0" w:color="auto"/>
              <w:right w:val="nil"/>
            </w:tcBorders>
            <w:shd w:val="clear" w:color="000000" w:fill="FFFFFF"/>
            <w:hideMark/>
          </w:tcPr>
          <w:p w14:paraId="26415C6D" w14:textId="77777777" w:rsidR="009D6D4E" w:rsidRPr="00030958" w:rsidRDefault="009D6D4E" w:rsidP="00BF3B71">
            <w:pPr>
              <w:jc w:val="center"/>
              <w:rPr>
                <w:sz w:val="18"/>
                <w:szCs w:val="20"/>
                <w:lang w:val="en-US"/>
              </w:rPr>
            </w:pPr>
            <w:r w:rsidRPr="00030958">
              <w:rPr>
                <w:sz w:val="18"/>
                <w:szCs w:val="20"/>
                <w:lang w:val="en-US"/>
              </w:rPr>
              <w:t>145.5</w:t>
            </w:r>
          </w:p>
        </w:tc>
        <w:tc>
          <w:tcPr>
            <w:tcW w:w="446" w:type="pct"/>
            <w:tcBorders>
              <w:top w:val="nil"/>
              <w:left w:val="dotted" w:sz="4" w:space="0" w:color="auto"/>
              <w:bottom w:val="dotted" w:sz="4" w:space="0" w:color="auto"/>
              <w:right w:val="dotted" w:sz="4" w:space="0" w:color="auto"/>
            </w:tcBorders>
            <w:shd w:val="clear" w:color="000000" w:fill="FFFFFF"/>
            <w:hideMark/>
          </w:tcPr>
          <w:p w14:paraId="34838C01" w14:textId="77777777" w:rsidR="009D6D4E" w:rsidRPr="00030958" w:rsidRDefault="009D6D4E" w:rsidP="00BF3B71">
            <w:pPr>
              <w:jc w:val="center"/>
              <w:rPr>
                <w:sz w:val="18"/>
                <w:szCs w:val="20"/>
                <w:lang w:val="en-US"/>
              </w:rPr>
            </w:pPr>
            <w:r w:rsidRPr="00030958">
              <w:rPr>
                <w:sz w:val="18"/>
                <w:szCs w:val="20"/>
                <w:lang w:val="en-US"/>
              </w:rPr>
              <w:t>181.0</w:t>
            </w:r>
          </w:p>
        </w:tc>
        <w:tc>
          <w:tcPr>
            <w:tcW w:w="410" w:type="pct"/>
            <w:tcBorders>
              <w:top w:val="nil"/>
              <w:left w:val="nil"/>
              <w:bottom w:val="dotted" w:sz="4" w:space="0" w:color="auto"/>
              <w:right w:val="double" w:sz="6" w:space="0" w:color="auto"/>
            </w:tcBorders>
            <w:shd w:val="clear" w:color="000000" w:fill="FFFFFF"/>
            <w:hideMark/>
          </w:tcPr>
          <w:p w14:paraId="359EC400" w14:textId="77777777" w:rsidR="009D6D4E" w:rsidRPr="00030958" w:rsidRDefault="009D6D4E" w:rsidP="00BF3B71">
            <w:pPr>
              <w:jc w:val="center"/>
              <w:rPr>
                <w:sz w:val="18"/>
                <w:szCs w:val="20"/>
                <w:lang w:val="en-US"/>
              </w:rPr>
            </w:pPr>
            <w:r w:rsidRPr="00030958">
              <w:rPr>
                <w:sz w:val="18"/>
                <w:szCs w:val="20"/>
                <w:lang w:val="en-US"/>
              </w:rPr>
              <w:t>188.7</w:t>
            </w:r>
          </w:p>
        </w:tc>
      </w:tr>
      <w:tr w:rsidR="009D6D4E" w:rsidRPr="00030958" w14:paraId="25A40CCA" w14:textId="77777777" w:rsidTr="00BF3B71">
        <w:trPr>
          <w:trHeight w:val="20"/>
        </w:trPr>
        <w:tc>
          <w:tcPr>
            <w:tcW w:w="2166" w:type="pct"/>
            <w:tcBorders>
              <w:top w:val="nil"/>
              <w:left w:val="double" w:sz="6" w:space="0" w:color="auto"/>
              <w:bottom w:val="dotted" w:sz="4" w:space="0" w:color="auto"/>
              <w:right w:val="nil"/>
            </w:tcBorders>
            <w:shd w:val="clear" w:color="000000" w:fill="FFFFFF"/>
            <w:hideMark/>
          </w:tcPr>
          <w:p w14:paraId="64163B04" w14:textId="77777777" w:rsidR="009D6D4E" w:rsidRPr="00030958" w:rsidRDefault="009D6D4E" w:rsidP="00BF3B71">
            <w:pPr>
              <w:rPr>
                <w:sz w:val="18"/>
                <w:szCs w:val="20"/>
                <w:lang w:val="en-US"/>
              </w:rPr>
            </w:pPr>
            <w:r w:rsidRPr="00030958">
              <w:rPr>
                <w:sz w:val="18"/>
                <w:szCs w:val="20"/>
                <w:lang w:val="en-US"/>
              </w:rPr>
              <w:t xml:space="preserve">10. Transferet rrjedhëse </w:t>
            </w:r>
          </w:p>
        </w:tc>
        <w:tc>
          <w:tcPr>
            <w:tcW w:w="638" w:type="pct"/>
            <w:tcBorders>
              <w:top w:val="nil"/>
              <w:left w:val="single" w:sz="8" w:space="0" w:color="auto"/>
              <w:bottom w:val="dotted" w:sz="4" w:space="0" w:color="auto"/>
              <w:right w:val="single" w:sz="8" w:space="0" w:color="auto"/>
            </w:tcBorders>
            <w:shd w:val="clear" w:color="000000" w:fill="FFFFFF"/>
            <w:hideMark/>
          </w:tcPr>
          <w:p w14:paraId="43E2F71F" w14:textId="77777777" w:rsidR="009D6D4E" w:rsidRPr="00030958" w:rsidRDefault="009D6D4E" w:rsidP="00BF3B71">
            <w:pPr>
              <w:jc w:val="center"/>
              <w:rPr>
                <w:sz w:val="18"/>
                <w:szCs w:val="16"/>
                <w:lang w:val="en-US"/>
              </w:rPr>
            </w:pPr>
            <w:r w:rsidRPr="00030958">
              <w:rPr>
                <w:sz w:val="18"/>
                <w:szCs w:val="16"/>
                <w:lang w:val="en-US"/>
              </w:rPr>
              <w:t>mn EUR</w:t>
            </w:r>
          </w:p>
        </w:tc>
        <w:tc>
          <w:tcPr>
            <w:tcW w:w="446" w:type="pct"/>
            <w:tcBorders>
              <w:top w:val="nil"/>
              <w:left w:val="nil"/>
              <w:bottom w:val="dotted" w:sz="4" w:space="0" w:color="auto"/>
              <w:right w:val="nil"/>
            </w:tcBorders>
            <w:shd w:val="clear" w:color="000000" w:fill="FFFFFF"/>
            <w:hideMark/>
          </w:tcPr>
          <w:p w14:paraId="752F44F6" w14:textId="77777777" w:rsidR="009D6D4E" w:rsidRPr="00030958" w:rsidRDefault="009D6D4E" w:rsidP="00BF3B71">
            <w:pPr>
              <w:jc w:val="center"/>
              <w:rPr>
                <w:sz w:val="18"/>
                <w:szCs w:val="20"/>
                <w:lang w:val="en-US"/>
              </w:rPr>
            </w:pPr>
            <w:r w:rsidRPr="00030958">
              <w:rPr>
                <w:sz w:val="18"/>
                <w:szCs w:val="20"/>
                <w:lang w:val="en-US"/>
              </w:rPr>
              <w:t>1,260</w:t>
            </w:r>
          </w:p>
        </w:tc>
        <w:tc>
          <w:tcPr>
            <w:tcW w:w="446" w:type="pct"/>
            <w:tcBorders>
              <w:top w:val="nil"/>
              <w:left w:val="dotted" w:sz="4" w:space="0" w:color="auto"/>
              <w:bottom w:val="dotted" w:sz="4" w:space="0" w:color="auto"/>
              <w:right w:val="dotted" w:sz="4" w:space="0" w:color="auto"/>
            </w:tcBorders>
            <w:shd w:val="clear" w:color="000000" w:fill="FFFFFF"/>
            <w:hideMark/>
          </w:tcPr>
          <w:p w14:paraId="3175965E" w14:textId="77777777" w:rsidR="009D6D4E" w:rsidRPr="00030958" w:rsidRDefault="009D6D4E" w:rsidP="00BF3B71">
            <w:pPr>
              <w:jc w:val="center"/>
              <w:rPr>
                <w:sz w:val="18"/>
                <w:szCs w:val="20"/>
                <w:lang w:val="en-US"/>
              </w:rPr>
            </w:pPr>
            <w:r w:rsidRPr="00030958">
              <w:rPr>
                <w:sz w:val="18"/>
                <w:szCs w:val="20"/>
                <w:lang w:val="en-US"/>
              </w:rPr>
              <w:t>1,316</w:t>
            </w:r>
          </w:p>
        </w:tc>
        <w:tc>
          <w:tcPr>
            <w:tcW w:w="446" w:type="pct"/>
            <w:tcBorders>
              <w:top w:val="nil"/>
              <w:left w:val="nil"/>
              <w:bottom w:val="dotted" w:sz="4" w:space="0" w:color="auto"/>
              <w:right w:val="nil"/>
            </w:tcBorders>
            <w:shd w:val="clear" w:color="000000" w:fill="FFFFFF"/>
            <w:hideMark/>
          </w:tcPr>
          <w:p w14:paraId="07165783" w14:textId="77777777" w:rsidR="009D6D4E" w:rsidRPr="00030958" w:rsidRDefault="009D6D4E" w:rsidP="00BF3B71">
            <w:pPr>
              <w:jc w:val="center"/>
              <w:rPr>
                <w:sz w:val="18"/>
                <w:szCs w:val="20"/>
                <w:lang w:val="en-US"/>
              </w:rPr>
            </w:pPr>
            <w:r w:rsidRPr="00030958">
              <w:rPr>
                <w:sz w:val="18"/>
                <w:szCs w:val="20"/>
                <w:lang w:val="en-US"/>
              </w:rPr>
              <w:t>1,380</w:t>
            </w:r>
          </w:p>
        </w:tc>
        <w:tc>
          <w:tcPr>
            <w:tcW w:w="446" w:type="pct"/>
            <w:tcBorders>
              <w:top w:val="nil"/>
              <w:left w:val="dotted" w:sz="4" w:space="0" w:color="auto"/>
              <w:bottom w:val="dotted" w:sz="4" w:space="0" w:color="auto"/>
              <w:right w:val="dotted" w:sz="4" w:space="0" w:color="auto"/>
            </w:tcBorders>
            <w:shd w:val="clear" w:color="000000" w:fill="FFFFFF"/>
            <w:hideMark/>
          </w:tcPr>
          <w:p w14:paraId="7F27FB60" w14:textId="77777777" w:rsidR="009D6D4E" w:rsidRPr="00030958" w:rsidRDefault="009D6D4E" w:rsidP="00BF3B71">
            <w:pPr>
              <w:jc w:val="center"/>
              <w:rPr>
                <w:sz w:val="18"/>
                <w:szCs w:val="20"/>
                <w:lang w:val="en-US"/>
              </w:rPr>
            </w:pPr>
            <w:r w:rsidRPr="00030958">
              <w:rPr>
                <w:sz w:val="18"/>
                <w:szCs w:val="20"/>
                <w:lang w:val="en-US"/>
              </w:rPr>
              <w:t>1,446</w:t>
            </w:r>
          </w:p>
        </w:tc>
        <w:tc>
          <w:tcPr>
            <w:tcW w:w="410" w:type="pct"/>
            <w:tcBorders>
              <w:top w:val="nil"/>
              <w:left w:val="nil"/>
              <w:bottom w:val="dotted" w:sz="4" w:space="0" w:color="auto"/>
              <w:right w:val="double" w:sz="6" w:space="0" w:color="auto"/>
            </w:tcBorders>
            <w:shd w:val="clear" w:color="000000" w:fill="FFFFFF"/>
            <w:hideMark/>
          </w:tcPr>
          <w:p w14:paraId="3BE39A52" w14:textId="77777777" w:rsidR="009D6D4E" w:rsidRPr="00030958" w:rsidRDefault="009D6D4E" w:rsidP="00BF3B71">
            <w:pPr>
              <w:jc w:val="center"/>
              <w:rPr>
                <w:sz w:val="18"/>
                <w:szCs w:val="20"/>
                <w:lang w:val="en-US"/>
              </w:rPr>
            </w:pPr>
            <w:r w:rsidRPr="00030958">
              <w:rPr>
                <w:sz w:val="18"/>
                <w:szCs w:val="20"/>
                <w:lang w:val="en-US"/>
              </w:rPr>
              <w:t>1,516</w:t>
            </w:r>
          </w:p>
        </w:tc>
      </w:tr>
      <w:tr w:rsidR="009D6D4E" w:rsidRPr="00030958" w14:paraId="3F74ACED" w14:textId="77777777" w:rsidTr="00BF3B71">
        <w:trPr>
          <w:trHeight w:val="20"/>
        </w:trPr>
        <w:tc>
          <w:tcPr>
            <w:tcW w:w="2166" w:type="pct"/>
            <w:tcBorders>
              <w:top w:val="nil"/>
              <w:left w:val="double" w:sz="6" w:space="0" w:color="auto"/>
              <w:bottom w:val="dotted" w:sz="4" w:space="0" w:color="auto"/>
              <w:right w:val="nil"/>
            </w:tcBorders>
            <w:shd w:val="clear" w:color="000000" w:fill="FFFFFF"/>
            <w:hideMark/>
          </w:tcPr>
          <w:p w14:paraId="218B626C" w14:textId="77777777" w:rsidR="009D6D4E" w:rsidRPr="00030958" w:rsidRDefault="009D6D4E" w:rsidP="00BF3B71">
            <w:pPr>
              <w:rPr>
                <w:i/>
                <w:iCs/>
                <w:sz w:val="18"/>
                <w:szCs w:val="20"/>
                <w:lang w:val="en-US"/>
              </w:rPr>
            </w:pPr>
            <w:r w:rsidRPr="00030958">
              <w:rPr>
                <w:i/>
                <w:iCs/>
                <w:sz w:val="18"/>
                <w:szCs w:val="20"/>
                <w:lang w:val="en-US"/>
              </w:rPr>
              <w:t xml:space="preserve">11. Nga të cilat nga BE </w:t>
            </w:r>
          </w:p>
        </w:tc>
        <w:tc>
          <w:tcPr>
            <w:tcW w:w="638" w:type="pct"/>
            <w:tcBorders>
              <w:top w:val="nil"/>
              <w:left w:val="single" w:sz="8" w:space="0" w:color="auto"/>
              <w:bottom w:val="dotted" w:sz="4" w:space="0" w:color="auto"/>
              <w:right w:val="single" w:sz="8" w:space="0" w:color="auto"/>
            </w:tcBorders>
            <w:shd w:val="clear" w:color="000000" w:fill="FFFFFF"/>
            <w:hideMark/>
          </w:tcPr>
          <w:p w14:paraId="7B4B962F" w14:textId="77777777" w:rsidR="009D6D4E" w:rsidRPr="00030958" w:rsidRDefault="009D6D4E" w:rsidP="00BF3B71">
            <w:pPr>
              <w:jc w:val="center"/>
              <w:rPr>
                <w:sz w:val="18"/>
                <w:szCs w:val="16"/>
                <w:lang w:val="en-US"/>
              </w:rPr>
            </w:pPr>
            <w:r w:rsidRPr="00030958">
              <w:rPr>
                <w:sz w:val="18"/>
                <w:szCs w:val="16"/>
                <w:lang w:val="en-US"/>
              </w:rPr>
              <w:t>mn EUR</w:t>
            </w:r>
          </w:p>
        </w:tc>
        <w:tc>
          <w:tcPr>
            <w:tcW w:w="446" w:type="pct"/>
            <w:tcBorders>
              <w:top w:val="nil"/>
              <w:left w:val="nil"/>
              <w:bottom w:val="dotted" w:sz="4" w:space="0" w:color="auto"/>
              <w:right w:val="nil"/>
            </w:tcBorders>
            <w:shd w:val="clear" w:color="000000" w:fill="FFFFFF"/>
            <w:hideMark/>
          </w:tcPr>
          <w:p w14:paraId="1DCD77D2" w14:textId="77777777" w:rsidR="009D6D4E" w:rsidRPr="00030958" w:rsidRDefault="009D6D4E" w:rsidP="00BF3B71">
            <w:pPr>
              <w:jc w:val="center"/>
              <w:rPr>
                <w:sz w:val="18"/>
                <w:szCs w:val="20"/>
                <w:lang w:val="en-US"/>
              </w:rPr>
            </w:pPr>
            <w:r w:rsidRPr="00030958">
              <w:rPr>
                <w:sz w:val="18"/>
                <w:szCs w:val="20"/>
                <w:lang w:val="en-US"/>
              </w:rPr>
              <w:t>:</w:t>
            </w:r>
          </w:p>
        </w:tc>
        <w:tc>
          <w:tcPr>
            <w:tcW w:w="446" w:type="pct"/>
            <w:tcBorders>
              <w:top w:val="nil"/>
              <w:left w:val="dotted" w:sz="4" w:space="0" w:color="auto"/>
              <w:bottom w:val="dotted" w:sz="4" w:space="0" w:color="auto"/>
              <w:right w:val="dotted" w:sz="4" w:space="0" w:color="auto"/>
            </w:tcBorders>
            <w:shd w:val="clear" w:color="000000" w:fill="FFFFFF"/>
            <w:hideMark/>
          </w:tcPr>
          <w:p w14:paraId="6E7A78BF" w14:textId="77777777" w:rsidR="009D6D4E" w:rsidRPr="00030958" w:rsidRDefault="009D6D4E" w:rsidP="00BF3B71">
            <w:pPr>
              <w:jc w:val="center"/>
              <w:rPr>
                <w:sz w:val="18"/>
                <w:szCs w:val="20"/>
                <w:lang w:val="en-US"/>
              </w:rPr>
            </w:pPr>
            <w:r w:rsidRPr="00030958">
              <w:rPr>
                <w:sz w:val="18"/>
                <w:szCs w:val="20"/>
                <w:lang w:val="en-US"/>
              </w:rPr>
              <w:t>:</w:t>
            </w:r>
          </w:p>
        </w:tc>
        <w:tc>
          <w:tcPr>
            <w:tcW w:w="446" w:type="pct"/>
            <w:tcBorders>
              <w:top w:val="nil"/>
              <w:left w:val="nil"/>
              <w:bottom w:val="dotted" w:sz="4" w:space="0" w:color="auto"/>
              <w:right w:val="nil"/>
            </w:tcBorders>
            <w:shd w:val="clear" w:color="000000" w:fill="FFFFFF"/>
            <w:hideMark/>
          </w:tcPr>
          <w:p w14:paraId="6B771FD6" w14:textId="77777777" w:rsidR="009D6D4E" w:rsidRPr="00030958" w:rsidRDefault="009D6D4E" w:rsidP="00BF3B71">
            <w:pPr>
              <w:jc w:val="center"/>
              <w:rPr>
                <w:sz w:val="18"/>
                <w:szCs w:val="20"/>
                <w:lang w:val="en-US"/>
              </w:rPr>
            </w:pPr>
            <w:r w:rsidRPr="00030958">
              <w:rPr>
                <w:sz w:val="18"/>
                <w:szCs w:val="20"/>
                <w:lang w:val="en-US"/>
              </w:rPr>
              <w:t>:</w:t>
            </w:r>
          </w:p>
        </w:tc>
        <w:tc>
          <w:tcPr>
            <w:tcW w:w="446" w:type="pct"/>
            <w:tcBorders>
              <w:top w:val="nil"/>
              <w:left w:val="dotted" w:sz="4" w:space="0" w:color="auto"/>
              <w:bottom w:val="dotted" w:sz="4" w:space="0" w:color="auto"/>
              <w:right w:val="dotted" w:sz="4" w:space="0" w:color="auto"/>
            </w:tcBorders>
            <w:shd w:val="clear" w:color="000000" w:fill="FFFFFF"/>
            <w:hideMark/>
          </w:tcPr>
          <w:p w14:paraId="540D36AC" w14:textId="77777777" w:rsidR="009D6D4E" w:rsidRPr="00030958" w:rsidRDefault="009D6D4E" w:rsidP="00BF3B71">
            <w:pPr>
              <w:jc w:val="center"/>
              <w:rPr>
                <w:sz w:val="18"/>
                <w:szCs w:val="20"/>
                <w:lang w:val="en-US"/>
              </w:rPr>
            </w:pPr>
            <w:r w:rsidRPr="00030958">
              <w:rPr>
                <w:sz w:val="18"/>
                <w:szCs w:val="20"/>
                <w:lang w:val="en-US"/>
              </w:rPr>
              <w:t>:</w:t>
            </w:r>
          </w:p>
        </w:tc>
        <w:tc>
          <w:tcPr>
            <w:tcW w:w="410" w:type="pct"/>
            <w:tcBorders>
              <w:top w:val="nil"/>
              <w:left w:val="nil"/>
              <w:bottom w:val="dotted" w:sz="4" w:space="0" w:color="auto"/>
              <w:right w:val="double" w:sz="6" w:space="0" w:color="auto"/>
            </w:tcBorders>
            <w:shd w:val="clear" w:color="000000" w:fill="FFFFFF"/>
            <w:hideMark/>
          </w:tcPr>
          <w:p w14:paraId="19F74DE9" w14:textId="77777777" w:rsidR="009D6D4E" w:rsidRPr="00030958" w:rsidRDefault="009D6D4E" w:rsidP="00BF3B71">
            <w:pPr>
              <w:jc w:val="center"/>
              <w:rPr>
                <w:sz w:val="18"/>
                <w:szCs w:val="20"/>
                <w:lang w:val="en-US"/>
              </w:rPr>
            </w:pPr>
            <w:r w:rsidRPr="00030958">
              <w:rPr>
                <w:sz w:val="18"/>
                <w:szCs w:val="20"/>
                <w:lang w:val="en-US"/>
              </w:rPr>
              <w:t>:</w:t>
            </w:r>
          </w:p>
        </w:tc>
      </w:tr>
      <w:tr w:rsidR="009D6D4E" w:rsidRPr="00030958" w14:paraId="3C2D55A9" w14:textId="77777777" w:rsidTr="00BF3B71">
        <w:trPr>
          <w:trHeight w:val="20"/>
        </w:trPr>
        <w:tc>
          <w:tcPr>
            <w:tcW w:w="2166" w:type="pct"/>
            <w:tcBorders>
              <w:top w:val="nil"/>
              <w:left w:val="double" w:sz="6" w:space="0" w:color="auto"/>
              <w:bottom w:val="dotted" w:sz="4" w:space="0" w:color="auto"/>
              <w:right w:val="nil"/>
            </w:tcBorders>
            <w:shd w:val="clear" w:color="000000" w:fill="FFFFFF"/>
            <w:hideMark/>
          </w:tcPr>
          <w:p w14:paraId="7A1ACC4C" w14:textId="77777777" w:rsidR="009D6D4E" w:rsidRPr="00030958" w:rsidRDefault="009D6D4E" w:rsidP="00BF3B71">
            <w:pPr>
              <w:rPr>
                <w:sz w:val="18"/>
                <w:szCs w:val="20"/>
                <w:lang w:val="en-US"/>
              </w:rPr>
            </w:pPr>
            <w:r w:rsidRPr="00030958">
              <w:rPr>
                <w:sz w:val="18"/>
                <w:szCs w:val="20"/>
                <w:lang w:val="en-US"/>
              </w:rPr>
              <w:t>12. Bilanci I llogarisë rrjedhëse</w:t>
            </w:r>
          </w:p>
        </w:tc>
        <w:tc>
          <w:tcPr>
            <w:tcW w:w="638" w:type="pct"/>
            <w:tcBorders>
              <w:top w:val="nil"/>
              <w:left w:val="single" w:sz="8" w:space="0" w:color="auto"/>
              <w:bottom w:val="dotted" w:sz="4" w:space="0" w:color="auto"/>
              <w:right w:val="single" w:sz="8" w:space="0" w:color="auto"/>
            </w:tcBorders>
            <w:shd w:val="clear" w:color="000000" w:fill="FFFFFF"/>
            <w:hideMark/>
          </w:tcPr>
          <w:p w14:paraId="711C7565" w14:textId="77777777" w:rsidR="009D6D4E" w:rsidRPr="00030958" w:rsidRDefault="009D6D4E" w:rsidP="00BF3B71">
            <w:pPr>
              <w:jc w:val="center"/>
              <w:rPr>
                <w:sz w:val="18"/>
                <w:szCs w:val="16"/>
                <w:lang w:val="en-US"/>
              </w:rPr>
            </w:pPr>
            <w:r w:rsidRPr="00030958">
              <w:rPr>
                <w:sz w:val="18"/>
                <w:szCs w:val="16"/>
                <w:lang w:val="en-US"/>
              </w:rPr>
              <w:t>mn EUR</w:t>
            </w:r>
          </w:p>
        </w:tc>
        <w:tc>
          <w:tcPr>
            <w:tcW w:w="446" w:type="pct"/>
            <w:tcBorders>
              <w:top w:val="nil"/>
              <w:left w:val="nil"/>
              <w:bottom w:val="dotted" w:sz="4" w:space="0" w:color="auto"/>
              <w:right w:val="nil"/>
            </w:tcBorders>
            <w:shd w:val="clear" w:color="000000" w:fill="FFFFFF"/>
            <w:hideMark/>
          </w:tcPr>
          <w:p w14:paraId="6BD09235" w14:textId="77777777" w:rsidR="009D6D4E" w:rsidRPr="00030958" w:rsidRDefault="009D6D4E" w:rsidP="00BF3B71">
            <w:pPr>
              <w:jc w:val="center"/>
              <w:rPr>
                <w:sz w:val="18"/>
                <w:szCs w:val="20"/>
                <w:lang w:val="en-US"/>
              </w:rPr>
            </w:pPr>
            <w:r w:rsidRPr="00030958">
              <w:rPr>
                <w:sz w:val="18"/>
                <w:szCs w:val="20"/>
                <w:lang w:val="en-US"/>
              </w:rPr>
              <w:t>-508.9</w:t>
            </w:r>
          </w:p>
        </w:tc>
        <w:tc>
          <w:tcPr>
            <w:tcW w:w="446" w:type="pct"/>
            <w:tcBorders>
              <w:top w:val="nil"/>
              <w:left w:val="dotted" w:sz="4" w:space="0" w:color="auto"/>
              <w:bottom w:val="dotted" w:sz="4" w:space="0" w:color="auto"/>
              <w:right w:val="dotted" w:sz="4" w:space="0" w:color="auto"/>
            </w:tcBorders>
            <w:shd w:val="clear" w:color="000000" w:fill="FFFFFF"/>
            <w:hideMark/>
          </w:tcPr>
          <w:p w14:paraId="3B85F876" w14:textId="77777777" w:rsidR="009D6D4E" w:rsidRPr="00030958" w:rsidRDefault="009D6D4E" w:rsidP="00BF3B71">
            <w:pPr>
              <w:jc w:val="center"/>
              <w:rPr>
                <w:sz w:val="18"/>
                <w:szCs w:val="20"/>
                <w:lang w:val="en-US"/>
              </w:rPr>
            </w:pPr>
            <w:r w:rsidRPr="00030958">
              <w:rPr>
                <w:sz w:val="18"/>
                <w:szCs w:val="20"/>
                <w:lang w:val="en-US"/>
              </w:rPr>
              <w:t>-400.5</w:t>
            </w:r>
          </w:p>
        </w:tc>
        <w:tc>
          <w:tcPr>
            <w:tcW w:w="446" w:type="pct"/>
            <w:tcBorders>
              <w:top w:val="nil"/>
              <w:left w:val="nil"/>
              <w:bottom w:val="dotted" w:sz="4" w:space="0" w:color="auto"/>
              <w:right w:val="nil"/>
            </w:tcBorders>
            <w:shd w:val="clear" w:color="000000" w:fill="FFFFFF"/>
            <w:hideMark/>
          </w:tcPr>
          <w:p w14:paraId="1D998E6D" w14:textId="77777777" w:rsidR="009D6D4E" w:rsidRPr="00030958" w:rsidRDefault="009D6D4E" w:rsidP="00BF3B71">
            <w:pPr>
              <w:jc w:val="center"/>
              <w:rPr>
                <w:sz w:val="18"/>
                <w:szCs w:val="20"/>
                <w:lang w:val="en-US"/>
              </w:rPr>
            </w:pPr>
            <w:r w:rsidRPr="00030958">
              <w:rPr>
                <w:sz w:val="18"/>
                <w:szCs w:val="20"/>
                <w:lang w:val="en-US"/>
              </w:rPr>
              <w:t>-563.1</w:t>
            </w:r>
          </w:p>
        </w:tc>
        <w:tc>
          <w:tcPr>
            <w:tcW w:w="446" w:type="pct"/>
            <w:tcBorders>
              <w:top w:val="nil"/>
              <w:left w:val="dotted" w:sz="4" w:space="0" w:color="auto"/>
              <w:bottom w:val="dotted" w:sz="4" w:space="0" w:color="auto"/>
              <w:right w:val="dotted" w:sz="4" w:space="0" w:color="auto"/>
            </w:tcBorders>
            <w:shd w:val="clear" w:color="000000" w:fill="FFFFFF"/>
            <w:hideMark/>
          </w:tcPr>
          <w:p w14:paraId="26F9B0FC" w14:textId="77777777" w:rsidR="009D6D4E" w:rsidRPr="00030958" w:rsidRDefault="009D6D4E" w:rsidP="00BF3B71">
            <w:pPr>
              <w:jc w:val="center"/>
              <w:rPr>
                <w:sz w:val="18"/>
                <w:szCs w:val="20"/>
                <w:lang w:val="en-US"/>
              </w:rPr>
            </w:pPr>
            <w:r w:rsidRPr="00030958">
              <w:rPr>
                <w:sz w:val="18"/>
                <w:szCs w:val="20"/>
                <w:lang w:val="en-US"/>
              </w:rPr>
              <w:t>-546.0</w:t>
            </w:r>
          </w:p>
        </w:tc>
        <w:tc>
          <w:tcPr>
            <w:tcW w:w="410" w:type="pct"/>
            <w:tcBorders>
              <w:top w:val="nil"/>
              <w:left w:val="nil"/>
              <w:bottom w:val="dotted" w:sz="4" w:space="0" w:color="auto"/>
              <w:right w:val="double" w:sz="6" w:space="0" w:color="auto"/>
            </w:tcBorders>
            <w:shd w:val="clear" w:color="000000" w:fill="FFFFFF"/>
            <w:hideMark/>
          </w:tcPr>
          <w:p w14:paraId="54076EAA" w14:textId="77777777" w:rsidR="009D6D4E" w:rsidRPr="00030958" w:rsidRDefault="009D6D4E" w:rsidP="00BF3B71">
            <w:pPr>
              <w:jc w:val="center"/>
              <w:rPr>
                <w:sz w:val="18"/>
                <w:szCs w:val="20"/>
                <w:lang w:val="en-US"/>
              </w:rPr>
            </w:pPr>
            <w:r w:rsidRPr="00030958">
              <w:rPr>
                <w:sz w:val="18"/>
                <w:szCs w:val="20"/>
                <w:lang w:val="en-US"/>
              </w:rPr>
              <w:t>-556.4</w:t>
            </w:r>
          </w:p>
        </w:tc>
      </w:tr>
      <w:tr w:rsidR="009D6D4E" w:rsidRPr="00030958" w14:paraId="5A8314FD" w14:textId="77777777" w:rsidTr="00BF3B71">
        <w:trPr>
          <w:trHeight w:val="20"/>
        </w:trPr>
        <w:tc>
          <w:tcPr>
            <w:tcW w:w="2166" w:type="pct"/>
            <w:tcBorders>
              <w:top w:val="nil"/>
              <w:left w:val="double" w:sz="6" w:space="0" w:color="auto"/>
              <w:bottom w:val="dotted" w:sz="4" w:space="0" w:color="auto"/>
              <w:right w:val="nil"/>
            </w:tcBorders>
            <w:shd w:val="clear" w:color="000000" w:fill="FFFFFF"/>
            <w:hideMark/>
          </w:tcPr>
          <w:p w14:paraId="323C0F6F" w14:textId="77777777" w:rsidR="009D6D4E" w:rsidRPr="00030958" w:rsidRDefault="009D6D4E" w:rsidP="00BF3B71">
            <w:pPr>
              <w:rPr>
                <w:sz w:val="18"/>
                <w:szCs w:val="20"/>
                <w:lang w:val="en-US"/>
              </w:rPr>
            </w:pPr>
            <w:r w:rsidRPr="00030958">
              <w:rPr>
                <w:sz w:val="18"/>
                <w:szCs w:val="20"/>
                <w:lang w:val="en-US"/>
              </w:rPr>
              <w:t xml:space="preserve">13. Investimet e huaja direkte </w:t>
            </w:r>
          </w:p>
        </w:tc>
        <w:tc>
          <w:tcPr>
            <w:tcW w:w="638" w:type="pct"/>
            <w:tcBorders>
              <w:top w:val="nil"/>
              <w:left w:val="single" w:sz="8" w:space="0" w:color="auto"/>
              <w:bottom w:val="dotted" w:sz="4" w:space="0" w:color="auto"/>
              <w:right w:val="single" w:sz="8" w:space="0" w:color="auto"/>
            </w:tcBorders>
            <w:shd w:val="clear" w:color="000000" w:fill="FFFFFF"/>
            <w:hideMark/>
          </w:tcPr>
          <w:p w14:paraId="4528E366" w14:textId="77777777" w:rsidR="009D6D4E" w:rsidRPr="00030958" w:rsidRDefault="009D6D4E" w:rsidP="00BF3B71">
            <w:pPr>
              <w:jc w:val="center"/>
              <w:rPr>
                <w:sz w:val="18"/>
                <w:szCs w:val="16"/>
                <w:lang w:val="en-US"/>
              </w:rPr>
            </w:pPr>
            <w:r w:rsidRPr="00030958">
              <w:rPr>
                <w:sz w:val="18"/>
                <w:szCs w:val="16"/>
                <w:lang w:val="en-US"/>
              </w:rPr>
              <w:t>mn EUR</w:t>
            </w:r>
          </w:p>
        </w:tc>
        <w:tc>
          <w:tcPr>
            <w:tcW w:w="446" w:type="pct"/>
            <w:tcBorders>
              <w:top w:val="nil"/>
              <w:left w:val="nil"/>
              <w:bottom w:val="dotted" w:sz="4" w:space="0" w:color="auto"/>
              <w:right w:val="nil"/>
            </w:tcBorders>
            <w:shd w:val="clear" w:color="000000" w:fill="FFFFFF"/>
            <w:hideMark/>
          </w:tcPr>
          <w:p w14:paraId="4CA8A43C" w14:textId="77777777" w:rsidR="009D6D4E" w:rsidRPr="00030958" w:rsidRDefault="009D6D4E" w:rsidP="00BF3B71">
            <w:pPr>
              <w:jc w:val="center"/>
              <w:rPr>
                <w:sz w:val="18"/>
                <w:szCs w:val="20"/>
                <w:lang w:val="en-US"/>
              </w:rPr>
            </w:pPr>
            <w:r w:rsidRPr="00030958">
              <w:rPr>
                <w:sz w:val="18"/>
                <w:szCs w:val="20"/>
                <w:lang w:val="en-US"/>
              </w:rPr>
              <w:t>-225.8</w:t>
            </w:r>
          </w:p>
        </w:tc>
        <w:tc>
          <w:tcPr>
            <w:tcW w:w="446" w:type="pct"/>
            <w:tcBorders>
              <w:top w:val="nil"/>
              <w:left w:val="dotted" w:sz="4" w:space="0" w:color="auto"/>
              <w:bottom w:val="dotted" w:sz="4" w:space="0" w:color="auto"/>
              <w:right w:val="dotted" w:sz="4" w:space="0" w:color="auto"/>
            </w:tcBorders>
            <w:shd w:val="clear" w:color="000000" w:fill="FFFFFF"/>
            <w:hideMark/>
          </w:tcPr>
          <w:p w14:paraId="7CB16603" w14:textId="77777777" w:rsidR="009D6D4E" w:rsidRPr="00030958" w:rsidRDefault="009D6D4E" w:rsidP="00BF3B71">
            <w:pPr>
              <w:jc w:val="center"/>
              <w:rPr>
                <w:sz w:val="18"/>
                <w:szCs w:val="20"/>
                <w:lang w:val="en-US"/>
              </w:rPr>
            </w:pPr>
            <w:r w:rsidRPr="00030958">
              <w:rPr>
                <w:sz w:val="18"/>
                <w:szCs w:val="20"/>
                <w:lang w:val="en-US"/>
              </w:rPr>
              <w:t>:</w:t>
            </w:r>
          </w:p>
        </w:tc>
        <w:tc>
          <w:tcPr>
            <w:tcW w:w="446" w:type="pct"/>
            <w:tcBorders>
              <w:top w:val="nil"/>
              <w:left w:val="nil"/>
              <w:bottom w:val="dotted" w:sz="4" w:space="0" w:color="auto"/>
              <w:right w:val="nil"/>
            </w:tcBorders>
            <w:shd w:val="clear" w:color="000000" w:fill="FFFFFF"/>
            <w:hideMark/>
          </w:tcPr>
          <w:p w14:paraId="3CA38796" w14:textId="77777777" w:rsidR="009D6D4E" w:rsidRPr="00030958" w:rsidRDefault="009D6D4E" w:rsidP="00BF3B71">
            <w:pPr>
              <w:jc w:val="center"/>
              <w:rPr>
                <w:sz w:val="18"/>
                <w:szCs w:val="20"/>
                <w:lang w:val="en-US"/>
              </w:rPr>
            </w:pPr>
            <w:r w:rsidRPr="00030958">
              <w:rPr>
                <w:sz w:val="18"/>
                <w:szCs w:val="20"/>
                <w:lang w:val="en-US"/>
              </w:rPr>
              <w:t>:</w:t>
            </w:r>
          </w:p>
        </w:tc>
        <w:tc>
          <w:tcPr>
            <w:tcW w:w="446" w:type="pct"/>
            <w:tcBorders>
              <w:top w:val="nil"/>
              <w:left w:val="dotted" w:sz="4" w:space="0" w:color="auto"/>
              <w:bottom w:val="dotted" w:sz="4" w:space="0" w:color="auto"/>
              <w:right w:val="dotted" w:sz="4" w:space="0" w:color="auto"/>
            </w:tcBorders>
            <w:shd w:val="clear" w:color="000000" w:fill="FFFFFF"/>
            <w:hideMark/>
          </w:tcPr>
          <w:p w14:paraId="68956121" w14:textId="77777777" w:rsidR="009D6D4E" w:rsidRPr="00030958" w:rsidRDefault="009D6D4E" w:rsidP="00BF3B71">
            <w:pPr>
              <w:jc w:val="center"/>
              <w:rPr>
                <w:sz w:val="18"/>
                <w:szCs w:val="20"/>
                <w:lang w:val="en-US"/>
              </w:rPr>
            </w:pPr>
            <w:r w:rsidRPr="00030958">
              <w:rPr>
                <w:sz w:val="18"/>
                <w:szCs w:val="20"/>
                <w:lang w:val="en-US"/>
              </w:rPr>
              <w:t>:</w:t>
            </w:r>
          </w:p>
        </w:tc>
        <w:tc>
          <w:tcPr>
            <w:tcW w:w="410" w:type="pct"/>
            <w:tcBorders>
              <w:top w:val="nil"/>
              <w:left w:val="nil"/>
              <w:bottom w:val="dotted" w:sz="4" w:space="0" w:color="auto"/>
              <w:right w:val="double" w:sz="6" w:space="0" w:color="auto"/>
            </w:tcBorders>
            <w:shd w:val="clear" w:color="000000" w:fill="FFFFFF"/>
            <w:hideMark/>
          </w:tcPr>
          <w:p w14:paraId="45BC0E72" w14:textId="77777777" w:rsidR="009D6D4E" w:rsidRPr="00030958" w:rsidRDefault="009D6D4E" w:rsidP="00BF3B71">
            <w:pPr>
              <w:jc w:val="center"/>
              <w:rPr>
                <w:sz w:val="18"/>
                <w:szCs w:val="20"/>
                <w:lang w:val="en-US"/>
              </w:rPr>
            </w:pPr>
            <w:r w:rsidRPr="00030958">
              <w:rPr>
                <w:sz w:val="18"/>
                <w:szCs w:val="20"/>
                <w:lang w:val="en-US"/>
              </w:rPr>
              <w:t>:</w:t>
            </w:r>
          </w:p>
        </w:tc>
      </w:tr>
      <w:tr w:rsidR="009D6D4E" w:rsidRPr="00030958" w14:paraId="5E13AED4" w14:textId="77777777" w:rsidTr="00BF3B71">
        <w:trPr>
          <w:trHeight w:val="20"/>
        </w:trPr>
        <w:tc>
          <w:tcPr>
            <w:tcW w:w="2166" w:type="pct"/>
            <w:tcBorders>
              <w:top w:val="nil"/>
              <w:left w:val="double" w:sz="6" w:space="0" w:color="auto"/>
              <w:bottom w:val="dotted" w:sz="4" w:space="0" w:color="auto"/>
              <w:right w:val="nil"/>
            </w:tcBorders>
            <w:shd w:val="clear" w:color="000000" w:fill="FFFFFF"/>
            <w:hideMark/>
          </w:tcPr>
          <w:p w14:paraId="71C90520" w14:textId="77777777" w:rsidR="009D6D4E" w:rsidRPr="00030958" w:rsidRDefault="009D6D4E" w:rsidP="00BF3B71">
            <w:pPr>
              <w:rPr>
                <w:sz w:val="18"/>
                <w:szCs w:val="20"/>
                <w:lang w:val="en-US"/>
              </w:rPr>
            </w:pPr>
            <w:r w:rsidRPr="00030958">
              <w:rPr>
                <w:sz w:val="18"/>
                <w:szCs w:val="20"/>
                <w:lang w:val="en-US"/>
              </w:rPr>
              <w:t xml:space="preserve">14. Rezervat </w:t>
            </w:r>
          </w:p>
        </w:tc>
        <w:tc>
          <w:tcPr>
            <w:tcW w:w="638" w:type="pct"/>
            <w:tcBorders>
              <w:top w:val="nil"/>
              <w:left w:val="single" w:sz="8" w:space="0" w:color="auto"/>
              <w:bottom w:val="dotted" w:sz="4" w:space="0" w:color="auto"/>
              <w:right w:val="single" w:sz="8" w:space="0" w:color="auto"/>
            </w:tcBorders>
            <w:shd w:val="clear" w:color="000000" w:fill="FFFFFF"/>
            <w:hideMark/>
          </w:tcPr>
          <w:p w14:paraId="47D686F3" w14:textId="77777777" w:rsidR="009D6D4E" w:rsidRPr="00030958" w:rsidRDefault="009D6D4E" w:rsidP="00BF3B71">
            <w:pPr>
              <w:jc w:val="center"/>
              <w:rPr>
                <w:sz w:val="18"/>
                <w:szCs w:val="16"/>
                <w:lang w:val="en-US"/>
              </w:rPr>
            </w:pPr>
            <w:r w:rsidRPr="00030958">
              <w:rPr>
                <w:sz w:val="18"/>
                <w:szCs w:val="16"/>
                <w:lang w:val="en-US"/>
              </w:rPr>
              <w:t>mn EUR</w:t>
            </w:r>
          </w:p>
        </w:tc>
        <w:tc>
          <w:tcPr>
            <w:tcW w:w="446" w:type="pct"/>
            <w:tcBorders>
              <w:top w:val="nil"/>
              <w:left w:val="nil"/>
              <w:bottom w:val="dotted" w:sz="4" w:space="0" w:color="auto"/>
              <w:right w:val="nil"/>
            </w:tcBorders>
            <w:shd w:val="clear" w:color="000000" w:fill="FFFFFF"/>
            <w:hideMark/>
          </w:tcPr>
          <w:p w14:paraId="0C03E887" w14:textId="77777777" w:rsidR="009D6D4E" w:rsidRPr="00030958" w:rsidRDefault="009D6D4E" w:rsidP="00BF3B71">
            <w:pPr>
              <w:jc w:val="center"/>
              <w:rPr>
                <w:sz w:val="18"/>
                <w:szCs w:val="20"/>
                <w:lang w:val="en-US"/>
              </w:rPr>
            </w:pPr>
            <w:r w:rsidRPr="00030958">
              <w:rPr>
                <w:sz w:val="18"/>
                <w:szCs w:val="20"/>
                <w:lang w:val="en-US"/>
              </w:rPr>
              <w:t>86.8</w:t>
            </w:r>
          </w:p>
        </w:tc>
        <w:tc>
          <w:tcPr>
            <w:tcW w:w="446" w:type="pct"/>
            <w:tcBorders>
              <w:top w:val="nil"/>
              <w:left w:val="dotted" w:sz="4" w:space="0" w:color="auto"/>
              <w:bottom w:val="dotted" w:sz="4" w:space="0" w:color="auto"/>
              <w:right w:val="dotted" w:sz="4" w:space="0" w:color="auto"/>
            </w:tcBorders>
            <w:shd w:val="clear" w:color="000000" w:fill="FFFFFF"/>
            <w:hideMark/>
          </w:tcPr>
          <w:p w14:paraId="0CFC4B21" w14:textId="77777777" w:rsidR="009D6D4E" w:rsidRPr="00030958" w:rsidRDefault="009D6D4E" w:rsidP="00BF3B71">
            <w:pPr>
              <w:jc w:val="center"/>
              <w:rPr>
                <w:sz w:val="18"/>
                <w:szCs w:val="20"/>
                <w:lang w:val="en-US"/>
              </w:rPr>
            </w:pPr>
            <w:r w:rsidRPr="00030958">
              <w:rPr>
                <w:sz w:val="18"/>
                <w:szCs w:val="20"/>
                <w:lang w:val="en-US"/>
              </w:rPr>
              <w:t>:</w:t>
            </w:r>
          </w:p>
        </w:tc>
        <w:tc>
          <w:tcPr>
            <w:tcW w:w="446" w:type="pct"/>
            <w:tcBorders>
              <w:top w:val="nil"/>
              <w:left w:val="nil"/>
              <w:bottom w:val="dotted" w:sz="4" w:space="0" w:color="auto"/>
              <w:right w:val="nil"/>
            </w:tcBorders>
            <w:shd w:val="clear" w:color="000000" w:fill="FFFFFF"/>
            <w:hideMark/>
          </w:tcPr>
          <w:p w14:paraId="45DADA6C" w14:textId="77777777" w:rsidR="009D6D4E" w:rsidRPr="00030958" w:rsidRDefault="009D6D4E" w:rsidP="00BF3B71">
            <w:pPr>
              <w:jc w:val="center"/>
              <w:rPr>
                <w:sz w:val="18"/>
                <w:szCs w:val="20"/>
                <w:lang w:val="en-US"/>
              </w:rPr>
            </w:pPr>
            <w:r w:rsidRPr="00030958">
              <w:rPr>
                <w:sz w:val="18"/>
                <w:szCs w:val="20"/>
                <w:lang w:val="en-US"/>
              </w:rPr>
              <w:t>:</w:t>
            </w:r>
          </w:p>
        </w:tc>
        <w:tc>
          <w:tcPr>
            <w:tcW w:w="446" w:type="pct"/>
            <w:tcBorders>
              <w:top w:val="nil"/>
              <w:left w:val="dotted" w:sz="4" w:space="0" w:color="auto"/>
              <w:bottom w:val="dotted" w:sz="4" w:space="0" w:color="auto"/>
              <w:right w:val="dotted" w:sz="4" w:space="0" w:color="auto"/>
            </w:tcBorders>
            <w:shd w:val="clear" w:color="000000" w:fill="FFFFFF"/>
            <w:hideMark/>
          </w:tcPr>
          <w:p w14:paraId="77FA4C3B" w14:textId="77777777" w:rsidR="009D6D4E" w:rsidRPr="00030958" w:rsidRDefault="009D6D4E" w:rsidP="00BF3B71">
            <w:pPr>
              <w:jc w:val="center"/>
              <w:rPr>
                <w:sz w:val="18"/>
                <w:szCs w:val="20"/>
                <w:lang w:val="en-US"/>
              </w:rPr>
            </w:pPr>
            <w:r w:rsidRPr="00030958">
              <w:rPr>
                <w:sz w:val="18"/>
                <w:szCs w:val="20"/>
                <w:lang w:val="en-US"/>
              </w:rPr>
              <w:t>:</w:t>
            </w:r>
          </w:p>
        </w:tc>
        <w:tc>
          <w:tcPr>
            <w:tcW w:w="410" w:type="pct"/>
            <w:tcBorders>
              <w:top w:val="nil"/>
              <w:left w:val="nil"/>
              <w:bottom w:val="dotted" w:sz="4" w:space="0" w:color="auto"/>
              <w:right w:val="double" w:sz="6" w:space="0" w:color="auto"/>
            </w:tcBorders>
            <w:shd w:val="clear" w:color="000000" w:fill="FFFFFF"/>
            <w:hideMark/>
          </w:tcPr>
          <w:p w14:paraId="584B5BF5" w14:textId="77777777" w:rsidR="009D6D4E" w:rsidRPr="00030958" w:rsidRDefault="009D6D4E" w:rsidP="00BF3B71">
            <w:pPr>
              <w:jc w:val="center"/>
              <w:rPr>
                <w:sz w:val="18"/>
                <w:szCs w:val="20"/>
                <w:lang w:val="en-US"/>
              </w:rPr>
            </w:pPr>
            <w:r w:rsidRPr="00030958">
              <w:rPr>
                <w:sz w:val="18"/>
                <w:szCs w:val="20"/>
                <w:lang w:val="en-US"/>
              </w:rPr>
              <w:t>:</w:t>
            </w:r>
          </w:p>
        </w:tc>
      </w:tr>
      <w:tr w:rsidR="009D6D4E" w:rsidRPr="00030958" w14:paraId="6D3E22C7" w14:textId="77777777" w:rsidTr="00BF3B71">
        <w:trPr>
          <w:trHeight w:val="20"/>
        </w:trPr>
        <w:tc>
          <w:tcPr>
            <w:tcW w:w="2166" w:type="pct"/>
            <w:tcBorders>
              <w:top w:val="nil"/>
              <w:left w:val="double" w:sz="6" w:space="0" w:color="auto"/>
              <w:bottom w:val="dotted" w:sz="4" w:space="0" w:color="auto"/>
              <w:right w:val="nil"/>
            </w:tcBorders>
            <w:shd w:val="clear" w:color="000000" w:fill="FFFFFF"/>
            <w:hideMark/>
          </w:tcPr>
          <w:p w14:paraId="3426D947" w14:textId="77777777" w:rsidR="009D6D4E" w:rsidRPr="00030958" w:rsidRDefault="009D6D4E" w:rsidP="00BF3B71">
            <w:pPr>
              <w:rPr>
                <w:sz w:val="18"/>
                <w:szCs w:val="20"/>
                <w:lang w:val="en-US"/>
              </w:rPr>
            </w:pPr>
            <w:r w:rsidRPr="00030958">
              <w:rPr>
                <w:sz w:val="18"/>
                <w:szCs w:val="20"/>
                <w:lang w:val="en-US"/>
              </w:rPr>
              <w:t xml:space="preserve">15. Borxhi i jashtëm </w:t>
            </w:r>
          </w:p>
        </w:tc>
        <w:tc>
          <w:tcPr>
            <w:tcW w:w="638" w:type="pct"/>
            <w:tcBorders>
              <w:top w:val="nil"/>
              <w:left w:val="single" w:sz="8" w:space="0" w:color="auto"/>
              <w:bottom w:val="dotted" w:sz="4" w:space="0" w:color="auto"/>
              <w:right w:val="single" w:sz="8" w:space="0" w:color="auto"/>
            </w:tcBorders>
            <w:shd w:val="clear" w:color="000000" w:fill="FFFFFF"/>
            <w:hideMark/>
          </w:tcPr>
          <w:p w14:paraId="516A3F99" w14:textId="77777777" w:rsidR="009D6D4E" w:rsidRPr="00030958" w:rsidRDefault="009D6D4E" w:rsidP="00BF3B71">
            <w:pPr>
              <w:jc w:val="center"/>
              <w:rPr>
                <w:sz w:val="18"/>
                <w:szCs w:val="16"/>
                <w:lang w:val="en-US"/>
              </w:rPr>
            </w:pPr>
            <w:r w:rsidRPr="00030958">
              <w:rPr>
                <w:sz w:val="18"/>
                <w:szCs w:val="16"/>
                <w:lang w:val="en-US"/>
              </w:rPr>
              <w:t>mn EUR</w:t>
            </w:r>
          </w:p>
        </w:tc>
        <w:tc>
          <w:tcPr>
            <w:tcW w:w="446" w:type="pct"/>
            <w:tcBorders>
              <w:top w:val="nil"/>
              <w:left w:val="nil"/>
              <w:bottom w:val="dotted" w:sz="4" w:space="0" w:color="auto"/>
              <w:right w:val="nil"/>
            </w:tcBorders>
            <w:shd w:val="clear" w:color="000000" w:fill="FFFFFF"/>
            <w:hideMark/>
          </w:tcPr>
          <w:p w14:paraId="7416C35F" w14:textId="77777777" w:rsidR="009D6D4E" w:rsidRPr="00030958" w:rsidRDefault="009D6D4E" w:rsidP="00BF3B71">
            <w:pPr>
              <w:jc w:val="center"/>
              <w:rPr>
                <w:sz w:val="18"/>
                <w:szCs w:val="20"/>
                <w:lang w:val="en-US"/>
              </w:rPr>
            </w:pPr>
            <w:r w:rsidRPr="00030958">
              <w:rPr>
                <w:sz w:val="18"/>
                <w:szCs w:val="20"/>
                <w:lang w:val="en-US"/>
              </w:rPr>
              <w:t>2,035.7</w:t>
            </w:r>
          </w:p>
        </w:tc>
        <w:tc>
          <w:tcPr>
            <w:tcW w:w="446" w:type="pct"/>
            <w:tcBorders>
              <w:top w:val="nil"/>
              <w:left w:val="dotted" w:sz="4" w:space="0" w:color="auto"/>
              <w:bottom w:val="dotted" w:sz="4" w:space="0" w:color="auto"/>
              <w:right w:val="dotted" w:sz="4" w:space="0" w:color="auto"/>
            </w:tcBorders>
            <w:shd w:val="clear" w:color="000000" w:fill="FFFFFF"/>
            <w:hideMark/>
          </w:tcPr>
          <w:p w14:paraId="2851F7D8" w14:textId="77777777" w:rsidR="009D6D4E" w:rsidRPr="00030958" w:rsidRDefault="009D6D4E" w:rsidP="00BF3B71">
            <w:pPr>
              <w:jc w:val="center"/>
              <w:rPr>
                <w:sz w:val="18"/>
                <w:szCs w:val="20"/>
                <w:lang w:val="en-US"/>
              </w:rPr>
            </w:pPr>
            <w:r w:rsidRPr="00030958">
              <w:rPr>
                <w:sz w:val="18"/>
                <w:szCs w:val="20"/>
                <w:lang w:val="en-US"/>
              </w:rPr>
              <w:t>:</w:t>
            </w:r>
          </w:p>
        </w:tc>
        <w:tc>
          <w:tcPr>
            <w:tcW w:w="446" w:type="pct"/>
            <w:tcBorders>
              <w:top w:val="nil"/>
              <w:left w:val="nil"/>
              <w:bottom w:val="dotted" w:sz="4" w:space="0" w:color="auto"/>
              <w:right w:val="nil"/>
            </w:tcBorders>
            <w:shd w:val="clear" w:color="000000" w:fill="FFFFFF"/>
            <w:hideMark/>
          </w:tcPr>
          <w:p w14:paraId="6B9DD556" w14:textId="77777777" w:rsidR="009D6D4E" w:rsidRPr="00030958" w:rsidRDefault="009D6D4E" w:rsidP="00BF3B71">
            <w:pPr>
              <w:jc w:val="center"/>
              <w:rPr>
                <w:sz w:val="18"/>
                <w:szCs w:val="20"/>
                <w:lang w:val="en-US"/>
              </w:rPr>
            </w:pPr>
            <w:r w:rsidRPr="00030958">
              <w:rPr>
                <w:sz w:val="18"/>
                <w:szCs w:val="20"/>
                <w:lang w:val="en-US"/>
              </w:rPr>
              <w:t>:</w:t>
            </w:r>
          </w:p>
        </w:tc>
        <w:tc>
          <w:tcPr>
            <w:tcW w:w="446" w:type="pct"/>
            <w:tcBorders>
              <w:top w:val="nil"/>
              <w:left w:val="dotted" w:sz="4" w:space="0" w:color="auto"/>
              <w:bottom w:val="dotted" w:sz="4" w:space="0" w:color="auto"/>
              <w:right w:val="dotted" w:sz="4" w:space="0" w:color="auto"/>
            </w:tcBorders>
            <w:shd w:val="clear" w:color="000000" w:fill="FFFFFF"/>
            <w:hideMark/>
          </w:tcPr>
          <w:p w14:paraId="210E231B" w14:textId="77777777" w:rsidR="009D6D4E" w:rsidRPr="00030958" w:rsidRDefault="009D6D4E" w:rsidP="00BF3B71">
            <w:pPr>
              <w:jc w:val="center"/>
              <w:rPr>
                <w:sz w:val="18"/>
                <w:szCs w:val="20"/>
                <w:lang w:val="en-US"/>
              </w:rPr>
            </w:pPr>
            <w:r w:rsidRPr="00030958">
              <w:rPr>
                <w:sz w:val="18"/>
                <w:szCs w:val="20"/>
                <w:lang w:val="en-US"/>
              </w:rPr>
              <w:t>:</w:t>
            </w:r>
          </w:p>
        </w:tc>
        <w:tc>
          <w:tcPr>
            <w:tcW w:w="410" w:type="pct"/>
            <w:tcBorders>
              <w:top w:val="nil"/>
              <w:left w:val="nil"/>
              <w:bottom w:val="dotted" w:sz="4" w:space="0" w:color="auto"/>
              <w:right w:val="double" w:sz="6" w:space="0" w:color="auto"/>
            </w:tcBorders>
            <w:shd w:val="clear" w:color="000000" w:fill="FFFFFF"/>
            <w:hideMark/>
          </w:tcPr>
          <w:p w14:paraId="366574C9" w14:textId="77777777" w:rsidR="009D6D4E" w:rsidRPr="00030958" w:rsidRDefault="009D6D4E" w:rsidP="00BF3B71">
            <w:pPr>
              <w:jc w:val="center"/>
              <w:rPr>
                <w:sz w:val="18"/>
                <w:szCs w:val="20"/>
                <w:lang w:val="en-US"/>
              </w:rPr>
            </w:pPr>
            <w:r w:rsidRPr="00030958">
              <w:rPr>
                <w:sz w:val="18"/>
                <w:szCs w:val="20"/>
                <w:lang w:val="en-US"/>
              </w:rPr>
              <w:t>:</w:t>
            </w:r>
          </w:p>
        </w:tc>
      </w:tr>
      <w:tr w:rsidR="009D6D4E" w:rsidRPr="00030958" w14:paraId="133FE89F" w14:textId="77777777" w:rsidTr="00BF3B71">
        <w:trPr>
          <w:trHeight w:val="20"/>
        </w:trPr>
        <w:tc>
          <w:tcPr>
            <w:tcW w:w="2166" w:type="pct"/>
            <w:tcBorders>
              <w:top w:val="nil"/>
              <w:left w:val="double" w:sz="6" w:space="0" w:color="auto"/>
              <w:bottom w:val="dotted" w:sz="4" w:space="0" w:color="auto"/>
              <w:right w:val="nil"/>
            </w:tcBorders>
            <w:shd w:val="clear" w:color="000000" w:fill="FFFFFF"/>
            <w:hideMark/>
          </w:tcPr>
          <w:p w14:paraId="03C90B62" w14:textId="77777777" w:rsidR="009D6D4E" w:rsidRPr="00030958" w:rsidRDefault="009D6D4E" w:rsidP="00BF3B71">
            <w:pPr>
              <w:rPr>
                <w:i/>
                <w:iCs/>
                <w:sz w:val="18"/>
                <w:szCs w:val="20"/>
                <w:lang w:val="en-US"/>
              </w:rPr>
            </w:pPr>
            <w:r w:rsidRPr="00030958">
              <w:rPr>
                <w:i/>
                <w:iCs/>
                <w:sz w:val="18"/>
                <w:szCs w:val="20"/>
                <w:lang w:val="en-US"/>
              </w:rPr>
              <w:t xml:space="preserve">16. nga të cilat : publike </w:t>
            </w:r>
          </w:p>
        </w:tc>
        <w:tc>
          <w:tcPr>
            <w:tcW w:w="638" w:type="pct"/>
            <w:tcBorders>
              <w:top w:val="nil"/>
              <w:left w:val="single" w:sz="8" w:space="0" w:color="auto"/>
              <w:bottom w:val="dotted" w:sz="4" w:space="0" w:color="auto"/>
              <w:right w:val="single" w:sz="8" w:space="0" w:color="auto"/>
            </w:tcBorders>
            <w:shd w:val="clear" w:color="000000" w:fill="FFFFFF"/>
            <w:hideMark/>
          </w:tcPr>
          <w:p w14:paraId="52C64F0B" w14:textId="77777777" w:rsidR="009D6D4E" w:rsidRPr="00030958" w:rsidRDefault="009D6D4E" w:rsidP="00BF3B71">
            <w:pPr>
              <w:jc w:val="center"/>
              <w:rPr>
                <w:sz w:val="18"/>
                <w:szCs w:val="16"/>
                <w:lang w:val="en-US"/>
              </w:rPr>
            </w:pPr>
            <w:r w:rsidRPr="00030958">
              <w:rPr>
                <w:sz w:val="18"/>
                <w:szCs w:val="16"/>
                <w:lang w:val="en-US"/>
              </w:rPr>
              <w:t>mn EUR</w:t>
            </w:r>
          </w:p>
        </w:tc>
        <w:tc>
          <w:tcPr>
            <w:tcW w:w="446" w:type="pct"/>
            <w:tcBorders>
              <w:top w:val="nil"/>
              <w:left w:val="nil"/>
              <w:bottom w:val="dotted" w:sz="4" w:space="0" w:color="auto"/>
              <w:right w:val="nil"/>
            </w:tcBorders>
            <w:shd w:val="clear" w:color="000000" w:fill="FFFFFF"/>
            <w:hideMark/>
          </w:tcPr>
          <w:p w14:paraId="1CD34BCA" w14:textId="77777777" w:rsidR="009D6D4E" w:rsidRPr="00030958" w:rsidRDefault="009D6D4E" w:rsidP="00BF3B71">
            <w:pPr>
              <w:jc w:val="center"/>
              <w:rPr>
                <w:sz w:val="18"/>
                <w:szCs w:val="20"/>
                <w:lang w:val="en-US"/>
              </w:rPr>
            </w:pPr>
            <w:r w:rsidRPr="00030958">
              <w:rPr>
                <w:sz w:val="18"/>
                <w:szCs w:val="20"/>
                <w:lang w:val="en-US"/>
              </w:rPr>
              <w:t>498.4</w:t>
            </w:r>
          </w:p>
        </w:tc>
        <w:tc>
          <w:tcPr>
            <w:tcW w:w="446" w:type="pct"/>
            <w:tcBorders>
              <w:top w:val="nil"/>
              <w:left w:val="dotted" w:sz="4" w:space="0" w:color="auto"/>
              <w:bottom w:val="dotted" w:sz="4" w:space="0" w:color="auto"/>
              <w:right w:val="dotted" w:sz="4" w:space="0" w:color="auto"/>
            </w:tcBorders>
            <w:shd w:val="clear" w:color="000000" w:fill="FFFFFF"/>
            <w:hideMark/>
          </w:tcPr>
          <w:p w14:paraId="710F4259" w14:textId="77777777" w:rsidR="009D6D4E" w:rsidRPr="00030958" w:rsidRDefault="009D6D4E" w:rsidP="00BF3B71">
            <w:pPr>
              <w:jc w:val="center"/>
              <w:rPr>
                <w:sz w:val="18"/>
                <w:szCs w:val="20"/>
                <w:lang w:val="en-US"/>
              </w:rPr>
            </w:pPr>
            <w:r w:rsidRPr="00030958">
              <w:rPr>
                <w:sz w:val="18"/>
                <w:szCs w:val="20"/>
                <w:lang w:val="en-US"/>
              </w:rPr>
              <w:t>:</w:t>
            </w:r>
          </w:p>
        </w:tc>
        <w:tc>
          <w:tcPr>
            <w:tcW w:w="446" w:type="pct"/>
            <w:tcBorders>
              <w:top w:val="nil"/>
              <w:left w:val="nil"/>
              <w:bottom w:val="dotted" w:sz="4" w:space="0" w:color="auto"/>
              <w:right w:val="nil"/>
            </w:tcBorders>
            <w:shd w:val="clear" w:color="000000" w:fill="FFFFFF"/>
            <w:hideMark/>
          </w:tcPr>
          <w:p w14:paraId="7171327C" w14:textId="77777777" w:rsidR="009D6D4E" w:rsidRPr="00030958" w:rsidRDefault="009D6D4E" w:rsidP="00BF3B71">
            <w:pPr>
              <w:jc w:val="center"/>
              <w:rPr>
                <w:sz w:val="18"/>
                <w:szCs w:val="20"/>
                <w:lang w:val="en-US"/>
              </w:rPr>
            </w:pPr>
            <w:r w:rsidRPr="00030958">
              <w:rPr>
                <w:sz w:val="18"/>
                <w:szCs w:val="20"/>
                <w:lang w:val="en-US"/>
              </w:rPr>
              <w:t>:</w:t>
            </w:r>
          </w:p>
        </w:tc>
        <w:tc>
          <w:tcPr>
            <w:tcW w:w="446" w:type="pct"/>
            <w:tcBorders>
              <w:top w:val="nil"/>
              <w:left w:val="dotted" w:sz="4" w:space="0" w:color="auto"/>
              <w:bottom w:val="dotted" w:sz="4" w:space="0" w:color="auto"/>
              <w:right w:val="dotted" w:sz="4" w:space="0" w:color="auto"/>
            </w:tcBorders>
            <w:shd w:val="clear" w:color="000000" w:fill="FFFFFF"/>
            <w:hideMark/>
          </w:tcPr>
          <w:p w14:paraId="1EAABD74" w14:textId="77777777" w:rsidR="009D6D4E" w:rsidRPr="00030958" w:rsidRDefault="009D6D4E" w:rsidP="00BF3B71">
            <w:pPr>
              <w:jc w:val="center"/>
              <w:rPr>
                <w:sz w:val="18"/>
                <w:szCs w:val="20"/>
                <w:lang w:val="en-US"/>
              </w:rPr>
            </w:pPr>
            <w:r w:rsidRPr="00030958">
              <w:rPr>
                <w:sz w:val="18"/>
                <w:szCs w:val="20"/>
                <w:lang w:val="en-US"/>
              </w:rPr>
              <w:t>:</w:t>
            </w:r>
          </w:p>
        </w:tc>
        <w:tc>
          <w:tcPr>
            <w:tcW w:w="410" w:type="pct"/>
            <w:tcBorders>
              <w:top w:val="nil"/>
              <w:left w:val="nil"/>
              <w:bottom w:val="dotted" w:sz="4" w:space="0" w:color="auto"/>
              <w:right w:val="double" w:sz="6" w:space="0" w:color="auto"/>
            </w:tcBorders>
            <w:shd w:val="clear" w:color="000000" w:fill="FFFFFF"/>
            <w:hideMark/>
          </w:tcPr>
          <w:p w14:paraId="1732CF1A" w14:textId="77777777" w:rsidR="009D6D4E" w:rsidRPr="00030958" w:rsidRDefault="009D6D4E" w:rsidP="00BF3B71">
            <w:pPr>
              <w:jc w:val="center"/>
              <w:rPr>
                <w:sz w:val="18"/>
                <w:szCs w:val="20"/>
                <w:lang w:val="en-US"/>
              </w:rPr>
            </w:pPr>
            <w:r w:rsidRPr="00030958">
              <w:rPr>
                <w:sz w:val="18"/>
                <w:szCs w:val="20"/>
                <w:lang w:val="en-US"/>
              </w:rPr>
              <w:t>:</w:t>
            </w:r>
          </w:p>
        </w:tc>
      </w:tr>
      <w:tr w:rsidR="009D6D4E" w:rsidRPr="00030958" w14:paraId="4AF8BCA1" w14:textId="77777777" w:rsidTr="00BF3B71">
        <w:trPr>
          <w:trHeight w:val="20"/>
        </w:trPr>
        <w:tc>
          <w:tcPr>
            <w:tcW w:w="2166" w:type="pct"/>
            <w:tcBorders>
              <w:top w:val="nil"/>
              <w:left w:val="double" w:sz="6" w:space="0" w:color="auto"/>
              <w:bottom w:val="dotted" w:sz="4" w:space="0" w:color="auto"/>
              <w:right w:val="nil"/>
            </w:tcBorders>
            <w:shd w:val="clear" w:color="000000" w:fill="FFFFFF"/>
            <w:hideMark/>
          </w:tcPr>
          <w:p w14:paraId="15CBDCE1" w14:textId="77777777" w:rsidR="009D6D4E" w:rsidRPr="00FC648F" w:rsidRDefault="009D6D4E" w:rsidP="00BF3B71">
            <w:pPr>
              <w:rPr>
                <w:i/>
                <w:iCs/>
                <w:sz w:val="18"/>
                <w:szCs w:val="20"/>
              </w:rPr>
            </w:pPr>
            <w:r w:rsidRPr="00FC648F">
              <w:rPr>
                <w:i/>
                <w:iCs/>
                <w:sz w:val="18"/>
                <w:szCs w:val="20"/>
              </w:rPr>
              <w:t xml:space="preserve">17. nga të cilat: në valutë të huaj </w:t>
            </w:r>
          </w:p>
        </w:tc>
        <w:tc>
          <w:tcPr>
            <w:tcW w:w="638" w:type="pct"/>
            <w:tcBorders>
              <w:top w:val="nil"/>
              <w:left w:val="single" w:sz="8" w:space="0" w:color="auto"/>
              <w:bottom w:val="dotted" w:sz="4" w:space="0" w:color="auto"/>
              <w:right w:val="single" w:sz="8" w:space="0" w:color="auto"/>
            </w:tcBorders>
            <w:shd w:val="clear" w:color="000000" w:fill="FFFFFF"/>
            <w:hideMark/>
          </w:tcPr>
          <w:p w14:paraId="48E5514B" w14:textId="77777777" w:rsidR="009D6D4E" w:rsidRPr="00030958" w:rsidRDefault="009D6D4E" w:rsidP="00BF3B71">
            <w:pPr>
              <w:jc w:val="center"/>
              <w:rPr>
                <w:sz w:val="18"/>
                <w:szCs w:val="16"/>
                <w:lang w:val="en-US"/>
              </w:rPr>
            </w:pPr>
            <w:r w:rsidRPr="00030958">
              <w:rPr>
                <w:sz w:val="18"/>
                <w:szCs w:val="16"/>
                <w:lang w:val="en-US"/>
              </w:rPr>
              <w:t>mn EUR</w:t>
            </w:r>
          </w:p>
        </w:tc>
        <w:tc>
          <w:tcPr>
            <w:tcW w:w="446" w:type="pct"/>
            <w:tcBorders>
              <w:top w:val="nil"/>
              <w:left w:val="nil"/>
              <w:bottom w:val="dotted" w:sz="4" w:space="0" w:color="auto"/>
              <w:right w:val="nil"/>
            </w:tcBorders>
            <w:shd w:val="clear" w:color="000000" w:fill="FFFFFF"/>
            <w:hideMark/>
          </w:tcPr>
          <w:p w14:paraId="206C94DF" w14:textId="77777777" w:rsidR="009D6D4E" w:rsidRPr="00030958" w:rsidRDefault="009D6D4E" w:rsidP="00BF3B71">
            <w:pPr>
              <w:jc w:val="center"/>
              <w:rPr>
                <w:sz w:val="18"/>
                <w:szCs w:val="20"/>
                <w:lang w:val="en-US"/>
              </w:rPr>
            </w:pPr>
            <w:r w:rsidRPr="00030958">
              <w:rPr>
                <w:sz w:val="18"/>
                <w:szCs w:val="20"/>
                <w:lang w:val="en-US"/>
              </w:rPr>
              <w:t>:</w:t>
            </w:r>
          </w:p>
        </w:tc>
        <w:tc>
          <w:tcPr>
            <w:tcW w:w="446" w:type="pct"/>
            <w:tcBorders>
              <w:top w:val="nil"/>
              <w:left w:val="dotted" w:sz="4" w:space="0" w:color="auto"/>
              <w:bottom w:val="dotted" w:sz="4" w:space="0" w:color="auto"/>
              <w:right w:val="dotted" w:sz="4" w:space="0" w:color="auto"/>
            </w:tcBorders>
            <w:shd w:val="clear" w:color="000000" w:fill="FFFFFF"/>
            <w:hideMark/>
          </w:tcPr>
          <w:p w14:paraId="0097F4B3" w14:textId="77777777" w:rsidR="009D6D4E" w:rsidRPr="00030958" w:rsidRDefault="009D6D4E" w:rsidP="00BF3B71">
            <w:pPr>
              <w:jc w:val="center"/>
              <w:rPr>
                <w:sz w:val="18"/>
                <w:szCs w:val="20"/>
                <w:lang w:val="en-US"/>
              </w:rPr>
            </w:pPr>
            <w:r w:rsidRPr="00030958">
              <w:rPr>
                <w:sz w:val="18"/>
                <w:szCs w:val="20"/>
                <w:lang w:val="en-US"/>
              </w:rPr>
              <w:t>:</w:t>
            </w:r>
          </w:p>
        </w:tc>
        <w:tc>
          <w:tcPr>
            <w:tcW w:w="446" w:type="pct"/>
            <w:tcBorders>
              <w:top w:val="nil"/>
              <w:left w:val="nil"/>
              <w:bottom w:val="dotted" w:sz="4" w:space="0" w:color="auto"/>
              <w:right w:val="nil"/>
            </w:tcBorders>
            <w:shd w:val="clear" w:color="000000" w:fill="FFFFFF"/>
            <w:hideMark/>
          </w:tcPr>
          <w:p w14:paraId="609327A7" w14:textId="77777777" w:rsidR="009D6D4E" w:rsidRPr="00030958" w:rsidRDefault="009D6D4E" w:rsidP="00BF3B71">
            <w:pPr>
              <w:jc w:val="center"/>
              <w:rPr>
                <w:sz w:val="18"/>
                <w:szCs w:val="20"/>
                <w:lang w:val="en-US"/>
              </w:rPr>
            </w:pPr>
            <w:r w:rsidRPr="00030958">
              <w:rPr>
                <w:sz w:val="18"/>
                <w:szCs w:val="20"/>
                <w:lang w:val="en-US"/>
              </w:rPr>
              <w:t>:</w:t>
            </w:r>
          </w:p>
        </w:tc>
        <w:tc>
          <w:tcPr>
            <w:tcW w:w="446" w:type="pct"/>
            <w:tcBorders>
              <w:top w:val="nil"/>
              <w:left w:val="dotted" w:sz="4" w:space="0" w:color="auto"/>
              <w:bottom w:val="dotted" w:sz="4" w:space="0" w:color="auto"/>
              <w:right w:val="dotted" w:sz="4" w:space="0" w:color="auto"/>
            </w:tcBorders>
            <w:shd w:val="clear" w:color="000000" w:fill="FFFFFF"/>
            <w:hideMark/>
          </w:tcPr>
          <w:p w14:paraId="08652D74" w14:textId="77777777" w:rsidR="009D6D4E" w:rsidRPr="00030958" w:rsidRDefault="009D6D4E" w:rsidP="00BF3B71">
            <w:pPr>
              <w:jc w:val="center"/>
              <w:rPr>
                <w:sz w:val="18"/>
                <w:szCs w:val="20"/>
                <w:lang w:val="en-US"/>
              </w:rPr>
            </w:pPr>
            <w:r w:rsidRPr="00030958">
              <w:rPr>
                <w:sz w:val="18"/>
                <w:szCs w:val="20"/>
                <w:lang w:val="en-US"/>
              </w:rPr>
              <w:t>:</w:t>
            </w:r>
          </w:p>
        </w:tc>
        <w:tc>
          <w:tcPr>
            <w:tcW w:w="410" w:type="pct"/>
            <w:tcBorders>
              <w:top w:val="nil"/>
              <w:left w:val="nil"/>
              <w:bottom w:val="dotted" w:sz="4" w:space="0" w:color="auto"/>
              <w:right w:val="double" w:sz="6" w:space="0" w:color="auto"/>
            </w:tcBorders>
            <w:shd w:val="clear" w:color="000000" w:fill="FFFFFF"/>
            <w:hideMark/>
          </w:tcPr>
          <w:p w14:paraId="2C8D7CC8" w14:textId="77777777" w:rsidR="009D6D4E" w:rsidRPr="00030958" w:rsidRDefault="009D6D4E" w:rsidP="00BF3B71">
            <w:pPr>
              <w:jc w:val="center"/>
              <w:rPr>
                <w:sz w:val="18"/>
                <w:szCs w:val="20"/>
                <w:lang w:val="en-US"/>
              </w:rPr>
            </w:pPr>
            <w:r w:rsidRPr="00030958">
              <w:rPr>
                <w:sz w:val="18"/>
                <w:szCs w:val="20"/>
                <w:lang w:val="en-US"/>
              </w:rPr>
              <w:t>:</w:t>
            </w:r>
          </w:p>
        </w:tc>
      </w:tr>
      <w:tr w:rsidR="009D6D4E" w:rsidRPr="00030958" w14:paraId="476B1DAD" w14:textId="77777777" w:rsidTr="00BF3B71">
        <w:trPr>
          <w:trHeight w:val="20"/>
        </w:trPr>
        <w:tc>
          <w:tcPr>
            <w:tcW w:w="2166" w:type="pct"/>
            <w:tcBorders>
              <w:top w:val="nil"/>
              <w:left w:val="double" w:sz="6" w:space="0" w:color="auto"/>
              <w:bottom w:val="dotted" w:sz="4" w:space="0" w:color="auto"/>
              <w:right w:val="nil"/>
            </w:tcBorders>
            <w:shd w:val="clear" w:color="000000" w:fill="FFFFFF"/>
            <w:hideMark/>
          </w:tcPr>
          <w:p w14:paraId="43693A44" w14:textId="77777777" w:rsidR="009D6D4E" w:rsidRPr="00FC648F" w:rsidRDefault="009D6D4E" w:rsidP="00BF3B71">
            <w:pPr>
              <w:rPr>
                <w:i/>
                <w:iCs/>
                <w:sz w:val="18"/>
                <w:szCs w:val="20"/>
                <w:lang w:val="fr-BE"/>
              </w:rPr>
            </w:pPr>
            <w:r w:rsidRPr="00FC648F">
              <w:rPr>
                <w:i/>
                <w:iCs/>
                <w:sz w:val="18"/>
                <w:szCs w:val="20"/>
                <w:lang w:val="fr-BE"/>
              </w:rPr>
              <w:t xml:space="preserve">18. nga të cilat: pagesat e mbetura </w:t>
            </w:r>
          </w:p>
        </w:tc>
        <w:tc>
          <w:tcPr>
            <w:tcW w:w="638" w:type="pct"/>
            <w:tcBorders>
              <w:top w:val="nil"/>
              <w:left w:val="single" w:sz="8" w:space="0" w:color="auto"/>
              <w:bottom w:val="dotted" w:sz="4" w:space="0" w:color="auto"/>
              <w:right w:val="single" w:sz="8" w:space="0" w:color="auto"/>
            </w:tcBorders>
            <w:shd w:val="clear" w:color="000000" w:fill="FFFFFF"/>
            <w:hideMark/>
          </w:tcPr>
          <w:p w14:paraId="36ED0B03" w14:textId="77777777" w:rsidR="009D6D4E" w:rsidRPr="00030958" w:rsidRDefault="009D6D4E" w:rsidP="00BF3B71">
            <w:pPr>
              <w:jc w:val="center"/>
              <w:rPr>
                <w:sz w:val="18"/>
                <w:szCs w:val="16"/>
                <w:lang w:val="en-US"/>
              </w:rPr>
            </w:pPr>
            <w:r w:rsidRPr="00030958">
              <w:rPr>
                <w:sz w:val="18"/>
                <w:szCs w:val="16"/>
                <w:lang w:val="en-US"/>
              </w:rPr>
              <w:t>mn EUR</w:t>
            </w:r>
          </w:p>
        </w:tc>
        <w:tc>
          <w:tcPr>
            <w:tcW w:w="446" w:type="pct"/>
            <w:tcBorders>
              <w:top w:val="nil"/>
              <w:left w:val="nil"/>
              <w:bottom w:val="dotted" w:sz="4" w:space="0" w:color="auto"/>
              <w:right w:val="nil"/>
            </w:tcBorders>
            <w:shd w:val="clear" w:color="000000" w:fill="FFFFFF"/>
            <w:hideMark/>
          </w:tcPr>
          <w:p w14:paraId="3ECC306E" w14:textId="77777777" w:rsidR="009D6D4E" w:rsidRPr="00030958" w:rsidRDefault="009D6D4E" w:rsidP="00BF3B71">
            <w:pPr>
              <w:jc w:val="center"/>
              <w:rPr>
                <w:sz w:val="18"/>
                <w:szCs w:val="20"/>
                <w:lang w:val="en-US"/>
              </w:rPr>
            </w:pPr>
            <w:r w:rsidRPr="00030958">
              <w:rPr>
                <w:sz w:val="18"/>
                <w:szCs w:val="20"/>
                <w:lang w:val="en-US"/>
              </w:rPr>
              <w:t>:</w:t>
            </w:r>
          </w:p>
        </w:tc>
        <w:tc>
          <w:tcPr>
            <w:tcW w:w="446" w:type="pct"/>
            <w:tcBorders>
              <w:top w:val="nil"/>
              <w:left w:val="dotted" w:sz="4" w:space="0" w:color="auto"/>
              <w:bottom w:val="dotted" w:sz="4" w:space="0" w:color="auto"/>
              <w:right w:val="dotted" w:sz="4" w:space="0" w:color="auto"/>
            </w:tcBorders>
            <w:shd w:val="clear" w:color="000000" w:fill="FFFFFF"/>
            <w:hideMark/>
          </w:tcPr>
          <w:p w14:paraId="3A6ACA99" w14:textId="77777777" w:rsidR="009D6D4E" w:rsidRPr="00030958" w:rsidRDefault="009D6D4E" w:rsidP="00BF3B71">
            <w:pPr>
              <w:jc w:val="center"/>
              <w:rPr>
                <w:sz w:val="18"/>
                <w:szCs w:val="20"/>
                <w:lang w:val="en-US"/>
              </w:rPr>
            </w:pPr>
            <w:r w:rsidRPr="00030958">
              <w:rPr>
                <w:sz w:val="18"/>
                <w:szCs w:val="20"/>
                <w:lang w:val="en-US"/>
              </w:rPr>
              <w:t>:</w:t>
            </w:r>
          </w:p>
        </w:tc>
        <w:tc>
          <w:tcPr>
            <w:tcW w:w="446" w:type="pct"/>
            <w:tcBorders>
              <w:top w:val="nil"/>
              <w:left w:val="nil"/>
              <w:bottom w:val="dotted" w:sz="4" w:space="0" w:color="auto"/>
              <w:right w:val="nil"/>
            </w:tcBorders>
            <w:shd w:val="clear" w:color="000000" w:fill="FFFFFF"/>
            <w:hideMark/>
          </w:tcPr>
          <w:p w14:paraId="2DEB12DE" w14:textId="77777777" w:rsidR="009D6D4E" w:rsidRPr="00030958" w:rsidRDefault="009D6D4E" w:rsidP="00BF3B71">
            <w:pPr>
              <w:jc w:val="center"/>
              <w:rPr>
                <w:sz w:val="18"/>
                <w:szCs w:val="20"/>
                <w:lang w:val="en-US"/>
              </w:rPr>
            </w:pPr>
            <w:r w:rsidRPr="00030958">
              <w:rPr>
                <w:sz w:val="18"/>
                <w:szCs w:val="20"/>
                <w:lang w:val="en-US"/>
              </w:rPr>
              <w:t>:</w:t>
            </w:r>
          </w:p>
        </w:tc>
        <w:tc>
          <w:tcPr>
            <w:tcW w:w="446" w:type="pct"/>
            <w:tcBorders>
              <w:top w:val="nil"/>
              <w:left w:val="dotted" w:sz="4" w:space="0" w:color="auto"/>
              <w:bottom w:val="dotted" w:sz="4" w:space="0" w:color="auto"/>
              <w:right w:val="dotted" w:sz="4" w:space="0" w:color="auto"/>
            </w:tcBorders>
            <w:shd w:val="clear" w:color="000000" w:fill="FFFFFF"/>
            <w:hideMark/>
          </w:tcPr>
          <w:p w14:paraId="2E3FACD6" w14:textId="77777777" w:rsidR="009D6D4E" w:rsidRPr="00030958" w:rsidRDefault="009D6D4E" w:rsidP="00BF3B71">
            <w:pPr>
              <w:jc w:val="center"/>
              <w:rPr>
                <w:sz w:val="18"/>
                <w:szCs w:val="20"/>
                <w:lang w:val="en-US"/>
              </w:rPr>
            </w:pPr>
            <w:r w:rsidRPr="00030958">
              <w:rPr>
                <w:sz w:val="18"/>
                <w:szCs w:val="20"/>
                <w:lang w:val="en-US"/>
              </w:rPr>
              <w:t>:</w:t>
            </w:r>
          </w:p>
        </w:tc>
        <w:tc>
          <w:tcPr>
            <w:tcW w:w="410" w:type="pct"/>
            <w:tcBorders>
              <w:top w:val="nil"/>
              <w:left w:val="nil"/>
              <w:bottom w:val="dotted" w:sz="4" w:space="0" w:color="auto"/>
              <w:right w:val="double" w:sz="6" w:space="0" w:color="auto"/>
            </w:tcBorders>
            <w:shd w:val="clear" w:color="000000" w:fill="FFFFFF"/>
            <w:hideMark/>
          </w:tcPr>
          <w:p w14:paraId="5BD64D94" w14:textId="77777777" w:rsidR="009D6D4E" w:rsidRPr="00030958" w:rsidRDefault="009D6D4E" w:rsidP="00BF3B71">
            <w:pPr>
              <w:jc w:val="center"/>
              <w:rPr>
                <w:sz w:val="18"/>
                <w:szCs w:val="20"/>
                <w:lang w:val="en-US"/>
              </w:rPr>
            </w:pPr>
            <w:r w:rsidRPr="00030958">
              <w:rPr>
                <w:sz w:val="18"/>
                <w:szCs w:val="20"/>
                <w:lang w:val="en-US"/>
              </w:rPr>
              <w:t>:</w:t>
            </w:r>
          </w:p>
        </w:tc>
      </w:tr>
      <w:tr w:rsidR="009D6D4E" w:rsidRPr="00030958" w14:paraId="3F37C435" w14:textId="77777777" w:rsidTr="00BF3B71">
        <w:trPr>
          <w:trHeight w:val="20"/>
        </w:trPr>
        <w:tc>
          <w:tcPr>
            <w:tcW w:w="2166" w:type="pct"/>
            <w:tcBorders>
              <w:top w:val="nil"/>
              <w:left w:val="double" w:sz="6" w:space="0" w:color="auto"/>
              <w:bottom w:val="dotted" w:sz="4" w:space="0" w:color="auto"/>
              <w:right w:val="nil"/>
            </w:tcBorders>
            <w:shd w:val="clear" w:color="000000" w:fill="FFFFFF"/>
            <w:hideMark/>
          </w:tcPr>
          <w:p w14:paraId="735E59CD" w14:textId="77777777" w:rsidR="009D6D4E" w:rsidRPr="00030958" w:rsidRDefault="009D6D4E" w:rsidP="00BF3B71">
            <w:pPr>
              <w:rPr>
                <w:sz w:val="18"/>
                <w:szCs w:val="20"/>
                <w:lang w:val="en-US"/>
              </w:rPr>
            </w:pPr>
            <w:r w:rsidRPr="00030958">
              <w:rPr>
                <w:sz w:val="18"/>
                <w:szCs w:val="20"/>
                <w:lang w:val="en-US"/>
              </w:rPr>
              <w:t xml:space="preserve">19. Norma e këmbimit me EUR (fundvit) </w:t>
            </w:r>
          </w:p>
        </w:tc>
        <w:tc>
          <w:tcPr>
            <w:tcW w:w="638" w:type="pct"/>
            <w:tcBorders>
              <w:top w:val="nil"/>
              <w:left w:val="single" w:sz="8" w:space="0" w:color="auto"/>
              <w:bottom w:val="dotted" w:sz="4" w:space="0" w:color="auto"/>
              <w:right w:val="single" w:sz="8" w:space="0" w:color="auto"/>
            </w:tcBorders>
            <w:shd w:val="clear" w:color="000000" w:fill="FFFFFF"/>
            <w:hideMark/>
          </w:tcPr>
          <w:p w14:paraId="05A7F327" w14:textId="77777777" w:rsidR="009D6D4E" w:rsidRPr="00030958" w:rsidRDefault="009D6D4E" w:rsidP="00BF3B71">
            <w:pPr>
              <w:jc w:val="center"/>
              <w:rPr>
                <w:sz w:val="18"/>
                <w:szCs w:val="16"/>
                <w:lang w:val="en-US"/>
              </w:rPr>
            </w:pPr>
            <w:r w:rsidRPr="00030958">
              <w:rPr>
                <w:sz w:val="18"/>
                <w:szCs w:val="16"/>
                <w:lang w:val="en-US"/>
              </w:rPr>
              <w:t>NCU/EUR</w:t>
            </w:r>
          </w:p>
        </w:tc>
        <w:tc>
          <w:tcPr>
            <w:tcW w:w="446" w:type="pct"/>
            <w:tcBorders>
              <w:top w:val="nil"/>
              <w:left w:val="nil"/>
              <w:bottom w:val="dotted" w:sz="4" w:space="0" w:color="auto"/>
              <w:right w:val="nil"/>
            </w:tcBorders>
            <w:shd w:val="clear" w:color="000000" w:fill="FFFFFF"/>
            <w:hideMark/>
          </w:tcPr>
          <w:p w14:paraId="1727E561" w14:textId="77777777" w:rsidR="009D6D4E" w:rsidRPr="00030958" w:rsidRDefault="009D6D4E" w:rsidP="00BF3B71">
            <w:pPr>
              <w:jc w:val="center"/>
              <w:rPr>
                <w:sz w:val="18"/>
                <w:szCs w:val="20"/>
                <w:lang w:val="en-US"/>
              </w:rPr>
            </w:pPr>
            <w:r w:rsidRPr="00030958">
              <w:rPr>
                <w:sz w:val="18"/>
                <w:szCs w:val="20"/>
                <w:lang w:val="en-US"/>
              </w:rPr>
              <w:t>1.0</w:t>
            </w:r>
          </w:p>
        </w:tc>
        <w:tc>
          <w:tcPr>
            <w:tcW w:w="446" w:type="pct"/>
            <w:tcBorders>
              <w:top w:val="nil"/>
              <w:left w:val="dotted" w:sz="4" w:space="0" w:color="auto"/>
              <w:bottom w:val="dotted" w:sz="4" w:space="0" w:color="auto"/>
              <w:right w:val="dotted" w:sz="4" w:space="0" w:color="auto"/>
            </w:tcBorders>
            <w:shd w:val="clear" w:color="000000" w:fill="FFFFFF"/>
            <w:hideMark/>
          </w:tcPr>
          <w:p w14:paraId="70977547" w14:textId="77777777" w:rsidR="009D6D4E" w:rsidRPr="00030958" w:rsidRDefault="009D6D4E" w:rsidP="00BF3B71">
            <w:pPr>
              <w:jc w:val="center"/>
              <w:rPr>
                <w:sz w:val="18"/>
                <w:szCs w:val="20"/>
                <w:lang w:val="en-US"/>
              </w:rPr>
            </w:pPr>
            <w:r w:rsidRPr="00030958">
              <w:rPr>
                <w:sz w:val="18"/>
                <w:szCs w:val="20"/>
                <w:lang w:val="en-US"/>
              </w:rPr>
              <w:t>1.0</w:t>
            </w:r>
          </w:p>
        </w:tc>
        <w:tc>
          <w:tcPr>
            <w:tcW w:w="446" w:type="pct"/>
            <w:tcBorders>
              <w:top w:val="nil"/>
              <w:left w:val="nil"/>
              <w:bottom w:val="dotted" w:sz="4" w:space="0" w:color="auto"/>
              <w:right w:val="nil"/>
            </w:tcBorders>
            <w:shd w:val="clear" w:color="000000" w:fill="FFFFFF"/>
            <w:hideMark/>
          </w:tcPr>
          <w:p w14:paraId="7D7B2A16" w14:textId="77777777" w:rsidR="009D6D4E" w:rsidRPr="00030958" w:rsidRDefault="009D6D4E" w:rsidP="00BF3B71">
            <w:pPr>
              <w:jc w:val="center"/>
              <w:rPr>
                <w:sz w:val="18"/>
                <w:szCs w:val="20"/>
                <w:lang w:val="en-US"/>
              </w:rPr>
            </w:pPr>
            <w:r w:rsidRPr="00030958">
              <w:rPr>
                <w:sz w:val="18"/>
                <w:szCs w:val="20"/>
                <w:lang w:val="en-US"/>
              </w:rPr>
              <w:t>1.0</w:t>
            </w:r>
          </w:p>
        </w:tc>
        <w:tc>
          <w:tcPr>
            <w:tcW w:w="446" w:type="pct"/>
            <w:tcBorders>
              <w:top w:val="nil"/>
              <w:left w:val="dotted" w:sz="4" w:space="0" w:color="auto"/>
              <w:bottom w:val="dotted" w:sz="4" w:space="0" w:color="auto"/>
              <w:right w:val="dotted" w:sz="4" w:space="0" w:color="auto"/>
            </w:tcBorders>
            <w:shd w:val="clear" w:color="000000" w:fill="FFFFFF"/>
            <w:hideMark/>
          </w:tcPr>
          <w:p w14:paraId="790A9396" w14:textId="77777777" w:rsidR="009D6D4E" w:rsidRPr="00030958" w:rsidRDefault="009D6D4E" w:rsidP="00BF3B71">
            <w:pPr>
              <w:jc w:val="center"/>
              <w:rPr>
                <w:sz w:val="18"/>
                <w:szCs w:val="20"/>
                <w:lang w:val="en-US"/>
              </w:rPr>
            </w:pPr>
            <w:r w:rsidRPr="00030958">
              <w:rPr>
                <w:sz w:val="18"/>
                <w:szCs w:val="20"/>
                <w:lang w:val="en-US"/>
              </w:rPr>
              <w:t>1.0</w:t>
            </w:r>
          </w:p>
        </w:tc>
        <w:tc>
          <w:tcPr>
            <w:tcW w:w="410" w:type="pct"/>
            <w:tcBorders>
              <w:top w:val="nil"/>
              <w:left w:val="nil"/>
              <w:bottom w:val="dotted" w:sz="4" w:space="0" w:color="auto"/>
              <w:right w:val="double" w:sz="6" w:space="0" w:color="auto"/>
            </w:tcBorders>
            <w:shd w:val="clear" w:color="000000" w:fill="FFFFFF"/>
            <w:hideMark/>
          </w:tcPr>
          <w:p w14:paraId="25CCDC9A" w14:textId="77777777" w:rsidR="009D6D4E" w:rsidRPr="00030958" w:rsidRDefault="009D6D4E" w:rsidP="00BF3B71">
            <w:pPr>
              <w:jc w:val="center"/>
              <w:rPr>
                <w:sz w:val="18"/>
                <w:szCs w:val="20"/>
                <w:lang w:val="en-US"/>
              </w:rPr>
            </w:pPr>
            <w:r w:rsidRPr="00030958">
              <w:rPr>
                <w:sz w:val="18"/>
                <w:szCs w:val="20"/>
                <w:lang w:val="en-US"/>
              </w:rPr>
              <w:t>1.0</w:t>
            </w:r>
          </w:p>
        </w:tc>
      </w:tr>
      <w:tr w:rsidR="009D6D4E" w:rsidRPr="00030958" w14:paraId="78971E42" w14:textId="77777777" w:rsidTr="00BF3B71">
        <w:trPr>
          <w:trHeight w:val="20"/>
        </w:trPr>
        <w:tc>
          <w:tcPr>
            <w:tcW w:w="2166" w:type="pct"/>
            <w:tcBorders>
              <w:top w:val="nil"/>
              <w:left w:val="double" w:sz="6" w:space="0" w:color="auto"/>
              <w:bottom w:val="dotted" w:sz="4" w:space="0" w:color="auto"/>
              <w:right w:val="nil"/>
            </w:tcBorders>
            <w:shd w:val="clear" w:color="000000" w:fill="FFFFFF"/>
            <w:hideMark/>
          </w:tcPr>
          <w:p w14:paraId="596EEAF0" w14:textId="77777777" w:rsidR="009D6D4E" w:rsidRPr="00030958" w:rsidRDefault="009D6D4E" w:rsidP="00BF3B71">
            <w:pPr>
              <w:rPr>
                <w:i/>
                <w:iCs/>
                <w:sz w:val="18"/>
                <w:szCs w:val="20"/>
                <w:lang w:val="en-US"/>
              </w:rPr>
            </w:pPr>
            <w:r w:rsidRPr="00030958">
              <w:rPr>
                <w:i/>
                <w:iCs/>
                <w:sz w:val="18"/>
                <w:szCs w:val="20"/>
                <w:lang w:val="en-US"/>
              </w:rPr>
              <w:t xml:space="preserve">20. Norma e këmbimit me EUR (mesatare) </w:t>
            </w:r>
          </w:p>
        </w:tc>
        <w:tc>
          <w:tcPr>
            <w:tcW w:w="638" w:type="pct"/>
            <w:tcBorders>
              <w:top w:val="nil"/>
              <w:left w:val="single" w:sz="8" w:space="0" w:color="auto"/>
              <w:bottom w:val="dotted" w:sz="4" w:space="0" w:color="auto"/>
              <w:right w:val="single" w:sz="8" w:space="0" w:color="auto"/>
            </w:tcBorders>
            <w:shd w:val="clear" w:color="000000" w:fill="FFFFFF"/>
            <w:hideMark/>
          </w:tcPr>
          <w:p w14:paraId="0F37D02F" w14:textId="77777777" w:rsidR="009D6D4E" w:rsidRPr="00030958" w:rsidRDefault="009D6D4E" w:rsidP="00BF3B71">
            <w:pPr>
              <w:jc w:val="center"/>
              <w:rPr>
                <w:i/>
                <w:iCs/>
                <w:sz w:val="18"/>
                <w:szCs w:val="16"/>
                <w:lang w:val="en-US"/>
              </w:rPr>
            </w:pPr>
            <w:r w:rsidRPr="00030958">
              <w:rPr>
                <w:i/>
                <w:iCs/>
                <w:sz w:val="18"/>
                <w:szCs w:val="16"/>
                <w:lang w:val="en-US"/>
              </w:rPr>
              <w:t xml:space="preserve">%, </w:t>
            </w:r>
            <w:r>
              <w:rPr>
                <w:i/>
                <w:iCs/>
                <w:sz w:val="18"/>
                <w:szCs w:val="16"/>
                <w:lang w:val="en-US"/>
              </w:rPr>
              <w:t>vpv</w:t>
            </w:r>
          </w:p>
        </w:tc>
        <w:tc>
          <w:tcPr>
            <w:tcW w:w="446" w:type="pct"/>
            <w:tcBorders>
              <w:top w:val="nil"/>
              <w:left w:val="nil"/>
              <w:bottom w:val="dotted" w:sz="4" w:space="0" w:color="auto"/>
              <w:right w:val="nil"/>
            </w:tcBorders>
            <w:shd w:val="clear" w:color="000000" w:fill="FFFFFF"/>
            <w:hideMark/>
          </w:tcPr>
          <w:p w14:paraId="6B3A4A20" w14:textId="77777777" w:rsidR="009D6D4E" w:rsidRPr="00030958" w:rsidRDefault="009D6D4E" w:rsidP="00BF3B71">
            <w:pPr>
              <w:jc w:val="center"/>
              <w:rPr>
                <w:i/>
                <w:iCs/>
                <w:sz w:val="18"/>
                <w:szCs w:val="20"/>
                <w:lang w:val="en-US"/>
              </w:rPr>
            </w:pPr>
            <w:r w:rsidRPr="00030958">
              <w:rPr>
                <w:i/>
                <w:iCs/>
                <w:sz w:val="18"/>
                <w:szCs w:val="20"/>
                <w:lang w:val="en-US"/>
              </w:rPr>
              <w:t>0.0</w:t>
            </w:r>
          </w:p>
        </w:tc>
        <w:tc>
          <w:tcPr>
            <w:tcW w:w="446" w:type="pct"/>
            <w:tcBorders>
              <w:top w:val="nil"/>
              <w:left w:val="dotted" w:sz="4" w:space="0" w:color="auto"/>
              <w:bottom w:val="dotted" w:sz="4" w:space="0" w:color="auto"/>
              <w:right w:val="dotted" w:sz="4" w:space="0" w:color="auto"/>
            </w:tcBorders>
            <w:shd w:val="clear" w:color="000000" w:fill="FFFFFF"/>
            <w:hideMark/>
          </w:tcPr>
          <w:p w14:paraId="363AB087" w14:textId="77777777" w:rsidR="009D6D4E" w:rsidRPr="00030958" w:rsidRDefault="009D6D4E" w:rsidP="00BF3B71">
            <w:pPr>
              <w:jc w:val="center"/>
              <w:rPr>
                <w:i/>
                <w:iCs/>
                <w:sz w:val="18"/>
                <w:szCs w:val="20"/>
                <w:lang w:val="en-US"/>
              </w:rPr>
            </w:pPr>
            <w:r w:rsidRPr="00030958">
              <w:rPr>
                <w:i/>
                <w:iCs/>
                <w:sz w:val="18"/>
                <w:szCs w:val="20"/>
                <w:lang w:val="en-US"/>
              </w:rPr>
              <w:t>0.0</w:t>
            </w:r>
          </w:p>
        </w:tc>
        <w:tc>
          <w:tcPr>
            <w:tcW w:w="446" w:type="pct"/>
            <w:tcBorders>
              <w:top w:val="nil"/>
              <w:left w:val="nil"/>
              <w:bottom w:val="dotted" w:sz="4" w:space="0" w:color="auto"/>
              <w:right w:val="nil"/>
            </w:tcBorders>
            <w:shd w:val="clear" w:color="000000" w:fill="FFFFFF"/>
            <w:hideMark/>
          </w:tcPr>
          <w:p w14:paraId="0492EB1C" w14:textId="77777777" w:rsidR="009D6D4E" w:rsidRPr="00030958" w:rsidRDefault="009D6D4E" w:rsidP="00BF3B71">
            <w:pPr>
              <w:jc w:val="center"/>
              <w:rPr>
                <w:i/>
                <w:iCs/>
                <w:sz w:val="18"/>
                <w:szCs w:val="20"/>
                <w:lang w:val="en-US"/>
              </w:rPr>
            </w:pPr>
            <w:r w:rsidRPr="00030958">
              <w:rPr>
                <w:i/>
                <w:iCs/>
                <w:sz w:val="18"/>
                <w:szCs w:val="20"/>
                <w:lang w:val="en-US"/>
              </w:rPr>
              <w:t>0.0</w:t>
            </w:r>
          </w:p>
        </w:tc>
        <w:tc>
          <w:tcPr>
            <w:tcW w:w="446" w:type="pct"/>
            <w:tcBorders>
              <w:top w:val="nil"/>
              <w:left w:val="dotted" w:sz="4" w:space="0" w:color="auto"/>
              <w:bottom w:val="dotted" w:sz="4" w:space="0" w:color="auto"/>
              <w:right w:val="dotted" w:sz="4" w:space="0" w:color="auto"/>
            </w:tcBorders>
            <w:shd w:val="clear" w:color="000000" w:fill="FFFFFF"/>
            <w:hideMark/>
          </w:tcPr>
          <w:p w14:paraId="13525044" w14:textId="77777777" w:rsidR="009D6D4E" w:rsidRPr="00030958" w:rsidRDefault="009D6D4E" w:rsidP="00BF3B71">
            <w:pPr>
              <w:jc w:val="center"/>
              <w:rPr>
                <w:i/>
                <w:iCs/>
                <w:sz w:val="18"/>
                <w:szCs w:val="20"/>
                <w:lang w:val="en-US"/>
              </w:rPr>
            </w:pPr>
            <w:r w:rsidRPr="00030958">
              <w:rPr>
                <w:i/>
                <w:iCs/>
                <w:sz w:val="18"/>
                <w:szCs w:val="20"/>
                <w:lang w:val="en-US"/>
              </w:rPr>
              <w:t>0.0</w:t>
            </w:r>
          </w:p>
        </w:tc>
        <w:tc>
          <w:tcPr>
            <w:tcW w:w="410" w:type="pct"/>
            <w:tcBorders>
              <w:top w:val="nil"/>
              <w:left w:val="nil"/>
              <w:bottom w:val="dotted" w:sz="4" w:space="0" w:color="auto"/>
              <w:right w:val="double" w:sz="6" w:space="0" w:color="auto"/>
            </w:tcBorders>
            <w:shd w:val="clear" w:color="000000" w:fill="FFFFFF"/>
            <w:hideMark/>
          </w:tcPr>
          <w:p w14:paraId="57DDF1EE" w14:textId="77777777" w:rsidR="009D6D4E" w:rsidRPr="00030958" w:rsidRDefault="009D6D4E" w:rsidP="00BF3B71">
            <w:pPr>
              <w:jc w:val="center"/>
              <w:rPr>
                <w:i/>
                <w:iCs/>
                <w:sz w:val="18"/>
                <w:szCs w:val="20"/>
                <w:lang w:val="en-US"/>
              </w:rPr>
            </w:pPr>
            <w:r w:rsidRPr="00030958">
              <w:rPr>
                <w:i/>
                <w:iCs/>
                <w:sz w:val="18"/>
                <w:szCs w:val="20"/>
                <w:lang w:val="en-US"/>
              </w:rPr>
              <w:t>0.0</w:t>
            </w:r>
          </w:p>
        </w:tc>
      </w:tr>
      <w:tr w:rsidR="009D6D4E" w:rsidRPr="00030958" w14:paraId="118857C5" w14:textId="77777777" w:rsidTr="00BF3B71">
        <w:trPr>
          <w:trHeight w:val="20"/>
        </w:trPr>
        <w:tc>
          <w:tcPr>
            <w:tcW w:w="2166" w:type="pct"/>
            <w:tcBorders>
              <w:top w:val="nil"/>
              <w:left w:val="double" w:sz="6" w:space="0" w:color="auto"/>
              <w:bottom w:val="dotted" w:sz="4" w:space="0" w:color="auto"/>
              <w:right w:val="nil"/>
            </w:tcBorders>
            <w:shd w:val="clear" w:color="000000" w:fill="FFFFFF"/>
            <w:hideMark/>
          </w:tcPr>
          <w:p w14:paraId="5870D245" w14:textId="77777777" w:rsidR="009D6D4E" w:rsidRPr="00030958" w:rsidRDefault="009D6D4E" w:rsidP="00BF3B71">
            <w:pPr>
              <w:rPr>
                <w:sz w:val="18"/>
                <w:szCs w:val="20"/>
                <w:lang w:val="en-US"/>
              </w:rPr>
            </w:pPr>
            <w:r w:rsidRPr="00030958">
              <w:rPr>
                <w:sz w:val="18"/>
                <w:szCs w:val="20"/>
                <w:lang w:val="en-US"/>
              </w:rPr>
              <w:t xml:space="preserve">21. Kursimet e jashtme neto </w:t>
            </w:r>
          </w:p>
        </w:tc>
        <w:tc>
          <w:tcPr>
            <w:tcW w:w="638" w:type="pct"/>
            <w:tcBorders>
              <w:top w:val="nil"/>
              <w:left w:val="single" w:sz="8" w:space="0" w:color="auto"/>
              <w:bottom w:val="dotted" w:sz="4" w:space="0" w:color="auto"/>
              <w:right w:val="single" w:sz="8" w:space="0" w:color="auto"/>
            </w:tcBorders>
            <w:shd w:val="clear" w:color="000000" w:fill="FFFFFF"/>
            <w:hideMark/>
          </w:tcPr>
          <w:p w14:paraId="7B3F8A7D" w14:textId="77777777" w:rsidR="009D6D4E" w:rsidRPr="00030958" w:rsidRDefault="009D6D4E" w:rsidP="00BF3B71">
            <w:pPr>
              <w:jc w:val="center"/>
              <w:rPr>
                <w:sz w:val="18"/>
                <w:szCs w:val="16"/>
                <w:lang w:val="en-US"/>
              </w:rPr>
            </w:pPr>
            <w:r w:rsidRPr="00030958">
              <w:rPr>
                <w:sz w:val="18"/>
                <w:szCs w:val="16"/>
                <w:lang w:val="en-US"/>
              </w:rPr>
              <w:t>% e BPV-së</w:t>
            </w:r>
          </w:p>
        </w:tc>
        <w:tc>
          <w:tcPr>
            <w:tcW w:w="446" w:type="pct"/>
            <w:tcBorders>
              <w:top w:val="nil"/>
              <w:left w:val="nil"/>
              <w:bottom w:val="dotted" w:sz="4" w:space="0" w:color="auto"/>
              <w:right w:val="nil"/>
            </w:tcBorders>
            <w:shd w:val="clear" w:color="000000" w:fill="FFFFFF"/>
            <w:hideMark/>
          </w:tcPr>
          <w:p w14:paraId="4FB0CD0D" w14:textId="77777777" w:rsidR="009D6D4E" w:rsidRPr="00030958" w:rsidRDefault="009D6D4E" w:rsidP="00BF3B71">
            <w:pPr>
              <w:jc w:val="center"/>
              <w:rPr>
                <w:sz w:val="18"/>
                <w:szCs w:val="20"/>
                <w:lang w:val="en-US"/>
              </w:rPr>
            </w:pPr>
            <w:r w:rsidRPr="00030958">
              <w:rPr>
                <w:sz w:val="18"/>
                <w:szCs w:val="20"/>
                <w:lang w:val="en-US"/>
              </w:rPr>
              <w:t>:</w:t>
            </w:r>
          </w:p>
        </w:tc>
        <w:tc>
          <w:tcPr>
            <w:tcW w:w="446" w:type="pct"/>
            <w:tcBorders>
              <w:top w:val="nil"/>
              <w:left w:val="dotted" w:sz="4" w:space="0" w:color="auto"/>
              <w:bottom w:val="dotted" w:sz="4" w:space="0" w:color="auto"/>
              <w:right w:val="dotted" w:sz="4" w:space="0" w:color="auto"/>
            </w:tcBorders>
            <w:shd w:val="clear" w:color="000000" w:fill="FFFFFF"/>
            <w:hideMark/>
          </w:tcPr>
          <w:p w14:paraId="4CB75E70" w14:textId="77777777" w:rsidR="009D6D4E" w:rsidRPr="00030958" w:rsidRDefault="009D6D4E" w:rsidP="00BF3B71">
            <w:pPr>
              <w:jc w:val="center"/>
              <w:rPr>
                <w:sz w:val="18"/>
                <w:szCs w:val="20"/>
                <w:lang w:val="en-US"/>
              </w:rPr>
            </w:pPr>
            <w:r w:rsidRPr="00030958">
              <w:rPr>
                <w:sz w:val="18"/>
                <w:szCs w:val="20"/>
                <w:lang w:val="en-US"/>
              </w:rPr>
              <w:t>:</w:t>
            </w:r>
          </w:p>
        </w:tc>
        <w:tc>
          <w:tcPr>
            <w:tcW w:w="446" w:type="pct"/>
            <w:tcBorders>
              <w:top w:val="nil"/>
              <w:left w:val="nil"/>
              <w:bottom w:val="dotted" w:sz="4" w:space="0" w:color="auto"/>
              <w:right w:val="nil"/>
            </w:tcBorders>
            <w:shd w:val="clear" w:color="000000" w:fill="FFFFFF"/>
            <w:hideMark/>
          </w:tcPr>
          <w:p w14:paraId="31AECC0D" w14:textId="77777777" w:rsidR="009D6D4E" w:rsidRPr="00030958" w:rsidRDefault="009D6D4E" w:rsidP="00BF3B71">
            <w:pPr>
              <w:jc w:val="center"/>
              <w:rPr>
                <w:sz w:val="18"/>
                <w:szCs w:val="20"/>
                <w:lang w:val="en-US"/>
              </w:rPr>
            </w:pPr>
            <w:r w:rsidRPr="00030958">
              <w:rPr>
                <w:sz w:val="18"/>
                <w:szCs w:val="20"/>
                <w:lang w:val="en-US"/>
              </w:rPr>
              <w:t>:</w:t>
            </w:r>
          </w:p>
        </w:tc>
        <w:tc>
          <w:tcPr>
            <w:tcW w:w="446" w:type="pct"/>
            <w:tcBorders>
              <w:top w:val="nil"/>
              <w:left w:val="dotted" w:sz="4" w:space="0" w:color="auto"/>
              <w:bottom w:val="dotted" w:sz="4" w:space="0" w:color="auto"/>
              <w:right w:val="dotted" w:sz="4" w:space="0" w:color="auto"/>
            </w:tcBorders>
            <w:shd w:val="clear" w:color="000000" w:fill="FFFFFF"/>
            <w:hideMark/>
          </w:tcPr>
          <w:p w14:paraId="19D6CEA4" w14:textId="77777777" w:rsidR="009D6D4E" w:rsidRPr="00030958" w:rsidRDefault="009D6D4E" w:rsidP="00BF3B71">
            <w:pPr>
              <w:jc w:val="center"/>
              <w:rPr>
                <w:sz w:val="18"/>
                <w:szCs w:val="20"/>
                <w:lang w:val="en-US"/>
              </w:rPr>
            </w:pPr>
            <w:r w:rsidRPr="00030958">
              <w:rPr>
                <w:sz w:val="18"/>
                <w:szCs w:val="20"/>
                <w:lang w:val="en-US"/>
              </w:rPr>
              <w:t>:</w:t>
            </w:r>
          </w:p>
        </w:tc>
        <w:tc>
          <w:tcPr>
            <w:tcW w:w="410" w:type="pct"/>
            <w:tcBorders>
              <w:top w:val="nil"/>
              <w:left w:val="nil"/>
              <w:bottom w:val="dotted" w:sz="4" w:space="0" w:color="auto"/>
              <w:right w:val="double" w:sz="6" w:space="0" w:color="auto"/>
            </w:tcBorders>
            <w:shd w:val="clear" w:color="000000" w:fill="FFFFFF"/>
            <w:hideMark/>
          </w:tcPr>
          <w:p w14:paraId="60C21ABB" w14:textId="77777777" w:rsidR="009D6D4E" w:rsidRPr="00030958" w:rsidRDefault="009D6D4E" w:rsidP="00BF3B71">
            <w:pPr>
              <w:jc w:val="center"/>
              <w:rPr>
                <w:sz w:val="18"/>
                <w:szCs w:val="20"/>
                <w:lang w:val="en-US"/>
              </w:rPr>
            </w:pPr>
            <w:r w:rsidRPr="00030958">
              <w:rPr>
                <w:sz w:val="18"/>
                <w:szCs w:val="20"/>
                <w:lang w:val="en-US"/>
              </w:rPr>
              <w:t>:</w:t>
            </w:r>
          </w:p>
        </w:tc>
      </w:tr>
      <w:tr w:rsidR="009D6D4E" w:rsidRPr="00030958" w14:paraId="7EA311C5" w14:textId="77777777" w:rsidTr="00BF3B71">
        <w:trPr>
          <w:trHeight w:val="20"/>
        </w:trPr>
        <w:tc>
          <w:tcPr>
            <w:tcW w:w="2166" w:type="pct"/>
            <w:tcBorders>
              <w:top w:val="nil"/>
              <w:left w:val="double" w:sz="6" w:space="0" w:color="auto"/>
              <w:bottom w:val="dotted" w:sz="4" w:space="0" w:color="auto"/>
              <w:right w:val="nil"/>
            </w:tcBorders>
            <w:shd w:val="clear" w:color="000000" w:fill="FFFFFF"/>
            <w:hideMark/>
          </w:tcPr>
          <w:p w14:paraId="369BE042" w14:textId="77777777" w:rsidR="009D6D4E" w:rsidRPr="00030958" w:rsidRDefault="009D6D4E" w:rsidP="00BF3B71">
            <w:pPr>
              <w:rPr>
                <w:sz w:val="18"/>
                <w:szCs w:val="20"/>
                <w:lang w:val="en-US"/>
              </w:rPr>
            </w:pPr>
            <w:r w:rsidRPr="00030958">
              <w:rPr>
                <w:sz w:val="18"/>
                <w:szCs w:val="20"/>
                <w:lang w:val="en-US"/>
              </w:rPr>
              <w:t xml:space="preserve">22. Kursimet vendore private </w:t>
            </w:r>
          </w:p>
        </w:tc>
        <w:tc>
          <w:tcPr>
            <w:tcW w:w="638" w:type="pct"/>
            <w:tcBorders>
              <w:top w:val="nil"/>
              <w:left w:val="single" w:sz="8" w:space="0" w:color="auto"/>
              <w:bottom w:val="dotted" w:sz="4" w:space="0" w:color="auto"/>
              <w:right w:val="single" w:sz="8" w:space="0" w:color="auto"/>
            </w:tcBorders>
            <w:shd w:val="clear" w:color="000000" w:fill="FFFFFF"/>
            <w:hideMark/>
          </w:tcPr>
          <w:p w14:paraId="14F70697" w14:textId="77777777" w:rsidR="009D6D4E" w:rsidRPr="00030958" w:rsidRDefault="009D6D4E" w:rsidP="00BF3B71">
            <w:pPr>
              <w:jc w:val="center"/>
              <w:rPr>
                <w:sz w:val="18"/>
                <w:szCs w:val="16"/>
                <w:lang w:val="en-US"/>
              </w:rPr>
            </w:pPr>
            <w:r w:rsidRPr="00030958">
              <w:rPr>
                <w:sz w:val="18"/>
                <w:szCs w:val="16"/>
                <w:lang w:val="en-US"/>
              </w:rPr>
              <w:t>% e BPV-së</w:t>
            </w:r>
          </w:p>
        </w:tc>
        <w:tc>
          <w:tcPr>
            <w:tcW w:w="446" w:type="pct"/>
            <w:tcBorders>
              <w:top w:val="nil"/>
              <w:left w:val="nil"/>
              <w:bottom w:val="dotted" w:sz="4" w:space="0" w:color="auto"/>
              <w:right w:val="nil"/>
            </w:tcBorders>
            <w:shd w:val="clear" w:color="000000" w:fill="FFFFFF"/>
            <w:hideMark/>
          </w:tcPr>
          <w:p w14:paraId="63C494B0" w14:textId="77777777" w:rsidR="009D6D4E" w:rsidRPr="00030958" w:rsidRDefault="009D6D4E" w:rsidP="00BF3B71">
            <w:pPr>
              <w:jc w:val="center"/>
              <w:rPr>
                <w:sz w:val="18"/>
                <w:szCs w:val="20"/>
                <w:lang w:val="en-US"/>
              </w:rPr>
            </w:pPr>
            <w:r w:rsidRPr="00030958">
              <w:rPr>
                <w:sz w:val="18"/>
                <w:szCs w:val="20"/>
                <w:lang w:val="en-US"/>
              </w:rPr>
              <w:t>:</w:t>
            </w:r>
          </w:p>
        </w:tc>
        <w:tc>
          <w:tcPr>
            <w:tcW w:w="446" w:type="pct"/>
            <w:tcBorders>
              <w:top w:val="nil"/>
              <w:left w:val="dotted" w:sz="4" w:space="0" w:color="auto"/>
              <w:bottom w:val="dotted" w:sz="4" w:space="0" w:color="auto"/>
              <w:right w:val="dotted" w:sz="4" w:space="0" w:color="auto"/>
            </w:tcBorders>
            <w:shd w:val="clear" w:color="000000" w:fill="FFFFFF"/>
            <w:hideMark/>
          </w:tcPr>
          <w:p w14:paraId="078908DF" w14:textId="77777777" w:rsidR="009D6D4E" w:rsidRPr="00030958" w:rsidRDefault="009D6D4E" w:rsidP="00BF3B71">
            <w:pPr>
              <w:jc w:val="center"/>
              <w:rPr>
                <w:sz w:val="18"/>
                <w:szCs w:val="20"/>
                <w:lang w:val="en-US"/>
              </w:rPr>
            </w:pPr>
            <w:r w:rsidRPr="00030958">
              <w:rPr>
                <w:sz w:val="18"/>
                <w:szCs w:val="20"/>
                <w:lang w:val="en-US"/>
              </w:rPr>
              <w:t>:</w:t>
            </w:r>
          </w:p>
        </w:tc>
        <w:tc>
          <w:tcPr>
            <w:tcW w:w="446" w:type="pct"/>
            <w:tcBorders>
              <w:top w:val="nil"/>
              <w:left w:val="nil"/>
              <w:bottom w:val="dotted" w:sz="4" w:space="0" w:color="auto"/>
              <w:right w:val="nil"/>
            </w:tcBorders>
            <w:shd w:val="clear" w:color="000000" w:fill="FFFFFF"/>
            <w:hideMark/>
          </w:tcPr>
          <w:p w14:paraId="2F25F9D3" w14:textId="77777777" w:rsidR="009D6D4E" w:rsidRPr="00030958" w:rsidRDefault="009D6D4E" w:rsidP="00BF3B71">
            <w:pPr>
              <w:jc w:val="center"/>
              <w:rPr>
                <w:sz w:val="18"/>
                <w:szCs w:val="20"/>
                <w:lang w:val="en-US"/>
              </w:rPr>
            </w:pPr>
            <w:r w:rsidRPr="00030958">
              <w:rPr>
                <w:sz w:val="18"/>
                <w:szCs w:val="20"/>
                <w:lang w:val="en-US"/>
              </w:rPr>
              <w:t>:</w:t>
            </w:r>
          </w:p>
        </w:tc>
        <w:tc>
          <w:tcPr>
            <w:tcW w:w="446" w:type="pct"/>
            <w:tcBorders>
              <w:top w:val="nil"/>
              <w:left w:val="dotted" w:sz="4" w:space="0" w:color="auto"/>
              <w:bottom w:val="dotted" w:sz="4" w:space="0" w:color="auto"/>
              <w:right w:val="dotted" w:sz="4" w:space="0" w:color="auto"/>
            </w:tcBorders>
            <w:shd w:val="clear" w:color="000000" w:fill="FFFFFF"/>
            <w:hideMark/>
          </w:tcPr>
          <w:p w14:paraId="5EEDF0F0" w14:textId="77777777" w:rsidR="009D6D4E" w:rsidRPr="00030958" w:rsidRDefault="009D6D4E" w:rsidP="00BF3B71">
            <w:pPr>
              <w:jc w:val="center"/>
              <w:rPr>
                <w:sz w:val="18"/>
                <w:szCs w:val="20"/>
                <w:lang w:val="en-US"/>
              </w:rPr>
            </w:pPr>
            <w:r w:rsidRPr="00030958">
              <w:rPr>
                <w:sz w:val="18"/>
                <w:szCs w:val="20"/>
                <w:lang w:val="en-US"/>
              </w:rPr>
              <w:t>:</w:t>
            </w:r>
          </w:p>
        </w:tc>
        <w:tc>
          <w:tcPr>
            <w:tcW w:w="410" w:type="pct"/>
            <w:tcBorders>
              <w:top w:val="nil"/>
              <w:left w:val="nil"/>
              <w:bottom w:val="dotted" w:sz="4" w:space="0" w:color="auto"/>
              <w:right w:val="double" w:sz="6" w:space="0" w:color="auto"/>
            </w:tcBorders>
            <w:shd w:val="clear" w:color="000000" w:fill="FFFFFF"/>
            <w:hideMark/>
          </w:tcPr>
          <w:p w14:paraId="6941067E" w14:textId="77777777" w:rsidR="009D6D4E" w:rsidRPr="00030958" w:rsidRDefault="009D6D4E" w:rsidP="00BF3B71">
            <w:pPr>
              <w:jc w:val="center"/>
              <w:rPr>
                <w:sz w:val="18"/>
                <w:szCs w:val="20"/>
                <w:lang w:val="en-US"/>
              </w:rPr>
            </w:pPr>
            <w:r w:rsidRPr="00030958">
              <w:rPr>
                <w:sz w:val="18"/>
                <w:szCs w:val="20"/>
                <w:lang w:val="en-US"/>
              </w:rPr>
              <w:t>:</w:t>
            </w:r>
          </w:p>
        </w:tc>
      </w:tr>
      <w:tr w:rsidR="009D6D4E" w:rsidRPr="00030958" w14:paraId="3ADBDA7F" w14:textId="77777777" w:rsidTr="00BF3B71">
        <w:trPr>
          <w:trHeight w:val="20"/>
        </w:trPr>
        <w:tc>
          <w:tcPr>
            <w:tcW w:w="2166" w:type="pct"/>
            <w:tcBorders>
              <w:top w:val="nil"/>
              <w:left w:val="double" w:sz="6" w:space="0" w:color="auto"/>
              <w:bottom w:val="dotted" w:sz="4" w:space="0" w:color="auto"/>
              <w:right w:val="nil"/>
            </w:tcBorders>
            <w:shd w:val="clear" w:color="000000" w:fill="FFFFFF"/>
            <w:hideMark/>
          </w:tcPr>
          <w:p w14:paraId="50EDB863" w14:textId="77777777" w:rsidR="009D6D4E" w:rsidRPr="00030958" w:rsidRDefault="009D6D4E" w:rsidP="00BF3B71">
            <w:pPr>
              <w:rPr>
                <w:sz w:val="18"/>
                <w:szCs w:val="20"/>
                <w:lang w:val="en-US"/>
              </w:rPr>
            </w:pPr>
            <w:r w:rsidRPr="00030958">
              <w:rPr>
                <w:sz w:val="18"/>
                <w:szCs w:val="20"/>
                <w:lang w:val="en-US"/>
              </w:rPr>
              <w:t>23. Investimet vendore private</w:t>
            </w:r>
          </w:p>
        </w:tc>
        <w:tc>
          <w:tcPr>
            <w:tcW w:w="638" w:type="pct"/>
            <w:tcBorders>
              <w:top w:val="nil"/>
              <w:left w:val="single" w:sz="8" w:space="0" w:color="auto"/>
              <w:bottom w:val="dotted" w:sz="4" w:space="0" w:color="auto"/>
              <w:right w:val="single" w:sz="8" w:space="0" w:color="auto"/>
            </w:tcBorders>
            <w:shd w:val="clear" w:color="000000" w:fill="FFFFFF"/>
            <w:hideMark/>
          </w:tcPr>
          <w:p w14:paraId="4AC797B0" w14:textId="77777777" w:rsidR="009D6D4E" w:rsidRPr="00030958" w:rsidRDefault="009D6D4E" w:rsidP="00BF3B71">
            <w:pPr>
              <w:jc w:val="center"/>
              <w:rPr>
                <w:sz w:val="18"/>
                <w:szCs w:val="16"/>
                <w:lang w:val="en-US"/>
              </w:rPr>
            </w:pPr>
            <w:r w:rsidRPr="00030958">
              <w:rPr>
                <w:sz w:val="18"/>
                <w:szCs w:val="16"/>
                <w:lang w:val="en-US"/>
              </w:rPr>
              <w:t>% e BPV-së</w:t>
            </w:r>
          </w:p>
        </w:tc>
        <w:tc>
          <w:tcPr>
            <w:tcW w:w="446" w:type="pct"/>
            <w:tcBorders>
              <w:top w:val="nil"/>
              <w:left w:val="nil"/>
              <w:bottom w:val="dotted" w:sz="4" w:space="0" w:color="auto"/>
              <w:right w:val="nil"/>
            </w:tcBorders>
            <w:shd w:val="clear" w:color="000000" w:fill="FFFFFF"/>
            <w:hideMark/>
          </w:tcPr>
          <w:p w14:paraId="66132017" w14:textId="77777777" w:rsidR="009D6D4E" w:rsidRPr="00030958" w:rsidRDefault="009D6D4E" w:rsidP="00BF3B71">
            <w:pPr>
              <w:jc w:val="center"/>
              <w:rPr>
                <w:sz w:val="18"/>
                <w:szCs w:val="20"/>
                <w:lang w:val="en-US"/>
              </w:rPr>
            </w:pPr>
            <w:r w:rsidRPr="00030958">
              <w:rPr>
                <w:sz w:val="18"/>
                <w:szCs w:val="20"/>
                <w:lang w:val="en-US"/>
              </w:rPr>
              <w:t>:</w:t>
            </w:r>
          </w:p>
        </w:tc>
        <w:tc>
          <w:tcPr>
            <w:tcW w:w="446" w:type="pct"/>
            <w:tcBorders>
              <w:top w:val="nil"/>
              <w:left w:val="dotted" w:sz="4" w:space="0" w:color="auto"/>
              <w:bottom w:val="dotted" w:sz="4" w:space="0" w:color="auto"/>
              <w:right w:val="dotted" w:sz="4" w:space="0" w:color="auto"/>
            </w:tcBorders>
            <w:shd w:val="clear" w:color="000000" w:fill="FFFFFF"/>
            <w:hideMark/>
          </w:tcPr>
          <w:p w14:paraId="06C2F471" w14:textId="77777777" w:rsidR="009D6D4E" w:rsidRPr="00030958" w:rsidRDefault="009D6D4E" w:rsidP="00BF3B71">
            <w:pPr>
              <w:jc w:val="center"/>
              <w:rPr>
                <w:sz w:val="18"/>
                <w:szCs w:val="20"/>
                <w:lang w:val="en-US"/>
              </w:rPr>
            </w:pPr>
            <w:r w:rsidRPr="00030958">
              <w:rPr>
                <w:sz w:val="18"/>
                <w:szCs w:val="20"/>
                <w:lang w:val="en-US"/>
              </w:rPr>
              <w:t>:</w:t>
            </w:r>
          </w:p>
        </w:tc>
        <w:tc>
          <w:tcPr>
            <w:tcW w:w="446" w:type="pct"/>
            <w:tcBorders>
              <w:top w:val="nil"/>
              <w:left w:val="nil"/>
              <w:bottom w:val="dotted" w:sz="4" w:space="0" w:color="auto"/>
              <w:right w:val="nil"/>
            </w:tcBorders>
            <w:shd w:val="clear" w:color="000000" w:fill="FFFFFF"/>
            <w:hideMark/>
          </w:tcPr>
          <w:p w14:paraId="00283D9D" w14:textId="77777777" w:rsidR="009D6D4E" w:rsidRPr="00030958" w:rsidRDefault="009D6D4E" w:rsidP="00BF3B71">
            <w:pPr>
              <w:jc w:val="center"/>
              <w:rPr>
                <w:sz w:val="18"/>
                <w:szCs w:val="20"/>
                <w:lang w:val="en-US"/>
              </w:rPr>
            </w:pPr>
            <w:r w:rsidRPr="00030958">
              <w:rPr>
                <w:sz w:val="18"/>
                <w:szCs w:val="20"/>
                <w:lang w:val="en-US"/>
              </w:rPr>
              <w:t>:</w:t>
            </w:r>
          </w:p>
        </w:tc>
        <w:tc>
          <w:tcPr>
            <w:tcW w:w="446" w:type="pct"/>
            <w:tcBorders>
              <w:top w:val="nil"/>
              <w:left w:val="dotted" w:sz="4" w:space="0" w:color="auto"/>
              <w:bottom w:val="dotted" w:sz="4" w:space="0" w:color="auto"/>
              <w:right w:val="dotted" w:sz="4" w:space="0" w:color="auto"/>
            </w:tcBorders>
            <w:shd w:val="clear" w:color="000000" w:fill="FFFFFF"/>
            <w:hideMark/>
          </w:tcPr>
          <w:p w14:paraId="22D06A1B" w14:textId="77777777" w:rsidR="009D6D4E" w:rsidRPr="00030958" w:rsidRDefault="009D6D4E" w:rsidP="00BF3B71">
            <w:pPr>
              <w:jc w:val="center"/>
              <w:rPr>
                <w:sz w:val="18"/>
                <w:szCs w:val="20"/>
                <w:lang w:val="en-US"/>
              </w:rPr>
            </w:pPr>
            <w:r w:rsidRPr="00030958">
              <w:rPr>
                <w:sz w:val="18"/>
                <w:szCs w:val="20"/>
                <w:lang w:val="en-US"/>
              </w:rPr>
              <w:t>:</w:t>
            </w:r>
          </w:p>
        </w:tc>
        <w:tc>
          <w:tcPr>
            <w:tcW w:w="410" w:type="pct"/>
            <w:tcBorders>
              <w:top w:val="nil"/>
              <w:left w:val="nil"/>
              <w:bottom w:val="dotted" w:sz="4" w:space="0" w:color="auto"/>
              <w:right w:val="double" w:sz="6" w:space="0" w:color="auto"/>
            </w:tcBorders>
            <w:shd w:val="clear" w:color="000000" w:fill="FFFFFF"/>
            <w:hideMark/>
          </w:tcPr>
          <w:p w14:paraId="30835EE2" w14:textId="77777777" w:rsidR="009D6D4E" w:rsidRPr="00030958" w:rsidRDefault="009D6D4E" w:rsidP="00BF3B71">
            <w:pPr>
              <w:jc w:val="center"/>
              <w:rPr>
                <w:sz w:val="18"/>
                <w:szCs w:val="20"/>
                <w:lang w:val="en-US"/>
              </w:rPr>
            </w:pPr>
            <w:r w:rsidRPr="00030958">
              <w:rPr>
                <w:sz w:val="18"/>
                <w:szCs w:val="20"/>
                <w:lang w:val="en-US"/>
              </w:rPr>
              <w:t>:</w:t>
            </w:r>
          </w:p>
        </w:tc>
      </w:tr>
      <w:tr w:rsidR="009D6D4E" w:rsidRPr="00030958" w14:paraId="6CAC664A" w14:textId="77777777" w:rsidTr="00BF3B71">
        <w:trPr>
          <w:trHeight w:val="20"/>
        </w:trPr>
        <w:tc>
          <w:tcPr>
            <w:tcW w:w="2166" w:type="pct"/>
            <w:tcBorders>
              <w:top w:val="nil"/>
              <w:left w:val="double" w:sz="6" w:space="0" w:color="auto"/>
              <w:bottom w:val="dotted" w:sz="4" w:space="0" w:color="auto"/>
              <w:right w:val="nil"/>
            </w:tcBorders>
            <w:shd w:val="clear" w:color="000000" w:fill="FFFFFF"/>
            <w:hideMark/>
          </w:tcPr>
          <w:p w14:paraId="1F59FE2D" w14:textId="77777777" w:rsidR="009D6D4E" w:rsidRPr="00030958" w:rsidRDefault="009D6D4E" w:rsidP="00BF3B71">
            <w:pPr>
              <w:rPr>
                <w:sz w:val="18"/>
                <w:szCs w:val="20"/>
                <w:lang w:val="en-US"/>
              </w:rPr>
            </w:pPr>
            <w:r w:rsidRPr="00030958">
              <w:rPr>
                <w:sz w:val="18"/>
                <w:szCs w:val="20"/>
                <w:lang w:val="en-US"/>
              </w:rPr>
              <w:t xml:space="preserve">24. Kursimet vendore publike </w:t>
            </w:r>
          </w:p>
        </w:tc>
        <w:tc>
          <w:tcPr>
            <w:tcW w:w="638" w:type="pct"/>
            <w:tcBorders>
              <w:top w:val="nil"/>
              <w:left w:val="single" w:sz="8" w:space="0" w:color="auto"/>
              <w:bottom w:val="dotted" w:sz="4" w:space="0" w:color="auto"/>
              <w:right w:val="single" w:sz="8" w:space="0" w:color="auto"/>
            </w:tcBorders>
            <w:shd w:val="clear" w:color="000000" w:fill="FFFFFF"/>
            <w:hideMark/>
          </w:tcPr>
          <w:p w14:paraId="5A78B520" w14:textId="77777777" w:rsidR="009D6D4E" w:rsidRPr="00030958" w:rsidRDefault="009D6D4E" w:rsidP="00BF3B71">
            <w:pPr>
              <w:jc w:val="center"/>
              <w:rPr>
                <w:sz w:val="18"/>
                <w:szCs w:val="16"/>
                <w:lang w:val="en-US"/>
              </w:rPr>
            </w:pPr>
            <w:r w:rsidRPr="00030958">
              <w:rPr>
                <w:sz w:val="18"/>
                <w:szCs w:val="16"/>
                <w:lang w:val="en-US"/>
              </w:rPr>
              <w:t>% e BPV-së</w:t>
            </w:r>
          </w:p>
        </w:tc>
        <w:tc>
          <w:tcPr>
            <w:tcW w:w="446" w:type="pct"/>
            <w:tcBorders>
              <w:top w:val="nil"/>
              <w:left w:val="nil"/>
              <w:bottom w:val="dotted" w:sz="4" w:space="0" w:color="auto"/>
              <w:right w:val="nil"/>
            </w:tcBorders>
            <w:shd w:val="clear" w:color="000000" w:fill="FFFFFF"/>
            <w:hideMark/>
          </w:tcPr>
          <w:p w14:paraId="63C96FFA" w14:textId="77777777" w:rsidR="009D6D4E" w:rsidRPr="00030958" w:rsidRDefault="009D6D4E" w:rsidP="00BF3B71">
            <w:pPr>
              <w:jc w:val="center"/>
              <w:rPr>
                <w:sz w:val="18"/>
                <w:szCs w:val="20"/>
                <w:lang w:val="en-US"/>
              </w:rPr>
            </w:pPr>
            <w:r w:rsidRPr="00030958">
              <w:rPr>
                <w:sz w:val="18"/>
                <w:szCs w:val="20"/>
                <w:lang w:val="en-US"/>
              </w:rPr>
              <w:t>:</w:t>
            </w:r>
          </w:p>
        </w:tc>
        <w:tc>
          <w:tcPr>
            <w:tcW w:w="446" w:type="pct"/>
            <w:tcBorders>
              <w:top w:val="nil"/>
              <w:left w:val="dotted" w:sz="4" w:space="0" w:color="auto"/>
              <w:bottom w:val="dotted" w:sz="4" w:space="0" w:color="auto"/>
              <w:right w:val="dotted" w:sz="4" w:space="0" w:color="auto"/>
            </w:tcBorders>
            <w:shd w:val="clear" w:color="000000" w:fill="FFFFFF"/>
            <w:hideMark/>
          </w:tcPr>
          <w:p w14:paraId="41D9C47A" w14:textId="77777777" w:rsidR="009D6D4E" w:rsidRPr="00030958" w:rsidRDefault="009D6D4E" w:rsidP="00BF3B71">
            <w:pPr>
              <w:jc w:val="center"/>
              <w:rPr>
                <w:sz w:val="18"/>
                <w:szCs w:val="20"/>
                <w:lang w:val="en-US"/>
              </w:rPr>
            </w:pPr>
            <w:r w:rsidRPr="00030958">
              <w:rPr>
                <w:sz w:val="18"/>
                <w:szCs w:val="20"/>
                <w:lang w:val="en-US"/>
              </w:rPr>
              <w:t>:</w:t>
            </w:r>
          </w:p>
        </w:tc>
        <w:tc>
          <w:tcPr>
            <w:tcW w:w="446" w:type="pct"/>
            <w:tcBorders>
              <w:top w:val="nil"/>
              <w:left w:val="nil"/>
              <w:bottom w:val="dotted" w:sz="4" w:space="0" w:color="auto"/>
              <w:right w:val="nil"/>
            </w:tcBorders>
            <w:shd w:val="clear" w:color="000000" w:fill="FFFFFF"/>
            <w:hideMark/>
          </w:tcPr>
          <w:p w14:paraId="5A53636C" w14:textId="77777777" w:rsidR="009D6D4E" w:rsidRPr="00030958" w:rsidRDefault="009D6D4E" w:rsidP="00BF3B71">
            <w:pPr>
              <w:jc w:val="center"/>
              <w:rPr>
                <w:sz w:val="18"/>
                <w:szCs w:val="20"/>
                <w:lang w:val="en-US"/>
              </w:rPr>
            </w:pPr>
            <w:r w:rsidRPr="00030958">
              <w:rPr>
                <w:sz w:val="18"/>
                <w:szCs w:val="20"/>
                <w:lang w:val="en-US"/>
              </w:rPr>
              <w:t>:</w:t>
            </w:r>
          </w:p>
        </w:tc>
        <w:tc>
          <w:tcPr>
            <w:tcW w:w="446" w:type="pct"/>
            <w:tcBorders>
              <w:top w:val="nil"/>
              <w:left w:val="dotted" w:sz="4" w:space="0" w:color="auto"/>
              <w:bottom w:val="dotted" w:sz="4" w:space="0" w:color="auto"/>
              <w:right w:val="dotted" w:sz="4" w:space="0" w:color="auto"/>
            </w:tcBorders>
            <w:shd w:val="clear" w:color="000000" w:fill="FFFFFF"/>
            <w:hideMark/>
          </w:tcPr>
          <w:p w14:paraId="4C19FDAD" w14:textId="77777777" w:rsidR="009D6D4E" w:rsidRPr="00030958" w:rsidRDefault="009D6D4E" w:rsidP="00BF3B71">
            <w:pPr>
              <w:jc w:val="center"/>
              <w:rPr>
                <w:sz w:val="18"/>
                <w:szCs w:val="20"/>
                <w:lang w:val="en-US"/>
              </w:rPr>
            </w:pPr>
            <w:r w:rsidRPr="00030958">
              <w:rPr>
                <w:sz w:val="18"/>
                <w:szCs w:val="20"/>
                <w:lang w:val="en-US"/>
              </w:rPr>
              <w:t>:</w:t>
            </w:r>
          </w:p>
        </w:tc>
        <w:tc>
          <w:tcPr>
            <w:tcW w:w="410" w:type="pct"/>
            <w:tcBorders>
              <w:top w:val="nil"/>
              <w:left w:val="nil"/>
              <w:bottom w:val="dotted" w:sz="4" w:space="0" w:color="auto"/>
              <w:right w:val="double" w:sz="6" w:space="0" w:color="auto"/>
            </w:tcBorders>
            <w:shd w:val="clear" w:color="000000" w:fill="FFFFFF"/>
            <w:hideMark/>
          </w:tcPr>
          <w:p w14:paraId="1C25AEB7" w14:textId="77777777" w:rsidR="009D6D4E" w:rsidRPr="00030958" w:rsidRDefault="009D6D4E" w:rsidP="00BF3B71">
            <w:pPr>
              <w:jc w:val="center"/>
              <w:rPr>
                <w:sz w:val="18"/>
                <w:szCs w:val="20"/>
                <w:lang w:val="en-US"/>
              </w:rPr>
            </w:pPr>
            <w:r w:rsidRPr="00030958">
              <w:rPr>
                <w:sz w:val="18"/>
                <w:szCs w:val="20"/>
                <w:lang w:val="en-US"/>
              </w:rPr>
              <w:t>:</w:t>
            </w:r>
          </w:p>
        </w:tc>
      </w:tr>
      <w:tr w:rsidR="009D6D4E" w:rsidRPr="00030958" w14:paraId="7B3C3B6F" w14:textId="77777777" w:rsidTr="00BF3B71">
        <w:trPr>
          <w:trHeight w:val="20"/>
        </w:trPr>
        <w:tc>
          <w:tcPr>
            <w:tcW w:w="2166" w:type="pct"/>
            <w:tcBorders>
              <w:top w:val="nil"/>
              <w:left w:val="double" w:sz="6" w:space="0" w:color="auto"/>
              <w:bottom w:val="double" w:sz="6" w:space="0" w:color="auto"/>
              <w:right w:val="nil"/>
            </w:tcBorders>
            <w:shd w:val="clear" w:color="000000" w:fill="FFFFFF"/>
            <w:hideMark/>
          </w:tcPr>
          <w:p w14:paraId="2CDD0D7C" w14:textId="77777777" w:rsidR="009D6D4E" w:rsidRPr="00030958" w:rsidRDefault="009D6D4E" w:rsidP="00BF3B71">
            <w:pPr>
              <w:rPr>
                <w:sz w:val="18"/>
                <w:szCs w:val="20"/>
                <w:lang w:val="en-US"/>
              </w:rPr>
            </w:pPr>
            <w:r w:rsidRPr="00030958">
              <w:rPr>
                <w:sz w:val="18"/>
                <w:szCs w:val="20"/>
                <w:lang w:val="en-US"/>
              </w:rPr>
              <w:t xml:space="preserve">25. Investimet vendore publike </w:t>
            </w:r>
          </w:p>
        </w:tc>
        <w:tc>
          <w:tcPr>
            <w:tcW w:w="638" w:type="pct"/>
            <w:tcBorders>
              <w:top w:val="nil"/>
              <w:left w:val="single" w:sz="8" w:space="0" w:color="auto"/>
              <w:bottom w:val="double" w:sz="6" w:space="0" w:color="auto"/>
              <w:right w:val="single" w:sz="8" w:space="0" w:color="auto"/>
            </w:tcBorders>
            <w:shd w:val="clear" w:color="000000" w:fill="FFFFFF"/>
            <w:hideMark/>
          </w:tcPr>
          <w:p w14:paraId="375B1767" w14:textId="77777777" w:rsidR="009D6D4E" w:rsidRPr="00030958" w:rsidRDefault="009D6D4E" w:rsidP="00BF3B71">
            <w:pPr>
              <w:jc w:val="center"/>
              <w:rPr>
                <w:sz w:val="18"/>
                <w:szCs w:val="16"/>
                <w:lang w:val="en-US"/>
              </w:rPr>
            </w:pPr>
            <w:r w:rsidRPr="00030958">
              <w:rPr>
                <w:sz w:val="18"/>
                <w:szCs w:val="16"/>
                <w:lang w:val="en-US"/>
              </w:rPr>
              <w:t>% e BPV-së</w:t>
            </w:r>
          </w:p>
        </w:tc>
        <w:tc>
          <w:tcPr>
            <w:tcW w:w="446" w:type="pct"/>
            <w:tcBorders>
              <w:top w:val="nil"/>
              <w:left w:val="nil"/>
              <w:bottom w:val="double" w:sz="6" w:space="0" w:color="auto"/>
              <w:right w:val="nil"/>
            </w:tcBorders>
            <w:shd w:val="clear" w:color="000000" w:fill="FFFFFF"/>
            <w:hideMark/>
          </w:tcPr>
          <w:p w14:paraId="3C9D9D97" w14:textId="77777777" w:rsidR="009D6D4E" w:rsidRPr="00030958" w:rsidRDefault="009D6D4E" w:rsidP="00BF3B71">
            <w:pPr>
              <w:jc w:val="center"/>
              <w:rPr>
                <w:sz w:val="18"/>
                <w:szCs w:val="20"/>
                <w:lang w:val="en-US"/>
              </w:rPr>
            </w:pPr>
            <w:r w:rsidRPr="00030958">
              <w:rPr>
                <w:sz w:val="18"/>
                <w:szCs w:val="20"/>
                <w:lang w:val="en-US"/>
              </w:rPr>
              <w:t>:</w:t>
            </w:r>
          </w:p>
        </w:tc>
        <w:tc>
          <w:tcPr>
            <w:tcW w:w="446" w:type="pct"/>
            <w:tcBorders>
              <w:top w:val="nil"/>
              <w:left w:val="dotted" w:sz="4" w:space="0" w:color="auto"/>
              <w:bottom w:val="double" w:sz="6" w:space="0" w:color="auto"/>
              <w:right w:val="dotted" w:sz="4" w:space="0" w:color="auto"/>
            </w:tcBorders>
            <w:shd w:val="clear" w:color="000000" w:fill="FFFFFF"/>
            <w:hideMark/>
          </w:tcPr>
          <w:p w14:paraId="05B3752A" w14:textId="77777777" w:rsidR="009D6D4E" w:rsidRPr="00030958" w:rsidRDefault="009D6D4E" w:rsidP="00BF3B71">
            <w:pPr>
              <w:jc w:val="center"/>
              <w:rPr>
                <w:sz w:val="18"/>
                <w:szCs w:val="20"/>
                <w:lang w:val="en-US"/>
              </w:rPr>
            </w:pPr>
            <w:r w:rsidRPr="00030958">
              <w:rPr>
                <w:sz w:val="18"/>
                <w:szCs w:val="20"/>
                <w:lang w:val="en-US"/>
              </w:rPr>
              <w:t>:</w:t>
            </w:r>
          </w:p>
        </w:tc>
        <w:tc>
          <w:tcPr>
            <w:tcW w:w="446" w:type="pct"/>
            <w:tcBorders>
              <w:top w:val="nil"/>
              <w:left w:val="nil"/>
              <w:bottom w:val="double" w:sz="6" w:space="0" w:color="auto"/>
              <w:right w:val="nil"/>
            </w:tcBorders>
            <w:shd w:val="clear" w:color="000000" w:fill="FFFFFF"/>
            <w:hideMark/>
          </w:tcPr>
          <w:p w14:paraId="50A26E6D" w14:textId="77777777" w:rsidR="009D6D4E" w:rsidRPr="00030958" w:rsidRDefault="009D6D4E" w:rsidP="00BF3B71">
            <w:pPr>
              <w:jc w:val="center"/>
              <w:rPr>
                <w:sz w:val="18"/>
                <w:szCs w:val="20"/>
                <w:lang w:val="en-US"/>
              </w:rPr>
            </w:pPr>
            <w:r w:rsidRPr="00030958">
              <w:rPr>
                <w:sz w:val="18"/>
                <w:szCs w:val="20"/>
                <w:lang w:val="en-US"/>
              </w:rPr>
              <w:t>:</w:t>
            </w:r>
          </w:p>
        </w:tc>
        <w:tc>
          <w:tcPr>
            <w:tcW w:w="446" w:type="pct"/>
            <w:tcBorders>
              <w:top w:val="nil"/>
              <w:left w:val="dotted" w:sz="4" w:space="0" w:color="auto"/>
              <w:bottom w:val="double" w:sz="6" w:space="0" w:color="auto"/>
              <w:right w:val="dotted" w:sz="4" w:space="0" w:color="auto"/>
            </w:tcBorders>
            <w:shd w:val="clear" w:color="000000" w:fill="FFFFFF"/>
            <w:hideMark/>
          </w:tcPr>
          <w:p w14:paraId="02731ED9" w14:textId="77777777" w:rsidR="009D6D4E" w:rsidRPr="00030958" w:rsidRDefault="009D6D4E" w:rsidP="00BF3B71">
            <w:pPr>
              <w:jc w:val="center"/>
              <w:rPr>
                <w:sz w:val="18"/>
                <w:szCs w:val="20"/>
                <w:lang w:val="en-US"/>
              </w:rPr>
            </w:pPr>
            <w:r w:rsidRPr="00030958">
              <w:rPr>
                <w:sz w:val="18"/>
                <w:szCs w:val="20"/>
                <w:lang w:val="en-US"/>
              </w:rPr>
              <w:t>:</w:t>
            </w:r>
          </w:p>
        </w:tc>
        <w:tc>
          <w:tcPr>
            <w:tcW w:w="410" w:type="pct"/>
            <w:tcBorders>
              <w:top w:val="nil"/>
              <w:left w:val="nil"/>
              <w:bottom w:val="double" w:sz="6" w:space="0" w:color="auto"/>
              <w:right w:val="double" w:sz="6" w:space="0" w:color="auto"/>
            </w:tcBorders>
            <w:shd w:val="clear" w:color="000000" w:fill="FFFFFF"/>
            <w:hideMark/>
          </w:tcPr>
          <w:p w14:paraId="157316BE" w14:textId="77777777" w:rsidR="009D6D4E" w:rsidRPr="00030958" w:rsidRDefault="009D6D4E" w:rsidP="00BF3B71">
            <w:pPr>
              <w:jc w:val="center"/>
              <w:rPr>
                <w:sz w:val="18"/>
                <w:szCs w:val="20"/>
                <w:lang w:val="en-US"/>
              </w:rPr>
            </w:pPr>
            <w:r w:rsidRPr="00030958">
              <w:rPr>
                <w:sz w:val="18"/>
                <w:szCs w:val="20"/>
                <w:lang w:val="en-US"/>
              </w:rPr>
              <w:t>:</w:t>
            </w:r>
          </w:p>
        </w:tc>
      </w:tr>
    </w:tbl>
    <w:p w14:paraId="50C0FBF2" w14:textId="77777777" w:rsidR="009D6D4E" w:rsidRDefault="009D6D4E" w:rsidP="009D6D4E"/>
    <w:tbl>
      <w:tblPr>
        <w:tblW w:w="5000" w:type="pct"/>
        <w:tblLook w:val="04A0" w:firstRow="1" w:lastRow="0" w:firstColumn="1" w:lastColumn="0" w:noHBand="0" w:noVBand="1"/>
      </w:tblPr>
      <w:tblGrid>
        <w:gridCol w:w="3086"/>
        <w:gridCol w:w="1287"/>
        <w:gridCol w:w="715"/>
        <w:gridCol w:w="756"/>
        <w:gridCol w:w="756"/>
        <w:gridCol w:w="926"/>
        <w:gridCol w:w="862"/>
        <w:gridCol w:w="926"/>
      </w:tblGrid>
      <w:tr w:rsidR="009D6D4E" w:rsidRPr="00030958" w14:paraId="785DB0D7" w14:textId="77777777" w:rsidTr="00BF3B71">
        <w:trPr>
          <w:trHeight w:val="283"/>
        </w:trPr>
        <w:tc>
          <w:tcPr>
            <w:tcW w:w="2347" w:type="pct"/>
            <w:gridSpan w:val="2"/>
            <w:tcBorders>
              <w:top w:val="nil"/>
              <w:left w:val="nil"/>
              <w:bottom w:val="nil"/>
              <w:right w:val="nil"/>
            </w:tcBorders>
            <w:shd w:val="clear" w:color="000000" w:fill="FFFFFF"/>
            <w:noWrap/>
            <w:vAlign w:val="bottom"/>
            <w:hideMark/>
          </w:tcPr>
          <w:p w14:paraId="168E5F0A" w14:textId="77777777" w:rsidR="009D6D4E" w:rsidRPr="00FC648F" w:rsidRDefault="009D6D4E" w:rsidP="00BF3B71">
            <w:pPr>
              <w:rPr>
                <w:b/>
                <w:bCs/>
                <w:sz w:val="18"/>
                <w:szCs w:val="20"/>
              </w:rPr>
            </w:pPr>
            <w:r w:rsidRPr="00FC648F">
              <w:rPr>
                <w:b/>
                <w:bCs/>
                <w:sz w:val="18"/>
                <w:szCs w:val="20"/>
              </w:rPr>
              <w:t xml:space="preserve">Tabela 1g: Indikatorët e qëndrueshmërisë </w:t>
            </w:r>
          </w:p>
        </w:tc>
        <w:tc>
          <w:tcPr>
            <w:tcW w:w="384" w:type="pct"/>
            <w:tcBorders>
              <w:top w:val="nil"/>
              <w:left w:val="nil"/>
              <w:bottom w:val="nil"/>
              <w:right w:val="nil"/>
            </w:tcBorders>
            <w:shd w:val="clear" w:color="000000" w:fill="FFFFFF"/>
            <w:noWrap/>
            <w:vAlign w:val="bottom"/>
            <w:hideMark/>
          </w:tcPr>
          <w:p w14:paraId="6EE0BA3A" w14:textId="77777777" w:rsidR="009D6D4E" w:rsidRPr="00FC648F" w:rsidRDefault="009D6D4E" w:rsidP="00BF3B71">
            <w:pPr>
              <w:rPr>
                <w:sz w:val="18"/>
                <w:szCs w:val="20"/>
              </w:rPr>
            </w:pPr>
            <w:r w:rsidRPr="00FC648F">
              <w:rPr>
                <w:sz w:val="18"/>
                <w:szCs w:val="20"/>
              </w:rPr>
              <w:t> </w:t>
            </w:r>
          </w:p>
        </w:tc>
        <w:tc>
          <w:tcPr>
            <w:tcW w:w="406" w:type="pct"/>
            <w:tcBorders>
              <w:top w:val="nil"/>
              <w:left w:val="nil"/>
              <w:bottom w:val="nil"/>
              <w:right w:val="nil"/>
            </w:tcBorders>
            <w:shd w:val="clear" w:color="000000" w:fill="FFFFFF"/>
            <w:noWrap/>
            <w:vAlign w:val="bottom"/>
            <w:hideMark/>
          </w:tcPr>
          <w:p w14:paraId="3E553ABB" w14:textId="77777777" w:rsidR="009D6D4E" w:rsidRPr="00FC648F" w:rsidRDefault="009D6D4E" w:rsidP="00BF3B71">
            <w:pPr>
              <w:rPr>
                <w:sz w:val="18"/>
                <w:szCs w:val="20"/>
              </w:rPr>
            </w:pPr>
            <w:r w:rsidRPr="00FC648F">
              <w:rPr>
                <w:sz w:val="18"/>
                <w:szCs w:val="20"/>
              </w:rPr>
              <w:t> </w:t>
            </w:r>
          </w:p>
        </w:tc>
        <w:tc>
          <w:tcPr>
            <w:tcW w:w="406" w:type="pct"/>
            <w:tcBorders>
              <w:top w:val="nil"/>
              <w:left w:val="nil"/>
              <w:bottom w:val="nil"/>
              <w:right w:val="nil"/>
            </w:tcBorders>
            <w:shd w:val="clear" w:color="000000" w:fill="FFFFFF"/>
            <w:noWrap/>
            <w:vAlign w:val="bottom"/>
            <w:hideMark/>
          </w:tcPr>
          <w:p w14:paraId="66BAF4EB" w14:textId="77777777" w:rsidR="009D6D4E" w:rsidRPr="00FC648F" w:rsidRDefault="009D6D4E" w:rsidP="00BF3B71">
            <w:pPr>
              <w:rPr>
                <w:sz w:val="18"/>
                <w:szCs w:val="20"/>
              </w:rPr>
            </w:pPr>
            <w:r w:rsidRPr="00FC648F">
              <w:rPr>
                <w:sz w:val="18"/>
                <w:szCs w:val="20"/>
              </w:rPr>
              <w:t> </w:t>
            </w:r>
          </w:p>
        </w:tc>
        <w:tc>
          <w:tcPr>
            <w:tcW w:w="497" w:type="pct"/>
            <w:tcBorders>
              <w:top w:val="nil"/>
              <w:left w:val="nil"/>
              <w:bottom w:val="nil"/>
              <w:right w:val="nil"/>
            </w:tcBorders>
            <w:shd w:val="clear" w:color="000000" w:fill="FFFFFF"/>
            <w:noWrap/>
            <w:vAlign w:val="bottom"/>
            <w:hideMark/>
          </w:tcPr>
          <w:p w14:paraId="2D52C52C" w14:textId="77777777" w:rsidR="009D6D4E" w:rsidRPr="00FC648F" w:rsidRDefault="009D6D4E" w:rsidP="00BF3B71">
            <w:pPr>
              <w:rPr>
                <w:sz w:val="18"/>
                <w:szCs w:val="20"/>
              </w:rPr>
            </w:pPr>
            <w:r w:rsidRPr="00FC648F">
              <w:rPr>
                <w:sz w:val="18"/>
                <w:szCs w:val="20"/>
              </w:rPr>
              <w:t> </w:t>
            </w:r>
          </w:p>
        </w:tc>
        <w:tc>
          <w:tcPr>
            <w:tcW w:w="463" w:type="pct"/>
            <w:tcBorders>
              <w:top w:val="nil"/>
              <w:left w:val="nil"/>
              <w:bottom w:val="nil"/>
              <w:right w:val="nil"/>
            </w:tcBorders>
            <w:shd w:val="clear" w:color="000000" w:fill="FFFFFF"/>
            <w:noWrap/>
            <w:vAlign w:val="bottom"/>
            <w:hideMark/>
          </w:tcPr>
          <w:p w14:paraId="5B62EEBE" w14:textId="77777777" w:rsidR="009D6D4E" w:rsidRPr="00FC648F" w:rsidRDefault="009D6D4E" w:rsidP="00BF3B71">
            <w:pPr>
              <w:rPr>
                <w:sz w:val="18"/>
                <w:szCs w:val="20"/>
              </w:rPr>
            </w:pPr>
            <w:r w:rsidRPr="00FC648F">
              <w:rPr>
                <w:sz w:val="18"/>
                <w:szCs w:val="20"/>
              </w:rPr>
              <w:t> </w:t>
            </w:r>
          </w:p>
        </w:tc>
        <w:tc>
          <w:tcPr>
            <w:tcW w:w="497" w:type="pct"/>
            <w:tcBorders>
              <w:top w:val="nil"/>
              <w:left w:val="nil"/>
              <w:bottom w:val="nil"/>
              <w:right w:val="nil"/>
            </w:tcBorders>
            <w:shd w:val="clear" w:color="000000" w:fill="FFFFFF"/>
            <w:noWrap/>
            <w:vAlign w:val="bottom"/>
            <w:hideMark/>
          </w:tcPr>
          <w:p w14:paraId="7D6DCCFB" w14:textId="77777777" w:rsidR="009D6D4E" w:rsidRPr="00FC648F" w:rsidRDefault="009D6D4E" w:rsidP="00BF3B71">
            <w:pPr>
              <w:rPr>
                <w:sz w:val="18"/>
                <w:szCs w:val="20"/>
              </w:rPr>
            </w:pPr>
            <w:r w:rsidRPr="00FC648F">
              <w:rPr>
                <w:sz w:val="18"/>
                <w:szCs w:val="20"/>
              </w:rPr>
              <w:t> </w:t>
            </w:r>
          </w:p>
        </w:tc>
      </w:tr>
      <w:tr w:rsidR="009D6D4E" w:rsidRPr="00030958" w14:paraId="1201268B" w14:textId="77777777" w:rsidTr="00BF3B71">
        <w:trPr>
          <w:trHeight w:val="283"/>
        </w:trPr>
        <w:tc>
          <w:tcPr>
            <w:tcW w:w="1656" w:type="pct"/>
            <w:tcBorders>
              <w:top w:val="double" w:sz="6" w:space="0" w:color="auto"/>
              <w:left w:val="double" w:sz="6" w:space="0" w:color="auto"/>
              <w:bottom w:val="double" w:sz="6" w:space="0" w:color="auto"/>
              <w:right w:val="nil"/>
            </w:tcBorders>
            <w:shd w:val="clear" w:color="000000" w:fill="FFFFFF"/>
            <w:vAlign w:val="bottom"/>
            <w:hideMark/>
          </w:tcPr>
          <w:p w14:paraId="3D562B75" w14:textId="77777777" w:rsidR="009D6D4E" w:rsidRPr="00FC648F" w:rsidRDefault="009D6D4E" w:rsidP="00BF3B71">
            <w:pPr>
              <w:rPr>
                <w:sz w:val="18"/>
                <w:szCs w:val="20"/>
              </w:rPr>
            </w:pPr>
            <w:r w:rsidRPr="00FC648F">
              <w:rPr>
                <w:sz w:val="18"/>
                <w:szCs w:val="20"/>
              </w:rPr>
              <w:t> </w:t>
            </w:r>
          </w:p>
        </w:tc>
        <w:tc>
          <w:tcPr>
            <w:tcW w:w="691" w:type="pct"/>
            <w:tcBorders>
              <w:top w:val="double" w:sz="6" w:space="0" w:color="auto"/>
              <w:left w:val="dotted" w:sz="4" w:space="0" w:color="auto"/>
              <w:bottom w:val="double" w:sz="6" w:space="0" w:color="auto"/>
              <w:right w:val="single" w:sz="8" w:space="0" w:color="auto"/>
            </w:tcBorders>
            <w:shd w:val="clear" w:color="000000" w:fill="FFFFFF"/>
            <w:hideMark/>
          </w:tcPr>
          <w:p w14:paraId="2DCDEB04" w14:textId="77777777" w:rsidR="009D6D4E" w:rsidRPr="00030958" w:rsidRDefault="009D6D4E" w:rsidP="00BF3B71">
            <w:pPr>
              <w:rPr>
                <w:sz w:val="18"/>
                <w:szCs w:val="20"/>
                <w:lang w:val="en-US"/>
              </w:rPr>
            </w:pPr>
            <w:r w:rsidRPr="00030958">
              <w:rPr>
                <w:sz w:val="18"/>
                <w:szCs w:val="20"/>
                <w:lang w:val="en-US"/>
              </w:rPr>
              <w:t>Dimension</w:t>
            </w:r>
          </w:p>
        </w:tc>
        <w:tc>
          <w:tcPr>
            <w:tcW w:w="384" w:type="pct"/>
            <w:tcBorders>
              <w:top w:val="double" w:sz="6" w:space="0" w:color="auto"/>
              <w:left w:val="nil"/>
              <w:bottom w:val="double" w:sz="6" w:space="0" w:color="auto"/>
              <w:right w:val="dotted" w:sz="4" w:space="0" w:color="auto"/>
            </w:tcBorders>
            <w:shd w:val="clear" w:color="000000" w:fill="FFFFFF"/>
            <w:vAlign w:val="bottom"/>
            <w:hideMark/>
          </w:tcPr>
          <w:p w14:paraId="4FBDC52E" w14:textId="77777777" w:rsidR="009D6D4E" w:rsidRPr="00030958" w:rsidRDefault="009D6D4E" w:rsidP="00BF3B71">
            <w:pPr>
              <w:jc w:val="center"/>
              <w:rPr>
                <w:sz w:val="18"/>
                <w:szCs w:val="20"/>
                <w:lang w:val="en-US"/>
              </w:rPr>
            </w:pPr>
            <w:r w:rsidRPr="00030958">
              <w:rPr>
                <w:sz w:val="18"/>
                <w:szCs w:val="20"/>
                <w:lang w:val="en-US"/>
              </w:rPr>
              <w:t>2013</w:t>
            </w:r>
          </w:p>
        </w:tc>
        <w:tc>
          <w:tcPr>
            <w:tcW w:w="406" w:type="pct"/>
            <w:tcBorders>
              <w:top w:val="double" w:sz="6" w:space="0" w:color="auto"/>
              <w:left w:val="nil"/>
              <w:bottom w:val="double" w:sz="6" w:space="0" w:color="auto"/>
              <w:right w:val="dotted" w:sz="4" w:space="0" w:color="auto"/>
            </w:tcBorders>
            <w:shd w:val="clear" w:color="000000" w:fill="FFFFFF"/>
            <w:vAlign w:val="bottom"/>
            <w:hideMark/>
          </w:tcPr>
          <w:p w14:paraId="3E424F8D" w14:textId="77777777" w:rsidR="009D6D4E" w:rsidRPr="00030958" w:rsidRDefault="009D6D4E" w:rsidP="00BF3B71">
            <w:pPr>
              <w:jc w:val="center"/>
              <w:rPr>
                <w:sz w:val="18"/>
                <w:szCs w:val="20"/>
                <w:lang w:val="en-US"/>
              </w:rPr>
            </w:pPr>
            <w:r w:rsidRPr="00030958">
              <w:rPr>
                <w:sz w:val="18"/>
                <w:szCs w:val="20"/>
                <w:lang w:val="en-US"/>
              </w:rPr>
              <w:t>2014</w:t>
            </w:r>
          </w:p>
        </w:tc>
        <w:tc>
          <w:tcPr>
            <w:tcW w:w="406" w:type="pct"/>
            <w:tcBorders>
              <w:top w:val="double" w:sz="6" w:space="0" w:color="auto"/>
              <w:left w:val="nil"/>
              <w:bottom w:val="double" w:sz="6" w:space="0" w:color="auto"/>
              <w:right w:val="dotted" w:sz="4" w:space="0" w:color="auto"/>
            </w:tcBorders>
            <w:shd w:val="clear" w:color="000000" w:fill="FFFFFF"/>
            <w:vAlign w:val="bottom"/>
            <w:hideMark/>
          </w:tcPr>
          <w:p w14:paraId="10F2A5E6" w14:textId="77777777" w:rsidR="009D6D4E" w:rsidRPr="00030958" w:rsidRDefault="009D6D4E" w:rsidP="00BF3B71">
            <w:pPr>
              <w:jc w:val="center"/>
              <w:rPr>
                <w:sz w:val="18"/>
                <w:szCs w:val="20"/>
                <w:lang w:val="en-US"/>
              </w:rPr>
            </w:pPr>
            <w:r w:rsidRPr="00030958">
              <w:rPr>
                <w:sz w:val="18"/>
                <w:szCs w:val="20"/>
                <w:lang w:val="en-US"/>
              </w:rPr>
              <w:t>2015</w:t>
            </w:r>
          </w:p>
        </w:tc>
        <w:tc>
          <w:tcPr>
            <w:tcW w:w="497" w:type="pct"/>
            <w:tcBorders>
              <w:top w:val="double" w:sz="6" w:space="0" w:color="auto"/>
              <w:left w:val="nil"/>
              <w:bottom w:val="double" w:sz="6" w:space="0" w:color="auto"/>
              <w:right w:val="dotted" w:sz="4" w:space="0" w:color="auto"/>
            </w:tcBorders>
            <w:shd w:val="clear" w:color="000000" w:fill="FFFFFF"/>
            <w:vAlign w:val="bottom"/>
            <w:hideMark/>
          </w:tcPr>
          <w:p w14:paraId="47D31B95" w14:textId="77777777" w:rsidR="009D6D4E" w:rsidRPr="00030958" w:rsidRDefault="009D6D4E" w:rsidP="00BF3B71">
            <w:pPr>
              <w:jc w:val="center"/>
              <w:rPr>
                <w:sz w:val="18"/>
                <w:szCs w:val="20"/>
                <w:lang w:val="en-US"/>
              </w:rPr>
            </w:pPr>
            <w:r w:rsidRPr="00030958">
              <w:rPr>
                <w:sz w:val="18"/>
                <w:szCs w:val="20"/>
                <w:lang w:val="en-US"/>
              </w:rPr>
              <w:t>2016</w:t>
            </w:r>
          </w:p>
        </w:tc>
        <w:tc>
          <w:tcPr>
            <w:tcW w:w="463" w:type="pct"/>
            <w:tcBorders>
              <w:top w:val="double" w:sz="6" w:space="0" w:color="auto"/>
              <w:left w:val="nil"/>
              <w:bottom w:val="double" w:sz="6" w:space="0" w:color="auto"/>
              <w:right w:val="dotted" w:sz="4" w:space="0" w:color="auto"/>
            </w:tcBorders>
            <w:shd w:val="clear" w:color="000000" w:fill="FFFFFF"/>
            <w:vAlign w:val="bottom"/>
            <w:hideMark/>
          </w:tcPr>
          <w:p w14:paraId="08D5F15C" w14:textId="77777777" w:rsidR="009D6D4E" w:rsidRPr="00030958" w:rsidRDefault="009D6D4E" w:rsidP="00BF3B71">
            <w:pPr>
              <w:jc w:val="center"/>
              <w:rPr>
                <w:sz w:val="18"/>
                <w:szCs w:val="20"/>
                <w:lang w:val="en-US"/>
              </w:rPr>
            </w:pPr>
            <w:r w:rsidRPr="00030958">
              <w:rPr>
                <w:sz w:val="18"/>
                <w:szCs w:val="20"/>
                <w:lang w:val="en-US"/>
              </w:rPr>
              <w:t>2017</w:t>
            </w:r>
          </w:p>
        </w:tc>
        <w:tc>
          <w:tcPr>
            <w:tcW w:w="497" w:type="pct"/>
            <w:tcBorders>
              <w:top w:val="double" w:sz="6" w:space="0" w:color="auto"/>
              <w:left w:val="nil"/>
              <w:bottom w:val="double" w:sz="6" w:space="0" w:color="auto"/>
              <w:right w:val="double" w:sz="6" w:space="0" w:color="auto"/>
            </w:tcBorders>
            <w:shd w:val="clear" w:color="000000" w:fill="FFFFFF"/>
            <w:vAlign w:val="bottom"/>
            <w:hideMark/>
          </w:tcPr>
          <w:p w14:paraId="1298FBD0" w14:textId="77777777" w:rsidR="009D6D4E" w:rsidRPr="00030958" w:rsidRDefault="009D6D4E" w:rsidP="00BF3B71">
            <w:pPr>
              <w:jc w:val="center"/>
              <w:rPr>
                <w:sz w:val="18"/>
                <w:szCs w:val="20"/>
                <w:lang w:val="en-US"/>
              </w:rPr>
            </w:pPr>
            <w:r w:rsidRPr="00030958">
              <w:rPr>
                <w:sz w:val="18"/>
                <w:szCs w:val="20"/>
                <w:lang w:val="en-US"/>
              </w:rPr>
              <w:t>2018</w:t>
            </w:r>
          </w:p>
        </w:tc>
      </w:tr>
      <w:tr w:rsidR="009D6D4E" w:rsidRPr="00030958" w14:paraId="45F49F38" w14:textId="77777777" w:rsidTr="00BF3B71">
        <w:trPr>
          <w:trHeight w:val="283"/>
        </w:trPr>
        <w:tc>
          <w:tcPr>
            <w:tcW w:w="1656" w:type="pct"/>
            <w:tcBorders>
              <w:top w:val="nil"/>
              <w:left w:val="double" w:sz="6" w:space="0" w:color="auto"/>
              <w:bottom w:val="dotted" w:sz="4" w:space="0" w:color="auto"/>
              <w:right w:val="nil"/>
            </w:tcBorders>
            <w:shd w:val="clear" w:color="000000" w:fill="FFFFFF"/>
            <w:hideMark/>
          </w:tcPr>
          <w:p w14:paraId="51305D04" w14:textId="77777777" w:rsidR="009D6D4E" w:rsidRPr="00030958" w:rsidRDefault="009D6D4E" w:rsidP="00BF3B71">
            <w:pPr>
              <w:ind w:firstLineChars="100" w:firstLine="180"/>
              <w:rPr>
                <w:sz w:val="18"/>
                <w:szCs w:val="20"/>
                <w:lang w:val="en-US"/>
              </w:rPr>
            </w:pPr>
            <w:r w:rsidRPr="00030958">
              <w:rPr>
                <w:sz w:val="18"/>
                <w:szCs w:val="20"/>
                <w:lang w:val="en-US"/>
              </w:rPr>
              <w:t>1. Bilanci i llogarisë rrjedhëse</w:t>
            </w:r>
          </w:p>
        </w:tc>
        <w:tc>
          <w:tcPr>
            <w:tcW w:w="691" w:type="pct"/>
            <w:tcBorders>
              <w:top w:val="nil"/>
              <w:left w:val="dotted" w:sz="4" w:space="0" w:color="auto"/>
              <w:bottom w:val="dotted" w:sz="4" w:space="0" w:color="auto"/>
              <w:right w:val="single" w:sz="8" w:space="0" w:color="auto"/>
            </w:tcBorders>
            <w:shd w:val="clear" w:color="000000" w:fill="FFFFFF"/>
            <w:hideMark/>
          </w:tcPr>
          <w:p w14:paraId="476D36F9" w14:textId="77777777" w:rsidR="009D6D4E" w:rsidRPr="00030958" w:rsidRDefault="009D6D4E" w:rsidP="00BF3B71">
            <w:pPr>
              <w:jc w:val="center"/>
              <w:rPr>
                <w:sz w:val="18"/>
                <w:szCs w:val="18"/>
                <w:lang w:val="en-US"/>
              </w:rPr>
            </w:pPr>
            <w:r w:rsidRPr="00030958">
              <w:rPr>
                <w:sz w:val="18"/>
                <w:szCs w:val="18"/>
                <w:lang w:val="en-US"/>
              </w:rPr>
              <w:t>% e BPV-së</w:t>
            </w:r>
          </w:p>
        </w:tc>
        <w:tc>
          <w:tcPr>
            <w:tcW w:w="384" w:type="pct"/>
            <w:tcBorders>
              <w:top w:val="nil"/>
              <w:left w:val="nil"/>
              <w:bottom w:val="dotted" w:sz="4" w:space="0" w:color="auto"/>
              <w:right w:val="dotted" w:sz="4" w:space="0" w:color="auto"/>
            </w:tcBorders>
            <w:shd w:val="clear" w:color="000000" w:fill="FFFFFF"/>
            <w:vAlign w:val="center"/>
            <w:hideMark/>
          </w:tcPr>
          <w:p w14:paraId="43E2C41A" w14:textId="77777777" w:rsidR="009D6D4E" w:rsidRPr="00030958" w:rsidRDefault="009D6D4E" w:rsidP="00BF3B71">
            <w:pPr>
              <w:jc w:val="right"/>
              <w:rPr>
                <w:sz w:val="18"/>
                <w:szCs w:val="20"/>
                <w:lang w:val="en-US"/>
              </w:rPr>
            </w:pPr>
            <w:r w:rsidRPr="00030958">
              <w:rPr>
                <w:sz w:val="18"/>
                <w:szCs w:val="20"/>
                <w:lang w:val="en-US"/>
              </w:rPr>
              <w:t>-6.0</w:t>
            </w:r>
          </w:p>
        </w:tc>
        <w:tc>
          <w:tcPr>
            <w:tcW w:w="406" w:type="pct"/>
            <w:tcBorders>
              <w:top w:val="nil"/>
              <w:left w:val="nil"/>
              <w:bottom w:val="dotted" w:sz="4" w:space="0" w:color="auto"/>
              <w:right w:val="dotted" w:sz="4" w:space="0" w:color="auto"/>
            </w:tcBorders>
            <w:shd w:val="clear" w:color="000000" w:fill="FFFFFF"/>
            <w:vAlign w:val="center"/>
            <w:hideMark/>
          </w:tcPr>
          <w:p w14:paraId="6D89E485" w14:textId="77777777" w:rsidR="009D6D4E" w:rsidRPr="00030958" w:rsidRDefault="009D6D4E" w:rsidP="00BF3B71">
            <w:pPr>
              <w:jc w:val="right"/>
              <w:rPr>
                <w:sz w:val="18"/>
                <w:szCs w:val="20"/>
                <w:lang w:val="en-US"/>
              </w:rPr>
            </w:pPr>
            <w:r w:rsidRPr="00030958">
              <w:rPr>
                <w:sz w:val="18"/>
                <w:szCs w:val="20"/>
                <w:lang w:val="en-US"/>
              </w:rPr>
              <w:t>-7.4</w:t>
            </w:r>
          </w:p>
        </w:tc>
        <w:tc>
          <w:tcPr>
            <w:tcW w:w="406" w:type="pct"/>
            <w:tcBorders>
              <w:top w:val="nil"/>
              <w:left w:val="nil"/>
              <w:bottom w:val="dotted" w:sz="4" w:space="0" w:color="auto"/>
              <w:right w:val="dotted" w:sz="4" w:space="0" w:color="auto"/>
            </w:tcBorders>
            <w:shd w:val="clear" w:color="000000" w:fill="FFFFFF"/>
            <w:vAlign w:val="center"/>
            <w:hideMark/>
          </w:tcPr>
          <w:p w14:paraId="5E10C2AB" w14:textId="77777777" w:rsidR="009D6D4E" w:rsidRPr="00030958" w:rsidRDefault="009D6D4E" w:rsidP="00BF3B71">
            <w:pPr>
              <w:jc w:val="right"/>
              <w:rPr>
                <w:sz w:val="18"/>
                <w:szCs w:val="20"/>
                <w:lang w:val="en-US"/>
              </w:rPr>
            </w:pPr>
            <w:r w:rsidRPr="00030958">
              <w:rPr>
                <w:sz w:val="18"/>
                <w:szCs w:val="20"/>
                <w:lang w:val="en-US"/>
              </w:rPr>
              <w:t>-6.8</w:t>
            </w:r>
          </w:p>
        </w:tc>
        <w:tc>
          <w:tcPr>
            <w:tcW w:w="497" w:type="pct"/>
            <w:tcBorders>
              <w:top w:val="nil"/>
              <w:left w:val="nil"/>
              <w:bottom w:val="dotted" w:sz="4" w:space="0" w:color="auto"/>
              <w:right w:val="dotted" w:sz="4" w:space="0" w:color="auto"/>
            </w:tcBorders>
            <w:shd w:val="clear" w:color="000000" w:fill="FFFFFF"/>
            <w:vAlign w:val="center"/>
            <w:hideMark/>
          </w:tcPr>
          <w:p w14:paraId="4408F9CE" w14:textId="77777777" w:rsidR="009D6D4E" w:rsidRPr="00030958" w:rsidRDefault="009D6D4E" w:rsidP="00BF3B71">
            <w:pPr>
              <w:jc w:val="right"/>
              <w:rPr>
                <w:sz w:val="18"/>
                <w:szCs w:val="20"/>
                <w:lang w:val="en-US"/>
              </w:rPr>
            </w:pPr>
            <w:r w:rsidRPr="00030958">
              <w:rPr>
                <w:sz w:val="18"/>
                <w:szCs w:val="20"/>
                <w:lang w:val="en-US"/>
              </w:rPr>
              <w:t>-4.6</w:t>
            </w:r>
          </w:p>
        </w:tc>
        <w:tc>
          <w:tcPr>
            <w:tcW w:w="463" w:type="pct"/>
            <w:tcBorders>
              <w:top w:val="nil"/>
              <w:left w:val="nil"/>
              <w:bottom w:val="dotted" w:sz="4" w:space="0" w:color="auto"/>
              <w:right w:val="dotted" w:sz="4" w:space="0" w:color="auto"/>
            </w:tcBorders>
            <w:shd w:val="clear" w:color="000000" w:fill="FFFFFF"/>
            <w:vAlign w:val="center"/>
            <w:hideMark/>
          </w:tcPr>
          <w:p w14:paraId="27642BF4" w14:textId="77777777" w:rsidR="009D6D4E" w:rsidRPr="00030958" w:rsidRDefault="009D6D4E" w:rsidP="00BF3B71">
            <w:pPr>
              <w:jc w:val="right"/>
              <w:rPr>
                <w:sz w:val="18"/>
                <w:szCs w:val="20"/>
                <w:lang w:val="en-US"/>
              </w:rPr>
            </w:pPr>
            <w:r w:rsidRPr="00030958">
              <w:rPr>
                <w:sz w:val="18"/>
                <w:szCs w:val="20"/>
                <w:lang w:val="en-US"/>
              </w:rPr>
              <w:t>-6.4</w:t>
            </w:r>
          </w:p>
        </w:tc>
        <w:tc>
          <w:tcPr>
            <w:tcW w:w="497" w:type="pct"/>
            <w:tcBorders>
              <w:top w:val="nil"/>
              <w:left w:val="nil"/>
              <w:bottom w:val="dotted" w:sz="4" w:space="0" w:color="auto"/>
              <w:right w:val="double" w:sz="6" w:space="0" w:color="auto"/>
            </w:tcBorders>
            <w:shd w:val="clear" w:color="000000" w:fill="FFFFFF"/>
            <w:vAlign w:val="center"/>
            <w:hideMark/>
          </w:tcPr>
          <w:p w14:paraId="48F6FA7E" w14:textId="77777777" w:rsidR="009D6D4E" w:rsidRPr="00030958" w:rsidRDefault="009D6D4E" w:rsidP="00BF3B71">
            <w:pPr>
              <w:jc w:val="right"/>
              <w:rPr>
                <w:sz w:val="18"/>
                <w:szCs w:val="20"/>
                <w:lang w:val="en-US"/>
              </w:rPr>
            </w:pPr>
            <w:r w:rsidRPr="00030958">
              <w:rPr>
                <w:sz w:val="18"/>
                <w:szCs w:val="20"/>
                <w:lang w:val="en-US"/>
              </w:rPr>
              <w:t>-4.8</w:t>
            </w:r>
          </w:p>
        </w:tc>
      </w:tr>
      <w:tr w:rsidR="009D6D4E" w:rsidRPr="00030958" w14:paraId="392CB643" w14:textId="77777777" w:rsidTr="00BF3B71">
        <w:trPr>
          <w:trHeight w:val="283"/>
        </w:trPr>
        <w:tc>
          <w:tcPr>
            <w:tcW w:w="1656" w:type="pct"/>
            <w:tcBorders>
              <w:top w:val="nil"/>
              <w:left w:val="double" w:sz="6" w:space="0" w:color="auto"/>
              <w:bottom w:val="dotted" w:sz="4" w:space="0" w:color="auto"/>
              <w:right w:val="nil"/>
            </w:tcBorders>
            <w:shd w:val="clear" w:color="000000" w:fill="FFFFFF"/>
            <w:hideMark/>
          </w:tcPr>
          <w:p w14:paraId="548D1351" w14:textId="77777777" w:rsidR="009D6D4E" w:rsidRPr="00030958" w:rsidRDefault="009D6D4E" w:rsidP="00BF3B71">
            <w:pPr>
              <w:ind w:firstLineChars="100" w:firstLine="180"/>
              <w:rPr>
                <w:sz w:val="18"/>
                <w:szCs w:val="20"/>
                <w:lang w:val="en-US"/>
              </w:rPr>
            </w:pPr>
            <w:r w:rsidRPr="00030958">
              <w:rPr>
                <w:sz w:val="18"/>
                <w:szCs w:val="20"/>
                <w:lang w:val="en-US"/>
              </w:rPr>
              <w:t>2. Pozita neto e investimeve</w:t>
            </w:r>
            <w:r w:rsidRPr="00030958">
              <w:rPr>
                <w:sz w:val="18"/>
                <w:szCs w:val="20"/>
                <w:lang w:val="en-US"/>
              </w:rPr>
              <w:br/>
              <w:t>nderkometare</w:t>
            </w:r>
          </w:p>
        </w:tc>
        <w:tc>
          <w:tcPr>
            <w:tcW w:w="691" w:type="pct"/>
            <w:tcBorders>
              <w:top w:val="nil"/>
              <w:left w:val="dotted" w:sz="4" w:space="0" w:color="auto"/>
              <w:bottom w:val="dotted" w:sz="4" w:space="0" w:color="auto"/>
              <w:right w:val="single" w:sz="8" w:space="0" w:color="auto"/>
            </w:tcBorders>
            <w:shd w:val="clear" w:color="000000" w:fill="FFFFFF"/>
            <w:hideMark/>
          </w:tcPr>
          <w:p w14:paraId="432ADA73" w14:textId="77777777" w:rsidR="009D6D4E" w:rsidRPr="00030958" w:rsidRDefault="009D6D4E" w:rsidP="00BF3B71">
            <w:pPr>
              <w:jc w:val="center"/>
              <w:rPr>
                <w:sz w:val="18"/>
                <w:szCs w:val="18"/>
                <w:lang w:val="en-US"/>
              </w:rPr>
            </w:pPr>
            <w:r w:rsidRPr="00030958">
              <w:rPr>
                <w:sz w:val="18"/>
                <w:szCs w:val="18"/>
                <w:lang w:val="en-US"/>
              </w:rPr>
              <w:t>% e BPV-së</w:t>
            </w:r>
          </w:p>
        </w:tc>
        <w:tc>
          <w:tcPr>
            <w:tcW w:w="384" w:type="pct"/>
            <w:tcBorders>
              <w:top w:val="nil"/>
              <w:left w:val="nil"/>
              <w:bottom w:val="dotted" w:sz="4" w:space="0" w:color="auto"/>
              <w:right w:val="dotted" w:sz="4" w:space="0" w:color="auto"/>
            </w:tcBorders>
            <w:shd w:val="clear" w:color="000000" w:fill="FFFFFF"/>
            <w:vAlign w:val="center"/>
            <w:hideMark/>
          </w:tcPr>
          <w:p w14:paraId="5E0B4751" w14:textId="77777777" w:rsidR="009D6D4E" w:rsidRPr="00030958" w:rsidRDefault="009D6D4E" w:rsidP="00BF3B71">
            <w:pPr>
              <w:jc w:val="right"/>
              <w:rPr>
                <w:sz w:val="18"/>
                <w:szCs w:val="20"/>
                <w:lang w:val="en-US"/>
              </w:rPr>
            </w:pPr>
            <w:r w:rsidRPr="00030958">
              <w:rPr>
                <w:sz w:val="18"/>
                <w:szCs w:val="20"/>
                <w:lang w:val="en-US"/>
              </w:rPr>
              <w:t>3.1</w:t>
            </w:r>
          </w:p>
        </w:tc>
        <w:tc>
          <w:tcPr>
            <w:tcW w:w="406" w:type="pct"/>
            <w:tcBorders>
              <w:top w:val="nil"/>
              <w:left w:val="nil"/>
              <w:bottom w:val="dotted" w:sz="4" w:space="0" w:color="auto"/>
              <w:right w:val="dotted" w:sz="4" w:space="0" w:color="auto"/>
            </w:tcBorders>
            <w:shd w:val="clear" w:color="000000" w:fill="FFFFFF"/>
            <w:vAlign w:val="center"/>
            <w:hideMark/>
          </w:tcPr>
          <w:p w14:paraId="71BBCA96" w14:textId="77777777" w:rsidR="009D6D4E" w:rsidRPr="00030958" w:rsidRDefault="009D6D4E" w:rsidP="00BF3B71">
            <w:pPr>
              <w:jc w:val="right"/>
              <w:rPr>
                <w:sz w:val="18"/>
                <w:szCs w:val="20"/>
                <w:lang w:val="en-US"/>
              </w:rPr>
            </w:pPr>
            <w:r w:rsidRPr="00030958">
              <w:rPr>
                <w:sz w:val="18"/>
                <w:szCs w:val="20"/>
                <w:lang w:val="en-US"/>
              </w:rPr>
              <w:t>-0.6</w:t>
            </w:r>
          </w:p>
        </w:tc>
        <w:tc>
          <w:tcPr>
            <w:tcW w:w="406" w:type="pct"/>
            <w:tcBorders>
              <w:top w:val="nil"/>
              <w:left w:val="nil"/>
              <w:bottom w:val="dotted" w:sz="4" w:space="0" w:color="auto"/>
              <w:right w:val="dotted" w:sz="4" w:space="0" w:color="auto"/>
            </w:tcBorders>
            <w:shd w:val="clear" w:color="000000" w:fill="FFFFFF"/>
            <w:vAlign w:val="center"/>
            <w:hideMark/>
          </w:tcPr>
          <w:p w14:paraId="4C57C65E" w14:textId="77777777" w:rsidR="009D6D4E" w:rsidRPr="00030958" w:rsidRDefault="009D6D4E" w:rsidP="00BF3B71">
            <w:pPr>
              <w:jc w:val="right"/>
              <w:rPr>
                <w:sz w:val="18"/>
                <w:szCs w:val="20"/>
                <w:lang w:val="en-US"/>
              </w:rPr>
            </w:pPr>
            <w:r w:rsidRPr="00030958">
              <w:rPr>
                <w:sz w:val="18"/>
                <w:szCs w:val="20"/>
                <w:lang w:val="en-US"/>
              </w:rPr>
              <w:t>-1.1</w:t>
            </w:r>
          </w:p>
        </w:tc>
        <w:tc>
          <w:tcPr>
            <w:tcW w:w="497" w:type="pct"/>
            <w:tcBorders>
              <w:top w:val="nil"/>
              <w:left w:val="nil"/>
              <w:bottom w:val="dotted" w:sz="4" w:space="0" w:color="auto"/>
              <w:right w:val="dotted" w:sz="4" w:space="0" w:color="auto"/>
            </w:tcBorders>
            <w:shd w:val="clear" w:color="000000" w:fill="FFFFFF"/>
            <w:vAlign w:val="center"/>
            <w:hideMark/>
          </w:tcPr>
          <w:p w14:paraId="5E61D0F3" w14:textId="77777777" w:rsidR="009D6D4E" w:rsidRPr="00030958" w:rsidRDefault="009D6D4E" w:rsidP="00BF3B71">
            <w:pPr>
              <w:jc w:val="right"/>
              <w:rPr>
                <w:sz w:val="18"/>
                <w:szCs w:val="20"/>
                <w:lang w:val="en-US"/>
              </w:rPr>
            </w:pPr>
            <w:r w:rsidRPr="00030958">
              <w:rPr>
                <w:sz w:val="18"/>
                <w:szCs w:val="20"/>
                <w:lang w:val="en-US"/>
              </w:rPr>
              <w:t>-1.3</w:t>
            </w:r>
          </w:p>
        </w:tc>
        <w:tc>
          <w:tcPr>
            <w:tcW w:w="463" w:type="pct"/>
            <w:tcBorders>
              <w:top w:val="nil"/>
              <w:left w:val="nil"/>
              <w:bottom w:val="dotted" w:sz="4" w:space="0" w:color="auto"/>
              <w:right w:val="dotted" w:sz="4" w:space="0" w:color="auto"/>
            </w:tcBorders>
            <w:shd w:val="clear" w:color="000000" w:fill="FFFFFF"/>
            <w:vAlign w:val="center"/>
            <w:hideMark/>
          </w:tcPr>
          <w:p w14:paraId="6999DB15" w14:textId="77777777" w:rsidR="009D6D4E" w:rsidRPr="00030958" w:rsidRDefault="009D6D4E" w:rsidP="00BF3B71">
            <w:pPr>
              <w:jc w:val="right"/>
              <w:rPr>
                <w:sz w:val="18"/>
                <w:szCs w:val="20"/>
                <w:lang w:val="en-US"/>
              </w:rPr>
            </w:pPr>
            <w:r w:rsidRPr="00030958">
              <w:rPr>
                <w:sz w:val="18"/>
                <w:szCs w:val="20"/>
                <w:lang w:val="en-US"/>
              </w:rPr>
              <w:t>-5.1</w:t>
            </w:r>
          </w:p>
        </w:tc>
        <w:tc>
          <w:tcPr>
            <w:tcW w:w="497" w:type="pct"/>
            <w:tcBorders>
              <w:top w:val="nil"/>
              <w:left w:val="nil"/>
              <w:bottom w:val="dotted" w:sz="4" w:space="0" w:color="auto"/>
              <w:right w:val="double" w:sz="6" w:space="0" w:color="auto"/>
            </w:tcBorders>
            <w:shd w:val="clear" w:color="000000" w:fill="FFFFFF"/>
            <w:vAlign w:val="center"/>
            <w:hideMark/>
          </w:tcPr>
          <w:p w14:paraId="4E76A88B" w14:textId="77777777" w:rsidR="009D6D4E" w:rsidRPr="00030958" w:rsidRDefault="009D6D4E" w:rsidP="00BF3B71">
            <w:pPr>
              <w:jc w:val="right"/>
              <w:rPr>
                <w:sz w:val="18"/>
                <w:szCs w:val="20"/>
                <w:lang w:val="en-US"/>
              </w:rPr>
            </w:pPr>
            <w:r w:rsidRPr="00030958">
              <w:rPr>
                <w:sz w:val="18"/>
                <w:szCs w:val="20"/>
                <w:lang w:val="en-US"/>
              </w:rPr>
              <w:t>-5.4</w:t>
            </w:r>
          </w:p>
        </w:tc>
      </w:tr>
      <w:tr w:rsidR="009D6D4E" w:rsidRPr="00030958" w14:paraId="3D8CA058" w14:textId="77777777" w:rsidTr="00BF3B71">
        <w:trPr>
          <w:trHeight w:val="283"/>
        </w:trPr>
        <w:tc>
          <w:tcPr>
            <w:tcW w:w="1656" w:type="pct"/>
            <w:tcBorders>
              <w:top w:val="nil"/>
              <w:left w:val="double" w:sz="6" w:space="0" w:color="auto"/>
              <w:bottom w:val="dotted" w:sz="4" w:space="0" w:color="auto"/>
              <w:right w:val="nil"/>
            </w:tcBorders>
            <w:shd w:val="clear" w:color="000000" w:fill="FFFFFF"/>
            <w:hideMark/>
          </w:tcPr>
          <w:p w14:paraId="0358F30C" w14:textId="77777777" w:rsidR="009D6D4E" w:rsidRPr="00FC648F" w:rsidRDefault="009D6D4E" w:rsidP="00BF3B71">
            <w:pPr>
              <w:ind w:firstLineChars="100" w:firstLine="180"/>
              <w:rPr>
                <w:sz w:val="18"/>
                <w:szCs w:val="20"/>
              </w:rPr>
            </w:pPr>
            <w:r w:rsidRPr="00FC648F">
              <w:rPr>
                <w:sz w:val="18"/>
                <w:szCs w:val="20"/>
              </w:rPr>
              <w:t>3. Pjesëmarrja në tregun e</w:t>
            </w:r>
            <w:r w:rsidRPr="00FC648F">
              <w:rPr>
                <w:sz w:val="18"/>
                <w:szCs w:val="20"/>
              </w:rPr>
              <w:br/>
              <w:t>eksportit</w:t>
            </w:r>
          </w:p>
        </w:tc>
        <w:tc>
          <w:tcPr>
            <w:tcW w:w="691" w:type="pct"/>
            <w:tcBorders>
              <w:top w:val="nil"/>
              <w:left w:val="dotted" w:sz="4" w:space="0" w:color="auto"/>
              <w:bottom w:val="dotted" w:sz="4" w:space="0" w:color="auto"/>
              <w:right w:val="single" w:sz="8" w:space="0" w:color="auto"/>
            </w:tcBorders>
            <w:shd w:val="clear" w:color="000000" w:fill="FFFFFF"/>
            <w:hideMark/>
          </w:tcPr>
          <w:p w14:paraId="0670CA83" w14:textId="77777777" w:rsidR="009D6D4E" w:rsidRPr="00030958" w:rsidRDefault="009D6D4E" w:rsidP="00BF3B71">
            <w:pPr>
              <w:jc w:val="center"/>
              <w:rPr>
                <w:sz w:val="18"/>
                <w:szCs w:val="18"/>
                <w:lang w:val="en-US"/>
              </w:rPr>
            </w:pPr>
            <w:r w:rsidRPr="00030958">
              <w:rPr>
                <w:sz w:val="18"/>
                <w:szCs w:val="18"/>
                <w:lang w:val="en-US"/>
              </w:rPr>
              <w:t>%, vpv</w:t>
            </w:r>
          </w:p>
        </w:tc>
        <w:tc>
          <w:tcPr>
            <w:tcW w:w="384" w:type="pct"/>
            <w:tcBorders>
              <w:top w:val="nil"/>
              <w:left w:val="nil"/>
              <w:bottom w:val="dotted" w:sz="4" w:space="0" w:color="auto"/>
              <w:right w:val="dotted" w:sz="4" w:space="0" w:color="auto"/>
            </w:tcBorders>
            <w:shd w:val="clear" w:color="000000" w:fill="FFFFFF"/>
            <w:vAlign w:val="center"/>
            <w:hideMark/>
          </w:tcPr>
          <w:p w14:paraId="3015AB14" w14:textId="77777777" w:rsidR="009D6D4E" w:rsidRPr="00030958" w:rsidRDefault="009D6D4E" w:rsidP="00BF3B71">
            <w:pPr>
              <w:jc w:val="right"/>
              <w:rPr>
                <w:sz w:val="18"/>
                <w:szCs w:val="20"/>
                <w:lang w:val="en-US"/>
              </w:rPr>
            </w:pPr>
            <w:r w:rsidRPr="00030958">
              <w:rPr>
                <w:sz w:val="18"/>
                <w:szCs w:val="20"/>
                <w:lang w:val="en-US"/>
              </w:rPr>
              <w:t>:</w:t>
            </w:r>
          </w:p>
        </w:tc>
        <w:tc>
          <w:tcPr>
            <w:tcW w:w="406" w:type="pct"/>
            <w:tcBorders>
              <w:top w:val="nil"/>
              <w:left w:val="nil"/>
              <w:bottom w:val="dotted" w:sz="4" w:space="0" w:color="auto"/>
              <w:right w:val="dotted" w:sz="4" w:space="0" w:color="auto"/>
            </w:tcBorders>
            <w:shd w:val="clear" w:color="000000" w:fill="FFFFFF"/>
            <w:vAlign w:val="center"/>
            <w:hideMark/>
          </w:tcPr>
          <w:p w14:paraId="4A50ED8A" w14:textId="77777777" w:rsidR="009D6D4E" w:rsidRPr="00030958" w:rsidRDefault="009D6D4E" w:rsidP="00BF3B71">
            <w:pPr>
              <w:jc w:val="right"/>
              <w:rPr>
                <w:sz w:val="18"/>
                <w:szCs w:val="20"/>
                <w:lang w:val="en-US"/>
              </w:rPr>
            </w:pPr>
            <w:r w:rsidRPr="00030958">
              <w:rPr>
                <w:sz w:val="18"/>
                <w:szCs w:val="20"/>
                <w:lang w:val="en-US"/>
              </w:rPr>
              <w:t>:</w:t>
            </w:r>
          </w:p>
        </w:tc>
        <w:tc>
          <w:tcPr>
            <w:tcW w:w="406" w:type="pct"/>
            <w:tcBorders>
              <w:top w:val="nil"/>
              <w:left w:val="nil"/>
              <w:bottom w:val="dotted" w:sz="4" w:space="0" w:color="auto"/>
              <w:right w:val="dotted" w:sz="4" w:space="0" w:color="auto"/>
            </w:tcBorders>
            <w:shd w:val="clear" w:color="000000" w:fill="FFFFFF"/>
            <w:vAlign w:val="center"/>
            <w:hideMark/>
          </w:tcPr>
          <w:p w14:paraId="1DB5A7B8" w14:textId="77777777" w:rsidR="009D6D4E" w:rsidRPr="00030958" w:rsidRDefault="009D6D4E" w:rsidP="00BF3B71">
            <w:pPr>
              <w:jc w:val="right"/>
              <w:rPr>
                <w:sz w:val="18"/>
                <w:szCs w:val="20"/>
                <w:lang w:val="en-US"/>
              </w:rPr>
            </w:pPr>
            <w:r w:rsidRPr="00030958">
              <w:rPr>
                <w:sz w:val="18"/>
                <w:szCs w:val="20"/>
                <w:lang w:val="en-US"/>
              </w:rPr>
              <w:t>:</w:t>
            </w:r>
          </w:p>
        </w:tc>
        <w:tc>
          <w:tcPr>
            <w:tcW w:w="497" w:type="pct"/>
            <w:tcBorders>
              <w:top w:val="nil"/>
              <w:left w:val="nil"/>
              <w:bottom w:val="dotted" w:sz="4" w:space="0" w:color="auto"/>
              <w:right w:val="dotted" w:sz="4" w:space="0" w:color="auto"/>
            </w:tcBorders>
            <w:shd w:val="clear" w:color="000000" w:fill="FFFFFF"/>
            <w:vAlign w:val="center"/>
            <w:hideMark/>
          </w:tcPr>
          <w:p w14:paraId="5CEFF67D" w14:textId="77777777" w:rsidR="009D6D4E" w:rsidRPr="00030958" w:rsidRDefault="009D6D4E" w:rsidP="00BF3B71">
            <w:pPr>
              <w:jc w:val="right"/>
              <w:rPr>
                <w:sz w:val="18"/>
                <w:szCs w:val="20"/>
                <w:lang w:val="en-US"/>
              </w:rPr>
            </w:pPr>
            <w:r w:rsidRPr="00030958">
              <w:rPr>
                <w:sz w:val="18"/>
                <w:szCs w:val="20"/>
                <w:lang w:val="en-US"/>
              </w:rPr>
              <w:t>:</w:t>
            </w:r>
          </w:p>
        </w:tc>
        <w:tc>
          <w:tcPr>
            <w:tcW w:w="463" w:type="pct"/>
            <w:tcBorders>
              <w:top w:val="nil"/>
              <w:left w:val="nil"/>
              <w:bottom w:val="dotted" w:sz="4" w:space="0" w:color="auto"/>
              <w:right w:val="dotted" w:sz="4" w:space="0" w:color="auto"/>
            </w:tcBorders>
            <w:shd w:val="clear" w:color="000000" w:fill="FFFFFF"/>
            <w:vAlign w:val="center"/>
            <w:hideMark/>
          </w:tcPr>
          <w:p w14:paraId="7CCFFF89" w14:textId="77777777" w:rsidR="009D6D4E" w:rsidRPr="00030958" w:rsidRDefault="009D6D4E" w:rsidP="00BF3B71">
            <w:pPr>
              <w:jc w:val="right"/>
              <w:rPr>
                <w:sz w:val="18"/>
                <w:szCs w:val="20"/>
                <w:lang w:val="en-US"/>
              </w:rPr>
            </w:pPr>
            <w:r w:rsidRPr="00030958">
              <w:rPr>
                <w:sz w:val="18"/>
                <w:szCs w:val="20"/>
                <w:lang w:val="en-US"/>
              </w:rPr>
              <w:t>:</w:t>
            </w:r>
          </w:p>
        </w:tc>
        <w:tc>
          <w:tcPr>
            <w:tcW w:w="497" w:type="pct"/>
            <w:tcBorders>
              <w:top w:val="nil"/>
              <w:left w:val="nil"/>
              <w:bottom w:val="dotted" w:sz="4" w:space="0" w:color="auto"/>
              <w:right w:val="double" w:sz="6" w:space="0" w:color="auto"/>
            </w:tcBorders>
            <w:shd w:val="clear" w:color="000000" w:fill="FFFFFF"/>
            <w:vAlign w:val="center"/>
            <w:hideMark/>
          </w:tcPr>
          <w:p w14:paraId="528B1AB6" w14:textId="77777777" w:rsidR="009D6D4E" w:rsidRPr="00030958" w:rsidRDefault="009D6D4E" w:rsidP="00BF3B71">
            <w:pPr>
              <w:jc w:val="right"/>
              <w:rPr>
                <w:sz w:val="18"/>
                <w:szCs w:val="20"/>
                <w:lang w:val="en-US"/>
              </w:rPr>
            </w:pPr>
            <w:r w:rsidRPr="00030958">
              <w:rPr>
                <w:sz w:val="18"/>
                <w:szCs w:val="20"/>
                <w:lang w:val="en-US"/>
              </w:rPr>
              <w:t>:</w:t>
            </w:r>
          </w:p>
        </w:tc>
      </w:tr>
      <w:tr w:rsidR="009D6D4E" w:rsidRPr="00030958" w14:paraId="618B6C95" w14:textId="77777777" w:rsidTr="00BF3B71">
        <w:trPr>
          <w:trHeight w:val="283"/>
        </w:trPr>
        <w:tc>
          <w:tcPr>
            <w:tcW w:w="1656" w:type="pct"/>
            <w:tcBorders>
              <w:top w:val="nil"/>
              <w:left w:val="double" w:sz="6" w:space="0" w:color="auto"/>
              <w:bottom w:val="dotted" w:sz="4" w:space="0" w:color="auto"/>
              <w:right w:val="nil"/>
            </w:tcBorders>
            <w:shd w:val="clear" w:color="000000" w:fill="FFFFFF"/>
            <w:hideMark/>
          </w:tcPr>
          <w:p w14:paraId="56F01CD8" w14:textId="77777777" w:rsidR="009D6D4E" w:rsidRPr="00030958" w:rsidRDefault="009D6D4E" w:rsidP="00BF3B71">
            <w:pPr>
              <w:ind w:firstLineChars="100" w:firstLine="180"/>
              <w:rPr>
                <w:sz w:val="18"/>
                <w:szCs w:val="20"/>
                <w:lang w:val="en-US"/>
              </w:rPr>
            </w:pPr>
            <w:r w:rsidRPr="00030958">
              <w:rPr>
                <w:sz w:val="18"/>
                <w:szCs w:val="20"/>
                <w:lang w:val="en-US"/>
              </w:rPr>
              <w:t>4. Norma reale efektive e</w:t>
            </w:r>
            <w:r w:rsidRPr="00030958">
              <w:rPr>
                <w:sz w:val="18"/>
                <w:szCs w:val="20"/>
                <w:lang w:val="en-US"/>
              </w:rPr>
              <w:br/>
              <w:t>këmbimit</w:t>
            </w:r>
          </w:p>
        </w:tc>
        <w:tc>
          <w:tcPr>
            <w:tcW w:w="691" w:type="pct"/>
            <w:tcBorders>
              <w:top w:val="nil"/>
              <w:left w:val="dotted" w:sz="4" w:space="0" w:color="auto"/>
              <w:bottom w:val="dotted" w:sz="4" w:space="0" w:color="auto"/>
              <w:right w:val="single" w:sz="8" w:space="0" w:color="auto"/>
            </w:tcBorders>
            <w:shd w:val="clear" w:color="000000" w:fill="FFFFFF"/>
            <w:hideMark/>
          </w:tcPr>
          <w:p w14:paraId="548F723E" w14:textId="77777777" w:rsidR="009D6D4E" w:rsidRPr="00030958" w:rsidRDefault="009D6D4E" w:rsidP="00BF3B71">
            <w:pPr>
              <w:jc w:val="center"/>
              <w:rPr>
                <w:sz w:val="18"/>
                <w:szCs w:val="18"/>
                <w:lang w:val="en-US"/>
              </w:rPr>
            </w:pPr>
            <w:r w:rsidRPr="00030958">
              <w:rPr>
                <w:sz w:val="18"/>
                <w:szCs w:val="18"/>
                <w:lang w:val="en-US"/>
              </w:rPr>
              <w:t>%, vpv</w:t>
            </w:r>
          </w:p>
        </w:tc>
        <w:tc>
          <w:tcPr>
            <w:tcW w:w="384" w:type="pct"/>
            <w:tcBorders>
              <w:top w:val="nil"/>
              <w:left w:val="nil"/>
              <w:bottom w:val="dotted" w:sz="4" w:space="0" w:color="auto"/>
              <w:right w:val="dotted" w:sz="4" w:space="0" w:color="auto"/>
            </w:tcBorders>
            <w:shd w:val="clear" w:color="000000" w:fill="FFFFFF"/>
            <w:vAlign w:val="center"/>
            <w:hideMark/>
          </w:tcPr>
          <w:p w14:paraId="1E1EA452" w14:textId="77777777" w:rsidR="009D6D4E" w:rsidRPr="00030958" w:rsidRDefault="009D6D4E" w:rsidP="00BF3B71">
            <w:pPr>
              <w:jc w:val="right"/>
              <w:rPr>
                <w:sz w:val="18"/>
                <w:szCs w:val="20"/>
                <w:lang w:val="en-US"/>
              </w:rPr>
            </w:pPr>
            <w:r w:rsidRPr="00030958">
              <w:rPr>
                <w:sz w:val="18"/>
                <w:szCs w:val="20"/>
                <w:lang w:val="en-US"/>
              </w:rPr>
              <w:t>0.2</w:t>
            </w:r>
          </w:p>
        </w:tc>
        <w:tc>
          <w:tcPr>
            <w:tcW w:w="406" w:type="pct"/>
            <w:tcBorders>
              <w:top w:val="nil"/>
              <w:left w:val="nil"/>
              <w:bottom w:val="dotted" w:sz="4" w:space="0" w:color="auto"/>
              <w:right w:val="dotted" w:sz="4" w:space="0" w:color="auto"/>
            </w:tcBorders>
            <w:shd w:val="clear" w:color="000000" w:fill="FFFFFF"/>
            <w:vAlign w:val="center"/>
            <w:hideMark/>
          </w:tcPr>
          <w:p w14:paraId="18929191" w14:textId="77777777" w:rsidR="009D6D4E" w:rsidRPr="00030958" w:rsidRDefault="009D6D4E" w:rsidP="00BF3B71">
            <w:pPr>
              <w:jc w:val="right"/>
              <w:rPr>
                <w:sz w:val="18"/>
                <w:szCs w:val="20"/>
                <w:lang w:val="en-US"/>
              </w:rPr>
            </w:pPr>
            <w:r w:rsidRPr="00030958">
              <w:rPr>
                <w:sz w:val="18"/>
                <w:szCs w:val="20"/>
                <w:lang w:val="en-US"/>
              </w:rPr>
              <w:t>-1.8</w:t>
            </w:r>
          </w:p>
        </w:tc>
        <w:tc>
          <w:tcPr>
            <w:tcW w:w="406" w:type="pct"/>
            <w:tcBorders>
              <w:top w:val="nil"/>
              <w:left w:val="nil"/>
              <w:bottom w:val="dotted" w:sz="4" w:space="0" w:color="auto"/>
              <w:right w:val="dotted" w:sz="4" w:space="0" w:color="auto"/>
            </w:tcBorders>
            <w:shd w:val="clear" w:color="000000" w:fill="FFFFFF"/>
            <w:vAlign w:val="center"/>
            <w:hideMark/>
          </w:tcPr>
          <w:p w14:paraId="49E72EDB" w14:textId="77777777" w:rsidR="009D6D4E" w:rsidRPr="00030958" w:rsidRDefault="009D6D4E" w:rsidP="00BF3B71">
            <w:pPr>
              <w:jc w:val="right"/>
              <w:rPr>
                <w:sz w:val="18"/>
                <w:szCs w:val="20"/>
                <w:lang w:val="en-US"/>
              </w:rPr>
            </w:pPr>
            <w:r w:rsidRPr="00030958">
              <w:rPr>
                <w:sz w:val="18"/>
                <w:szCs w:val="20"/>
                <w:lang w:val="en-US"/>
              </w:rPr>
              <w:t>-0.1</w:t>
            </w:r>
          </w:p>
        </w:tc>
        <w:tc>
          <w:tcPr>
            <w:tcW w:w="497" w:type="pct"/>
            <w:tcBorders>
              <w:top w:val="nil"/>
              <w:left w:val="nil"/>
              <w:bottom w:val="dotted" w:sz="4" w:space="0" w:color="auto"/>
              <w:right w:val="dotted" w:sz="4" w:space="0" w:color="auto"/>
            </w:tcBorders>
            <w:shd w:val="clear" w:color="000000" w:fill="FFFFFF"/>
            <w:vAlign w:val="center"/>
            <w:hideMark/>
          </w:tcPr>
          <w:p w14:paraId="44FD76D4" w14:textId="77777777" w:rsidR="009D6D4E" w:rsidRPr="00030958" w:rsidRDefault="009D6D4E" w:rsidP="00BF3B71">
            <w:pPr>
              <w:jc w:val="right"/>
              <w:rPr>
                <w:sz w:val="18"/>
                <w:szCs w:val="20"/>
                <w:lang w:val="en-US"/>
              </w:rPr>
            </w:pPr>
            <w:r w:rsidRPr="00030958">
              <w:rPr>
                <w:sz w:val="18"/>
                <w:szCs w:val="20"/>
                <w:lang w:val="en-US"/>
              </w:rPr>
              <w:t>0.3</w:t>
            </w:r>
          </w:p>
        </w:tc>
        <w:tc>
          <w:tcPr>
            <w:tcW w:w="463" w:type="pct"/>
            <w:tcBorders>
              <w:top w:val="nil"/>
              <w:left w:val="nil"/>
              <w:bottom w:val="dotted" w:sz="4" w:space="0" w:color="auto"/>
              <w:right w:val="dotted" w:sz="4" w:space="0" w:color="auto"/>
            </w:tcBorders>
            <w:shd w:val="clear" w:color="000000" w:fill="FFFFFF"/>
            <w:vAlign w:val="center"/>
            <w:hideMark/>
          </w:tcPr>
          <w:p w14:paraId="4AC472BD" w14:textId="77777777" w:rsidR="009D6D4E" w:rsidRPr="00030958" w:rsidRDefault="009D6D4E" w:rsidP="00BF3B71">
            <w:pPr>
              <w:jc w:val="right"/>
              <w:rPr>
                <w:sz w:val="18"/>
                <w:szCs w:val="20"/>
                <w:lang w:val="en-US"/>
              </w:rPr>
            </w:pPr>
            <w:r w:rsidRPr="00030958">
              <w:rPr>
                <w:sz w:val="18"/>
                <w:szCs w:val="20"/>
                <w:lang w:val="en-US"/>
              </w:rPr>
              <w:t>-0.3</w:t>
            </w:r>
          </w:p>
        </w:tc>
        <w:tc>
          <w:tcPr>
            <w:tcW w:w="497" w:type="pct"/>
            <w:tcBorders>
              <w:top w:val="nil"/>
              <w:left w:val="nil"/>
              <w:bottom w:val="dotted" w:sz="4" w:space="0" w:color="auto"/>
              <w:right w:val="double" w:sz="6" w:space="0" w:color="auto"/>
            </w:tcBorders>
            <w:shd w:val="clear" w:color="000000" w:fill="FFFFFF"/>
            <w:vAlign w:val="center"/>
            <w:hideMark/>
          </w:tcPr>
          <w:p w14:paraId="6D72A0B0" w14:textId="77777777" w:rsidR="009D6D4E" w:rsidRPr="00030958" w:rsidRDefault="009D6D4E" w:rsidP="00BF3B71">
            <w:pPr>
              <w:jc w:val="right"/>
              <w:rPr>
                <w:sz w:val="18"/>
                <w:szCs w:val="20"/>
                <w:lang w:val="en-US"/>
              </w:rPr>
            </w:pPr>
            <w:r w:rsidRPr="00030958">
              <w:rPr>
                <w:sz w:val="18"/>
                <w:szCs w:val="20"/>
                <w:lang w:val="en-US"/>
              </w:rPr>
              <w:t>2.3</w:t>
            </w:r>
          </w:p>
        </w:tc>
      </w:tr>
      <w:tr w:rsidR="009D6D4E" w:rsidRPr="00030958" w14:paraId="657F99C4" w14:textId="77777777" w:rsidTr="00BF3B71">
        <w:trPr>
          <w:trHeight w:val="283"/>
        </w:trPr>
        <w:tc>
          <w:tcPr>
            <w:tcW w:w="1656" w:type="pct"/>
            <w:tcBorders>
              <w:top w:val="nil"/>
              <w:left w:val="double" w:sz="6" w:space="0" w:color="auto"/>
              <w:bottom w:val="dotted" w:sz="4" w:space="0" w:color="auto"/>
              <w:right w:val="nil"/>
            </w:tcBorders>
            <w:shd w:val="clear" w:color="000000" w:fill="FFFFFF"/>
            <w:hideMark/>
          </w:tcPr>
          <w:p w14:paraId="3CD178A8" w14:textId="77777777" w:rsidR="009D6D4E" w:rsidRPr="00FC648F" w:rsidRDefault="009D6D4E" w:rsidP="00BF3B71">
            <w:pPr>
              <w:ind w:firstLineChars="100" w:firstLine="180"/>
              <w:rPr>
                <w:sz w:val="18"/>
                <w:szCs w:val="20"/>
                <w:lang w:val="fr-BE"/>
              </w:rPr>
            </w:pPr>
            <w:r w:rsidRPr="00FC648F">
              <w:rPr>
                <w:sz w:val="18"/>
                <w:szCs w:val="20"/>
                <w:lang w:val="fr-BE"/>
              </w:rPr>
              <w:t>5. Kostoja nominale e njësisë</w:t>
            </w:r>
            <w:r w:rsidRPr="00FC648F">
              <w:rPr>
                <w:sz w:val="18"/>
                <w:szCs w:val="20"/>
                <w:lang w:val="fr-BE"/>
              </w:rPr>
              <w:br/>
              <w:t>se punes</w:t>
            </w:r>
          </w:p>
        </w:tc>
        <w:tc>
          <w:tcPr>
            <w:tcW w:w="691" w:type="pct"/>
            <w:tcBorders>
              <w:top w:val="nil"/>
              <w:left w:val="dotted" w:sz="4" w:space="0" w:color="auto"/>
              <w:bottom w:val="dotted" w:sz="4" w:space="0" w:color="auto"/>
              <w:right w:val="single" w:sz="8" w:space="0" w:color="auto"/>
            </w:tcBorders>
            <w:shd w:val="clear" w:color="000000" w:fill="FFFFFF"/>
            <w:hideMark/>
          </w:tcPr>
          <w:p w14:paraId="4B0E876B" w14:textId="77777777" w:rsidR="009D6D4E" w:rsidRPr="00030958" w:rsidRDefault="009D6D4E" w:rsidP="00BF3B71">
            <w:pPr>
              <w:jc w:val="center"/>
              <w:rPr>
                <w:sz w:val="18"/>
                <w:szCs w:val="18"/>
                <w:lang w:val="en-US"/>
              </w:rPr>
            </w:pPr>
            <w:r w:rsidRPr="00030958">
              <w:rPr>
                <w:sz w:val="18"/>
                <w:szCs w:val="18"/>
                <w:lang w:val="en-US"/>
              </w:rPr>
              <w:t>%, vpv</w:t>
            </w:r>
          </w:p>
        </w:tc>
        <w:tc>
          <w:tcPr>
            <w:tcW w:w="384" w:type="pct"/>
            <w:tcBorders>
              <w:top w:val="nil"/>
              <w:left w:val="nil"/>
              <w:bottom w:val="dotted" w:sz="4" w:space="0" w:color="auto"/>
              <w:right w:val="dotted" w:sz="4" w:space="0" w:color="auto"/>
            </w:tcBorders>
            <w:shd w:val="clear" w:color="000000" w:fill="FFFFFF"/>
            <w:vAlign w:val="center"/>
            <w:hideMark/>
          </w:tcPr>
          <w:p w14:paraId="076DEB2B" w14:textId="77777777" w:rsidR="009D6D4E" w:rsidRPr="00030958" w:rsidRDefault="009D6D4E" w:rsidP="00BF3B71">
            <w:pPr>
              <w:jc w:val="right"/>
              <w:rPr>
                <w:sz w:val="18"/>
                <w:szCs w:val="20"/>
                <w:lang w:val="en-US"/>
              </w:rPr>
            </w:pPr>
            <w:r w:rsidRPr="00030958">
              <w:rPr>
                <w:sz w:val="18"/>
                <w:szCs w:val="20"/>
                <w:lang w:val="en-US"/>
              </w:rPr>
              <w:t>-0.7</w:t>
            </w:r>
          </w:p>
        </w:tc>
        <w:tc>
          <w:tcPr>
            <w:tcW w:w="406" w:type="pct"/>
            <w:tcBorders>
              <w:top w:val="nil"/>
              <w:left w:val="nil"/>
              <w:bottom w:val="dotted" w:sz="4" w:space="0" w:color="auto"/>
              <w:right w:val="dotted" w:sz="4" w:space="0" w:color="auto"/>
            </w:tcBorders>
            <w:shd w:val="clear" w:color="000000" w:fill="FFFFFF"/>
            <w:vAlign w:val="center"/>
            <w:hideMark/>
          </w:tcPr>
          <w:p w14:paraId="1EE37530" w14:textId="77777777" w:rsidR="009D6D4E" w:rsidRPr="00030958" w:rsidRDefault="009D6D4E" w:rsidP="00BF3B71">
            <w:pPr>
              <w:jc w:val="right"/>
              <w:rPr>
                <w:sz w:val="18"/>
                <w:szCs w:val="20"/>
                <w:lang w:val="en-US"/>
              </w:rPr>
            </w:pPr>
            <w:r w:rsidRPr="00030958">
              <w:rPr>
                <w:sz w:val="18"/>
                <w:szCs w:val="20"/>
                <w:lang w:val="en-US"/>
              </w:rPr>
              <w:t>-6.9</w:t>
            </w:r>
          </w:p>
        </w:tc>
        <w:tc>
          <w:tcPr>
            <w:tcW w:w="406" w:type="pct"/>
            <w:tcBorders>
              <w:top w:val="nil"/>
              <w:left w:val="nil"/>
              <w:bottom w:val="dotted" w:sz="4" w:space="0" w:color="auto"/>
              <w:right w:val="dotted" w:sz="4" w:space="0" w:color="auto"/>
            </w:tcBorders>
            <w:shd w:val="clear" w:color="000000" w:fill="FFFFFF"/>
            <w:vAlign w:val="center"/>
            <w:hideMark/>
          </w:tcPr>
          <w:p w14:paraId="17137E7E" w14:textId="77777777" w:rsidR="009D6D4E" w:rsidRPr="00030958" w:rsidRDefault="009D6D4E" w:rsidP="00BF3B71">
            <w:pPr>
              <w:jc w:val="right"/>
              <w:rPr>
                <w:sz w:val="18"/>
                <w:szCs w:val="20"/>
                <w:lang w:val="en-US"/>
              </w:rPr>
            </w:pPr>
            <w:r w:rsidRPr="00030958">
              <w:rPr>
                <w:sz w:val="18"/>
                <w:szCs w:val="20"/>
                <w:lang w:val="en-US"/>
              </w:rPr>
              <w:t>8.8</w:t>
            </w:r>
          </w:p>
        </w:tc>
        <w:tc>
          <w:tcPr>
            <w:tcW w:w="497" w:type="pct"/>
            <w:tcBorders>
              <w:top w:val="nil"/>
              <w:left w:val="nil"/>
              <w:bottom w:val="dotted" w:sz="4" w:space="0" w:color="auto"/>
              <w:right w:val="dotted" w:sz="4" w:space="0" w:color="auto"/>
            </w:tcBorders>
            <w:shd w:val="clear" w:color="000000" w:fill="FFFFFF"/>
            <w:vAlign w:val="center"/>
            <w:hideMark/>
          </w:tcPr>
          <w:p w14:paraId="61E86942" w14:textId="77777777" w:rsidR="009D6D4E" w:rsidRPr="00030958" w:rsidRDefault="009D6D4E" w:rsidP="00BF3B71">
            <w:pPr>
              <w:jc w:val="right"/>
              <w:rPr>
                <w:sz w:val="18"/>
                <w:szCs w:val="20"/>
                <w:lang w:val="en-US"/>
              </w:rPr>
            </w:pPr>
            <w:r w:rsidRPr="00030958">
              <w:rPr>
                <w:sz w:val="18"/>
                <w:szCs w:val="20"/>
                <w:lang w:val="en-US"/>
              </w:rPr>
              <w:t>3.6</w:t>
            </w:r>
          </w:p>
        </w:tc>
        <w:tc>
          <w:tcPr>
            <w:tcW w:w="463" w:type="pct"/>
            <w:tcBorders>
              <w:top w:val="nil"/>
              <w:left w:val="nil"/>
              <w:bottom w:val="dotted" w:sz="4" w:space="0" w:color="auto"/>
              <w:right w:val="dotted" w:sz="4" w:space="0" w:color="auto"/>
            </w:tcBorders>
            <w:shd w:val="clear" w:color="000000" w:fill="FFFFFF"/>
            <w:vAlign w:val="center"/>
            <w:hideMark/>
          </w:tcPr>
          <w:p w14:paraId="2C1AFFBD" w14:textId="77777777" w:rsidR="009D6D4E" w:rsidRPr="00030958" w:rsidRDefault="009D6D4E" w:rsidP="00BF3B71">
            <w:pPr>
              <w:jc w:val="right"/>
              <w:rPr>
                <w:sz w:val="18"/>
                <w:szCs w:val="20"/>
                <w:lang w:val="en-US"/>
              </w:rPr>
            </w:pPr>
            <w:r w:rsidRPr="00030958">
              <w:rPr>
                <w:sz w:val="18"/>
                <w:szCs w:val="20"/>
                <w:lang w:val="en-US"/>
              </w:rPr>
              <w:t>-2.6</w:t>
            </w:r>
          </w:p>
        </w:tc>
        <w:tc>
          <w:tcPr>
            <w:tcW w:w="497" w:type="pct"/>
            <w:tcBorders>
              <w:top w:val="nil"/>
              <w:left w:val="nil"/>
              <w:bottom w:val="dotted" w:sz="4" w:space="0" w:color="auto"/>
              <w:right w:val="double" w:sz="6" w:space="0" w:color="auto"/>
            </w:tcBorders>
            <w:shd w:val="clear" w:color="000000" w:fill="FFFFFF"/>
            <w:vAlign w:val="center"/>
            <w:hideMark/>
          </w:tcPr>
          <w:p w14:paraId="22D1CBAE" w14:textId="77777777" w:rsidR="009D6D4E" w:rsidRPr="00030958" w:rsidRDefault="009D6D4E" w:rsidP="00BF3B71">
            <w:pPr>
              <w:jc w:val="right"/>
              <w:rPr>
                <w:sz w:val="18"/>
                <w:szCs w:val="20"/>
                <w:lang w:val="en-US"/>
              </w:rPr>
            </w:pPr>
            <w:r w:rsidRPr="00030958">
              <w:rPr>
                <w:sz w:val="18"/>
                <w:szCs w:val="20"/>
                <w:lang w:val="en-US"/>
              </w:rPr>
              <w:t>:</w:t>
            </w:r>
          </w:p>
        </w:tc>
      </w:tr>
      <w:tr w:rsidR="009D6D4E" w:rsidRPr="00030958" w14:paraId="2C81EB2E" w14:textId="77777777" w:rsidTr="00BF3B71">
        <w:trPr>
          <w:trHeight w:val="283"/>
        </w:trPr>
        <w:tc>
          <w:tcPr>
            <w:tcW w:w="1656" w:type="pct"/>
            <w:tcBorders>
              <w:top w:val="nil"/>
              <w:left w:val="double" w:sz="6" w:space="0" w:color="auto"/>
              <w:bottom w:val="dotted" w:sz="4" w:space="0" w:color="auto"/>
              <w:right w:val="nil"/>
            </w:tcBorders>
            <w:shd w:val="clear" w:color="000000" w:fill="FFFFFF"/>
            <w:hideMark/>
          </w:tcPr>
          <w:p w14:paraId="6B3ADFF3" w14:textId="77777777" w:rsidR="009D6D4E" w:rsidRPr="00030958" w:rsidRDefault="009D6D4E" w:rsidP="00BF3B71">
            <w:pPr>
              <w:ind w:firstLineChars="100" w:firstLine="180"/>
              <w:rPr>
                <w:sz w:val="18"/>
                <w:szCs w:val="20"/>
                <w:lang w:val="en-US"/>
              </w:rPr>
            </w:pPr>
            <w:r w:rsidRPr="00030958">
              <w:rPr>
                <w:sz w:val="18"/>
                <w:szCs w:val="20"/>
                <w:lang w:val="en-US"/>
              </w:rPr>
              <w:t xml:space="preserve">6. Kreditimi i sektorit privat </w:t>
            </w:r>
          </w:p>
        </w:tc>
        <w:tc>
          <w:tcPr>
            <w:tcW w:w="691" w:type="pct"/>
            <w:tcBorders>
              <w:top w:val="nil"/>
              <w:left w:val="dotted" w:sz="4" w:space="0" w:color="auto"/>
              <w:bottom w:val="dotted" w:sz="4" w:space="0" w:color="auto"/>
              <w:right w:val="single" w:sz="8" w:space="0" w:color="auto"/>
            </w:tcBorders>
            <w:shd w:val="clear" w:color="000000" w:fill="FFFFFF"/>
            <w:hideMark/>
          </w:tcPr>
          <w:p w14:paraId="4CAE4EC2" w14:textId="77777777" w:rsidR="009D6D4E" w:rsidRPr="00030958" w:rsidRDefault="009D6D4E" w:rsidP="00BF3B71">
            <w:pPr>
              <w:jc w:val="center"/>
              <w:rPr>
                <w:sz w:val="18"/>
                <w:szCs w:val="18"/>
                <w:lang w:val="en-US"/>
              </w:rPr>
            </w:pPr>
            <w:r w:rsidRPr="00030958">
              <w:rPr>
                <w:sz w:val="18"/>
                <w:szCs w:val="18"/>
                <w:lang w:val="en-US"/>
              </w:rPr>
              <w:t>% e BPV-së</w:t>
            </w:r>
          </w:p>
        </w:tc>
        <w:tc>
          <w:tcPr>
            <w:tcW w:w="384" w:type="pct"/>
            <w:tcBorders>
              <w:top w:val="nil"/>
              <w:left w:val="nil"/>
              <w:bottom w:val="dotted" w:sz="4" w:space="0" w:color="auto"/>
              <w:right w:val="dotted" w:sz="4" w:space="0" w:color="auto"/>
            </w:tcBorders>
            <w:shd w:val="clear" w:color="000000" w:fill="FFFFFF"/>
            <w:vAlign w:val="center"/>
            <w:hideMark/>
          </w:tcPr>
          <w:p w14:paraId="56104E74" w14:textId="77777777" w:rsidR="009D6D4E" w:rsidRPr="00030958" w:rsidRDefault="009D6D4E" w:rsidP="00BF3B71">
            <w:pPr>
              <w:jc w:val="right"/>
              <w:rPr>
                <w:sz w:val="18"/>
                <w:szCs w:val="20"/>
                <w:lang w:val="en-US"/>
              </w:rPr>
            </w:pPr>
            <w:r w:rsidRPr="00030958">
              <w:rPr>
                <w:sz w:val="18"/>
                <w:szCs w:val="20"/>
                <w:lang w:val="en-US"/>
              </w:rPr>
              <w:t>29.2</w:t>
            </w:r>
          </w:p>
        </w:tc>
        <w:tc>
          <w:tcPr>
            <w:tcW w:w="406" w:type="pct"/>
            <w:tcBorders>
              <w:top w:val="nil"/>
              <w:left w:val="nil"/>
              <w:bottom w:val="dotted" w:sz="4" w:space="0" w:color="auto"/>
              <w:right w:val="dotted" w:sz="4" w:space="0" w:color="auto"/>
            </w:tcBorders>
            <w:shd w:val="clear" w:color="000000" w:fill="FFFFFF"/>
            <w:vAlign w:val="center"/>
            <w:hideMark/>
          </w:tcPr>
          <w:p w14:paraId="4A9E9A26" w14:textId="77777777" w:rsidR="009D6D4E" w:rsidRPr="00030958" w:rsidRDefault="009D6D4E" w:rsidP="00BF3B71">
            <w:pPr>
              <w:jc w:val="right"/>
              <w:rPr>
                <w:sz w:val="18"/>
                <w:szCs w:val="20"/>
                <w:lang w:val="en-US"/>
              </w:rPr>
            </w:pPr>
            <w:r w:rsidRPr="00030958">
              <w:rPr>
                <w:sz w:val="18"/>
                <w:szCs w:val="20"/>
                <w:lang w:val="en-US"/>
              </w:rPr>
              <w:t>29.9</w:t>
            </w:r>
          </w:p>
        </w:tc>
        <w:tc>
          <w:tcPr>
            <w:tcW w:w="406" w:type="pct"/>
            <w:tcBorders>
              <w:top w:val="nil"/>
              <w:left w:val="nil"/>
              <w:bottom w:val="dotted" w:sz="4" w:space="0" w:color="auto"/>
              <w:right w:val="dotted" w:sz="4" w:space="0" w:color="auto"/>
            </w:tcBorders>
            <w:shd w:val="clear" w:color="000000" w:fill="FFFFFF"/>
            <w:vAlign w:val="center"/>
            <w:hideMark/>
          </w:tcPr>
          <w:p w14:paraId="418C6DC2" w14:textId="77777777" w:rsidR="009D6D4E" w:rsidRPr="00030958" w:rsidRDefault="009D6D4E" w:rsidP="00BF3B71">
            <w:pPr>
              <w:jc w:val="right"/>
              <w:rPr>
                <w:sz w:val="18"/>
                <w:szCs w:val="20"/>
                <w:lang w:val="en-US"/>
              </w:rPr>
            </w:pPr>
            <w:r w:rsidRPr="00030958">
              <w:rPr>
                <w:sz w:val="18"/>
                <w:szCs w:val="20"/>
                <w:lang w:val="en-US"/>
              </w:rPr>
              <w:t>31.2</w:t>
            </w:r>
          </w:p>
        </w:tc>
        <w:tc>
          <w:tcPr>
            <w:tcW w:w="497" w:type="pct"/>
            <w:tcBorders>
              <w:top w:val="nil"/>
              <w:left w:val="nil"/>
              <w:bottom w:val="dotted" w:sz="4" w:space="0" w:color="auto"/>
              <w:right w:val="dotted" w:sz="4" w:space="0" w:color="auto"/>
            </w:tcBorders>
            <w:shd w:val="clear" w:color="000000" w:fill="FFFFFF"/>
            <w:vAlign w:val="center"/>
            <w:hideMark/>
          </w:tcPr>
          <w:p w14:paraId="435B9008" w14:textId="77777777" w:rsidR="009D6D4E" w:rsidRPr="00030958" w:rsidRDefault="009D6D4E" w:rsidP="00BF3B71">
            <w:pPr>
              <w:jc w:val="right"/>
              <w:rPr>
                <w:sz w:val="18"/>
                <w:szCs w:val="20"/>
                <w:lang w:val="en-US"/>
              </w:rPr>
            </w:pPr>
            <w:r w:rsidRPr="00030958">
              <w:rPr>
                <w:sz w:val="18"/>
                <w:szCs w:val="20"/>
                <w:lang w:val="en-US"/>
              </w:rPr>
              <w:t>32.9</w:t>
            </w:r>
          </w:p>
        </w:tc>
        <w:tc>
          <w:tcPr>
            <w:tcW w:w="463" w:type="pct"/>
            <w:tcBorders>
              <w:top w:val="nil"/>
              <w:left w:val="nil"/>
              <w:bottom w:val="dotted" w:sz="4" w:space="0" w:color="auto"/>
              <w:right w:val="dotted" w:sz="4" w:space="0" w:color="auto"/>
            </w:tcBorders>
            <w:shd w:val="clear" w:color="000000" w:fill="FFFFFF"/>
            <w:vAlign w:val="center"/>
            <w:hideMark/>
          </w:tcPr>
          <w:p w14:paraId="2AB1539B" w14:textId="77777777" w:rsidR="009D6D4E" w:rsidRPr="00030958" w:rsidRDefault="009D6D4E" w:rsidP="00BF3B71">
            <w:pPr>
              <w:jc w:val="right"/>
              <w:rPr>
                <w:sz w:val="18"/>
                <w:szCs w:val="20"/>
                <w:lang w:val="en-US"/>
              </w:rPr>
            </w:pPr>
            <w:r w:rsidRPr="00030958">
              <w:rPr>
                <w:sz w:val="18"/>
                <w:szCs w:val="20"/>
                <w:lang w:val="en-US"/>
              </w:rPr>
              <w:t>34.5</w:t>
            </w:r>
          </w:p>
        </w:tc>
        <w:tc>
          <w:tcPr>
            <w:tcW w:w="497" w:type="pct"/>
            <w:tcBorders>
              <w:top w:val="nil"/>
              <w:left w:val="nil"/>
              <w:bottom w:val="dotted" w:sz="4" w:space="0" w:color="auto"/>
              <w:right w:val="double" w:sz="6" w:space="0" w:color="auto"/>
            </w:tcBorders>
            <w:shd w:val="clear" w:color="000000" w:fill="FFFFFF"/>
            <w:vAlign w:val="center"/>
            <w:hideMark/>
          </w:tcPr>
          <w:p w14:paraId="6FE12CD5" w14:textId="77777777" w:rsidR="009D6D4E" w:rsidRPr="00030958" w:rsidRDefault="009D6D4E" w:rsidP="00BF3B71">
            <w:pPr>
              <w:jc w:val="right"/>
              <w:rPr>
                <w:sz w:val="18"/>
                <w:szCs w:val="20"/>
                <w:lang w:val="en-US"/>
              </w:rPr>
            </w:pPr>
            <w:r w:rsidRPr="00030958">
              <w:rPr>
                <w:sz w:val="18"/>
                <w:szCs w:val="20"/>
                <w:lang w:val="en-US"/>
              </w:rPr>
              <w:t>35.1</w:t>
            </w:r>
          </w:p>
        </w:tc>
      </w:tr>
      <w:tr w:rsidR="009D6D4E" w:rsidRPr="00030958" w14:paraId="2CC9FCEB" w14:textId="77777777" w:rsidTr="00BF3B71">
        <w:trPr>
          <w:trHeight w:val="283"/>
        </w:trPr>
        <w:tc>
          <w:tcPr>
            <w:tcW w:w="1656" w:type="pct"/>
            <w:tcBorders>
              <w:top w:val="nil"/>
              <w:left w:val="double" w:sz="6" w:space="0" w:color="auto"/>
              <w:bottom w:val="dotted" w:sz="4" w:space="0" w:color="auto"/>
              <w:right w:val="nil"/>
            </w:tcBorders>
            <w:shd w:val="clear" w:color="000000" w:fill="FFFFFF"/>
            <w:hideMark/>
          </w:tcPr>
          <w:p w14:paraId="0F280AAC" w14:textId="77777777" w:rsidR="009D6D4E" w:rsidRPr="00030958" w:rsidRDefault="009D6D4E" w:rsidP="00BF3B71">
            <w:pPr>
              <w:ind w:firstLineChars="100" w:firstLine="180"/>
              <w:rPr>
                <w:sz w:val="18"/>
                <w:szCs w:val="20"/>
                <w:lang w:val="en-US"/>
              </w:rPr>
            </w:pPr>
            <w:r w:rsidRPr="00030958">
              <w:rPr>
                <w:sz w:val="18"/>
                <w:szCs w:val="20"/>
                <w:lang w:val="en-US"/>
              </w:rPr>
              <w:t xml:space="preserve">7. Borxhi i sektorit privat </w:t>
            </w:r>
          </w:p>
        </w:tc>
        <w:tc>
          <w:tcPr>
            <w:tcW w:w="691" w:type="pct"/>
            <w:tcBorders>
              <w:top w:val="nil"/>
              <w:left w:val="dotted" w:sz="4" w:space="0" w:color="auto"/>
              <w:bottom w:val="dotted" w:sz="4" w:space="0" w:color="auto"/>
              <w:right w:val="single" w:sz="8" w:space="0" w:color="auto"/>
            </w:tcBorders>
            <w:shd w:val="clear" w:color="000000" w:fill="FFFFFF"/>
            <w:hideMark/>
          </w:tcPr>
          <w:p w14:paraId="0E2E1C7D" w14:textId="77777777" w:rsidR="009D6D4E" w:rsidRPr="00030958" w:rsidRDefault="009D6D4E" w:rsidP="00BF3B71">
            <w:pPr>
              <w:jc w:val="center"/>
              <w:rPr>
                <w:sz w:val="18"/>
                <w:szCs w:val="18"/>
                <w:lang w:val="en-US"/>
              </w:rPr>
            </w:pPr>
            <w:r w:rsidRPr="00030958">
              <w:rPr>
                <w:sz w:val="18"/>
                <w:szCs w:val="18"/>
                <w:lang w:val="en-US"/>
              </w:rPr>
              <w:t>% e BPV-së</w:t>
            </w:r>
          </w:p>
        </w:tc>
        <w:tc>
          <w:tcPr>
            <w:tcW w:w="384" w:type="pct"/>
            <w:tcBorders>
              <w:top w:val="nil"/>
              <w:left w:val="nil"/>
              <w:bottom w:val="dotted" w:sz="4" w:space="0" w:color="auto"/>
              <w:right w:val="dotted" w:sz="4" w:space="0" w:color="auto"/>
            </w:tcBorders>
            <w:shd w:val="clear" w:color="000000" w:fill="FFFFFF"/>
            <w:vAlign w:val="center"/>
            <w:hideMark/>
          </w:tcPr>
          <w:p w14:paraId="1A079D23" w14:textId="77777777" w:rsidR="009D6D4E" w:rsidRPr="00030958" w:rsidRDefault="009D6D4E" w:rsidP="00BF3B71">
            <w:pPr>
              <w:jc w:val="right"/>
              <w:rPr>
                <w:sz w:val="18"/>
                <w:szCs w:val="20"/>
                <w:lang w:val="en-US"/>
              </w:rPr>
            </w:pPr>
            <w:r w:rsidRPr="00030958">
              <w:rPr>
                <w:sz w:val="18"/>
                <w:szCs w:val="20"/>
                <w:lang w:val="en-US"/>
              </w:rPr>
              <w:t>21.0</w:t>
            </w:r>
          </w:p>
        </w:tc>
        <w:tc>
          <w:tcPr>
            <w:tcW w:w="406" w:type="pct"/>
            <w:tcBorders>
              <w:top w:val="nil"/>
              <w:left w:val="nil"/>
              <w:bottom w:val="dotted" w:sz="4" w:space="0" w:color="auto"/>
              <w:right w:val="dotted" w:sz="4" w:space="0" w:color="auto"/>
            </w:tcBorders>
            <w:shd w:val="clear" w:color="000000" w:fill="FFFFFF"/>
            <w:vAlign w:val="center"/>
            <w:hideMark/>
          </w:tcPr>
          <w:p w14:paraId="31240442" w14:textId="77777777" w:rsidR="009D6D4E" w:rsidRPr="00030958" w:rsidRDefault="009D6D4E" w:rsidP="00BF3B71">
            <w:pPr>
              <w:jc w:val="right"/>
              <w:rPr>
                <w:sz w:val="18"/>
                <w:szCs w:val="20"/>
                <w:lang w:val="en-US"/>
              </w:rPr>
            </w:pPr>
            <w:r w:rsidRPr="00030958">
              <w:rPr>
                <w:sz w:val="18"/>
                <w:szCs w:val="20"/>
                <w:lang w:val="en-US"/>
              </w:rPr>
              <w:t>22.2</w:t>
            </w:r>
          </w:p>
        </w:tc>
        <w:tc>
          <w:tcPr>
            <w:tcW w:w="406" w:type="pct"/>
            <w:tcBorders>
              <w:top w:val="nil"/>
              <w:left w:val="nil"/>
              <w:bottom w:val="dotted" w:sz="4" w:space="0" w:color="auto"/>
              <w:right w:val="dotted" w:sz="4" w:space="0" w:color="auto"/>
            </w:tcBorders>
            <w:shd w:val="clear" w:color="000000" w:fill="FFFFFF"/>
            <w:vAlign w:val="center"/>
            <w:hideMark/>
          </w:tcPr>
          <w:p w14:paraId="4DC428D3" w14:textId="77777777" w:rsidR="009D6D4E" w:rsidRPr="00030958" w:rsidRDefault="009D6D4E" w:rsidP="00BF3B71">
            <w:pPr>
              <w:jc w:val="right"/>
              <w:rPr>
                <w:sz w:val="18"/>
                <w:szCs w:val="20"/>
                <w:lang w:val="en-US"/>
              </w:rPr>
            </w:pPr>
            <w:r w:rsidRPr="00030958">
              <w:rPr>
                <w:sz w:val="18"/>
                <w:szCs w:val="20"/>
                <w:lang w:val="en-US"/>
              </w:rPr>
              <w:t>22.1</w:t>
            </w:r>
          </w:p>
        </w:tc>
        <w:tc>
          <w:tcPr>
            <w:tcW w:w="497" w:type="pct"/>
            <w:tcBorders>
              <w:top w:val="nil"/>
              <w:left w:val="nil"/>
              <w:bottom w:val="dotted" w:sz="4" w:space="0" w:color="auto"/>
              <w:right w:val="dotted" w:sz="4" w:space="0" w:color="auto"/>
            </w:tcBorders>
            <w:shd w:val="clear" w:color="000000" w:fill="FFFFFF"/>
            <w:vAlign w:val="center"/>
            <w:hideMark/>
          </w:tcPr>
          <w:p w14:paraId="795F001D" w14:textId="77777777" w:rsidR="009D6D4E" w:rsidRPr="00030958" w:rsidRDefault="009D6D4E" w:rsidP="00BF3B71">
            <w:pPr>
              <w:jc w:val="right"/>
              <w:rPr>
                <w:sz w:val="18"/>
                <w:szCs w:val="20"/>
                <w:lang w:val="en-US"/>
              </w:rPr>
            </w:pPr>
            <w:r w:rsidRPr="00030958">
              <w:rPr>
                <w:sz w:val="18"/>
                <w:szCs w:val="20"/>
                <w:lang w:val="en-US"/>
              </w:rPr>
              <w:t>21.1</w:t>
            </w:r>
          </w:p>
        </w:tc>
        <w:tc>
          <w:tcPr>
            <w:tcW w:w="463" w:type="pct"/>
            <w:tcBorders>
              <w:top w:val="nil"/>
              <w:left w:val="nil"/>
              <w:bottom w:val="dotted" w:sz="4" w:space="0" w:color="auto"/>
              <w:right w:val="dotted" w:sz="4" w:space="0" w:color="auto"/>
            </w:tcBorders>
            <w:shd w:val="clear" w:color="000000" w:fill="FFFFFF"/>
            <w:vAlign w:val="center"/>
            <w:hideMark/>
          </w:tcPr>
          <w:p w14:paraId="4C945417" w14:textId="77777777" w:rsidR="009D6D4E" w:rsidRPr="00030958" w:rsidRDefault="009D6D4E" w:rsidP="00BF3B71">
            <w:pPr>
              <w:jc w:val="right"/>
              <w:rPr>
                <w:sz w:val="18"/>
                <w:szCs w:val="20"/>
                <w:lang w:val="en-US"/>
              </w:rPr>
            </w:pPr>
            <w:r w:rsidRPr="00030958">
              <w:rPr>
                <w:sz w:val="18"/>
                <w:szCs w:val="20"/>
                <w:lang w:val="en-US"/>
              </w:rPr>
              <w:t>19.3</w:t>
            </w:r>
          </w:p>
        </w:tc>
        <w:tc>
          <w:tcPr>
            <w:tcW w:w="497" w:type="pct"/>
            <w:tcBorders>
              <w:top w:val="nil"/>
              <w:left w:val="nil"/>
              <w:bottom w:val="dotted" w:sz="4" w:space="0" w:color="auto"/>
              <w:right w:val="double" w:sz="6" w:space="0" w:color="auto"/>
            </w:tcBorders>
            <w:shd w:val="clear" w:color="000000" w:fill="FFFFFF"/>
            <w:vAlign w:val="center"/>
            <w:hideMark/>
          </w:tcPr>
          <w:p w14:paraId="716AE46C" w14:textId="77777777" w:rsidR="009D6D4E" w:rsidRPr="00030958" w:rsidRDefault="009D6D4E" w:rsidP="00BF3B71">
            <w:pPr>
              <w:jc w:val="right"/>
              <w:rPr>
                <w:sz w:val="18"/>
                <w:szCs w:val="20"/>
                <w:lang w:val="en-US"/>
              </w:rPr>
            </w:pPr>
            <w:r w:rsidRPr="00030958">
              <w:rPr>
                <w:sz w:val="18"/>
                <w:szCs w:val="20"/>
                <w:lang w:val="en-US"/>
              </w:rPr>
              <w:t>19.7</w:t>
            </w:r>
          </w:p>
        </w:tc>
      </w:tr>
      <w:tr w:rsidR="009D6D4E" w:rsidRPr="00030958" w14:paraId="47F11F6D" w14:textId="77777777" w:rsidTr="00BF3B71">
        <w:trPr>
          <w:trHeight w:val="283"/>
        </w:trPr>
        <w:tc>
          <w:tcPr>
            <w:tcW w:w="1656" w:type="pct"/>
            <w:tcBorders>
              <w:top w:val="nil"/>
              <w:left w:val="double" w:sz="6" w:space="0" w:color="auto"/>
              <w:bottom w:val="double" w:sz="6" w:space="0" w:color="auto"/>
              <w:right w:val="nil"/>
            </w:tcBorders>
            <w:shd w:val="clear" w:color="000000" w:fill="FFFFFF"/>
            <w:hideMark/>
          </w:tcPr>
          <w:p w14:paraId="5BF89C9C" w14:textId="77777777" w:rsidR="009D6D4E" w:rsidRPr="00030958" w:rsidRDefault="009D6D4E" w:rsidP="00BF3B71">
            <w:pPr>
              <w:ind w:firstLineChars="100" w:firstLine="180"/>
              <w:rPr>
                <w:sz w:val="18"/>
                <w:szCs w:val="20"/>
                <w:lang w:val="en-US"/>
              </w:rPr>
            </w:pPr>
            <w:r w:rsidRPr="00030958">
              <w:rPr>
                <w:sz w:val="18"/>
                <w:szCs w:val="20"/>
                <w:lang w:val="en-US"/>
              </w:rPr>
              <w:t>8. Borxhi i Qeverisë së</w:t>
            </w:r>
            <w:r w:rsidRPr="00030958">
              <w:rPr>
                <w:sz w:val="18"/>
                <w:szCs w:val="20"/>
                <w:lang w:val="en-US"/>
              </w:rPr>
              <w:br/>
              <w:t>Përgjithshme</w:t>
            </w:r>
          </w:p>
        </w:tc>
        <w:tc>
          <w:tcPr>
            <w:tcW w:w="691" w:type="pct"/>
            <w:tcBorders>
              <w:top w:val="nil"/>
              <w:left w:val="dotted" w:sz="4" w:space="0" w:color="auto"/>
              <w:bottom w:val="double" w:sz="6" w:space="0" w:color="auto"/>
              <w:right w:val="single" w:sz="8" w:space="0" w:color="auto"/>
            </w:tcBorders>
            <w:shd w:val="clear" w:color="000000" w:fill="FFFFFF"/>
            <w:hideMark/>
          </w:tcPr>
          <w:p w14:paraId="6B9CF352" w14:textId="77777777" w:rsidR="009D6D4E" w:rsidRPr="00030958" w:rsidRDefault="009D6D4E" w:rsidP="00BF3B71">
            <w:pPr>
              <w:jc w:val="center"/>
              <w:rPr>
                <w:sz w:val="18"/>
                <w:szCs w:val="18"/>
                <w:lang w:val="en-US"/>
              </w:rPr>
            </w:pPr>
            <w:r w:rsidRPr="00030958">
              <w:rPr>
                <w:sz w:val="18"/>
                <w:szCs w:val="18"/>
                <w:lang w:val="en-US"/>
              </w:rPr>
              <w:t>% e BPV-së</w:t>
            </w:r>
          </w:p>
        </w:tc>
        <w:tc>
          <w:tcPr>
            <w:tcW w:w="384" w:type="pct"/>
            <w:tcBorders>
              <w:top w:val="nil"/>
              <w:left w:val="nil"/>
              <w:bottom w:val="double" w:sz="6" w:space="0" w:color="auto"/>
              <w:right w:val="dotted" w:sz="4" w:space="0" w:color="auto"/>
            </w:tcBorders>
            <w:shd w:val="clear" w:color="000000" w:fill="FFFFFF"/>
            <w:vAlign w:val="center"/>
            <w:hideMark/>
          </w:tcPr>
          <w:p w14:paraId="7F2F8B25" w14:textId="77777777" w:rsidR="009D6D4E" w:rsidRPr="00030958" w:rsidRDefault="009D6D4E" w:rsidP="00BF3B71">
            <w:pPr>
              <w:jc w:val="right"/>
              <w:rPr>
                <w:sz w:val="18"/>
                <w:szCs w:val="20"/>
                <w:lang w:val="en-US"/>
              </w:rPr>
            </w:pPr>
            <w:r w:rsidRPr="00030958">
              <w:rPr>
                <w:sz w:val="18"/>
                <w:szCs w:val="20"/>
                <w:lang w:val="en-US"/>
              </w:rPr>
              <w:t>5.1</w:t>
            </w:r>
          </w:p>
        </w:tc>
        <w:tc>
          <w:tcPr>
            <w:tcW w:w="406" w:type="pct"/>
            <w:tcBorders>
              <w:top w:val="nil"/>
              <w:left w:val="nil"/>
              <w:bottom w:val="double" w:sz="6" w:space="0" w:color="auto"/>
              <w:right w:val="dotted" w:sz="4" w:space="0" w:color="auto"/>
            </w:tcBorders>
            <w:shd w:val="clear" w:color="000000" w:fill="FFFFFF"/>
            <w:vAlign w:val="center"/>
            <w:hideMark/>
          </w:tcPr>
          <w:p w14:paraId="5DF9FC1B" w14:textId="77777777" w:rsidR="009D6D4E" w:rsidRPr="00030958" w:rsidRDefault="009D6D4E" w:rsidP="00BF3B71">
            <w:pPr>
              <w:jc w:val="right"/>
              <w:rPr>
                <w:sz w:val="18"/>
                <w:szCs w:val="20"/>
                <w:lang w:val="en-US"/>
              </w:rPr>
            </w:pPr>
            <w:r w:rsidRPr="00030958">
              <w:rPr>
                <w:sz w:val="18"/>
                <w:szCs w:val="20"/>
                <w:lang w:val="en-US"/>
              </w:rPr>
              <w:t>5.5</w:t>
            </w:r>
          </w:p>
        </w:tc>
        <w:tc>
          <w:tcPr>
            <w:tcW w:w="406" w:type="pct"/>
            <w:tcBorders>
              <w:top w:val="nil"/>
              <w:left w:val="nil"/>
              <w:bottom w:val="double" w:sz="6" w:space="0" w:color="auto"/>
              <w:right w:val="dotted" w:sz="4" w:space="0" w:color="auto"/>
            </w:tcBorders>
            <w:shd w:val="clear" w:color="000000" w:fill="FFFFFF"/>
            <w:vAlign w:val="center"/>
            <w:hideMark/>
          </w:tcPr>
          <w:p w14:paraId="5A4986C7" w14:textId="77777777" w:rsidR="009D6D4E" w:rsidRPr="00030958" w:rsidRDefault="009D6D4E" w:rsidP="00BF3B71">
            <w:pPr>
              <w:jc w:val="right"/>
              <w:rPr>
                <w:sz w:val="18"/>
                <w:szCs w:val="20"/>
                <w:lang w:val="en-US"/>
              </w:rPr>
            </w:pPr>
            <w:r w:rsidRPr="00030958">
              <w:rPr>
                <w:sz w:val="18"/>
                <w:szCs w:val="20"/>
                <w:lang w:val="en-US"/>
              </w:rPr>
              <w:t>5.3</w:t>
            </w:r>
          </w:p>
        </w:tc>
        <w:tc>
          <w:tcPr>
            <w:tcW w:w="497" w:type="pct"/>
            <w:tcBorders>
              <w:top w:val="nil"/>
              <w:left w:val="nil"/>
              <w:bottom w:val="double" w:sz="6" w:space="0" w:color="auto"/>
              <w:right w:val="dotted" w:sz="4" w:space="0" w:color="auto"/>
            </w:tcBorders>
            <w:shd w:val="clear" w:color="000000" w:fill="FFFFFF"/>
            <w:vAlign w:val="center"/>
            <w:hideMark/>
          </w:tcPr>
          <w:p w14:paraId="51C45A82" w14:textId="77777777" w:rsidR="009D6D4E" w:rsidRPr="00030958" w:rsidRDefault="009D6D4E" w:rsidP="00BF3B71">
            <w:pPr>
              <w:jc w:val="right"/>
              <w:rPr>
                <w:sz w:val="18"/>
                <w:szCs w:val="20"/>
                <w:lang w:val="en-US"/>
              </w:rPr>
            </w:pPr>
            <w:r w:rsidRPr="00030958">
              <w:rPr>
                <w:sz w:val="18"/>
                <w:szCs w:val="20"/>
                <w:lang w:val="en-US"/>
              </w:rPr>
              <w:t>5.6</w:t>
            </w:r>
          </w:p>
        </w:tc>
        <w:tc>
          <w:tcPr>
            <w:tcW w:w="463" w:type="pct"/>
            <w:tcBorders>
              <w:top w:val="nil"/>
              <w:left w:val="nil"/>
              <w:bottom w:val="double" w:sz="6" w:space="0" w:color="auto"/>
              <w:right w:val="dotted" w:sz="4" w:space="0" w:color="auto"/>
            </w:tcBorders>
            <w:shd w:val="clear" w:color="000000" w:fill="FFFFFF"/>
            <w:vAlign w:val="center"/>
            <w:hideMark/>
          </w:tcPr>
          <w:p w14:paraId="74D0FB60" w14:textId="77777777" w:rsidR="009D6D4E" w:rsidRPr="00030958" w:rsidRDefault="009D6D4E" w:rsidP="00BF3B71">
            <w:pPr>
              <w:jc w:val="right"/>
              <w:rPr>
                <w:sz w:val="18"/>
                <w:szCs w:val="20"/>
                <w:lang w:val="en-US"/>
              </w:rPr>
            </w:pPr>
            <w:r w:rsidRPr="00030958">
              <w:rPr>
                <w:sz w:val="18"/>
                <w:szCs w:val="20"/>
                <w:lang w:val="en-US"/>
              </w:rPr>
              <w:t>5.2</w:t>
            </w:r>
          </w:p>
        </w:tc>
        <w:tc>
          <w:tcPr>
            <w:tcW w:w="497" w:type="pct"/>
            <w:tcBorders>
              <w:top w:val="nil"/>
              <w:left w:val="nil"/>
              <w:bottom w:val="double" w:sz="6" w:space="0" w:color="auto"/>
              <w:right w:val="double" w:sz="6" w:space="0" w:color="auto"/>
            </w:tcBorders>
            <w:shd w:val="clear" w:color="000000" w:fill="FFFFFF"/>
            <w:vAlign w:val="center"/>
            <w:hideMark/>
          </w:tcPr>
          <w:p w14:paraId="10487D07" w14:textId="77777777" w:rsidR="009D6D4E" w:rsidRPr="00030958" w:rsidRDefault="009D6D4E" w:rsidP="00BF3B71">
            <w:pPr>
              <w:jc w:val="right"/>
              <w:rPr>
                <w:sz w:val="18"/>
                <w:szCs w:val="20"/>
                <w:lang w:val="en-US"/>
              </w:rPr>
            </w:pPr>
            <w:r w:rsidRPr="00030958">
              <w:rPr>
                <w:sz w:val="18"/>
                <w:szCs w:val="20"/>
                <w:lang w:val="en-US"/>
              </w:rPr>
              <w:t>4.9</w:t>
            </w:r>
          </w:p>
        </w:tc>
      </w:tr>
    </w:tbl>
    <w:p w14:paraId="084F870C" w14:textId="77777777" w:rsidR="009D6D4E" w:rsidRDefault="009D6D4E" w:rsidP="009D6D4E"/>
    <w:tbl>
      <w:tblPr>
        <w:tblW w:w="5000" w:type="pct"/>
        <w:tblLook w:val="04A0" w:firstRow="1" w:lastRow="0" w:firstColumn="1" w:lastColumn="0" w:noHBand="0" w:noVBand="1"/>
      </w:tblPr>
      <w:tblGrid>
        <w:gridCol w:w="4516"/>
        <w:gridCol w:w="966"/>
        <w:gridCol w:w="799"/>
        <w:gridCol w:w="607"/>
        <w:gridCol w:w="607"/>
        <w:gridCol w:w="607"/>
        <w:gridCol w:w="607"/>
        <w:gridCol w:w="605"/>
      </w:tblGrid>
      <w:tr w:rsidR="009D6D4E" w:rsidRPr="00030958" w14:paraId="354B1757" w14:textId="77777777" w:rsidTr="00BF3B71">
        <w:trPr>
          <w:trHeight w:val="20"/>
        </w:trPr>
        <w:tc>
          <w:tcPr>
            <w:tcW w:w="2942" w:type="pct"/>
            <w:gridSpan w:val="2"/>
            <w:tcBorders>
              <w:top w:val="nil"/>
              <w:left w:val="nil"/>
              <w:bottom w:val="nil"/>
              <w:right w:val="nil"/>
            </w:tcBorders>
            <w:shd w:val="clear" w:color="000000" w:fill="FFFFFF"/>
            <w:noWrap/>
            <w:vAlign w:val="center"/>
            <w:hideMark/>
          </w:tcPr>
          <w:p w14:paraId="6DFC80CB" w14:textId="77777777" w:rsidR="009D6D4E" w:rsidRPr="00030958" w:rsidRDefault="009D6D4E" w:rsidP="00BF3B71">
            <w:pPr>
              <w:rPr>
                <w:b/>
                <w:bCs/>
                <w:sz w:val="18"/>
                <w:szCs w:val="20"/>
                <w:lang w:val="en-US"/>
              </w:rPr>
            </w:pPr>
            <w:r w:rsidRPr="00030958">
              <w:rPr>
                <w:b/>
                <w:bCs/>
                <w:sz w:val="18"/>
                <w:szCs w:val="20"/>
                <w:lang w:val="en-US"/>
              </w:rPr>
              <w:t>Tabela 2a:  Prospektet buxhetore të Qeverisë së Përgjithshme</w:t>
            </w:r>
          </w:p>
        </w:tc>
        <w:tc>
          <w:tcPr>
            <w:tcW w:w="429" w:type="pct"/>
            <w:tcBorders>
              <w:top w:val="nil"/>
              <w:left w:val="nil"/>
              <w:bottom w:val="nil"/>
              <w:right w:val="nil"/>
            </w:tcBorders>
            <w:shd w:val="clear" w:color="000000" w:fill="FFFFFF"/>
            <w:noWrap/>
            <w:vAlign w:val="center"/>
            <w:hideMark/>
          </w:tcPr>
          <w:p w14:paraId="0AE5D6BF" w14:textId="77777777" w:rsidR="009D6D4E" w:rsidRPr="00030958" w:rsidRDefault="009D6D4E" w:rsidP="00BF3B71">
            <w:pPr>
              <w:rPr>
                <w:rFonts w:ascii="Arial" w:hAnsi="Arial" w:cs="Arial"/>
                <w:sz w:val="18"/>
                <w:szCs w:val="20"/>
                <w:lang w:val="en-US"/>
              </w:rPr>
            </w:pPr>
            <w:r w:rsidRPr="00030958">
              <w:rPr>
                <w:rFonts w:ascii="Arial" w:hAnsi="Arial" w:cs="Arial"/>
                <w:sz w:val="18"/>
                <w:szCs w:val="20"/>
                <w:lang w:val="en-US"/>
              </w:rPr>
              <w:t> </w:t>
            </w:r>
          </w:p>
        </w:tc>
        <w:tc>
          <w:tcPr>
            <w:tcW w:w="326" w:type="pct"/>
            <w:tcBorders>
              <w:top w:val="nil"/>
              <w:left w:val="nil"/>
              <w:bottom w:val="nil"/>
              <w:right w:val="nil"/>
            </w:tcBorders>
            <w:shd w:val="clear" w:color="000000" w:fill="FFFFFF"/>
            <w:noWrap/>
            <w:vAlign w:val="center"/>
            <w:hideMark/>
          </w:tcPr>
          <w:p w14:paraId="2E6C1F8D" w14:textId="77777777" w:rsidR="009D6D4E" w:rsidRPr="00030958" w:rsidRDefault="009D6D4E" w:rsidP="00BF3B71">
            <w:pPr>
              <w:rPr>
                <w:rFonts w:ascii="Arial" w:hAnsi="Arial" w:cs="Arial"/>
                <w:sz w:val="18"/>
                <w:szCs w:val="20"/>
                <w:lang w:val="en-US"/>
              </w:rPr>
            </w:pPr>
            <w:r w:rsidRPr="00030958">
              <w:rPr>
                <w:rFonts w:ascii="Arial" w:hAnsi="Arial" w:cs="Arial"/>
                <w:sz w:val="18"/>
                <w:szCs w:val="20"/>
                <w:lang w:val="en-US"/>
              </w:rPr>
              <w:t> </w:t>
            </w:r>
          </w:p>
        </w:tc>
        <w:tc>
          <w:tcPr>
            <w:tcW w:w="326" w:type="pct"/>
            <w:tcBorders>
              <w:top w:val="nil"/>
              <w:left w:val="nil"/>
              <w:bottom w:val="nil"/>
              <w:right w:val="nil"/>
            </w:tcBorders>
            <w:shd w:val="clear" w:color="000000" w:fill="FFFFFF"/>
            <w:noWrap/>
            <w:vAlign w:val="center"/>
            <w:hideMark/>
          </w:tcPr>
          <w:p w14:paraId="0503269D" w14:textId="77777777" w:rsidR="009D6D4E" w:rsidRPr="00030958" w:rsidRDefault="009D6D4E" w:rsidP="00BF3B71">
            <w:pPr>
              <w:rPr>
                <w:rFonts w:ascii="Arial" w:hAnsi="Arial" w:cs="Arial"/>
                <w:sz w:val="18"/>
                <w:szCs w:val="20"/>
                <w:lang w:val="en-US"/>
              </w:rPr>
            </w:pPr>
            <w:r w:rsidRPr="00030958">
              <w:rPr>
                <w:rFonts w:ascii="Arial" w:hAnsi="Arial" w:cs="Arial"/>
                <w:sz w:val="18"/>
                <w:szCs w:val="20"/>
                <w:lang w:val="en-US"/>
              </w:rPr>
              <w:t> </w:t>
            </w:r>
          </w:p>
        </w:tc>
        <w:tc>
          <w:tcPr>
            <w:tcW w:w="326" w:type="pct"/>
            <w:tcBorders>
              <w:top w:val="nil"/>
              <w:left w:val="nil"/>
              <w:bottom w:val="nil"/>
              <w:right w:val="nil"/>
            </w:tcBorders>
            <w:shd w:val="clear" w:color="000000" w:fill="FFFFFF"/>
            <w:noWrap/>
            <w:vAlign w:val="center"/>
            <w:hideMark/>
          </w:tcPr>
          <w:p w14:paraId="64ED05F6" w14:textId="77777777" w:rsidR="009D6D4E" w:rsidRPr="00030958" w:rsidRDefault="009D6D4E" w:rsidP="00BF3B71">
            <w:pPr>
              <w:rPr>
                <w:rFonts w:ascii="Arial" w:hAnsi="Arial" w:cs="Arial"/>
                <w:sz w:val="18"/>
                <w:szCs w:val="20"/>
                <w:lang w:val="en-US"/>
              </w:rPr>
            </w:pPr>
            <w:r w:rsidRPr="00030958">
              <w:rPr>
                <w:rFonts w:ascii="Arial" w:hAnsi="Arial" w:cs="Arial"/>
                <w:sz w:val="18"/>
                <w:szCs w:val="20"/>
                <w:lang w:val="en-US"/>
              </w:rPr>
              <w:t> </w:t>
            </w:r>
          </w:p>
        </w:tc>
        <w:tc>
          <w:tcPr>
            <w:tcW w:w="326" w:type="pct"/>
            <w:tcBorders>
              <w:top w:val="nil"/>
              <w:left w:val="nil"/>
              <w:bottom w:val="nil"/>
              <w:right w:val="nil"/>
            </w:tcBorders>
            <w:shd w:val="clear" w:color="000000" w:fill="FFFFFF"/>
            <w:noWrap/>
            <w:vAlign w:val="center"/>
            <w:hideMark/>
          </w:tcPr>
          <w:p w14:paraId="740A9FA8" w14:textId="77777777" w:rsidR="009D6D4E" w:rsidRPr="00030958" w:rsidRDefault="009D6D4E" w:rsidP="00BF3B71">
            <w:pPr>
              <w:rPr>
                <w:rFonts w:ascii="Arial" w:hAnsi="Arial" w:cs="Arial"/>
                <w:sz w:val="18"/>
                <w:szCs w:val="20"/>
                <w:lang w:val="en-US"/>
              </w:rPr>
            </w:pPr>
            <w:r w:rsidRPr="00030958">
              <w:rPr>
                <w:rFonts w:ascii="Arial" w:hAnsi="Arial" w:cs="Arial"/>
                <w:sz w:val="18"/>
                <w:szCs w:val="20"/>
                <w:lang w:val="en-US"/>
              </w:rPr>
              <w:t> </w:t>
            </w:r>
          </w:p>
        </w:tc>
        <w:tc>
          <w:tcPr>
            <w:tcW w:w="326" w:type="pct"/>
            <w:tcBorders>
              <w:top w:val="nil"/>
              <w:left w:val="nil"/>
              <w:bottom w:val="nil"/>
              <w:right w:val="nil"/>
            </w:tcBorders>
            <w:shd w:val="clear" w:color="000000" w:fill="FFFFFF"/>
            <w:noWrap/>
            <w:vAlign w:val="center"/>
            <w:hideMark/>
          </w:tcPr>
          <w:p w14:paraId="569BE272" w14:textId="77777777" w:rsidR="009D6D4E" w:rsidRPr="00030958" w:rsidRDefault="009D6D4E" w:rsidP="00BF3B71">
            <w:pPr>
              <w:rPr>
                <w:rFonts w:ascii="Arial" w:hAnsi="Arial" w:cs="Arial"/>
                <w:sz w:val="18"/>
                <w:szCs w:val="20"/>
                <w:lang w:val="en-US"/>
              </w:rPr>
            </w:pPr>
            <w:r w:rsidRPr="00030958">
              <w:rPr>
                <w:rFonts w:ascii="Arial" w:hAnsi="Arial" w:cs="Arial"/>
                <w:sz w:val="18"/>
                <w:szCs w:val="20"/>
                <w:lang w:val="en-US"/>
              </w:rPr>
              <w:t> </w:t>
            </w:r>
          </w:p>
        </w:tc>
      </w:tr>
      <w:tr w:rsidR="009D6D4E" w:rsidRPr="00030958" w14:paraId="66359ACA" w14:textId="77777777" w:rsidTr="00BF3B71">
        <w:trPr>
          <w:trHeight w:val="20"/>
        </w:trPr>
        <w:tc>
          <w:tcPr>
            <w:tcW w:w="2424" w:type="pct"/>
            <w:tcBorders>
              <w:top w:val="double" w:sz="6" w:space="0" w:color="auto"/>
              <w:left w:val="double" w:sz="6" w:space="0" w:color="auto"/>
              <w:bottom w:val="nil"/>
              <w:right w:val="nil"/>
            </w:tcBorders>
            <w:shd w:val="clear" w:color="000000" w:fill="FFFFFF"/>
            <w:vAlign w:val="center"/>
            <w:hideMark/>
          </w:tcPr>
          <w:p w14:paraId="1CCB3BF9" w14:textId="77777777" w:rsidR="009D6D4E" w:rsidRPr="00030958" w:rsidRDefault="009D6D4E" w:rsidP="00BF3B71">
            <w:pPr>
              <w:rPr>
                <w:sz w:val="18"/>
                <w:szCs w:val="20"/>
                <w:lang w:val="en-US"/>
              </w:rPr>
            </w:pPr>
            <w:r w:rsidRPr="00030958">
              <w:rPr>
                <w:sz w:val="18"/>
                <w:szCs w:val="20"/>
                <w:lang w:val="en-US"/>
              </w:rPr>
              <w:t> </w:t>
            </w:r>
          </w:p>
        </w:tc>
        <w:tc>
          <w:tcPr>
            <w:tcW w:w="517" w:type="pct"/>
            <w:tcBorders>
              <w:top w:val="double" w:sz="6" w:space="0" w:color="auto"/>
              <w:left w:val="single" w:sz="4" w:space="0" w:color="auto"/>
              <w:bottom w:val="nil"/>
              <w:right w:val="single" w:sz="8" w:space="0" w:color="auto"/>
            </w:tcBorders>
            <w:shd w:val="clear" w:color="000000" w:fill="FFFFFF"/>
            <w:vAlign w:val="center"/>
            <w:hideMark/>
          </w:tcPr>
          <w:p w14:paraId="3BC8915B" w14:textId="77777777" w:rsidR="009D6D4E" w:rsidRPr="00030958" w:rsidRDefault="009D6D4E" w:rsidP="00BF3B71">
            <w:pPr>
              <w:rPr>
                <w:sz w:val="18"/>
                <w:szCs w:val="20"/>
                <w:lang w:val="en-US"/>
              </w:rPr>
            </w:pPr>
            <w:r w:rsidRPr="00030958">
              <w:rPr>
                <w:sz w:val="18"/>
                <w:szCs w:val="20"/>
                <w:lang w:val="en-US"/>
              </w:rPr>
              <w:t> </w:t>
            </w:r>
          </w:p>
        </w:tc>
        <w:tc>
          <w:tcPr>
            <w:tcW w:w="429" w:type="pct"/>
            <w:tcBorders>
              <w:top w:val="double" w:sz="6" w:space="0" w:color="auto"/>
              <w:left w:val="nil"/>
              <w:bottom w:val="dotted" w:sz="4" w:space="0" w:color="auto"/>
              <w:right w:val="single" w:sz="8" w:space="0" w:color="auto"/>
            </w:tcBorders>
            <w:shd w:val="clear" w:color="000000" w:fill="FFFFFF"/>
            <w:vAlign w:val="center"/>
            <w:hideMark/>
          </w:tcPr>
          <w:p w14:paraId="187D17FE" w14:textId="77777777" w:rsidR="009D6D4E" w:rsidRPr="00030958" w:rsidRDefault="009D6D4E" w:rsidP="00BF3B71">
            <w:pPr>
              <w:jc w:val="center"/>
              <w:rPr>
                <w:sz w:val="18"/>
                <w:szCs w:val="20"/>
                <w:lang w:val="en-US"/>
              </w:rPr>
            </w:pPr>
            <w:r w:rsidRPr="00030958">
              <w:rPr>
                <w:sz w:val="18"/>
                <w:szCs w:val="20"/>
                <w:lang w:val="en-US"/>
              </w:rPr>
              <w:t>2018</w:t>
            </w:r>
          </w:p>
        </w:tc>
        <w:tc>
          <w:tcPr>
            <w:tcW w:w="326" w:type="pct"/>
            <w:tcBorders>
              <w:top w:val="double" w:sz="6" w:space="0" w:color="auto"/>
              <w:left w:val="nil"/>
              <w:bottom w:val="dotted" w:sz="4" w:space="0" w:color="auto"/>
              <w:right w:val="dotted" w:sz="4" w:space="0" w:color="auto"/>
            </w:tcBorders>
            <w:shd w:val="clear" w:color="000000" w:fill="FFFFFF"/>
            <w:vAlign w:val="center"/>
            <w:hideMark/>
          </w:tcPr>
          <w:p w14:paraId="120E2D23" w14:textId="77777777" w:rsidR="009D6D4E" w:rsidRPr="00030958" w:rsidRDefault="009D6D4E" w:rsidP="00BF3B71">
            <w:pPr>
              <w:jc w:val="center"/>
              <w:rPr>
                <w:sz w:val="18"/>
                <w:szCs w:val="20"/>
                <w:lang w:val="en-US"/>
              </w:rPr>
            </w:pPr>
            <w:r w:rsidRPr="00030958">
              <w:rPr>
                <w:sz w:val="18"/>
                <w:szCs w:val="20"/>
                <w:lang w:val="en-US"/>
              </w:rPr>
              <w:t>2018</w:t>
            </w:r>
          </w:p>
        </w:tc>
        <w:tc>
          <w:tcPr>
            <w:tcW w:w="326" w:type="pct"/>
            <w:tcBorders>
              <w:top w:val="double" w:sz="6" w:space="0" w:color="auto"/>
              <w:left w:val="nil"/>
              <w:bottom w:val="dotted" w:sz="4" w:space="0" w:color="auto"/>
              <w:right w:val="dotted" w:sz="4" w:space="0" w:color="auto"/>
            </w:tcBorders>
            <w:shd w:val="clear" w:color="000000" w:fill="FFFFFF"/>
            <w:vAlign w:val="center"/>
            <w:hideMark/>
          </w:tcPr>
          <w:p w14:paraId="44E66497" w14:textId="77777777" w:rsidR="009D6D4E" w:rsidRPr="00030958" w:rsidRDefault="009D6D4E" w:rsidP="00BF3B71">
            <w:pPr>
              <w:jc w:val="center"/>
              <w:rPr>
                <w:sz w:val="18"/>
                <w:szCs w:val="20"/>
                <w:lang w:val="en-US"/>
              </w:rPr>
            </w:pPr>
            <w:r w:rsidRPr="00030958">
              <w:rPr>
                <w:sz w:val="18"/>
                <w:szCs w:val="20"/>
                <w:lang w:val="en-US"/>
              </w:rPr>
              <w:t>2019</w:t>
            </w:r>
          </w:p>
        </w:tc>
        <w:tc>
          <w:tcPr>
            <w:tcW w:w="326" w:type="pct"/>
            <w:tcBorders>
              <w:top w:val="double" w:sz="6" w:space="0" w:color="auto"/>
              <w:left w:val="nil"/>
              <w:bottom w:val="dotted" w:sz="4" w:space="0" w:color="auto"/>
              <w:right w:val="dotted" w:sz="4" w:space="0" w:color="auto"/>
            </w:tcBorders>
            <w:shd w:val="clear" w:color="000000" w:fill="FFFFFF"/>
            <w:vAlign w:val="center"/>
            <w:hideMark/>
          </w:tcPr>
          <w:p w14:paraId="55ADDCA1" w14:textId="77777777" w:rsidR="009D6D4E" w:rsidRPr="00030958" w:rsidRDefault="009D6D4E" w:rsidP="00BF3B71">
            <w:pPr>
              <w:jc w:val="center"/>
              <w:rPr>
                <w:sz w:val="18"/>
                <w:szCs w:val="20"/>
                <w:lang w:val="en-US"/>
              </w:rPr>
            </w:pPr>
            <w:r w:rsidRPr="00030958">
              <w:rPr>
                <w:sz w:val="18"/>
                <w:szCs w:val="20"/>
                <w:lang w:val="en-US"/>
              </w:rPr>
              <w:t>2020</w:t>
            </w:r>
          </w:p>
        </w:tc>
        <w:tc>
          <w:tcPr>
            <w:tcW w:w="326" w:type="pct"/>
            <w:tcBorders>
              <w:top w:val="double" w:sz="6" w:space="0" w:color="auto"/>
              <w:left w:val="nil"/>
              <w:bottom w:val="dotted" w:sz="4" w:space="0" w:color="auto"/>
              <w:right w:val="dotted" w:sz="4" w:space="0" w:color="auto"/>
            </w:tcBorders>
            <w:shd w:val="clear" w:color="000000" w:fill="FFFFFF"/>
            <w:vAlign w:val="center"/>
            <w:hideMark/>
          </w:tcPr>
          <w:p w14:paraId="09F5FC49" w14:textId="77777777" w:rsidR="009D6D4E" w:rsidRPr="00030958" w:rsidRDefault="009D6D4E" w:rsidP="00BF3B71">
            <w:pPr>
              <w:jc w:val="center"/>
              <w:rPr>
                <w:sz w:val="18"/>
                <w:szCs w:val="20"/>
                <w:lang w:val="en-US"/>
              </w:rPr>
            </w:pPr>
            <w:r w:rsidRPr="00030958">
              <w:rPr>
                <w:sz w:val="18"/>
                <w:szCs w:val="20"/>
                <w:lang w:val="en-US"/>
              </w:rPr>
              <w:t>2021</w:t>
            </w:r>
          </w:p>
        </w:tc>
        <w:tc>
          <w:tcPr>
            <w:tcW w:w="326" w:type="pct"/>
            <w:tcBorders>
              <w:top w:val="double" w:sz="6" w:space="0" w:color="auto"/>
              <w:left w:val="nil"/>
              <w:bottom w:val="dotted" w:sz="4" w:space="0" w:color="auto"/>
              <w:right w:val="double" w:sz="6" w:space="0" w:color="auto"/>
            </w:tcBorders>
            <w:shd w:val="clear" w:color="000000" w:fill="FFFFFF"/>
            <w:vAlign w:val="center"/>
            <w:hideMark/>
          </w:tcPr>
          <w:p w14:paraId="3CDC304C" w14:textId="77777777" w:rsidR="009D6D4E" w:rsidRPr="00030958" w:rsidRDefault="009D6D4E" w:rsidP="00BF3B71">
            <w:pPr>
              <w:jc w:val="center"/>
              <w:rPr>
                <w:sz w:val="18"/>
                <w:szCs w:val="20"/>
                <w:lang w:val="en-US"/>
              </w:rPr>
            </w:pPr>
            <w:r w:rsidRPr="00030958">
              <w:rPr>
                <w:sz w:val="18"/>
                <w:szCs w:val="20"/>
                <w:lang w:val="en-US"/>
              </w:rPr>
              <w:t>2022</w:t>
            </w:r>
          </w:p>
        </w:tc>
      </w:tr>
      <w:tr w:rsidR="009D6D4E" w:rsidRPr="00030958" w14:paraId="1420E8C5" w14:textId="77777777" w:rsidTr="00BF3B71">
        <w:trPr>
          <w:trHeight w:val="20"/>
        </w:trPr>
        <w:tc>
          <w:tcPr>
            <w:tcW w:w="2424" w:type="pct"/>
            <w:tcBorders>
              <w:top w:val="nil"/>
              <w:left w:val="double" w:sz="6" w:space="0" w:color="auto"/>
              <w:bottom w:val="double" w:sz="6" w:space="0" w:color="auto"/>
              <w:right w:val="nil"/>
            </w:tcBorders>
            <w:shd w:val="clear" w:color="000000" w:fill="FFFFFF"/>
            <w:vAlign w:val="center"/>
            <w:hideMark/>
          </w:tcPr>
          <w:p w14:paraId="318026A7" w14:textId="77777777" w:rsidR="009D6D4E" w:rsidRPr="00030958" w:rsidRDefault="009D6D4E" w:rsidP="00BF3B71">
            <w:pPr>
              <w:rPr>
                <w:sz w:val="18"/>
                <w:szCs w:val="20"/>
                <w:lang w:val="en-US"/>
              </w:rPr>
            </w:pPr>
            <w:r w:rsidRPr="00030958">
              <w:rPr>
                <w:sz w:val="18"/>
                <w:szCs w:val="20"/>
                <w:lang w:val="en-US"/>
              </w:rPr>
              <w:t> </w:t>
            </w:r>
          </w:p>
        </w:tc>
        <w:tc>
          <w:tcPr>
            <w:tcW w:w="517" w:type="pct"/>
            <w:tcBorders>
              <w:top w:val="nil"/>
              <w:left w:val="single" w:sz="4" w:space="0" w:color="auto"/>
              <w:bottom w:val="double" w:sz="6" w:space="0" w:color="auto"/>
              <w:right w:val="single" w:sz="8" w:space="0" w:color="auto"/>
            </w:tcBorders>
            <w:shd w:val="clear" w:color="000000" w:fill="FFFFFF"/>
            <w:vAlign w:val="center"/>
            <w:hideMark/>
          </w:tcPr>
          <w:p w14:paraId="1C57A465" w14:textId="77777777" w:rsidR="009D6D4E" w:rsidRPr="00030958" w:rsidRDefault="009D6D4E" w:rsidP="00BF3B71">
            <w:pPr>
              <w:jc w:val="center"/>
              <w:rPr>
                <w:sz w:val="18"/>
                <w:szCs w:val="20"/>
                <w:lang w:val="en-US"/>
              </w:rPr>
            </w:pPr>
            <w:r w:rsidRPr="00030958">
              <w:rPr>
                <w:sz w:val="18"/>
                <w:szCs w:val="20"/>
                <w:lang w:val="en-US"/>
              </w:rPr>
              <w:t>ESA code</w:t>
            </w:r>
          </w:p>
        </w:tc>
        <w:tc>
          <w:tcPr>
            <w:tcW w:w="429" w:type="pct"/>
            <w:tcBorders>
              <w:top w:val="nil"/>
              <w:left w:val="nil"/>
              <w:bottom w:val="double" w:sz="6" w:space="0" w:color="auto"/>
              <w:right w:val="single" w:sz="8" w:space="0" w:color="auto"/>
            </w:tcBorders>
            <w:shd w:val="clear" w:color="000000" w:fill="FFFFFF"/>
            <w:vAlign w:val="center"/>
            <w:hideMark/>
          </w:tcPr>
          <w:p w14:paraId="694A745B" w14:textId="77777777" w:rsidR="009D6D4E" w:rsidRPr="00030958" w:rsidRDefault="009D6D4E" w:rsidP="00BF3B71">
            <w:pPr>
              <w:jc w:val="center"/>
              <w:rPr>
                <w:sz w:val="18"/>
                <w:szCs w:val="20"/>
                <w:lang w:val="en-US"/>
              </w:rPr>
            </w:pPr>
            <w:r w:rsidRPr="00030958">
              <w:rPr>
                <w:sz w:val="18"/>
                <w:szCs w:val="20"/>
                <w:lang w:val="en-US"/>
              </w:rPr>
              <w:t xml:space="preserve">Level </w:t>
            </w:r>
          </w:p>
        </w:tc>
        <w:tc>
          <w:tcPr>
            <w:tcW w:w="1630" w:type="pct"/>
            <w:gridSpan w:val="5"/>
            <w:tcBorders>
              <w:top w:val="dotted" w:sz="4" w:space="0" w:color="auto"/>
              <w:left w:val="nil"/>
              <w:bottom w:val="double" w:sz="6" w:space="0" w:color="auto"/>
              <w:right w:val="double" w:sz="6" w:space="0" w:color="000000"/>
            </w:tcBorders>
            <w:shd w:val="clear" w:color="000000" w:fill="FFFFFF"/>
            <w:vAlign w:val="center"/>
            <w:hideMark/>
          </w:tcPr>
          <w:p w14:paraId="685EB3B4" w14:textId="77777777" w:rsidR="009D6D4E" w:rsidRPr="00030958" w:rsidRDefault="009D6D4E" w:rsidP="00BF3B71">
            <w:pPr>
              <w:jc w:val="center"/>
              <w:rPr>
                <w:sz w:val="18"/>
                <w:szCs w:val="20"/>
                <w:lang w:val="en-US"/>
              </w:rPr>
            </w:pPr>
            <w:r>
              <w:rPr>
                <w:sz w:val="18"/>
                <w:szCs w:val="20"/>
                <w:lang w:val="en-US"/>
              </w:rPr>
              <w:t>% e BPV</w:t>
            </w:r>
            <w:r w:rsidRPr="00030958">
              <w:rPr>
                <w:sz w:val="18"/>
                <w:szCs w:val="20"/>
                <w:lang w:val="en-US"/>
              </w:rPr>
              <w:t> </w:t>
            </w:r>
          </w:p>
        </w:tc>
      </w:tr>
      <w:tr w:rsidR="009D6D4E" w:rsidRPr="00030958" w14:paraId="6F1EB2FC" w14:textId="77777777" w:rsidTr="00BF3B71">
        <w:trPr>
          <w:trHeight w:val="20"/>
        </w:trPr>
        <w:tc>
          <w:tcPr>
            <w:tcW w:w="5000" w:type="pct"/>
            <w:gridSpan w:val="8"/>
            <w:tcBorders>
              <w:top w:val="double" w:sz="6" w:space="0" w:color="auto"/>
              <w:left w:val="double" w:sz="6" w:space="0" w:color="auto"/>
              <w:bottom w:val="single" w:sz="8" w:space="0" w:color="auto"/>
              <w:right w:val="double" w:sz="6" w:space="0" w:color="000000"/>
            </w:tcBorders>
            <w:shd w:val="clear" w:color="000000" w:fill="FFFFFF"/>
            <w:vAlign w:val="center"/>
            <w:hideMark/>
          </w:tcPr>
          <w:p w14:paraId="4D8E8204" w14:textId="77777777" w:rsidR="009D6D4E" w:rsidRPr="00030958" w:rsidRDefault="009D6D4E" w:rsidP="00BF3B71">
            <w:pPr>
              <w:jc w:val="center"/>
              <w:rPr>
                <w:b/>
                <w:bCs/>
                <w:sz w:val="18"/>
                <w:szCs w:val="20"/>
                <w:lang w:val="en-US"/>
              </w:rPr>
            </w:pPr>
            <w:bookmarkStart w:id="228" w:name="RANGE!B5"/>
            <w:r w:rsidRPr="00030958">
              <w:rPr>
                <w:b/>
                <w:bCs/>
                <w:sz w:val="18"/>
                <w:szCs w:val="20"/>
                <w:lang w:val="en-US"/>
              </w:rPr>
              <w:t>Kreditimi neto (B9) nga nën sektorët</w:t>
            </w:r>
            <w:bookmarkEnd w:id="228"/>
          </w:p>
        </w:tc>
      </w:tr>
      <w:tr w:rsidR="009D6D4E" w:rsidRPr="00030958" w14:paraId="7FD68858" w14:textId="77777777" w:rsidTr="00BF3B71">
        <w:trPr>
          <w:trHeight w:val="20"/>
        </w:trPr>
        <w:tc>
          <w:tcPr>
            <w:tcW w:w="2424" w:type="pct"/>
            <w:tcBorders>
              <w:top w:val="nil"/>
              <w:left w:val="double" w:sz="6" w:space="0" w:color="auto"/>
              <w:bottom w:val="dotted" w:sz="4" w:space="0" w:color="auto"/>
              <w:right w:val="nil"/>
            </w:tcBorders>
            <w:shd w:val="clear" w:color="000000" w:fill="FFFFFF"/>
            <w:vAlign w:val="center"/>
            <w:hideMark/>
          </w:tcPr>
          <w:p w14:paraId="07C55E18" w14:textId="77777777" w:rsidR="009D6D4E" w:rsidRPr="00030958" w:rsidRDefault="009D6D4E" w:rsidP="00BF3B71">
            <w:pPr>
              <w:rPr>
                <w:sz w:val="18"/>
                <w:szCs w:val="20"/>
                <w:lang w:val="en-US"/>
              </w:rPr>
            </w:pPr>
            <w:bookmarkStart w:id="229" w:name="RANGE!B6"/>
            <w:r w:rsidRPr="00030958">
              <w:rPr>
                <w:sz w:val="18"/>
                <w:szCs w:val="20"/>
                <w:lang w:val="en-US"/>
              </w:rPr>
              <w:t>1. Qeveria e Përgjithshme/1</w:t>
            </w:r>
            <w:bookmarkEnd w:id="229"/>
          </w:p>
        </w:tc>
        <w:tc>
          <w:tcPr>
            <w:tcW w:w="517" w:type="pct"/>
            <w:tcBorders>
              <w:top w:val="nil"/>
              <w:left w:val="single" w:sz="4" w:space="0" w:color="auto"/>
              <w:bottom w:val="dotted" w:sz="4" w:space="0" w:color="auto"/>
              <w:right w:val="single" w:sz="8" w:space="0" w:color="auto"/>
            </w:tcBorders>
            <w:shd w:val="clear" w:color="000000" w:fill="FFFFFF"/>
            <w:vAlign w:val="center"/>
            <w:hideMark/>
          </w:tcPr>
          <w:p w14:paraId="39B76B9A" w14:textId="77777777" w:rsidR="009D6D4E" w:rsidRPr="00030958" w:rsidRDefault="009D6D4E" w:rsidP="00BF3B71">
            <w:pPr>
              <w:jc w:val="center"/>
              <w:rPr>
                <w:sz w:val="18"/>
                <w:szCs w:val="20"/>
                <w:lang w:val="en-US"/>
              </w:rPr>
            </w:pPr>
            <w:r w:rsidRPr="00030958">
              <w:rPr>
                <w:sz w:val="18"/>
                <w:szCs w:val="20"/>
                <w:lang w:val="en-US"/>
              </w:rPr>
              <w:t>S13</w:t>
            </w:r>
          </w:p>
        </w:tc>
        <w:tc>
          <w:tcPr>
            <w:tcW w:w="429" w:type="pct"/>
            <w:tcBorders>
              <w:top w:val="nil"/>
              <w:left w:val="nil"/>
              <w:bottom w:val="dotted" w:sz="4" w:space="0" w:color="auto"/>
              <w:right w:val="single" w:sz="8" w:space="0" w:color="auto"/>
            </w:tcBorders>
            <w:shd w:val="clear" w:color="000000" w:fill="FFFFFF"/>
            <w:vAlign w:val="center"/>
            <w:hideMark/>
          </w:tcPr>
          <w:p w14:paraId="4CA7C537" w14:textId="77777777" w:rsidR="009D6D4E" w:rsidRPr="00030958" w:rsidRDefault="009D6D4E" w:rsidP="00BF3B71">
            <w:pPr>
              <w:jc w:val="center"/>
              <w:rPr>
                <w:sz w:val="18"/>
                <w:szCs w:val="20"/>
                <w:lang w:val="en-US"/>
              </w:rPr>
            </w:pPr>
            <w:r w:rsidRPr="00030958">
              <w:rPr>
                <w:sz w:val="18"/>
                <w:szCs w:val="20"/>
                <w:lang w:val="en-US"/>
              </w:rPr>
              <w:t>-199.2</w:t>
            </w:r>
          </w:p>
        </w:tc>
        <w:tc>
          <w:tcPr>
            <w:tcW w:w="326" w:type="pct"/>
            <w:tcBorders>
              <w:top w:val="nil"/>
              <w:left w:val="nil"/>
              <w:bottom w:val="dotted" w:sz="4" w:space="0" w:color="auto"/>
              <w:right w:val="dotted" w:sz="4" w:space="0" w:color="auto"/>
            </w:tcBorders>
            <w:shd w:val="clear" w:color="000000" w:fill="FFFFFF"/>
            <w:vAlign w:val="center"/>
            <w:hideMark/>
          </w:tcPr>
          <w:p w14:paraId="5B45B9C0" w14:textId="77777777" w:rsidR="009D6D4E" w:rsidRPr="00030958" w:rsidRDefault="009D6D4E" w:rsidP="00BF3B71">
            <w:pPr>
              <w:jc w:val="center"/>
              <w:rPr>
                <w:sz w:val="18"/>
                <w:szCs w:val="20"/>
                <w:lang w:val="en-US"/>
              </w:rPr>
            </w:pPr>
            <w:r w:rsidRPr="00030958">
              <w:rPr>
                <w:sz w:val="18"/>
                <w:szCs w:val="20"/>
                <w:lang w:val="en-US"/>
              </w:rPr>
              <w:t>-3.0</w:t>
            </w:r>
          </w:p>
        </w:tc>
        <w:tc>
          <w:tcPr>
            <w:tcW w:w="326" w:type="pct"/>
            <w:tcBorders>
              <w:top w:val="nil"/>
              <w:left w:val="nil"/>
              <w:bottom w:val="dotted" w:sz="4" w:space="0" w:color="auto"/>
              <w:right w:val="dotted" w:sz="4" w:space="0" w:color="auto"/>
            </w:tcBorders>
            <w:shd w:val="clear" w:color="000000" w:fill="FFFFFF"/>
            <w:vAlign w:val="center"/>
            <w:hideMark/>
          </w:tcPr>
          <w:p w14:paraId="1CF3F4BC" w14:textId="77777777" w:rsidR="009D6D4E" w:rsidRPr="00030958" w:rsidRDefault="009D6D4E" w:rsidP="00BF3B71">
            <w:pPr>
              <w:jc w:val="center"/>
              <w:rPr>
                <w:sz w:val="18"/>
                <w:szCs w:val="20"/>
                <w:lang w:val="en-US"/>
              </w:rPr>
            </w:pPr>
            <w:r w:rsidRPr="00030958">
              <w:rPr>
                <w:sz w:val="18"/>
                <w:szCs w:val="20"/>
                <w:lang w:val="en-US"/>
              </w:rPr>
              <w:t>-6.0</w:t>
            </w:r>
          </w:p>
        </w:tc>
        <w:tc>
          <w:tcPr>
            <w:tcW w:w="326" w:type="pct"/>
            <w:tcBorders>
              <w:top w:val="nil"/>
              <w:left w:val="nil"/>
              <w:bottom w:val="dotted" w:sz="4" w:space="0" w:color="auto"/>
              <w:right w:val="dotted" w:sz="4" w:space="0" w:color="auto"/>
            </w:tcBorders>
            <w:shd w:val="clear" w:color="000000" w:fill="FFFFFF"/>
            <w:vAlign w:val="center"/>
            <w:hideMark/>
          </w:tcPr>
          <w:p w14:paraId="56009F0C" w14:textId="77777777" w:rsidR="009D6D4E" w:rsidRPr="00030958" w:rsidRDefault="009D6D4E" w:rsidP="00BF3B71">
            <w:pPr>
              <w:jc w:val="center"/>
              <w:rPr>
                <w:sz w:val="18"/>
                <w:szCs w:val="20"/>
                <w:lang w:val="en-US"/>
              </w:rPr>
            </w:pPr>
            <w:r w:rsidRPr="00030958">
              <w:rPr>
                <w:sz w:val="18"/>
                <w:szCs w:val="20"/>
                <w:lang w:val="en-US"/>
              </w:rPr>
              <w:t>-5.6</w:t>
            </w:r>
          </w:p>
        </w:tc>
        <w:tc>
          <w:tcPr>
            <w:tcW w:w="326" w:type="pct"/>
            <w:tcBorders>
              <w:top w:val="nil"/>
              <w:left w:val="nil"/>
              <w:bottom w:val="dotted" w:sz="4" w:space="0" w:color="auto"/>
              <w:right w:val="dotted" w:sz="4" w:space="0" w:color="auto"/>
            </w:tcBorders>
            <w:shd w:val="clear" w:color="000000" w:fill="FFFFFF"/>
            <w:vAlign w:val="center"/>
            <w:hideMark/>
          </w:tcPr>
          <w:p w14:paraId="70E26586" w14:textId="77777777" w:rsidR="009D6D4E" w:rsidRPr="00030958" w:rsidRDefault="009D6D4E" w:rsidP="00BF3B71">
            <w:pPr>
              <w:jc w:val="center"/>
              <w:rPr>
                <w:sz w:val="18"/>
                <w:szCs w:val="20"/>
                <w:lang w:val="en-US"/>
              </w:rPr>
            </w:pPr>
            <w:r w:rsidRPr="00030958">
              <w:rPr>
                <w:sz w:val="18"/>
                <w:szCs w:val="20"/>
                <w:lang w:val="en-US"/>
              </w:rPr>
              <w:t>-5.3</w:t>
            </w:r>
          </w:p>
        </w:tc>
        <w:tc>
          <w:tcPr>
            <w:tcW w:w="326" w:type="pct"/>
            <w:tcBorders>
              <w:top w:val="nil"/>
              <w:left w:val="nil"/>
              <w:bottom w:val="dotted" w:sz="4" w:space="0" w:color="auto"/>
              <w:right w:val="double" w:sz="6" w:space="0" w:color="auto"/>
            </w:tcBorders>
            <w:shd w:val="clear" w:color="000000" w:fill="FFFFFF"/>
            <w:vAlign w:val="center"/>
            <w:hideMark/>
          </w:tcPr>
          <w:p w14:paraId="385DC189" w14:textId="77777777" w:rsidR="009D6D4E" w:rsidRPr="00030958" w:rsidRDefault="009D6D4E" w:rsidP="00BF3B71">
            <w:pPr>
              <w:jc w:val="center"/>
              <w:rPr>
                <w:sz w:val="18"/>
                <w:szCs w:val="20"/>
                <w:lang w:val="en-US"/>
              </w:rPr>
            </w:pPr>
            <w:r w:rsidRPr="00030958">
              <w:rPr>
                <w:sz w:val="18"/>
                <w:szCs w:val="20"/>
                <w:lang w:val="en-US"/>
              </w:rPr>
              <w:t>-4.5</w:t>
            </w:r>
          </w:p>
        </w:tc>
      </w:tr>
      <w:tr w:rsidR="009D6D4E" w:rsidRPr="00030958" w14:paraId="4C589CBA" w14:textId="77777777" w:rsidTr="00BF3B71">
        <w:trPr>
          <w:trHeight w:val="20"/>
        </w:trPr>
        <w:tc>
          <w:tcPr>
            <w:tcW w:w="2424" w:type="pct"/>
            <w:tcBorders>
              <w:top w:val="nil"/>
              <w:left w:val="double" w:sz="6" w:space="0" w:color="auto"/>
              <w:bottom w:val="dotted" w:sz="4" w:space="0" w:color="auto"/>
              <w:right w:val="nil"/>
            </w:tcBorders>
            <w:shd w:val="clear" w:color="000000" w:fill="FFFFFF"/>
            <w:vAlign w:val="center"/>
            <w:hideMark/>
          </w:tcPr>
          <w:p w14:paraId="6439A788" w14:textId="77777777" w:rsidR="009D6D4E" w:rsidRPr="00030958" w:rsidRDefault="009D6D4E" w:rsidP="00BF3B71">
            <w:pPr>
              <w:rPr>
                <w:sz w:val="18"/>
                <w:szCs w:val="20"/>
                <w:lang w:val="en-US"/>
              </w:rPr>
            </w:pPr>
            <w:bookmarkStart w:id="230" w:name="RANGE!B7"/>
            <w:r w:rsidRPr="00030958">
              <w:rPr>
                <w:sz w:val="18"/>
                <w:szCs w:val="20"/>
                <w:lang w:val="en-US"/>
              </w:rPr>
              <w:t>2. Qeveria Qëndrore</w:t>
            </w:r>
            <w:bookmarkEnd w:id="230"/>
          </w:p>
        </w:tc>
        <w:tc>
          <w:tcPr>
            <w:tcW w:w="517" w:type="pct"/>
            <w:tcBorders>
              <w:top w:val="nil"/>
              <w:left w:val="single" w:sz="4" w:space="0" w:color="auto"/>
              <w:bottom w:val="dotted" w:sz="4" w:space="0" w:color="auto"/>
              <w:right w:val="single" w:sz="8" w:space="0" w:color="auto"/>
            </w:tcBorders>
            <w:shd w:val="clear" w:color="000000" w:fill="FFFFFF"/>
            <w:vAlign w:val="center"/>
            <w:hideMark/>
          </w:tcPr>
          <w:p w14:paraId="12DCE726" w14:textId="77777777" w:rsidR="009D6D4E" w:rsidRPr="00030958" w:rsidRDefault="009D6D4E" w:rsidP="00BF3B71">
            <w:pPr>
              <w:jc w:val="center"/>
              <w:rPr>
                <w:sz w:val="18"/>
                <w:szCs w:val="20"/>
                <w:lang w:val="en-US"/>
              </w:rPr>
            </w:pPr>
            <w:r w:rsidRPr="00030958">
              <w:rPr>
                <w:sz w:val="18"/>
                <w:szCs w:val="20"/>
                <w:lang w:val="en-US"/>
              </w:rPr>
              <w:t>S1311</w:t>
            </w:r>
          </w:p>
        </w:tc>
        <w:tc>
          <w:tcPr>
            <w:tcW w:w="429" w:type="pct"/>
            <w:tcBorders>
              <w:top w:val="nil"/>
              <w:left w:val="nil"/>
              <w:bottom w:val="dotted" w:sz="4" w:space="0" w:color="auto"/>
              <w:right w:val="single" w:sz="8" w:space="0" w:color="auto"/>
            </w:tcBorders>
            <w:shd w:val="clear" w:color="000000" w:fill="FFFFFF"/>
            <w:vAlign w:val="center"/>
            <w:hideMark/>
          </w:tcPr>
          <w:p w14:paraId="3F9C4F02"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dotted" w:sz="4" w:space="0" w:color="auto"/>
              <w:right w:val="dotted" w:sz="4" w:space="0" w:color="auto"/>
            </w:tcBorders>
            <w:shd w:val="clear" w:color="000000" w:fill="FFFFFF"/>
            <w:vAlign w:val="center"/>
            <w:hideMark/>
          </w:tcPr>
          <w:p w14:paraId="6A8FCE06"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dotted" w:sz="4" w:space="0" w:color="auto"/>
              <w:right w:val="dotted" w:sz="4" w:space="0" w:color="auto"/>
            </w:tcBorders>
            <w:shd w:val="clear" w:color="000000" w:fill="FFFFFF"/>
            <w:vAlign w:val="center"/>
            <w:hideMark/>
          </w:tcPr>
          <w:p w14:paraId="29DFB544"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dotted" w:sz="4" w:space="0" w:color="auto"/>
              <w:right w:val="dotted" w:sz="4" w:space="0" w:color="auto"/>
            </w:tcBorders>
            <w:shd w:val="clear" w:color="000000" w:fill="FFFFFF"/>
            <w:vAlign w:val="center"/>
            <w:hideMark/>
          </w:tcPr>
          <w:p w14:paraId="0639B990"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dotted" w:sz="4" w:space="0" w:color="auto"/>
              <w:right w:val="dotted" w:sz="4" w:space="0" w:color="auto"/>
            </w:tcBorders>
            <w:shd w:val="clear" w:color="000000" w:fill="FFFFFF"/>
            <w:vAlign w:val="center"/>
            <w:hideMark/>
          </w:tcPr>
          <w:p w14:paraId="6F908434"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dotted" w:sz="4" w:space="0" w:color="auto"/>
              <w:right w:val="double" w:sz="6" w:space="0" w:color="auto"/>
            </w:tcBorders>
            <w:shd w:val="clear" w:color="000000" w:fill="FFFFFF"/>
            <w:vAlign w:val="center"/>
            <w:hideMark/>
          </w:tcPr>
          <w:p w14:paraId="162CB641" w14:textId="77777777" w:rsidR="009D6D4E" w:rsidRPr="00030958" w:rsidRDefault="009D6D4E" w:rsidP="00BF3B71">
            <w:pPr>
              <w:jc w:val="center"/>
              <w:rPr>
                <w:sz w:val="18"/>
                <w:szCs w:val="20"/>
                <w:lang w:val="en-US"/>
              </w:rPr>
            </w:pPr>
            <w:r w:rsidRPr="00030958">
              <w:rPr>
                <w:sz w:val="18"/>
                <w:szCs w:val="20"/>
                <w:lang w:val="en-US"/>
              </w:rPr>
              <w:t>:</w:t>
            </w:r>
          </w:p>
        </w:tc>
      </w:tr>
      <w:tr w:rsidR="009D6D4E" w:rsidRPr="00030958" w14:paraId="19E6F997" w14:textId="77777777" w:rsidTr="00BF3B71">
        <w:trPr>
          <w:trHeight w:val="20"/>
        </w:trPr>
        <w:tc>
          <w:tcPr>
            <w:tcW w:w="2424" w:type="pct"/>
            <w:tcBorders>
              <w:top w:val="nil"/>
              <w:left w:val="double" w:sz="6" w:space="0" w:color="auto"/>
              <w:bottom w:val="dotted" w:sz="4" w:space="0" w:color="auto"/>
              <w:right w:val="nil"/>
            </w:tcBorders>
            <w:shd w:val="clear" w:color="000000" w:fill="FFFFFF"/>
            <w:vAlign w:val="center"/>
            <w:hideMark/>
          </w:tcPr>
          <w:p w14:paraId="7E815F7D" w14:textId="77777777" w:rsidR="009D6D4E" w:rsidRPr="00030958" w:rsidRDefault="009D6D4E" w:rsidP="00BF3B71">
            <w:pPr>
              <w:rPr>
                <w:sz w:val="18"/>
                <w:szCs w:val="20"/>
                <w:lang w:val="en-US"/>
              </w:rPr>
            </w:pPr>
            <w:bookmarkStart w:id="231" w:name="RANGE!B8"/>
            <w:r w:rsidRPr="00030958">
              <w:rPr>
                <w:sz w:val="18"/>
                <w:szCs w:val="20"/>
                <w:lang w:val="en-US"/>
              </w:rPr>
              <w:t>3. Qeveria Shtetërore</w:t>
            </w:r>
            <w:bookmarkEnd w:id="231"/>
          </w:p>
        </w:tc>
        <w:tc>
          <w:tcPr>
            <w:tcW w:w="517" w:type="pct"/>
            <w:tcBorders>
              <w:top w:val="nil"/>
              <w:left w:val="single" w:sz="4" w:space="0" w:color="auto"/>
              <w:bottom w:val="dotted" w:sz="4" w:space="0" w:color="auto"/>
              <w:right w:val="single" w:sz="8" w:space="0" w:color="auto"/>
            </w:tcBorders>
            <w:shd w:val="clear" w:color="000000" w:fill="FFFFFF"/>
            <w:vAlign w:val="center"/>
            <w:hideMark/>
          </w:tcPr>
          <w:p w14:paraId="44392908" w14:textId="77777777" w:rsidR="009D6D4E" w:rsidRPr="00030958" w:rsidRDefault="009D6D4E" w:rsidP="00BF3B71">
            <w:pPr>
              <w:jc w:val="center"/>
              <w:rPr>
                <w:sz w:val="18"/>
                <w:szCs w:val="20"/>
                <w:lang w:val="en-US"/>
              </w:rPr>
            </w:pPr>
            <w:r w:rsidRPr="00030958">
              <w:rPr>
                <w:sz w:val="18"/>
                <w:szCs w:val="20"/>
                <w:lang w:val="en-US"/>
              </w:rPr>
              <w:t>S1312</w:t>
            </w:r>
          </w:p>
        </w:tc>
        <w:tc>
          <w:tcPr>
            <w:tcW w:w="429" w:type="pct"/>
            <w:tcBorders>
              <w:top w:val="nil"/>
              <w:left w:val="nil"/>
              <w:bottom w:val="dotted" w:sz="4" w:space="0" w:color="auto"/>
              <w:right w:val="single" w:sz="8" w:space="0" w:color="auto"/>
            </w:tcBorders>
            <w:shd w:val="clear" w:color="000000" w:fill="FFFFFF"/>
            <w:vAlign w:val="center"/>
            <w:hideMark/>
          </w:tcPr>
          <w:p w14:paraId="5FE80407"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dotted" w:sz="4" w:space="0" w:color="auto"/>
              <w:right w:val="dotted" w:sz="4" w:space="0" w:color="auto"/>
            </w:tcBorders>
            <w:shd w:val="clear" w:color="000000" w:fill="FFFFFF"/>
            <w:vAlign w:val="center"/>
            <w:hideMark/>
          </w:tcPr>
          <w:p w14:paraId="62EF5E80"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dotted" w:sz="4" w:space="0" w:color="auto"/>
              <w:right w:val="dotted" w:sz="4" w:space="0" w:color="auto"/>
            </w:tcBorders>
            <w:shd w:val="clear" w:color="000000" w:fill="FFFFFF"/>
            <w:vAlign w:val="center"/>
            <w:hideMark/>
          </w:tcPr>
          <w:p w14:paraId="14094C2A"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dotted" w:sz="4" w:space="0" w:color="auto"/>
              <w:right w:val="dotted" w:sz="4" w:space="0" w:color="auto"/>
            </w:tcBorders>
            <w:shd w:val="clear" w:color="000000" w:fill="FFFFFF"/>
            <w:vAlign w:val="center"/>
            <w:hideMark/>
          </w:tcPr>
          <w:p w14:paraId="43BB9DCE"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dotted" w:sz="4" w:space="0" w:color="auto"/>
              <w:right w:val="dotted" w:sz="4" w:space="0" w:color="auto"/>
            </w:tcBorders>
            <w:shd w:val="clear" w:color="000000" w:fill="FFFFFF"/>
            <w:vAlign w:val="center"/>
            <w:hideMark/>
          </w:tcPr>
          <w:p w14:paraId="0FA1CAAB"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dotted" w:sz="4" w:space="0" w:color="auto"/>
              <w:right w:val="double" w:sz="6" w:space="0" w:color="auto"/>
            </w:tcBorders>
            <w:shd w:val="clear" w:color="000000" w:fill="FFFFFF"/>
            <w:vAlign w:val="center"/>
            <w:hideMark/>
          </w:tcPr>
          <w:p w14:paraId="4CE8CC00" w14:textId="77777777" w:rsidR="009D6D4E" w:rsidRPr="00030958" w:rsidRDefault="009D6D4E" w:rsidP="00BF3B71">
            <w:pPr>
              <w:jc w:val="center"/>
              <w:rPr>
                <w:sz w:val="18"/>
                <w:szCs w:val="20"/>
                <w:lang w:val="en-US"/>
              </w:rPr>
            </w:pPr>
            <w:r w:rsidRPr="00030958">
              <w:rPr>
                <w:sz w:val="18"/>
                <w:szCs w:val="20"/>
                <w:lang w:val="en-US"/>
              </w:rPr>
              <w:t>:</w:t>
            </w:r>
          </w:p>
        </w:tc>
      </w:tr>
      <w:tr w:rsidR="009D6D4E" w:rsidRPr="00030958" w14:paraId="474CB62B" w14:textId="77777777" w:rsidTr="00BF3B71">
        <w:trPr>
          <w:trHeight w:val="20"/>
        </w:trPr>
        <w:tc>
          <w:tcPr>
            <w:tcW w:w="2424" w:type="pct"/>
            <w:tcBorders>
              <w:top w:val="nil"/>
              <w:left w:val="double" w:sz="6" w:space="0" w:color="auto"/>
              <w:bottom w:val="dotted" w:sz="4" w:space="0" w:color="auto"/>
              <w:right w:val="nil"/>
            </w:tcBorders>
            <w:shd w:val="clear" w:color="000000" w:fill="FFFFFF"/>
            <w:vAlign w:val="center"/>
            <w:hideMark/>
          </w:tcPr>
          <w:p w14:paraId="4D01C44F" w14:textId="77777777" w:rsidR="009D6D4E" w:rsidRPr="00030958" w:rsidRDefault="009D6D4E" w:rsidP="00BF3B71">
            <w:pPr>
              <w:rPr>
                <w:sz w:val="18"/>
                <w:szCs w:val="20"/>
                <w:lang w:val="en-US"/>
              </w:rPr>
            </w:pPr>
            <w:bookmarkStart w:id="232" w:name="RANGE!B9"/>
            <w:r w:rsidRPr="00030958">
              <w:rPr>
                <w:sz w:val="18"/>
                <w:szCs w:val="20"/>
                <w:lang w:val="en-US"/>
              </w:rPr>
              <w:t>4. Qeveria Lokale</w:t>
            </w:r>
            <w:bookmarkEnd w:id="232"/>
          </w:p>
        </w:tc>
        <w:tc>
          <w:tcPr>
            <w:tcW w:w="517" w:type="pct"/>
            <w:tcBorders>
              <w:top w:val="nil"/>
              <w:left w:val="single" w:sz="4" w:space="0" w:color="auto"/>
              <w:bottom w:val="dotted" w:sz="4" w:space="0" w:color="auto"/>
              <w:right w:val="single" w:sz="8" w:space="0" w:color="auto"/>
            </w:tcBorders>
            <w:shd w:val="clear" w:color="000000" w:fill="FFFFFF"/>
            <w:vAlign w:val="center"/>
            <w:hideMark/>
          </w:tcPr>
          <w:p w14:paraId="57D4FC37" w14:textId="77777777" w:rsidR="009D6D4E" w:rsidRPr="00030958" w:rsidRDefault="009D6D4E" w:rsidP="00BF3B71">
            <w:pPr>
              <w:jc w:val="center"/>
              <w:rPr>
                <w:sz w:val="18"/>
                <w:szCs w:val="20"/>
                <w:lang w:val="en-US"/>
              </w:rPr>
            </w:pPr>
            <w:r w:rsidRPr="00030958">
              <w:rPr>
                <w:sz w:val="18"/>
                <w:szCs w:val="20"/>
                <w:lang w:val="en-US"/>
              </w:rPr>
              <w:t>S1313</w:t>
            </w:r>
          </w:p>
        </w:tc>
        <w:tc>
          <w:tcPr>
            <w:tcW w:w="429" w:type="pct"/>
            <w:tcBorders>
              <w:top w:val="nil"/>
              <w:left w:val="nil"/>
              <w:bottom w:val="dotted" w:sz="4" w:space="0" w:color="auto"/>
              <w:right w:val="single" w:sz="8" w:space="0" w:color="auto"/>
            </w:tcBorders>
            <w:shd w:val="clear" w:color="000000" w:fill="FFFFFF"/>
            <w:vAlign w:val="center"/>
            <w:hideMark/>
          </w:tcPr>
          <w:p w14:paraId="20DCAAF1"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dotted" w:sz="4" w:space="0" w:color="auto"/>
              <w:right w:val="dotted" w:sz="4" w:space="0" w:color="auto"/>
            </w:tcBorders>
            <w:shd w:val="clear" w:color="000000" w:fill="FFFFFF"/>
            <w:vAlign w:val="center"/>
            <w:hideMark/>
          </w:tcPr>
          <w:p w14:paraId="4C9694AD"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dotted" w:sz="4" w:space="0" w:color="auto"/>
              <w:right w:val="dotted" w:sz="4" w:space="0" w:color="auto"/>
            </w:tcBorders>
            <w:shd w:val="clear" w:color="000000" w:fill="FFFFFF"/>
            <w:vAlign w:val="center"/>
            <w:hideMark/>
          </w:tcPr>
          <w:p w14:paraId="47D2825F"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dotted" w:sz="4" w:space="0" w:color="auto"/>
              <w:right w:val="dotted" w:sz="4" w:space="0" w:color="auto"/>
            </w:tcBorders>
            <w:shd w:val="clear" w:color="000000" w:fill="FFFFFF"/>
            <w:vAlign w:val="center"/>
            <w:hideMark/>
          </w:tcPr>
          <w:p w14:paraId="71E041F6"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dotted" w:sz="4" w:space="0" w:color="auto"/>
              <w:right w:val="dotted" w:sz="4" w:space="0" w:color="auto"/>
            </w:tcBorders>
            <w:shd w:val="clear" w:color="000000" w:fill="FFFFFF"/>
            <w:vAlign w:val="center"/>
            <w:hideMark/>
          </w:tcPr>
          <w:p w14:paraId="434F7733"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dotted" w:sz="4" w:space="0" w:color="auto"/>
              <w:right w:val="double" w:sz="6" w:space="0" w:color="auto"/>
            </w:tcBorders>
            <w:shd w:val="clear" w:color="000000" w:fill="FFFFFF"/>
            <w:vAlign w:val="center"/>
            <w:hideMark/>
          </w:tcPr>
          <w:p w14:paraId="5A9CAAAE" w14:textId="77777777" w:rsidR="009D6D4E" w:rsidRPr="00030958" w:rsidRDefault="009D6D4E" w:rsidP="00BF3B71">
            <w:pPr>
              <w:jc w:val="center"/>
              <w:rPr>
                <w:sz w:val="18"/>
                <w:szCs w:val="20"/>
                <w:lang w:val="en-US"/>
              </w:rPr>
            </w:pPr>
            <w:r w:rsidRPr="00030958">
              <w:rPr>
                <w:sz w:val="18"/>
                <w:szCs w:val="20"/>
                <w:lang w:val="en-US"/>
              </w:rPr>
              <w:t>:</w:t>
            </w:r>
          </w:p>
        </w:tc>
      </w:tr>
      <w:tr w:rsidR="009D6D4E" w:rsidRPr="00030958" w14:paraId="09624710" w14:textId="77777777" w:rsidTr="00BF3B71">
        <w:trPr>
          <w:trHeight w:val="20"/>
        </w:trPr>
        <w:tc>
          <w:tcPr>
            <w:tcW w:w="2424" w:type="pct"/>
            <w:tcBorders>
              <w:top w:val="nil"/>
              <w:left w:val="double" w:sz="6" w:space="0" w:color="auto"/>
              <w:bottom w:val="single" w:sz="8" w:space="0" w:color="auto"/>
              <w:right w:val="nil"/>
            </w:tcBorders>
            <w:shd w:val="clear" w:color="000000" w:fill="FFFFFF"/>
            <w:vAlign w:val="center"/>
            <w:hideMark/>
          </w:tcPr>
          <w:p w14:paraId="64F56B1B" w14:textId="77777777" w:rsidR="009D6D4E" w:rsidRPr="00030958" w:rsidRDefault="009D6D4E" w:rsidP="00BF3B71">
            <w:pPr>
              <w:rPr>
                <w:sz w:val="18"/>
                <w:szCs w:val="20"/>
                <w:lang w:val="en-US"/>
              </w:rPr>
            </w:pPr>
            <w:r w:rsidRPr="00030958">
              <w:rPr>
                <w:sz w:val="18"/>
                <w:szCs w:val="20"/>
                <w:lang w:val="en-US"/>
              </w:rPr>
              <w:t>5. Fondi I sigurimit shoqeror</w:t>
            </w:r>
          </w:p>
        </w:tc>
        <w:tc>
          <w:tcPr>
            <w:tcW w:w="517" w:type="pct"/>
            <w:tcBorders>
              <w:top w:val="nil"/>
              <w:left w:val="single" w:sz="4" w:space="0" w:color="auto"/>
              <w:bottom w:val="single" w:sz="8" w:space="0" w:color="auto"/>
              <w:right w:val="single" w:sz="8" w:space="0" w:color="auto"/>
            </w:tcBorders>
            <w:shd w:val="clear" w:color="000000" w:fill="FFFFFF"/>
            <w:vAlign w:val="center"/>
            <w:hideMark/>
          </w:tcPr>
          <w:p w14:paraId="361AE2B2" w14:textId="77777777" w:rsidR="009D6D4E" w:rsidRPr="00030958" w:rsidRDefault="009D6D4E" w:rsidP="00BF3B71">
            <w:pPr>
              <w:jc w:val="center"/>
              <w:rPr>
                <w:sz w:val="18"/>
                <w:szCs w:val="20"/>
                <w:lang w:val="en-US"/>
              </w:rPr>
            </w:pPr>
            <w:r w:rsidRPr="00030958">
              <w:rPr>
                <w:sz w:val="18"/>
                <w:szCs w:val="20"/>
                <w:lang w:val="en-US"/>
              </w:rPr>
              <w:t>S1314</w:t>
            </w:r>
          </w:p>
        </w:tc>
        <w:tc>
          <w:tcPr>
            <w:tcW w:w="429" w:type="pct"/>
            <w:tcBorders>
              <w:top w:val="nil"/>
              <w:left w:val="nil"/>
              <w:bottom w:val="single" w:sz="8" w:space="0" w:color="auto"/>
              <w:right w:val="single" w:sz="8" w:space="0" w:color="auto"/>
            </w:tcBorders>
            <w:shd w:val="clear" w:color="000000" w:fill="FFFFFF"/>
            <w:vAlign w:val="center"/>
            <w:hideMark/>
          </w:tcPr>
          <w:p w14:paraId="4077921E"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single" w:sz="8" w:space="0" w:color="auto"/>
              <w:right w:val="dotted" w:sz="4" w:space="0" w:color="auto"/>
            </w:tcBorders>
            <w:shd w:val="clear" w:color="000000" w:fill="FFFFFF"/>
            <w:vAlign w:val="center"/>
            <w:hideMark/>
          </w:tcPr>
          <w:p w14:paraId="462D5F5E"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single" w:sz="8" w:space="0" w:color="auto"/>
              <w:right w:val="dotted" w:sz="4" w:space="0" w:color="auto"/>
            </w:tcBorders>
            <w:shd w:val="clear" w:color="000000" w:fill="FFFFFF"/>
            <w:vAlign w:val="center"/>
            <w:hideMark/>
          </w:tcPr>
          <w:p w14:paraId="55B06427"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single" w:sz="8" w:space="0" w:color="auto"/>
              <w:right w:val="dotted" w:sz="4" w:space="0" w:color="auto"/>
            </w:tcBorders>
            <w:shd w:val="clear" w:color="000000" w:fill="FFFFFF"/>
            <w:vAlign w:val="center"/>
            <w:hideMark/>
          </w:tcPr>
          <w:p w14:paraId="6AFEFF30"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single" w:sz="8" w:space="0" w:color="auto"/>
              <w:right w:val="dotted" w:sz="4" w:space="0" w:color="auto"/>
            </w:tcBorders>
            <w:shd w:val="clear" w:color="000000" w:fill="FFFFFF"/>
            <w:vAlign w:val="center"/>
            <w:hideMark/>
          </w:tcPr>
          <w:p w14:paraId="5390B82B"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single" w:sz="8" w:space="0" w:color="auto"/>
              <w:right w:val="double" w:sz="6" w:space="0" w:color="auto"/>
            </w:tcBorders>
            <w:shd w:val="clear" w:color="000000" w:fill="FFFFFF"/>
            <w:vAlign w:val="center"/>
            <w:hideMark/>
          </w:tcPr>
          <w:p w14:paraId="71F61A77" w14:textId="77777777" w:rsidR="009D6D4E" w:rsidRPr="00030958" w:rsidRDefault="009D6D4E" w:rsidP="00BF3B71">
            <w:pPr>
              <w:jc w:val="center"/>
              <w:rPr>
                <w:sz w:val="18"/>
                <w:szCs w:val="20"/>
                <w:lang w:val="en-US"/>
              </w:rPr>
            </w:pPr>
            <w:r w:rsidRPr="00030958">
              <w:rPr>
                <w:sz w:val="18"/>
                <w:szCs w:val="20"/>
                <w:lang w:val="en-US"/>
              </w:rPr>
              <w:t>:</w:t>
            </w:r>
          </w:p>
        </w:tc>
      </w:tr>
      <w:tr w:rsidR="009D6D4E" w:rsidRPr="00030958" w14:paraId="12324451" w14:textId="77777777" w:rsidTr="00BF3B71">
        <w:trPr>
          <w:trHeight w:val="20"/>
        </w:trPr>
        <w:tc>
          <w:tcPr>
            <w:tcW w:w="5000" w:type="pct"/>
            <w:gridSpan w:val="8"/>
            <w:tcBorders>
              <w:top w:val="single" w:sz="8" w:space="0" w:color="auto"/>
              <w:left w:val="double" w:sz="6" w:space="0" w:color="auto"/>
              <w:bottom w:val="single" w:sz="8" w:space="0" w:color="auto"/>
              <w:right w:val="double" w:sz="6" w:space="0" w:color="000000"/>
            </w:tcBorders>
            <w:shd w:val="clear" w:color="000000" w:fill="FFFFFF"/>
            <w:vAlign w:val="center"/>
            <w:hideMark/>
          </w:tcPr>
          <w:p w14:paraId="1A4CDFCC" w14:textId="77777777" w:rsidR="009D6D4E" w:rsidRPr="00030958" w:rsidRDefault="009D6D4E" w:rsidP="00BF3B71">
            <w:pPr>
              <w:jc w:val="center"/>
              <w:rPr>
                <w:b/>
                <w:bCs/>
                <w:sz w:val="18"/>
                <w:szCs w:val="20"/>
                <w:lang w:val="en-US"/>
              </w:rPr>
            </w:pPr>
            <w:r w:rsidRPr="00030958">
              <w:rPr>
                <w:b/>
                <w:bCs/>
                <w:sz w:val="18"/>
                <w:szCs w:val="20"/>
                <w:lang w:val="en-US"/>
              </w:rPr>
              <w:t>Qeveria e Përgjithshme (S13)</w:t>
            </w:r>
          </w:p>
        </w:tc>
      </w:tr>
      <w:tr w:rsidR="009D6D4E" w:rsidRPr="00030958" w14:paraId="64C64EF8" w14:textId="77777777" w:rsidTr="00BF3B71">
        <w:trPr>
          <w:trHeight w:val="20"/>
        </w:trPr>
        <w:tc>
          <w:tcPr>
            <w:tcW w:w="2424" w:type="pct"/>
            <w:tcBorders>
              <w:top w:val="nil"/>
              <w:left w:val="double" w:sz="6" w:space="0" w:color="auto"/>
              <w:bottom w:val="dotted" w:sz="4" w:space="0" w:color="auto"/>
              <w:right w:val="nil"/>
            </w:tcBorders>
            <w:shd w:val="clear" w:color="000000" w:fill="FFFFFF"/>
            <w:vAlign w:val="center"/>
            <w:hideMark/>
          </w:tcPr>
          <w:p w14:paraId="2D739B89" w14:textId="77777777" w:rsidR="009D6D4E" w:rsidRPr="00030958" w:rsidRDefault="009D6D4E" w:rsidP="00BF3B71">
            <w:pPr>
              <w:rPr>
                <w:sz w:val="18"/>
                <w:szCs w:val="20"/>
                <w:lang w:val="en-US"/>
              </w:rPr>
            </w:pPr>
            <w:r w:rsidRPr="00030958">
              <w:rPr>
                <w:sz w:val="18"/>
                <w:szCs w:val="20"/>
                <w:lang w:val="en-US"/>
              </w:rPr>
              <w:t>6. Të Hyrat Totale</w:t>
            </w:r>
          </w:p>
        </w:tc>
        <w:tc>
          <w:tcPr>
            <w:tcW w:w="517" w:type="pct"/>
            <w:tcBorders>
              <w:top w:val="nil"/>
              <w:left w:val="single" w:sz="4" w:space="0" w:color="auto"/>
              <w:bottom w:val="dotted" w:sz="4" w:space="0" w:color="auto"/>
              <w:right w:val="single" w:sz="8" w:space="0" w:color="auto"/>
            </w:tcBorders>
            <w:shd w:val="clear" w:color="000000" w:fill="FFFFFF"/>
            <w:vAlign w:val="center"/>
            <w:hideMark/>
          </w:tcPr>
          <w:p w14:paraId="4722B4E1" w14:textId="77777777" w:rsidR="009D6D4E" w:rsidRPr="00030958" w:rsidRDefault="009D6D4E" w:rsidP="00BF3B71">
            <w:pPr>
              <w:jc w:val="center"/>
              <w:rPr>
                <w:sz w:val="18"/>
                <w:szCs w:val="20"/>
                <w:lang w:val="en-US"/>
              </w:rPr>
            </w:pPr>
            <w:r w:rsidRPr="00030958">
              <w:rPr>
                <w:sz w:val="18"/>
                <w:szCs w:val="20"/>
                <w:lang w:val="en-US"/>
              </w:rPr>
              <w:t>TR</w:t>
            </w:r>
          </w:p>
        </w:tc>
        <w:tc>
          <w:tcPr>
            <w:tcW w:w="429" w:type="pct"/>
            <w:tcBorders>
              <w:top w:val="nil"/>
              <w:left w:val="nil"/>
              <w:bottom w:val="dotted" w:sz="4" w:space="0" w:color="auto"/>
              <w:right w:val="single" w:sz="8" w:space="0" w:color="auto"/>
            </w:tcBorders>
            <w:shd w:val="clear" w:color="000000" w:fill="FFFFFF"/>
            <w:vAlign w:val="center"/>
            <w:hideMark/>
          </w:tcPr>
          <w:p w14:paraId="1981FAFA" w14:textId="77777777" w:rsidR="009D6D4E" w:rsidRPr="00030958" w:rsidRDefault="009D6D4E" w:rsidP="00BF3B71">
            <w:pPr>
              <w:jc w:val="center"/>
              <w:rPr>
                <w:sz w:val="18"/>
                <w:szCs w:val="20"/>
                <w:lang w:val="en-US"/>
              </w:rPr>
            </w:pPr>
            <w:r w:rsidRPr="00030958">
              <w:rPr>
                <w:sz w:val="18"/>
                <w:szCs w:val="20"/>
                <w:lang w:val="en-US"/>
              </w:rPr>
              <w:t>1,756.6</w:t>
            </w:r>
          </w:p>
        </w:tc>
        <w:tc>
          <w:tcPr>
            <w:tcW w:w="326" w:type="pct"/>
            <w:tcBorders>
              <w:top w:val="nil"/>
              <w:left w:val="nil"/>
              <w:bottom w:val="dotted" w:sz="4" w:space="0" w:color="auto"/>
              <w:right w:val="dotted" w:sz="4" w:space="0" w:color="auto"/>
            </w:tcBorders>
            <w:shd w:val="clear" w:color="000000" w:fill="FFFFFF"/>
            <w:vAlign w:val="center"/>
            <w:hideMark/>
          </w:tcPr>
          <w:p w14:paraId="2A85F721" w14:textId="77777777" w:rsidR="009D6D4E" w:rsidRPr="00030958" w:rsidRDefault="009D6D4E" w:rsidP="00BF3B71">
            <w:pPr>
              <w:jc w:val="center"/>
              <w:rPr>
                <w:sz w:val="18"/>
                <w:szCs w:val="20"/>
                <w:lang w:val="en-US"/>
              </w:rPr>
            </w:pPr>
            <w:r w:rsidRPr="00030958">
              <w:rPr>
                <w:sz w:val="18"/>
                <w:szCs w:val="20"/>
                <w:lang w:val="en-US"/>
              </w:rPr>
              <w:t>26.1</w:t>
            </w:r>
          </w:p>
        </w:tc>
        <w:tc>
          <w:tcPr>
            <w:tcW w:w="326" w:type="pct"/>
            <w:tcBorders>
              <w:top w:val="nil"/>
              <w:left w:val="nil"/>
              <w:bottom w:val="dotted" w:sz="4" w:space="0" w:color="auto"/>
              <w:right w:val="dotted" w:sz="4" w:space="0" w:color="auto"/>
            </w:tcBorders>
            <w:shd w:val="clear" w:color="000000" w:fill="FFFFFF"/>
            <w:vAlign w:val="center"/>
            <w:hideMark/>
          </w:tcPr>
          <w:p w14:paraId="70666A34" w14:textId="77777777" w:rsidR="009D6D4E" w:rsidRPr="00030958" w:rsidRDefault="009D6D4E" w:rsidP="00BF3B71">
            <w:pPr>
              <w:jc w:val="center"/>
              <w:rPr>
                <w:sz w:val="18"/>
                <w:szCs w:val="20"/>
                <w:lang w:val="en-US"/>
              </w:rPr>
            </w:pPr>
            <w:r w:rsidRPr="00030958">
              <w:rPr>
                <w:sz w:val="18"/>
                <w:szCs w:val="20"/>
                <w:lang w:val="en-US"/>
              </w:rPr>
              <w:t>27.4</w:t>
            </w:r>
          </w:p>
        </w:tc>
        <w:tc>
          <w:tcPr>
            <w:tcW w:w="326" w:type="pct"/>
            <w:tcBorders>
              <w:top w:val="nil"/>
              <w:left w:val="nil"/>
              <w:bottom w:val="dotted" w:sz="4" w:space="0" w:color="auto"/>
              <w:right w:val="dotted" w:sz="4" w:space="0" w:color="auto"/>
            </w:tcBorders>
            <w:shd w:val="clear" w:color="000000" w:fill="FFFFFF"/>
            <w:vAlign w:val="center"/>
            <w:hideMark/>
          </w:tcPr>
          <w:p w14:paraId="24053618" w14:textId="77777777" w:rsidR="009D6D4E" w:rsidRPr="00030958" w:rsidRDefault="009D6D4E" w:rsidP="00BF3B71">
            <w:pPr>
              <w:jc w:val="center"/>
              <w:rPr>
                <w:sz w:val="18"/>
                <w:szCs w:val="20"/>
                <w:lang w:val="en-US"/>
              </w:rPr>
            </w:pPr>
            <w:r w:rsidRPr="00030958">
              <w:rPr>
                <w:sz w:val="18"/>
                <w:szCs w:val="20"/>
                <w:lang w:val="en-US"/>
              </w:rPr>
              <w:t>27.2</w:t>
            </w:r>
          </w:p>
        </w:tc>
        <w:tc>
          <w:tcPr>
            <w:tcW w:w="326" w:type="pct"/>
            <w:tcBorders>
              <w:top w:val="nil"/>
              <w:left w:val="nil"/>
              <w:bottom w:val="dotted" w:sz="4" w:space="0" w:color="auto"/>
              <w:right w:val="dotted" w:sz="4" w:space="0" w:color="auto"/>
            </w:tcBorders>
            <w:shd w:val="clear" w:color="000000" w:fill="FFFFFF"/>
            <w:vAlign w:val="center"/>
            <w:hideMark/>
          </w:tcPr>
          <w:p w14:paraId="76F8EB17" w14:textId="77777777" w:rsidR="009D6D4E" w:rsidRPr="00030958" w:rsidRDefault="009D6D4E" w:rsidP="00BF3B71">
            <w:pPr>
              <w:jc w:val="center"/>
              <w:rPr>
                <w:sz w:val="18"/>
                <w:szCs w:val="20"/>
                <w:lang w:val="en-US"/>
              </w:rPr>
            </w:pPr>
            <w:r w:rsidRPr="00030958">
              <w:rPr>
                <w:sz w:val="18"/>
                <w:szCs w:val="20"/>
                <w:lang w:val="en-US"/>
              </w:rPr>
              <w:t>26.7</w:t>
            </w:r>
          </w:p>
        </w:tc>
        <w:tc>
          <w:tcPr>
            <w:tcW w:w="326" w:type="pct"/>
            <w:tcBorders>
              <w:top w:val="nil"/>
              <w:left w:val="nil"/>
              <w:bottom w:val="dotted" w:sz="4" w:space="0" w:color="auto"/>
              <w:right w:val="double" w:sz="6" w:space="0" w:color="auto"/>
            </w:tcBorders>
            <w:shd w:val="clear" w:color="000000" w:fill="FFFFFF"/>
            <w:vAlign w:val="center"/>
            <w:hideMark/>
          </w:tcPr>
          <w:p w14:paraId="465FD049" w14:textId="77777777" w:rsidR="009D6D4E" w:rsidRPr="00030958" w:rsidRDefault="009D6D4E" w:rsidP="00BF3B71">
            <w:pPr>
              <w:jc w:val="center"/>
              <w:rPr>
                <w:sz w:val="18"/>
                <w:szCs w:val="20"/>
                <w:lang w:val="en-US"/>
              </w:rPr>
            </w:pPr>
            <w:r w:rsidRPr="00030958">
              <w:rPr>
                <w:sz w:val="18"/>
                <w:szCs w:val="20"/>
                <w:lang w:val="en-US"/>
              </w:rPr>
              <w:t>26.7</w:t>
            </w:r>
          </w:p>
        </w:tc>
      </w:tr>
      <w:tr w:rsidR="009D6D4E" w:rsidRPr="00030958" w14:paraId="0111AB57" w14:textId="77777777" w:rsidTr="00BF3B71">
        <w:trPr>
          <w:trHeight w:val="20"/>
        </w:trPr>
        <w:tc>
          <w:tcPr>
            <w:tcW w:w="2424" w:type="pct"/>
            <w:tcBorders>
              <w:top w:val="nil"/>
              <w:left w:val="double" w:sz="6" w:space="0" w:color="auto"/>
              <w:bottom w:val="dotted" w:sz="4" w:space="0" w:color="auto"/>
              <w:right w:val="nil"/>
            </w:tcBorders>
            <w:shd w:val="clear" w:color="000000" w:fill="FFFFFF"/>
            <w:vAlign w:val="center"/>
            <w:hideMark/>
          </w:tcPr>
          <w:p w14:paraId="26D060C1" w14:textId="77777777" w:rsidR="009D6D4E" w:rsidRPr="00030958" w:rsidRDefault="009D6D4E" w:rsidP="00BF3B71">
            <w:pPr>
              <w:rPr>
                <w:sz w:val="18"/>
                <w:szCs w:val="20"/>
                <w:lang w:val="en-US"/>
              </w:rPr>
            </w:pPr>
            <w:r w:rsidRPr="00030958">
              <w:rPr>
                <w:sz w:val="18"/>
                <w:szCs w:val="20"/>
                <w:lang w:val="en-US"/>
              </w:rPr>
              <w:t>7. Shpenzimet Totale[1]</w:t>
            </w:r>
          </w:p>
        </w:tc>
        <w:tc>
          <w:tcPr>
            <w:tcW w:w="517" w:type="pct"/>
            <w:tcBorders>
              <w:top w:val="nil"/>
              <w:left w:val="single" w:sz="4" w:space="0" w:color="auto"/>
              <w:bottom w:val="dotted" w:sz="4" w:space="0" w:color="auto"/>
              <w:right w:val="single" w:sz="8" w:space="0" w:color="auto"/>
            </w:tcBorders>
            <w:shd w:val="clear" w:color="000000" w:fill="FFFFFF"/>
            <w:vAlign w:val="center"/>
            <w:hideMark/>
          </w:tcPr>
          <w:p w14:paraId="231C8BBB" w14:textId="77777777" w:rsidR="009D6D4E" w:rsidRPr="00030958" w:rsidRDefault="009D6D4E" w:rsidP="00BF3B71">
            <w:pPr>
              <w:jc w:val="center"/>
              <w:rPr>
                <w:sz w:val="18"/>
                <w:szCs w:val="20"/>
                <w:lang w:val="en-US"/>
              </w:rPr>
            </w:pPr>
            <w:r w:rsidRPr="00030958">
              <w:rPr>
                <w:sz w:val="18"/>
                <w:szCs w:val="20"/>
                <w:lang w:val="en-US"/>
              </w:rPr>
              <w:t>TE</w:t>
            </w:r>
          </w:p>
        </w:tc>
        <w:tc>
          <w:tcPr>
            <w:tcW w:w="429" w:type="pct"/>
            <w:tcBorders>
              <w:top w:val="nil"/>
              <w:left w:val="nil"/>
              <w:bottom w:val="dotted" w:sz="4" w:space="0" w:color="auto"/>
              <w:right w:val="single" w:sz="8" w:space="0" w:color="auto"/>
            </w:tcBorders>
            <w:shd w:val="clear" w:color="000000" w:fill="FFFFFF"/>
            <w:vAlign w:val="center"/>
            <w:hideMark/>
          </w:tcPr>
          <w:p w14:paraId="19294094" w14:textId="77777777" w:rsidR="009D6D4E" w:rsidRPr="00030958" w:rsidRDefault="009D6D4E" w:rsidP="00BF3B71">
            <w:pPr>
              <w:jc w:val="center"/>
              <w:rPr>
                <w:sz w:val="18"/>
                <w:szCs w:val="20"/>
                <w:lang w:val="en-US"/>
              </w:rPr>
            </w:pPr>
            <w:r w:rsidRPr="00030958">
              <w:rPr>
                <w:sz w:val="18"/>
                <w:szCs w:val="20"/>
                <w:lang w:val="en-US"/>
              </w:rPr>
              <w:t>1,955.8</w:t>
            </w:r>
          </w:p>
        </w:tc>
        <w:tc>
          <w:tcPr>
            <w:tcW w:w="326" w:type="pct"/>
            <w:tcBorders>
              <w:top w:val="nil"/>
              <w:left w:val="nil"/>
              <w:bottom w:val="dotted" w:sz="4" w:space="0" w:color="auto"/>
              <w:right w:val="dotted" w:sz="4" w:space="0" w:color="auto"/>
            </w:tcBorders>
            <w:shd w:val="clear" w:color="000000" w:fill="FFFFFF"/>
            <w:vAlign w:val="center"/>
            <w:hideMark/>
          </w:tcPr>
          <w:p w14:paraId="5E9F37B8" w14:textId="77777777" w:rsidR="009D6D4E" w:rsidRPr="00030958" w:rsidRDefault="009D6D4E" w:rsidP="00BF3B71">
            <w:pPr>
              <w:jc w:val="center"/>
              <w:rPr>
                <w:sz w:val="18"/>
                <w:szCs w:val="20"/>
                <w:lang w:val="en-US"/>
              </w:rPr>
            </w:pPr>
            <w:r w:rsidRPr="00030958">
              <w:rPr>
                <w:sz w:val="18"/>
                <w:szCs w:val="20"/>
                <w:lang w:val="en-US"/>
              </w:rPr>
              <w:t>29.1</w:t>
            </w:r>
          </w:p>
        </w:tc>
        <w:tc>
          <w:tcPr>
            <w:tcW w:w="326" w:type="pct"/>
            <w:tcBorders>
              <w:top w:val="nil"/>
              <w:left w:val="nil"/>
              <w:bottom w:val="dotted" w:sz="4" w:space="0" w:color="auto"/>
              <w:right w:val="dotted" w:sz="4" w:space="0" w:color="auto"/>
            </w:tcBorders>
            <w:shd w:val="clear" w:color="000000" w:fill="FFFFFF"/>
            <w:vAlign w:val="center"/>
            <w:hideMark/>
          </w:tcPr>
          <w:p w14:paraId="1D297266" w14:textId="77777777" w:rsidR="009D6D4E" w:rsidRPr="00030958" w:rsidRDefault="009D6D4E" w:rsidP="00BF3B71">
            <w:pPr>
              <w:jc w:val="center"/>
              <w:rPr>
                <w:sz w:val="18"/>
                <w:szCs w:val="20"/>
                <w:lang w:val="en-US"/>
              </w:rPr>
            </w:pPr>
            <w:r w:rsidRPr="00030958">
              <w:rPr>
                <w:sz w:val="18"/>
                <w:szCs w:val="20"/>
                <w:lang w:val="en-US"/>
              </w:rPr>
              <w:t>33.4</w:t>
            </w:r>
          </w:p>
        </w:tc>
        <w:tc>
          <w:tcPr>
            <w:tcW w:w="326" w:type="pct"/>
            <w:tcBorders>
              <w:top w:val="nil"/>
              <w:left w:val="nil"/>
              <w:bottom w:val="dotted" w:sz="4" w:space="0" w:color="auto"/>
              <w:right w:val="dotted" w:sz="4" w:space="0" w:color="auto"/>
            </w:tcBorders>
            <w:shd w:val="clear" w:color="000000" w:fill="FFFFFF"/>
            <w:vAlign w:val="center"/>
            <w:hideMark/>
          </w:tcPr>
          <w:p w14:paraId="5A1683C0" w14:textId="77777777" w:rsidR="009D6D4E" w:rsidRPr="00030958" w:rsidRDefault="009D6D4E" w:rsidP="00BF3B71">
            <w:pPr>
              <w:jc w:val="center"/>
              <w:rPr>
                <w:sz w:val="18"/>
                <w:szCs w:val="20"/>
                <w:lang w:val="en-US"/>
              </w:rPr>
            </w:pPr>
            <w:r w:rsidRPr="00030958">
              <w:rPr>
                <w:sz w:val="18"/>
                <w:szCs w:val="20"/>
                <w:lang w:val="en-US"/>
              </w:rPr>
              <w:t>32.7</w:t>
            </w:r>
          </w:p>
        </w:tc>
        <w:tc>
          <w:tcPr>
            <w:tcW w:w="326" w:type="pct"/>
            <w:tcBorders>
              <w:top w:val="nil"/>
              <w:left w:val="nil"/>
              <w:bottom w:val="dotted" w:sz="4" w:space="0" w:color="auto"/>
              <w:right w:val="dotted" w:sz="4" w:space="0" w:color="auto"/>
            </w:tcBorders>
            <w:shd w:val="clear" w:color="000000" w:fill="FFFFFF"/>
            <w:vAlign w:val="center"/>
            <w:hideMark/>
          </w:tcPr>
          <w:p w14:paraId="2CC94EA4" w14:textId="77777777" w:rsidR="009D6D4E" w:rsidRPr="00030958" w:rsidRDefault="009D6D4E" w:rsidP="00BF3B71">
            <w:pPr>
              <w:jc w:val="center"/>
              <w:rPr>
                <w:sz w:val="18"/>
                <w:szCs w:val="20"/>
                <w:lang w:val="en-US"/>
              </w:rPr>
            </w:pPr>
            <w:r w:rsidRPr="00030958">
              <w:rPr>
                <w:sz w:val="18"/>
                <w:szCs w:val="20"/>
                <w:lang w:val="en-US"/>
              </w:rPr>
              <w:t>32.0</w:t>
            </w:r>
          </w:p>
        </w:tc>
        <w:tc>
          <w:tcPr>
            <w:tcW w:w="326" w:type="pct"/>
            <w:tcBorders>
              <w:top w:val="nil"/>
              <w:left w:val="nil"/>
              <w:bottom w:val="dotted" w:sz="4" w:space="0" w:color="auto"/>
              <w:right w:val="double" w:sz="6" w:space="0" w:color="auto"/>
            </w:tcBorders>
            <w:shd w:val="clear" w:color="000000" w:fill="FFFFFF"/>
            <w:vAlign w:val="center"/>
            <w:hideMark/>
          </w:tcPr>
          <w:p w14:paraId="41DAC704" w14:textId="77777777" w:rsidR="009D6D4E" w:rsidRPr="00030958" w:rsidRDefault="009D6D4E" w:rsidP="00BF3B71">
            <w:pPr>
              <w:jc w:val="center"/>
              <w:rPr>
                <w:sz w:val="18"/>
                <w:szCs w:val="20"/>
                <w:lang w:val="en-US"/>
              </w:rPr>
            </w:pPr>
            <w:r w:rsidRPr="00030958">
              <w:rPr>
                <w:sz w:val="18"/>
                <w:szCs w:val="20"/>
                <w:lang w:val="en-US"/>
              </w:rPr>
              <w:t>31.2</w:t>
            </w:r>
          </w:p>
        </w:tc>
      </w:tr>
      <w:tr w:rsidR="009D6D4E" w:rsidRPr="00030958" w14:paraId="56290C2E" w14:textId="77777777" w:rsidTr="00BF3B71">
        <w:trPr>
          <w:trHeight w:val="20"/>
        </w:trPr>
        <w:tc>
          <w:tcPr>
            <w:tcW w:w="2424" w:type="pct"/>
            <w:tcBorders>
              <w:top w:val="nil"/>
              <w:left w:val="double" w:sz="6" w:space="0" w:color="auto"/>
              <w:bottom w:val="dotted" w:sz="4" w:space="0" w:color="auto"/>
              <w:right w:val="nil"/>
            </w:tcBorders>
            <w:shd w:val="clear" w:color="000000" w:fill="FFFFFF"/>
            <w:vAlign w:val="center"/>
            <w:hideMark/>
          </w:tcPr>
          <w:p w14:paraId="1DE6D5A4" w14:textId="77777777" w:rsidR="009D6D4E" w:rsidRPr="00030958" w:rsidRDefault="009D6D4E" w:rsidP="00BF3B71">
            <w:pPr>
              <w:rPr>
                <w:sz w:val="18"/>
                <w:szCs w:val="20"/>
                <w:lang w:val="en-US"/>
              </w:rPr>
            </w:pPr>
            <w:r w:rsidRPr="00030958">
              <w:rPr>
                <w:sz w:val="18"/>
                <w:szCs w:val="20"/>
                <w:lang w:val="en-US"/>
              </w:rPr>
              <w:t>8. Neto Huamarrja/Huadhënja</w:t>
            </w:r>
          </w:p>
        </w:tc>
        <w:tc>
          <w:tcPr>
            <w:tcW w:w="517" w:type="pct"/>
            <w:tcBorders>
              <w:top w:val="nil"/>
              <w:left w:val="single" w:sz="4" w:space="0" w:color="auto"/>
              <w:bottom w:val="dotted" w:sz="4" w:space="0" w:color="auto"/>
              <w:right w:val="single" w:sz="8" w:space="0" w:color="auto"/>
            </w:tcBorders>
            <w:shd w:val="clear" w:color="000000" w:fill="FFFFFF"/>
            <w:vAlign w:val="center"/>
            <w:hideMark/>
          </w:tcPr>
          <w:p w14:paraId="3B9EAE6D" w14:textId="77777777" w:rsidR="009D6D4E" w:rsidRPr="00030958" w:rsidRDefault="009D6D4E" w:rsidP="00BF3B71">
            <w:pPr>
              <w:jc w:val="center"/>
              <w:rPr>
                <w:sz w:val="18"/>
                <w:szCs w:val="20"/>
                <w:lang w:val="en-US"/>
              </w:rPr>
            </w:pPr>
            <w:r w:rsidRPr="00030958">
              <w:rPr>
                <w:sz w:val="18"/>
                <w:szCs w:val="20"/>
                <w:lang w:val="en-US"/>
              </w:rPr>
              <w:t>EDP.B9</w:t>
            </w:r>
          </w:p>
        </w:tc>
        <w:tc>
          <w:tcPr>
            <w:tcW w:w="429" w:type="pct"/>
            <w:tcBorders>
              <w:top w:val="nil"/>
              <w:left w:val="nil"/>
              <w:bottom w:val="dotted" w:sz="4" w:space="0" w:color="auto"/>
              <w:right w:val="single" w:sz="8" w:space="0" w:color="auto"/>
            </w:tcBorders>
            <w:shd w:val="clear" w:color="000000" w:fill="FFFFFF"/>
            <w:vAlign w:val="center"/>
            <w:hideMark/>
          </w:tcPr>
          <w:p w14:paraId="51965344" w14:textId="77777777" w:rsidR="009D6D4E" w:rsidRPr="00030958" w:rsidRDefault="009D6D4E" w:rsidP="00BF3B71">
            <w:pPr>
              <w:jc w:val="center"/>
              <w:rPr>
                <w:sz w:val="18"/>
                <w:szCs w:val="20"/>
                <w:lang w:val="en-US"/>
              </w:rPr>
            </w:pPr>
            <w:r w:rsidRPr="00030958">
              <w:rPr>
                <w:sz w:val="18"/>
                <w:szCs w:val="20"/>
                <w:lang w:val="en-US"/>
              </w:rPr>
              <w:t>-199.2</w:t>
            </w:r>
          </w:p>
        </w:tc>
        <w:tc>
          <w:tcPr>
            <w:tcW w:w="326" w:type="pct"/>
            <w:tcBorders>
              <w:top w:val="nil"/>
              <w:left w:val="nil"/>
              <w:bottom w:val="dotted" w:sz="4" w:space="0" w:color="auto"/>
              <w:right w:val="dotted" w:sz="4" w:space="0" w:color="auto"/>
            </w:tcBorders>
            <w:shd w:val="clear" w:color="000000" w:fill="FFFFFF"/>
            <w:vAlign w:val="center"/>
            <w:hideMark/>
          </w:tcPr>
          <w:p w14:paraId="0F053AC3" w14:textId="77777777" w:rsidR="009D6D4E" w:rsidRPr="00030958" w:rsidRDefault="009D6D4E" w:rsidP="00BF3B71">
            <w:pPr>
              <w:jc w:val="center"/>
              <w:rPr>
                <w:sz w:val="18"/>
                <w:szCs w:val="20"/>
                <w:lang w:val="en-US"/>
              </w:rPr>
            </w:pPr>
            <w:r w:rsidRPr="00030958">
              <w:rPr>
                <w:sz w:val="18"/>
                <w:szCs w:val="20"/>
                <w:lang w:val="en-US"/>
              </w:rPr>
              <w:t>-3.0</w:t>
            </w:r>
          </w:p>
        </w:tc>
        <w:tc>
          <w:tcPr>
            <w:tcW w:w="326" w:type="pct"/>
            <w:tcBorders>
              <w:top w:val="nil"/>
              <w:left w:val="nil"/>
              <w:bottom w:val="dotted" w:sz="4" w:space="0" w:color="auto"/>
              <w:right w:val="dotted" w:sz="4" w:space="0" w:color="auto"/>
            </w:tcBorders>
            <w:shd w:val="clear" w:color="000000" w:fill="FFFFFF"/>
            <w:vAlign w:val="center"/>
            <w:hideMark/>
          </w:tcPr>
          <w:p w14:paraId="56AC0343" w14:textId="77777777" w:rsidR="009D6D4E" w:rsidRPr="00030958" w:rsidRDefault="009D6D4E" w:rsidP="00BF3B71">
            <w:pPr>
              <w:jc w:val="center"/>
              <w:rPr>
                <w:sz w:val="18"/>
                <w:szCs w:val="20"/>
                <w:lang w:val="en-US"/>
              </w:rPr>
            </w:pPr>
            <w:r w:rsidRPr="00030958">
              <w:rPr>
                <w:sz w:val="18"/>
                <w:szCs w:val="20"/>
                <w:lang w:val="en-US"/>
              </w:rPr>
              <w:t>-6.0</w:t>
            </w:r>
          </w:p>
        </w:tc>
        <w:tc>
          <w:tcPr>
            <w:tcW w:w="326" w:type="pct"/>
            <w:tcBorders>
              <w:top w:val="nil"/>
              <w:left w:val="nil"/>
              <w:bottom w:val="dotted" w:sz="4" w:space="0" w:color="auto"/>
              <w:right w:val="dotted" w:sz="4" w:space="0" w:color="auto"/>
            </w:tcBorders>
            <w:shd w:val="clear" w:color="000000" w:fill="FFFFFF"/>
            <w:vAlign w:val="center"/>
            <w:hideMark/>
          </w:tcPr>
          <w:p w14:paraId="2005F290" w14:textId="77777777" w:rsidR="009D6D4E" w:rsidRPr="00030958" w:rsidRDefault="009D6D4E" w:rsidP="00BF3B71">
            <w:pPr>
              <w:jc w:val="center"/>
              <w:rPr>
                <w:sz w:val="18"/>
                <w:szCs w:val="20"/>
                <w:lang w:val="en-US"/>
              </w:rPr>
            </w:pPr>
            <w:r w:rsidRPr="00030958">
              <w:rPr>
                <w:sz w:val="18"/>
                <w:szCs w:val="20"/>
                <w:lang w:val="en-US"/>
              </w:rPr>
              <w:t>-5.6</w:t>
            </w:r>
          </w:p>
        </w:tc>
        <w:tc>
          <w:tcPr>
            <w:tcW w:w="326" w:type="pct"/>
            <w:tcBorders>
              <w:top w:val="nil"/>
              <w:left w:val="nil"/>
              <w:bottom w:val="dotted" w:sz="4" w:space="0" w:color="auto"/>
              <w:right w:val="dotted" w:sz="4" w:space="0" w:color="auto"/>
            </w:tcBorders>
            <w:shd w:val="clear" w:color="000000" w:fill="FFFFFF"/>
            <w:vAlign w:val="center"/>
            <w:hideMark/>
          </w:tcPr>
          <w:p w14:paraId="1F375442" w14:textId="77777777" w:rsidR="009D6D4E" w:rsidRPr="00030958" w:rsidRDefault="009D6D4E" w:rsidP="00BF3B71">
            <w:pPr>
              <w:jc w:val="center"/>
              <w:rPr>
                <w:sz w:val="18"/>
                <w:szCs w:val="20"/>
                <w:lang w:val="en-US"/>
              </w:rPr>
            </w:pPr>
            <w:r w:rsidRPr="00030958">
              <w:rPr>
                <w:sz w:val="18"/>
                <w:szCs w:val="20"/>
                <w:lang w:val="en-US"/>
              </w:rPr>
              <w:t>-5.3</w:t>
            </w:r>
          </w:p>
        </w:tc>
        <w:tc>
          <w:tcPr>
            <w:tcW w:w="326" w:type="pct"/>
            <w:tcBorders>
              <w:top w:val="nil"/>
              <w:left w:val="nil"/>
              <w:bottom w:val="dotted" w:sz="4" w:space="0" w:color="auto"/>
              <w:right w:val="double" w:sz="6" w:space="0" w:color="auto"/>
            </w:tcBorders>
            <w:shd w:val="clear" w:color="000000" w:fill="FFFFFF"/>
            <w:vAlign w:val="center"/>
            <w:hideMark/>
          </w:tcPr>
          <w:p w14:paraId="28A82891" w14:textId="77777777" w:rsidR="009D6D4E" w:rsidRPr="00030958" w:rsidRDefault="009D6D4E" w:rsidP="00BF3B71">
            <w:pPr>
              <w:jc w:val="center"/>
              <w:rPr>
                <w:sz w:val="18"/>
                <w:szCs w:val="20"/>
                <w:lang w:val="en-US"/>
              </w:rPr>
            </w:pPr>
            <w:r w:rsidRPr="00030958">
              <w:rPr>
                <w:sz w:val="18"/>
                <w:szCs w:val="20"/>
                <w:lang w:val="en-US"/>
              </w:rPr>
              <w:t>-4.5</w:t>
            </w:r>
          </w:p>
        </w:tc>
      </w:tr>
      <w:tr w:rsidR="009D6D4E" w:rsidRPr="00030958" w14:paraId="1BB441A5" w14:textId="77777777" w:rsidTr="00BF3B71">
        <w:trPr>
          <w:trHeight w:val="20"/>
        </w:trPr>
        <w:tc>
          <w:tcPr>
            <w:tcW w:w="2424" w:type="pct"/>
            <w:tcBorders>
              <w:top w:val="nil"/>
              <w:left w:val="double" w:sz="6" w:space="0" w:color="auto"/>
              <w:bottom w:val="dotted" w:sz="4" w:space="0" w:color="auto"/>
              <w:right w:val="nil"/>
            </w:tcBorders>
            <w:shd w:val="clear" w:color="000000" w:fill="FFFFFF"/>
            <w:vAlign w:val="center"/>
            <w:hideMark/>
          </w:tcPr>
          <w:p w14:paraId="7FC521D0" w14:textId="77777777" w:rsidR="009D6D4E" w:rsidRPr="00030958" w:rsidRDefault="009D6D4E" w:rsidP="00BF3B71">
            <w:pPr>
              <w:rPr>
                <w:sz w:val="18"/>
                <w:szCs w:val="20"/>
                <w:lang w:val="en-US"/>
              </w:rPr>
            </w:pPr>
            <w:r w:rsidRPr="00030958">
              <w:rPr>
                <w:sz w:val="18"/>
                <w:szCs w:val="20"/>
                <w:lang w:val="en-US"/>
              </w:rPr>
              <w:t>9. Shpenzimet e Interesit</w:t>
            </w:r>
          </w:p>
        </w:tc>
        <w:tc>
          <w:tcPr>
            <w:tcW w:w="517" w:type="pct"/>
            <w:tcBorders>
              <w:top w:val="nil"/>
              <w:left w:val="single" w:sz="4" w:space="0" w:color="auto"/>
              <w:bottom w:val="dotted" w:sz="4" w:space="0" w:color="auto"/>
              <w:right w:val="single" w:sz="8" w:space="0" w:color="auto"/>
            </w:tcBorders>
            <w:shd w:val="clear" w:color="000000" w:fill="FFFFFF"/>
            <w:vAlign w:val="center"/>
            <w:hideMark/>
          </w:tcPr>
          <w:p w14:paraId="48AF385A" w14:textId="77777777" w:rsidR="009D6D4E" w:rsidRPr="00030958" w:rsidRDefault="009D6D4E" w:rsidP="00BF3B71">
            <w:pPr>
              <w:jc w:val="center"/>
              <w:rPr>
                <w:sz w:val="18"/>
                <w:szCs w:val="20"/>
                <w:lang w:val="en-US"/>
              </w:rPr>
            </w:pPr>
            <w:r w:rsidRPr="00030958">
              <w:rPr>
                <w:sz w:val="18"/>
                <w:szCs w:val="20"/>
                <w:lang w:val="en-US"/>
              </w:rPr>
              <w:t xml:space="preserve">EDP.D41 </w:t>
            </w:r>
          </w:p>
        </w:tc>
        <w:tc>
          <w:tcPr>
            <w:tcW w:w="429" w:type="pct"/>
            <w:tcBorders>
              <w:top w:val="nil"/>
              <w:left w:val="nil"/>
              <w:bottom w:val="dotted" w:sz="4" w:space="0" w:color="auto"/>
              <w:right w:val="single" w:sz="8" w:space="0" w:color="auto"/>
            </w:tcBorders>
            <w:shd w:val="clear" w:color="000000" w:fill="FFFFFF"/>
            <w:vAlign w:val="center"/>
            <w:hideMark/>
          </w:tcPr>
          <w:p w14:paraId="05119E0E" w14:textId="77777777" w:rsidR="009D6D4E" w:rsidRPr="00030958" w:rsidRDefault="009D6D4E" w:rsidP="00BF3B71">
            <w:pPr>
              <w:jc w:val="center"/>
              <w:rPr>
                <w:sz w:val="18"/>
                <w:szCs w:val="20"/>
                <w:lang w:val="en-US"/>
              </w:rPr>
            </w:pPr>
            <w:r w:rsidRPr="00030958">
              <w:rPr>
                <w:sz w:val="18"/>
                <w:szCs w:val="20"/>
                <w:lang w:val="en-US"/>
              </w:rPr>
              <w:t>18.7</w:t>
            </w:r>
          </w:p>
        </w:tc>
        <w:tc>
          <w:tcPr>
            <w:tcW w:w="326" w:type="pct"/>
            <w:tcBorders>
              <w:top w:val="nil"/>
              <w:left w:val="nil"/>
              <w:bottom w:val="dotted" w:sz="4" w:space="0" w:color="auto"/>
              <w:right w:val="dotted" w:sz="4" w:space="0" w:color="auto"/>
            </w:tcBorders>
            <w:shd w:val="clear" w:color="000000" w:fill="FFFFFF"/>
            <w:vAlign w:val="center"/>
            <w:hideMark/>
          </w:tcPr>
          <w:p w14:paraId="0FE92BE5" w14:textId="77777777" w:rsidR="009D6D4E" w:rsidRPr="00030958" w:rsidRDefault="009D6D4E" w:rsidP="00BF3B71">
            <w:pPr>
              <w:jc w:val="center"/>
              <w:rPr>
                <w:sz w:val="18"/>
                <w:szCs w:val="20"/>
                <w:lang w:val="en-US"/>
              </w:rPr>
            </w:pPr>
            <w:r w:rsidRPr="00030958">
              <w:rPr>
                <w:sz w:val="18"/>
                <w:szCs w:val="20"/>
                <w:lang w:val="en-US"/>
              </w:rPr>
              <w:t>0.3</w:t>
            </w:r>
          </w:p>
        </w:tc>
        <w:tc>
          <w:tcPr>
            <w:tcW w:w="326" w:type="pct"/>
            <w:tcBorders>
              <w:top w:val="nil"/>
              <w:left w:val="nil"/>
              <w:bottom w:val="dotted" w:sz="4" w:space="0" w:color="auto"/>
              <w:right w:val="dotted" w:sz="4" w:space="0" w:color="auto"/>
            </w:tcBorders>
            <w:shd w:val="clear" w:color="000000" w:fill="FFFFFF"/>
            <w:vAlign w:val="center"/>
            <w:hideMark/>
          </w:tcPr>
          <w:p w14:paraId="7F45BB7E" w14:textId="77777777" w:rsidR="009D6D4E" w:rsidRPr="00030958" w:rsidRDefault="009D6D4E" w:rsidP="00BF3B71">
            <w:pPr>
              <w:jc w:val="center"/>
              <w:rPr>
                <w:sz w:val="18"/>
                <w:szCs w:val="20"/>
                <w:lang w:val="en-US"/>
              </w:rPr>
            </w:pPr>
            <w:r w:rsidRPr="00030958">
              <w:rPr>
                <w:sz w:val="18"/>
                <w:szCs w:val="20"/>
                <w:lang w:val="en-US"/>
              </w:rPr>
              <w:t>0.4</w:t>
            </w:r>
          </w:p>
        </w:tc>
        <w:tc>
          <w:tcPr>
            <w:tcW w:w="326" w:type="pct"/>
            <w:tcBorders>
              <w:top w:val="nil"/>
              <w:left w:val="nil"/>
              <w:bottom w:val="dotted" w:sz="4" w:space="0" w:color="auto"/>
              <w:right w:val="dotted" w:sz="4" w:space="0" w:color="auto"/>
            </w:tcBorders>
            <w:shd w:val="clear" w:color="000000" w:fill="FFFFFF"/>
            <w:vAlign w:val="center"/>
            <w:hideMark/>
          </w:tcPr>
          <w:p w14:paraId="3136BFAB" w14:textId="77777777" w:rsidR="009D6D4E" w:rsidRPr="00030958" w:rsidRDefault="009D6D4E" w:rsidP="00BF3B71">
            <w:pPr>
              <w:jc w:val="center"/>
              <w:rPr>
                <w:sz w:val="18"/>
                <w:szCs w:val="20"/>
                <w:lang w:val="en-US"/>
              </w:rPr>
            </w:pPr>
            <w:r w:rsidRPr="00030958">
              <w:rPr>
                <w:sz w:val="18"/>
                <w:szCs w:val="20"/>
                <w:lang w:val="en-US"/>
              </w:rPr>
              <w:t>0.4</w:t>
            </w:r>
          </w:p>
        </w:tc>
        <w:tc>
          <w:tcPr>
            <w:tcW w:w="326" w:type="pct"/>
            <w:tcBorders>
              <w:top w:val="nil"/>
              <w:left w:val="nil"/>
              <w:bottom w:val="dotted" w:sz="4" w:space="0" w:color="auto"/>
              <w:right w:val="dotted" w:sz="4" w:space="0" w:color="auto"/>
            </w:tcBorders>
            <w:shd w:val="clear" w:color="000000" w:fill="FFFFFF"/>
            <w:vAlign w:val="center"/>
            <w:hideMark/>
          </w:tcPr>
          <w:p w14:paraId="1C63D65E" w14:textId="77777777" w:rsidR="009D6D4E" w:rsidRPr="00030958" w:rsidRDefault="009D6D4E" w:rsidP="00BF3B71">
            <w:pPr>
              <w:jc w:val="center"/>
              <w:rPr>
                <w:sz w:val="18"/>
                <w:szCs w:val="20"/>
                <w:lang w:val="en-US"/>
              </w:rPr>
            </w:pPr>
            <w:r w:rsidRPr="00030958">
              <w:rPr>
                <w:sz w:val="18"/>
                <w:szCs w:val="20"/>
                <w:lang w:val="en-US"/>
              </w:rPr>
              <w:t>0.5</w:t>
            </w:r>
          </w:p>
        </w:tc>
        <w:tc>
          <w:tcPr>
            <w:tcW w:w="326" w:type="pct"/>
            <w:tcBorders>
              <w:top w:val="nil"/>
              <w:left w:val="nil"/>
              <w:bottom w:val="dotted" w:sz="4" w:space="0" w:color="auto"/>
              <w:right w:val="double" w:sz="6" w:space="0" w:color="auto"/>
            </w:tcBorders>
            <w:shd w:val="clear" w:color="000000" w:fill="FFFFFF"/>
            <w:vAlign w:val="center"/>
            <w:hideMark/>
          </w:tcPr>
          <w:p w14:paraId="3D23A66C" w14:textId="77777777" w:rsidR="009D6D4E" w:rsidRPr="00030958" w:rsidRDefault="009D6D4E" w:rsidP="00BF3B71">
            <w:pPr>
              <w:jc w:val="center"/>
              <w:rPr>
                <w:sz w:val="18"/>
                <w:szCs w:val="20"/>
                <w:lang w:val="en-US"/>
              </w:rPr>
            </w:pPr>
            <w:r w:rsidRPr="00030958">
              <w:rPr>
                <w:sz w:val="18"/>
                <w:szCs w:val="20"/>
                <w:lang w:val="en-US"/>
              </w:rPr>
              <w:t>0.5</w:t>
            </w:r>
          </w:p>
        </w:tc>
      </w:tr>
      <w:tr w:rsidR="009D6D4E" w:rsidRPr="00030958" w14:paraId="7D2F3D5A" w14:textId="77777777" w:rsidTr="00BF3B71">
        <w:trPr>
          <w:trHeight w:val="20"/>
        </w:trPr>
        <w:tc>
          <w:tcPr>
            <w:tcW w:w="2424" w:type="pct"/>
            <w:tcBorders>
              <w:top w:val="nil"/>
              <w:left w:val="double" w:sz="6" w:space="0" w:color="auto"/>
              <w:bottom w:val="dotted" w:sz="4" w:space="0" w:color="auto"/>
              <w:right w:val="nil"/>
            </w:tcBorders>
            <w:shd w:val="clear" w:color="000000" w:fill="FFFFFF"/>
            <w:vAlign w:val="center"/>
            <w:hideMark/>
          </w:tcPr>
          <w:p w14:paraId="6D472A8F" w14:textId="77777777" w:rsidR="009D6D4E" w:rsidRPr="00030958" w:rsidRDefault="009D6D4E" w:rsidP="00BF3B71">
            <w:pPr>
              <w:rPr>
                <w:sz w:val="18"/>
                <w:szCs w:val="20"/>
                <w:lang w:val="en-US"/>
              </w:rPr>
            </w:pPr>
            <w:r w:rsidRPr="00030958">
              <w:rPr>
                <w:sz w:val="18"/>
                <w:szCs w:val="20"/>
                <w:lang w:val="en-US"/>
              </w:rPr>
              <w:t>10. Bilanci Primar[2]</w:t>
            </w:r>
          </w:p>
        </w:tc>
        <w:tc>
          <w:tcPr>
            <w:tcW w:w="517" w:type="pct"/>
            <w:tcBorders>
              <w:top w:val="nil"/>
              <w:left w:val="single" w:sz="4" w:space="0" w:color="auto"/>
              <w:bottom w:val="dotted" w:sz="4" w:space="0" w:color="auto"/>
              <w:right w:val="single" w:sz="8" w:space="0" w:color="auto"/>
            </w:tcBorders>
            <w:shd w:val="clear" w:color="000000" w:fill="FFFFFF"/>
            <w:vAlign w:val="center"/>
            <w:hideMark/>
          </w:tcPr>
          <w:p w14:paraId="5E38A510" w14:textId="77777777" w:rsidR="009D6D4E" w:rsidRPr="00030958" w:rsidRDefault="009D6D4E" w:rsidP="00BF3B71">
            <w:pPr>
              <w:jc w:val="center"/>
              <w:rPr>
                <w:sz w:val="18"/>
                <w:szCs w:val="20"/>
                <w:lang w:val="en-US"/>
              </w:rPr>
            </w:pPr>
            <w:r w:rsidRPr="00030958">
              <w:rPr>
                <w:sz w:val="18"/>
                <w:szCs w:val="20"/>
                <w:lang w:val="en-US"/>
              </w:rPr>
              <w:t> </w:t>
            </w:r>
          </w:p>
        </w:tc>
        <w:tc>
          <w:tcPr>
            <w:tcW w:w="429" w:type="pct"/>
            <w:tcBorders>
              <w:top w:val="nil"/>
              <w:left w:val="nil"/>
              <w:bottom w:val="dotted" w:sz="4" w:space="0" w:color="auto"/>
              <w:right w:val="single" w:sz="8" w:space="0" w:color="auto"/>
            </w:tcBorders>
            <w:shd w:val="clear" w:color="000000" w:fill="FFFFFF"/>
            <w:vAlign w:val="center"/>
            <w:hideMark/>
          </w:tcPr>
          <w:p w14:paraId="3E212D0E" w14:textId="77777777" w:rsidR="009D6D4E" w:rsidRPr="00030958" w:rsidRDefault="009D6D4E" w:rsidP="00BF3B71">
            <w:pPr>
              <w:jc w:val="center"/>
              <w:rPr>
                <w:sz w:val="18"/>
                <w:szCs w:val="20"/>
                <w:lang w:val="en-US"/>
              </w:rPr>
            </w:pPr>
            <w:r w:rsidRPr="00030958">
              <w:rPr>
                <w:sz w:val="18"/>
                <w:szCs w:val="20"/>
                <w:lang w:val="en-US"/>
              </w:rPr>
              <w:t>-180.5</w:t>
            </w:r>
          </w:p>
        </w:tc>
        <w:tc>
          <w:tcPr>
            <w:tcW w:w="326" w:type="pct"/>
            <w:tcBorders>
              <w:top w:val="nil"/>
              <w:left w:val="nil"/>
              <w:bottom w:val="dotted" w:sz="4" w:space="0" w:color="auto"/>
              <w:right w:val="dotted" w:sz="4" w:space="0" w:color="auto"/>
            </w:tcBorders>
            <w:shd w:val="clear" w:color="000000" w:fill="FFFFFF"/>
            <w:vAlign w:val="center"/>
            <w:hideMark/>
          </w:tcPr>
          <w:p w14:paraId="19CA4E8D" w14:textId="77777777" w:rsidR="009D6D4E" w:rsidRPr="00030958" w:rsidRDefault="009D6D4E" w:rsidP="00BF3B71">
            <w:pPr>
              <w:jc w:val="center"/>
              <w:rPr>
                <w:sz w:val="18"/>
                <w:szCs w:val="20"/>
                <w:lang w:val="en-US"/>
              </w:rPr>
            </w:pPr>
            <w:r w:rsidRPr="00030958">
              <w:rPr>
                <w:sz w:val="18"/>
                <w:szCs w:val="20"/>
                <w:lang w:val="en-US"/>
              </w:rPr>
              <w:t>-2.7</w:t>
            </w:r>
          </w:p>
        </w:tc>
        <w:tc>
          <w:tcPr>
            <w:tcW w:w="326" w:type="pct"/>
            <w:tcBorders>
              <w:top w:val="nil"/>
              <w:left w:val="nil"/>
              <w:bottom w:val="dotted" w:sz="4" w:space="0" w:color="auto"/>
              <w:right w:val="dotted" w:sz="4" w:space="0" w:color="auto"/>
            </w:tcBorders>
            <w:shd w:val="clear" w:color="000000" w:fill="FFFFFF"/>
            <w:vAlign w:val="center"/>
            <w:hideMark/>
          </w:tcPr>
          <w:p w14:paraId="0134303F" w14:textId="77777777" w:rsidR="009D6D4E" w:rsidRPr="00030958" w:rsidRDefault="009D6D4E" w:rsidP="00BF3B71">
            <w:pPr>
              <w:jc w:val="center"/>
              <w:rPr>
                <w:sz w:val="18"/>
                <w:szCs w:val="20"/>
                <w:lang w:val="en-US"/>
              </w:rPr>
            </w:pPr>
            <w:r w:rsidRPr="00030958">
              <w:rPr>
                <w:sz w:val="18"/>
                <w:szCs w:val="20"/>
                <w:lang w:val="en-US"/>
              </w:rPr>
              <w:t>-5.6</w:t>
            </w:r>
          </w:p>
        </w:tc>
        <w:tc>
          <w:tcPr>
            <w:tcW w:w="326" w:type="pct"/>
            <w:tcBorders>
              <w:top w:val="nil"/>
              <w:left w:val="nil"/>
              <w:bottom w:val="dotted" w:sz="4" w:space="0" w:color="auto"/>
              <w:right w:val="dotted" w:sz="4" w:space="0" w:color="auto"/>
            </w:tcBorders>
            <w:shd w:val="clear" w:color="000000" w:fill="FFFFFF"/>
            <w:vAlign w:val="center"/>
            <w:hideMark/>
          </w:tcPr>
          <w:p w14:paraId="4A2B9D21" w14:textId="77777777" w:rsidR="009D6D4E" w:rsidRPr="00030958" w:rsidRDefault="009D6D4E" w:rsidP="00BF3B71">
            <w:pPr>
              <w:jc w:val="center"/>
              <w:rPr>
                <w:sz w:val="18"/>
                <w:szCs w:val="20"/>
                <w:lang w:val="en-US"/>
              </w:rPr>
            </w:pPr>
            <w:r w:rsidRPr="00030958">
              <w:rPr>
                <w:sz w:val="18"/>
                <w:szCs w:val="20"/>
                <w:lang w:val="en-US"/>
              </w:rPr>
              <w:t>-5.2</w:t>
            </w:r>
          </w:p>
        </w:tc>
        <w:tc>
          <w:tcPr>
            <w:tcW w:w="326" w:type="pct"/>
            <w:tcBorders>
              <w:top w:val="nil"/>
              <w:left w:val="nil"/>
              <w:bottom w:val="dotted" w:sz="4" w:space="0" w:color="auto"/>
              <w:right w:val="dotted" w:sz="4" w:space="0" w:color="auto"/>
            </w:tcBorders>
            <w:shd w:val="clear" w:color="000000" w:fill="FFFFFF"/>
            <w:vAlign w:val="center"/>
            <w:hideMark/>
          </w:tcPr>
          <w:p w14:paraId="0637D655" w14:textId="77777777" w:rsidR="009D6D4E" w:rsidRPr="00030958" w:rsidRDefault="009D6D4E" w:rsidP="00BF3B71">
            <w:pPr>
              <w:jc w:val="center"/>
              <w:rPr>
                <w:sz w:val="18"/>
                <w:szCs w:val="20"/>
                <w:lang w:val="en-US"/>
              </w:rPr>
            </w:pPr>
            <w:r w:rsidRPr="00030958">
              <w:rPr>
                <w:sz w:val="18"/>
                <w:szCs w:val="20"/>
                <w:lang w:val="en-US"/>
              </w:rPr>
              <w:t>-4.8</w:t>
            </w:r>
          </w:p>
        </w:tc>
        <w:tc>
          <w:tcPr>
            <w:tcW w:w="326" w:type="pct"/>
            <w:tcBorders>
              <w:top w:val="nil"/>
              <w:left w:val="nil"/>
              <w:bottom w:val="dotted" w:sz="4" w:space="0" w:color="auto"/>
              <w:right w:val="double" w:sz="6" w:space="0" w:color="auto"/>
            </w:tcBorders>
            <w:shd w:val="clear" w:color="000000" w:fill="FFFFFF"/>
            <w:vAlign w:val="center"/>
            <w:hideMark/>
          </w:tcPr>
          <w:p w14:paraId="27262391" w14:textId="77777777" w:rsidR="009D6D4E" w:rsidRPr="00030958" w:rsidRDefault="009D6D4E" w:rsidP="00BF3B71">
            <w:pPr>
              <w:jc w:val="center"/>
              <w:rPr>
                <w:sz w:val="18"/>
                <w:szCs w:val="20"/>
                <w:lang w:val="en-US"/>
              </w:rPr>
            </w:pPr>
            <w:r w:rsidRPr="00030958">
              <w:rPr>
                <w:sz w:val="18"/>
                <w:szCs w:val="20"/>
                <w:lang w:val="en-US"/>
              </w:rPr>
              <w:t>-4.0</w:t>
            </w:r>
          </w:p>
        </w:tc>
      </w:tr>
      <w:tr w:rsidR="009D6D4E" w:rsidRPr="00030958" w14:paraId="011AEBAF" w14:textId="77777777" w:rsidTr="00BF3B71">
        <w:trPr>
          <w:trHeight w:val="20"/>
        </w:trPr>
        <w:tc>
          <w:tcPr>
            <w:tcW w:w="2424" w:type="pct"/>
            <w:tcBorders>
              <w:top w:val="nil"/>
              <w:left w:val="double" w:sz="6" w:space="0" w:color="auto"/>
              <w:bottom w:val="single" w:sz="8" w:space="0" w:color="auto"/>
              <w:right w:val="nil"/>
            </w:tcBorders>
            <w:shd w:val="clear" w:color="000000" w:fill="FFFFFF"/>
            <w:vAlign w:val="center"/>
            <w:hideMark/>
          </w:tcPr>
          <w:p w14:paraId="18519112" w14:textId="77777777" w:rsidR="009D6D4E" w:rsidRPr="00FC648F" w:rsidRDefault="009D6D4E" w:rsidP="00BF3B71">
            <w:pPr>
              <w:rPr>
                <w:sz w:val="18"/>
                <w:szCs w:val="20"/>
              </w:rPr>
            </w:pPr>
            <w:r w:rsidRPr="00FC648F">
              <w:rPr>
                <w:sz w:val="18"/>
                <w:szCs w:val="20"/>
              </w:rPr>
              <w:t>11. Masat e njëhershme dhe masat e</w:t>
            </w:r>
            <w:r w:rsidRPr="00FC648F">
              <w:rPr>
                <w:sz w:val="18"/>
                <w:szCs w:val="20"/>
              </w:rPr>
              <w:br/>
              <w:t>përkohshme[3]</w:t>
            </w:r>
          </w:p>
        </w:tc>
        <w:tc>
          <w:tcPr>
            <w:tcW w:w="517" w:type="pct"/>
            <w:tcBorders>
              <w:top w:val="nil"/>
              <w:left w:val="single" w:sz="4" w:space="0" w:color="auto"/>
              <w:bottom w:val="single" w:sz="8" w:space="0" w:color="auto"/>
              <w:right w:val="single" w:sz="8" w:space="0" w:color="auto"/>
            </w:tcBorders>
            <w:shd w:val="clear" w:color="000000" w:fill="FFFFFF"/>
            <w:vAlign w:val="center"/>
            <w:hideMark/>
          </w:tcPr>
          <w:p w14:paraId="0C371E42" w14:textId="77777777" w:rsidR="009D6D4E" w:rsidRPr="00FC648F" w:rsidRDefault="009D6D4E" w:rsidP="00BF3B71">
            <w:pPr>
              <w:jc w:val="center"/>
              <w:rPr>
                <w:sz w:val="18"/>
                <w:szCs w:val="20"/>
              </w:rPr>
            </w:pPr>
            <w:r w:rsidRPr="00FC648F">
              <w:rPr>
                <w:sz w:val="18"/>
                <w:szCs w:val="20"/>
              </w:rPr>
              <w:t> </w:t>
            </w:r>
          </w:p>
        </w:tc>
        <w:tc>
          <w:tcPr>
            <w:tcW w:w="429" w:type="pct"/>
            <w:tcBorders>
              <w:top w:val="nil"/>
              <w:left w:val="nil"/>
              <w:bottom w:val="single" w:sz="8" w:space="0" w:color="auto"/>
              <w:right w:val="single" w:sz="8" w:space="0" w:color="auto"/>
            </w:tcBorders>
            <w:shd w:val="clear" w:color="000000" w:fill="FFFFFF"/>
            <w:vAlign w:val="center"/>
            <w:hideMark/>
          </w:tcPr>
          <w:p w14:paraId="39907EBA"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single" w:sz="8" w:space="0" w:color="auto"/>
              <w:right w:val="dotted" w:sz="4" w:space="0" w:color="auto"/>
            </w:tcBorders>
            <w:shd w:val="clear" w:color="000000" w:fill="FFFFFF"/>
            <w:vAlign w:val="center"/>
            <w:hideMark/>
          </w:tcPr>
          <w:p w14:paraId="775A7A9C"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single" w:sz="8" w:space="0" w:color="auto"/>
              <w:right w:val="dotted" w:sz="4" w:space="0" w:color="auto"/>
            </w:tcBorders>
            <w:shd w:val="clear" w:color="000000" w:fill="FFFFFF"/>
            <w:vAlign w:val="center"/>
            <w:hideMark/>
          </w:tcPr>
          <w:p w14:paraId="651EB917"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single" w:sz="8" w:space="0" w:color="auto"/>
              <w:right w:val="dotted" w:sz="4" w:space="0" w:color="auto"/>
            </w:tcBorders>
            <w:shd w:val="clear" w:color="000000" w:fill="FFFFFF"/>
            <w:vAlign w:val="center"/>
            <w:hideMark/>
          </w:tcPr>
          <w:p w14:paraId="66AFA276"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single" w:sz="8" w:space="0" w:color="auto"/>
              <w:right w:val="dotted" w:sz="4" w:space="0" w:color="auto"/>
            </w:tcBorders>
            <w:shd w:val="clear" w:color="000000" w:fill="FFFFFF"/>
            <w:vAlign w:val="center"/>
            <w:hideMark/>
          </w:tcPr>
          <w:p w14:paraId="7AF87369"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single" w:sz="8" w:space="0" w:color="auto"/>
              <w:right w:val="double" w:sz="6" w:space="0" w:color="auto"/>
            </w:tcBorders>
            <w:shd w:val="clear" w:color="000000" w:fill="FFFFFF"/>
            <w:vAlign w:val="center"/>
            <w:hideMark/>
          </w:tcPr>
          <w:p w14:paraId="28708E96" w14:textId="77777777" w:rsidR="009D6D4E" w:rsidRPr="00030958" w:rsidRDefault="009D6D4E" w:rsidP="00BF3B71">
            <w:pPr>
              <w:jc w:val="center"/>
              <w:rPr>
                <w:sz w:val="18"/>
                <w:szCs w:val="20"/>
                <w:lang w:val="en-US"/>
              </w:rPr>
            </w:pPr>
            <w:r w:rsidRPr="00030958">
              <w:rPr>
                <w:sz w:val="18"/>
                <w:szCs w:val="20"/>
                <w:lang w:val="en-US"/>
              </w:rPr>
              <w:t>:</w:t>
            </w:r>
          </w:p>
        </w:tc>
      </w:tr>
      <w:tr w:rsidR="009D6D4E" w:rsidRPr="00030958" w14:paraId="5255BCA5" w14:textId="77777777" w:rsidTr="00BF3B71">
        <w:trPr>
          <w:trHeight w:val="20"/>
        </w:trPr>
        <w:tc>
          <w:tcPr>
            <w:tcW w:w="5000" w:type="pct"/>
            <w:gridSpan w:val="8"/>
            <w:tcBorders>
              <w:top w:val="single" w:sz="8" w:space="0" w:color="auto"/>
              <w:left w:val="double" w:sz="6" w:space="0" w:color="auto"/>
              <w:bottom w:val="single" w:sz="8" w:space="0" w:color="auto"/>
              <w:right w:val="double" w:sz="6" w:space="0" w:color="000000"/>
            </w:tcBorders>
            <w:shd w:val="clear" w:color="000000" w:fill="FFFFFF"/>
            <w:vAlign w:val="center"/>
            <w:hideMark/>
          </w:tcPr>
          <w:p w14:paraId="00D04E3A" w14:textId="77777777" w:rsidR="009D6D4E" w:rsidRPr="00030958" w:rsidRDefault="009D6D4E" w:rsidP="00BF3B71">
            <w:pPr>
              <w:jc w:val="center"/>
              <w:rPr>
                <w:b/>
                <w:bCs/>
                <w:sz w:val="18"/>
                <w:szCs w:val="20"/>
                <w:lang w:val="en-US"/>
              </w:rPr>
            </w:pPr>
            <w:r w:rsidRPr="00030958">
              <w:rPr>
                <w:b/>
                <w:bCs/>
                <w:sz w:val="18"/>
                <w:szCs w:val="20"/>
                <w:lang w:val="en-US"/>
              </w:rPr>
              <w:t>Komponentët e të hyrave</w:t>
            </w:r>
          </w:p>
        </w:tc>
      </w:tr>
      <w:tr w:rsidR="009D6D4E" w:rsidRPr="00030958" w14:paraId="4E877996" w14:textId="77777777" w:rsidTr="00BF3B71">
        <w:trPr>
          <w:trHeight w:val="20"/>
        </w:trPr>
        <w:tc>
          <w:tcPr>
            <w:tcW w:w="2424" w:type="pct"/>
            <w:tcBorders>
              <w:top w:val="nil"/>
              <w:left w:val="double" w:sz="6" w:space="0" w:color="auto"/>
              <w:bottom w:val="dotted" w:sz="4" w:space="0" w:color="auto"/>
              <w:right w:val="nil"/>
            </w:tcBorders>
            <w:shd w:val="clear" w:color="000000" w:fill="FFFFFF"/>
            <w:vAlign w:val="center"/>
            <w:hideMark/>
          </w:tcPr>
          <w:p w14:paraId="3E32E669" w14:textId="77777777" w:rsidR="009D6D4E" w:rsidRPr="00030958" w:rsidRDefault="009D6D4E" w:rsidP="00BF3B71">
            <w:pPr>
              <w:rPr>
                <w:sz w:val="18"/>
                <w:szCs w:val="20"/>
                <w:lang w:val="en-US"/>
              </w:rPr>
            </w:pPr>
            <w:r w:rsidRPr="00030958">
              <w:rPr>
                <w:sz w:val="18"/>
                <w:szCs w:val="20"/>
                <w:lang w:val="en-US"/>
              </w:rPr>
              <w:t>12. Taksat Totale (12 = 12a+12b+12c)</w:t>
            </w:r>
          </w:p>
        </w:tc>
        <w:tc>
          <w:tcPr>
            <w:tcW w:w="517" w:type="pct"/>
            <w:tcBorders>
              <w:top w:val="nil"/>
              <w:left w:val="single" w:sz="8" w:space="0" w:color="auto"/>
              <w:bottom w:val="dotted" w:sz="4" w:space="0" w:color="auto"/>
              <w:right w:val="single" w:sz="8" w:space="0" w:color="auto"/>
            </w:tcBorders>
            <w:shd w:val="clear" w:color="000000" w:fill="FFFFFF"/>
            <w:vAlign w:val="center"/>
            <w:hideMark/>
          </w:tcPr>
          <w:p w14:paraId="41BE1AEB" w14:textId="77777777" w:rsidR="009D6D4E" w:rsidRPr="00030958" w:rsidRDefault="009D6D4E" w:rsidP="00BF3B71">
            <w:pPr>
              <w:jc w:val="center"/>
              <w:rPr>
                <w:sz w:val="18"/>
                <w:szCs w:val="20"/>
                <w:lang w:val="en-US"/>
              </w:rPr>
            </w:pPr>
            <w:bookmarkStart w:id="233" w:name="RANGE!C18"/>
            <w:bookmarkStart w:id="234" w:name="RANGE!C19"/>
            <w:bookmarkEnd w:id="233"/>
            <w:r w:rsidRPr="00030958">
              <w:rPr>
                <w:sz w:val="18"/>
                <w:szCs w:val="20"/>
                <w:lang w:val="en-US"/>
              </w:rPr>
              <w:t> </w:t>
            </w:r>
            <w:bookmarkEnd w:id="234"/>
          </w:p>
        </w:tc>
        <w:tc>
          <w:tcPr>
            <w:tcW w:w="429" w:type="pct"/>
            <w:tcBorders>
              <w:top w:val="nil"/>
              <w:left w:val="nil"/>
              <w:bottom w:val="dotted" w:sz="4" w:space="0" w:color="auto"/>
              <w:right w:val="single" w:sz="8" w:space="0" w:color="auto"/>
            </w:tcBorders>
            <w:shd w:val="clear" w:color="000000" w:fill="FFFFFF"/>
            <w:vAlign w:val="center"/>
            <w:hideMark/>
          </w:tcPr>
          <w:p w14:paraId="351B7BDE" w14:textId="77777777" w:rsidR="009D6D4E" w:rsidRPr="00030958" w:rsidRDefault="009D6D4E" w:rsidP="00BF3B71">
            <w:pPr>
              <w:jc w:val="center"/>
              <w:rPr>
                <w:sz w:val="18"/>
                <w:szCs w:val="20"/>
                <w:lang w:val="en-US"/>
              </w:rPr>
            </w:pPr>
            <w:r w:rsidRPr="00030958">
              <w:rPr>
                <w:sz w:val="18"/>
                <w:szCs w:val="20"/>
                <w:lang w:val="en-US"/>
              </w:rPr>
              <w:t>1,563.8</w:t>
            </w:r>
          </w:p>
        </w:tc>
        <w:tc>
          <w:tcPr>
            <w:tcW w:w="326" w:type="pct"/>
            <w:tcBorders>
              <w:top w:val="nil"/>
              <w:left w:val="nil"/>
              <w:bottom w:val="dotted" w:sz="4" w:space="0" w:color="auto"/>
              <w:right w:val="dotted" w:sz="4" w:space="0" w:color="auto"/>
            </w:tcBorders>
            <w:shd w:val="clear" w:color="000000" w:fill="FFFFFF"/>
            <w:vAlign w:val="center"/>
            <w:hideMark/>
          </w:tcPr>
          <w:p w14:paraId="7A6BCCF6" w14:textId="77777777" w:rsidR="009D6D4E" w:rsidRPr="00030958" w:rsidRDefault="009D6D4E" w:rsidP="00BF3B71">
            <w:pPr>
              <w:jc w:val="center"/>
              <w:rPr>
                <w:sz w:val="18"/>
                <w:szCs w:val="20"/>
                <w:lang w:val="en-US"/>
              </w:rPr>
            </w:pPr>
            <w:r w:rsidRPr="00030958">
              <w:rPr>
                <w:sz w:val="18"/>
                <w:szCs w:val="20"/>
                <w:lang w:val="en-US"/>
              </w:rPr>
              <w:t>23.2</w:t>
            </w:r>
          </w:p>
        </w:tc>
        <w:tc>
          <w:tcPr>
            <w:tcW w:w="326" w:type="pct"/>
            <w:tcBorders>
              <w:top w:val="nil"/>
              <w:left w:val="nil"/>
              <w:bottom w:val="dotted" w:sz="4" w:space="0" w:color="auto"/>
              <w:right w:val="dotted" w:sz="4" w:space="0" w:color="auto"/>
            </w:tcBorders>
            <w:shd w:val="clear" w:color="000000" w:fill="FFFFFF"/>
            <w:vAlign w:val="center"/>
            <w:hideMark/>
          </w:tcPr>
          <w:p w14:paraId="14A2E6FE" w14:textId="77777777" w:rsidR="009D6D4E" w:rsidRPr="00030958" w:rsidRDefault="009D6D4E" w:rsidP="00BF3B71">
            <w:pPr>
              <w:jc w:val="center"/>
              <w:rPr>
                <w:sz w:val="18"/>
                <w:szCs w:val="20"/>
                <w:lang w:val="en-US"/>
              </w:rPr>
            </w:pPr>
            <w:r w:rsidRPr="00030958">
              <w:rPr>
                <w:sz w:val="18"/>
                <w:szCs w:val="20"/>
                <w:lang w:val="en-US"/>
              </w:rPr>
              <w:t>24.3</w:t>
            </w:r>
          </w:p>
        </w:tc>
        <w:tc>
          <w:tcPr>
            <w:tcW w:w="326" w:type="pct"/>
            <w:tcBorders>
              <w:top w:val="nil"/>
              <w:left w:val="nil"/>
              <w:bottom w:val="dotted" w:sz="4" w:space="0" w:color="auto"/>
              <w:right w:val="dotted" w:sz="4" w:space="0" w:color="auto"/>
            </w:tcBorders>
            <w:shd w:val="clear" w:color="000000" w:fill="FFFFFF"/>
            <w:vAlign w:val="center"/>
            <w:hideMark/>
          </w:tcPr>
          <w:p w14:paraId="488447DC" w14:textId="77777777" w:rsidR="009D6D4E" w:rsidRPr="00030958" w:rsidRDefault="009D6D4E" w:rsidP="00BF3B71">
            <w:pPr>
              <w:jc w:val="center"/>
              <w:rPr>
                <w:sz w:val="18"/>
                <w:szCs w:val="20"/>
                <w:lang w:val="en-US"/>
              </w:rPr>
            </w:pPr>
            <w:r w:rsidRPr="00030958">
              <w:rPr>
                <w:sz w:val="18"/>
                <w:szCs w:val="20"/>
                <w:lang w:val="en-US"/>
              </w:rPr>
              <w:t>24.0</w:t>
            </w:r>
          </w:p>
        </w:tc>
        <w:tc>
          <w:tcPr>
            <w:tcW w:w="326" w:type="pct"/>
            <w:tcBorders>
              <w:top w:val="nil"/>
              <w:left w:val="nil"/>
              <w:bottom w:val="dotted" w:sz="4" w:space="0" w:color="auto"/>
              <w:right w:val="dotted" w:sz="4" w:space="0" w:color="auto"/>
            </w:tcBorders>
            <w:shd w:val="clear" w:color="000000" w:fill="FFFFFF"/>
            <w:vAlign w:val="center"/>
            <w:hideMark/>
          </w:tcPr>
          <w:p w14:paraId="15C5957F" w14:textId="77777777" w:rsidR="009D6D4E" w:rsidRPr="00030958" w:rsidRDefault="009D6D4E" w:rsidP="00BF3B71">
            <w:pPr>
              <w:jc w:val="center"/>
              <w:rPr>
                <w:sz w:val="18"/>
                <w:szCs w:val="20"/>
                <w:lang w:val="en-US"/>
              </w:rPr>
            </w:pPr>
            <w:r w:rsidRPr="00030958">
              <w:rPr>
                <w:sz w:val="18"/>
                <w:szCs w:val="20"/>
                <w:lang w:val="en-US"/>
              </w:rPr>
              <w:t>23.7</w:t>
            </w:r>
          </w:p>
        </w:tc>
        <w:tc>
          <w:tcPr>
            <w:tcW w:w="326" w:type="pct"/>
            <w:tcBorders>
              <w:top w:val="nil"/>
              <w:left w:val="nil"/>
              <w:bottom w:val="dotted" w:sz="4" w:space="0" w:color="auto"/>
              <w:right w:val="double" w:sz="6" w:space="0" w:color="auto"/>
            </w:tcBorders>
            <w:shd w:val="clear" w:color="000000" w:fill="FFFFFF"/>
            <w:vAlign w:val="center"/>
            <w:hideMark/>
          </w:tcPr>
          <w:p w14:paraId="5804E30E" w14:textId="77777777" w:rsidR="009D6D4E" w:rsidRPr="00030958" w:rsidRDefault="009D6D4E" w:rsidP="00BF3B71">
            <w:pPr>
              <w:jc w:val="center"/>
              <w:rPr>
                <w:sz w:val="18"/>
                <w:szCs w:val="20"/>
                <w:lang w:val="en-US"/>
              </w:rPr>
            </w:pPr>
            <w:r w:rsidRPr="00030958">
              <w:rPr>
                <w:sz w:val="18"/>
                <w:szCs w:val="20"/>
                <w:lang w:val="en-US"/>
              </w:rPr>
              <w:t>23.8</w:t>
            </w:r>
          </w:p>
        </w:tc>
      </w:tr>
      <w:tr w:rsidR="009D6D4E" w:rsidRPr="00030958" w14:paraId="7782B4C2" w14:textId="77777777" w:rsidTr="00BF3B71">
        <w:trPr>
          <w:trHeight w:val="20"/>
        </w:trPr>
        <w:tc>
          <w:tcPr>
            <w:tcW w:w="2424" w:type="pct"/>
            <w:tcBorders>
              <w:top w:val="nil"/>
              <w:left w:val="double" w:sz="6" w:space="0" w:color="auto"/>
              <w:bottom w:val="dotted" w:sz="4" w:space="0" w:color="auto"/>
              <w:right w:val="nil"/>
            </w:tcBorders>
            <w:shd w:val="clear" w:color="000000" w:fill="FFFFFF"/>
            <w:vAlign w:val="center"/>
            <w:hideMark/>
          </w:tcPr>
          <w:p w14:paraId="3E503FBE" w14:textId="77777777" w:rsidR="009D6D4E" w:rsidRPr="00030958" w:rsidRDefault="009D6D4E" w:rsidP="00BF3B71">
            <w:pPr>
              <w:rPr>
                <w:sz w:val="18"/>
                <w:szCs w:val="20"/>
                <w:lang w:val="en-US"/>
              </w:rPr>
            </w:pPr>
            <w:r w:rsidRPr="00030958">
              <w:rPr>
                <w:sz w:val="18"/>
                <w:szCs w:val="20"/>
                <w:lang w:val="en-US"/>
              </w:rPr>
              <w:t xml:space="preserve">12a. Taksat mbi Prodhim dhe Import </w:t>
            </w:r>
          </w:p>
        </w:tc>
        <w:tc>
          <w:tcPr>
            <w:tcW w:w="517" w:type="pct"/>
            <w:tcBorders>
              <w:top w:val="nil"/>
              <w:left w:val="single" w:sz="8" w:space="0" w:color="auto"/>
              <w:bottom w:val="dotted" w:sz="4" w:space="0" w:color="auto"/>
              <w:right w:val="single" w:sz="8" w:space="0" w:color="auto"/>
            </w:tcBorders>
            <w:shd w:val="clear" w:color="000000" w:fill="FFFFFF"/>
            <w:vAlign w:val="center"/>
            <w:hideMark/>
          </w:tcPr>
          <w:p w14:paraId="27AA241B" w14:textId="77777777" w:rsidR="009D6D4E" w:rsidRPr="00030958" w:rsidRDefault="009D6D4E" w:rsidP="00BF3B71">
            <w:pPr>
              <w:jc w:val="center"/>
              <w:rPr>
                <w:sz w:val="18"/>
                <w:szCs w:val="20"/>
                <w:lang w:val="en-US"/>
              </w:rPr>
            </w:pPr>
            <w:bookmarkStart w:id="235" w:name="RANGE!C20"/>
            <w:r w:rsidRPr="00030958">
              <w:rPr>
                <w:sz w:val="18"/>
                <w:szCs w:val="20"/>
                <w:lang w:val="en-US"/>
              </w:rPr>
              <w:t>D2</w:t>
            </w:r>
            <w:bookmarkEnd w:id="235"/>
          </w:p>
        </w:tc>
        <w:tc>
          <w:tcPr>
            <w:tcW w:w="429" w:type="pct"/>
            <w:tcBorders>
              <w:top w:val="nil"/>
              <w:left w:val="nil"/>
              <w:bottom w:val="dotted" w:sz="4" w:space="0" w:color="auto"/>
              <w:right w:val="single" w:sz="8" w:space="0" w:color="auto"/>
            </w:tcBorders>
            <w:shd w:val="clear" w:color="000000" w:fill="FFFFFF"/>
            <w:vAlign w:val="center"/>
            <w:hideMark/>
          </w:tcPr>
          <w:p w14:paraId="4537EF9B" w14:textId="77777777" w:rsidR="009D6D4E" w:rsidRPr="00030958" w:rsidRDefault="009D6D4E" w:rsidP="00BF3B71">
            <w:pPr>
              <w:jc w:val="center"/>
              <w:rPr>
                <w:sz w:val="18"/>
                <w:szCs w:val="20"/>
                <w:lang w:val="en-US"/>
              </w:rPr>
            </w:pPr>
            <w:r w:rsidRPr="00030958">
              <w:rPr>
                <w:sz w:val="18"/>
                <w:szCs w:val="20"/>
                <w:lang w:val="en-US"/>
              </w:rPr>
              <w:t>1,296.2</w:t>
            </w:r>
          </w:p>
        </w:tc>
        <w:tc>
          <w:tcPr>
            <w:tcW w:w="326" w:type="pct"/>
            <w:tcBorders>
              <w:top w:val="nil"/>
              <w:left w:val="nil"/>
              <w:bottom w:val="dotted" w:sz="4" w:space="0" w:color="auto"/>
              <w:right w:val="dotted" w:sz="4" w:space="0" w:color="auto"/>
            </w:tcBorders>
            <w:shd w:val="clear" w:color="000000" w:fill="FFFFFF"/>
            <w:vAlign w:val="center"/>
            <w:hideMark/>
          </w:tcPr>
          <w:p w14:paraId="0DEFF84F" w14:textId="77777777" w:rsidR="009D6D4E" w:rsidRPr="00030958" w:rsidRDefault="009D6D4E" w:rsidP="00BF3B71">
            <w:pPr>
              <w:jc w:val="center"/>
              <w:rPr>
                <w:sz w:val="18"/>
                <w:szCs w:val="20"/>
                <w:lang w:val="en-US"/>
              </w:rPr>
            </w:pPr>
            <w:r w:rsidRPr="00030958">
              <w:rPr>
                <w:sz w:val="18"/>
                <w:szCs w:val="20"/>
                <w:lang w:val="en-US"/>
              </w:rPr>
              <w:t>19.3</w:t>
            </w:r>
          </w:p>
        </w:tc>
        <w:tc>
          <w:tcPr>
            <w:tcW w:w="326" w:type="pct"/>
            <w:tcBorders>
              <w:top w:val="nil"/>
              <w:left w:val="nil"/>
              <w:bottom w:val="dotted" w:sz="4" w:space="0" w:color="auto"/>
              <w:right w:val="dotted" w:sz="4" w:space="0" w:color="auto"/>
            </w:tcBorders>
            <w:shd w:val="clear" w:color="000000" w:fill="FFFFFF"/>
            <w:vAlign w:val="center"/>
            <w:hideMark/>
          </w:tcPr>
          <w:p w14:paraId="4A15B0DC" w14:textId="77777777" w:rsidR="009D6D4E" w:rsidRPr="00030958" w:rsidRDefault="009D6D4E" w:rsidP="00BF3B71">
            <w:pPr>
              <w:jc w:val="center"/>
              <w:rPr>
                <w:sz w:val="18"/>
                <w:szCs w:val="20"/>
                <w:lang w:val="en-US"/>
              </w:rPr>
            </w:pPr>
            <w:r w:rsidRPr="00030958">
              <w:rPr>
                <w:sz w:val="18"/>
                <w:szCs w:val="20"/>
                <w:lang w:val="en-US"/>
              </w:rPr>
              <w:t>20.3</w:t>
            </w:r>
          </w:p>
        </w:tc>
        <w:tc>
          <w:tcPr>
            <w:tcW w:w="326" w:type="pct"/>
            <w:tcBorders>
              <w:top w:val="nil"/>
              <w:left w:val="nil"/>
              <w:bottom w:val="dotted" w:sz="4" w:space="0" w:color="auto"/>
              <w:right w:val="dotted" w:sz="4" w:space="0" w:color="auto"/>
            </w:tcBorders>
            <w:shd w:val="clear" w:color="000000" w:fill="FFFFFF"/>
            <w:vAlign w:val="center"/>
            <w:hideMark/>
          </w:tcPr>
          <w:p w14:paraId="3D2ED0AC" w14:textId="77777777" w:rsidR="009D6D4E" w:rsidRPr="00030958" w:rsidRDefault="009D6D4E" w:rsidP="00BF3B71">
            <w:pPr>
              <w:jc w:val="center"/>
              <w:rPr>
                <w:sz w:val="18"/>
                <w:szCs w:val="20"/>
                <w:lang w:val="en-US"/>
              </w:rPr>
            </w:pPr>
            <w:r w:rsidRPr="00030958">
              <w:rPr>
                <w:sz w:val="18"/>
                <w:szCs w:val="20"/>
                <w:lang w:val="en-US"/>
              </w:rPr>
              <w:t>19.9</w:t>
            </w:r>
          </w:p>
        </w:tc>
        <w:tc>
          <w:tcPr>
            <w:tcW w:w="326" w:type="pct"/>
            <w:tcBorders>
              <w:top w:val="nil"/>
              <w:left w:val="nil"/>
              <w:bottom w:val="dotted" w:sz="4" w:space="0" w:color="auto"/>
              <w:right w:val="dotted" w:sz="4" w:space="0" w:color="auto"/>
            </w:tcBorders>
            <w:shd w:val="clear" w:color="000000" w:fill="FFFFFF"/>
            <w:vAlign w:val="center"/>
            <w:hideMark/>
          </w:tcPr>
          <w:p w14:paraId="48082DC7" w14:textId="77777777" w:rsidR="009D6D4E" w:rsidRPr="00030958" w:rsidRDefault="009D6D4E" w:rsidP="00BF3B71">
            <w:pPr>
              <w:jc w:val="center"/>
              <w:rPr>
                <w:sz w:val="18"/>
                <w:szCs w:val="20"/>
                <w:lang w:val="en-US"/>
              </w:rPr>
            </w:pPr>
            <w:r w:rsidRPr="00030958">
              <w:rPr>
                <w:sz w:val="18"/>
                <w:szCs w:val="20"/>
                <w:lang w:val="en-US"/>
              </w:rPr>
              <w:t>19.6</w:t>
            </w:r>
          </w:p>
        </w:tc>
        <w:tc>
          <w:tcPr>
            <w:tcW w:w="326" w:type="pct"/>
            <w:tcBorders>
              <w:top w:val="nil"/>
              <w:left w:val="nil"/>
              <w:bottom w:val="dotted" w:sz="4" w:space="0" w:color="auto"/>
              <w:right w:val="double" w:sz="6" w:space="0" w:color="auto"/>
            </w:tcBorders>
            <w:shd w:val="clear" w:color="000000" w:fill="FFFFFF"/>
            <w:vAlign w:val="center"/>
            <w:hideMark/>
          </w:tcPr>
          <w:p w14:paraId="7CD0F638" w14:textId="77777777" w:rsidR="009D6D4E" w:rsidRPr="00030958" w:rsidRDefault="009D6D4E" w:rsidP="00BF3B71">
            <w:pPr>
              <w:jc w:val="center"/>
              <w:rPr>
                <w:sz w:val="18"/>
                <w:szCs w:val="20"/>
                <w:lang w:val="en-US"/>
              </w:rPr>
            </w:pPr>
            <w:r w:rsidRPr="00030958">
              <w:rPr>
                <w:sz w:val="18"/>
                <w:szCs w:val="20"/>
                <w:lang w:val="en-US"/>
              </w:rPr>
              <w:t>19.6</w:t>
            </w:r>
          </w:p>
        </w:tc>
      </w:tr>
      <w:tr w:rsidR="009D6D4E" w:rsidRPr="00030958" w14:paraId="3604CE70" w14:textId="77777777" w:rsidTr="00BF3B71">
        <w:trPr>
          <w:trHeight w:val="20"/>
        </w:trPr>
        <w:tc>
          <w:tcPr>
            <w:tcW w:w="2424" w:type="pct"/>
            <w:tcBorders>
              <w:top w:val="nil"/>
              <w:left w:val="double" w:sz="6" w:space="0" w:color="auto"/>
              <w:bottom w:val="dotted" w:sz="4" w:space="0" w:color="auto"/>
              <w:right w:val="nil"/>
            </w:tcBorders>
            <w:shd w:val="clear" w:color="000000" w:fill="FFFFFF"/>
            <w:vAlign w:val="center"/>
            <w:hideMark/>
          </w:tcPr>
          <w:p w14:paraId="6C5D5E66" w14:textId="77777777" w:rsidR="009D6D4E" w:rsidRPr="00FC648F" w:rsidRDefault="009D6D4E" w:rsidP="00BF3B71">
            <w:pPr>
              <w:rPr>
                <w:sz w:val="18"/>
                <w:szCs w:val="20"/>
              </w:rPr>
            </w:pPr>
            <w:r w:rsidRPr="00FC648F">
              <w:rPr>
                <w:sz w:val="18"/>
                <w:szCs w:val="20"/>
              </w:rPr>
              <w:t>12b. Taksat aktuale në të ardhura dhe pasuri</w:t>
            </w:r>
          </w:p>
        </w:tc>
        <w:tc>
          <w:tcPr>
            <w:tcW w:w="517" w:type="pct"/>
            <w:tcBorders>
              <w:top w:val="nil"/>
              <w:left w:val="single" w:sz="8" w:space="0" w:color="auto"/>
              <w:bottom w:val="dotted" w:sz="4" w:space="0" w:color="auto"/>
              <w:right w:val="single" w:sz="8" w:space="0" w:color="auto"/>
            </w:tcBorders>
            <w:shd w:val="clear" w:color="000000" w:fill="FFFFFF"/>
            <w:vAlign w:val="center"/>
            <w:hideMark/>
          </w:tcPr>
          <w:p w14:paraId="54FB6CDC" w14:textId="77777777" w:rsidR="009D6D4E" w:rsidRPr="00030958" w:rsidRDefault="009D6D4E" w:rsidP="00BF3B71">
            <w:pPr>
              <w:jc w:val="center"/>
              <w:rPr>
                <w:sz w:val="18"/>
                <w:szCs w:val="20"/>
                <w:lang w:val="en-US"/>
              </w:rPr>
            </w:pPr>
            <w:bookmarkStart w:id="236" w:name="RANGE!C21"/>
            <w:r w:rsidRPr="00030958">
              <w:rPr>
                <w:sz w:val="18"/>
                <w:szCs w:val="20"/>
                <w:lang w:val="en-US"/>
              </w:rPr>
              <w:t>D5</w:t>
            </w:r>
            <w:bookmarkEnd w:id="236"/>
          </w:p>
        </w:tc>
        <w:tc>
          <w:tcPr>
            <w:tcW w:w="429" w:type="pct"/>
            <w:tcBorders>
              <w:top w:val="nil"/>
              <w:left w:val="nil"/>
              <w:bottom w:val="dotted" w:sz="4" w:space="0" w:color="auto"/>
              <w:right w:val="single" w:sz="8" w:space="0" w:color="auto"/>
            </w:tcBorders>
            <w:shd w:val="clear" w:color="000000" w:fill="FFFFFF"/>
            <w:vAlign w:val="center"/>
            <w:hideMark/>
          </w:tcPr>
          <w:p w14:paraId="4C8C0CDC" w14:textId="77777777" w:rsidR="009D6D4E" w:rsidRPr="00030958" w:rsidRDefault="009D6D4E" w:rsidP="00BF3B71">
            <w:pPr>
              <w:jc w:val="center"/>
              <w:rPr>
                <w:sz w:val="18"/>
                <w:szCs w:val="20"/>
                <w:lang w:val="en-US"/>
              </w:rPr>
            </w:pPr>
            <w:r w:rsidRPr="00030958">
              <w:rPr>
                <w:sz w:val="18"/>
                <w:szCs w:val="20"/>
                <w:lang w:val="en-US"/>
              </w:rPr>
              <w:t>267.5</w:t>
            </w:r>
          </w:p>
        </w:tc>
        <w:tc>
          <w:tcPr>
            <w:tcW w:w="326" w:type="pct"/>
            <w:tcBorders>
              <w:top w:val="nil"/>
              <w:left w:val="nil"/>
              <w:bottom w:val="dotted" w:sz="4" w:space="0" w:color="auto"/>
              <w:right w:val="dotted" w:sz="4" w:space="0" w:color="auto"/>
            </w:tcBorders>
            <w:shd w:val="clear" w:color="000000" w:fill="FFFFFF"/>
            <w:vAlign w:val="center"/>
            <w:hideMark/>
          </w:tcPr>
          <w:p w14:paraId="33D64511" w14:textId="77777777" w:rsidR="009D6D4E" w:rsidRPr="00030958" w:rsidRDefault="009D6D4E" w:rsidP="00BF3B71">
            <w:pPr>
              <w:jc w:val="center"/>
              <w:rPr>
                <w:sz w:val="18"/>
                <w:szCs w:val="20"/>
                <w:lang w:val="en-US"/>
              </w:rPr>
            </w:pPr>
            <w:r w:rsidRPr="00030958">
              <w:rPr>
                <w:sz w:val="18"/>
                <w:szCs w:val="20"/>
                <w:lang w:val="en-US"/>
              </w:rPr>
              <w:t>4.0</w:t>
            </w:r>
          </w:p>
        </w:tc>
        <w:tc>
          <w:tcPr>
            <w:tcW w:w="326" w:type="pct"/>
            <w:tcBorders>
              <w:top w:val="nil"/>
              <w:left w:val="nil"/>
              <w:bottom w:val="dotted" w:sz="4" w:space="0" w:color="auto"/>
              <w:right w:val="dotted" w:sz="4" w:space="0" w:color="auto"/>
            </w:tcBorders>
            <w:shd w:val="clear" w:color="000000" w:fill="FFFFFF"/>
            <w:vAlign w:val="center"/>
            <w:hideMark/>
          </w:tcPr>
          <w:p w14:paraId="3E245B4B" w14:textId="77777777" w:rsidR="009D6D4E" w:rsidRPr="00030958" w:rsidRDefault="009D6D4E" w:rsidP="00BF3B71">
            <w:pPr>
              <w:jc w:val="center"/>
              <w:rPr>
                <w:sz w:val="18"/>
                <w:szCs w:val="20"/>
                <w:lang w:val="en-US"/>
              </w:rPr>
            </w:pPr>
            <w:r w:rsidRPr="00030958">
              <w:rPr>
                <w:sz w:val="18"/>
                <w:szCs w:val="20"/>
                <w:lang w:val="en-US"/>
              </w:rPr>
              <w:t>4.0</w:t>
            </w:r>
          </w:p>
        </w:tc>
        <w:tc>
          <w:tcPr>
            <w:tcW w:w="326" w:type="pct"/>
            <w:tcBorders>
              <w:top w:val="nil"/>
              <w:left w:val="nil"/>
              <w:bottom w:val="dotted" w:sz="4" w:space="0" w:color="auto"/>
              <w:right w:val="dotted" w:sz="4" w:space="0" w:color="auto"/>
            </w:tcBorders>
            <w:shd w:val="clear" w:color="000000" w:fill="FFFFFF"/>
            <w:vAlign w:val="center"/>
            <w:hideMark/>
          </w:tcPr>
          <w:p w14:paraId="13CF15FB" w14:textId="77777777" w:rsidR="009D6D4E" w:rsidRPr="00030958" w:rsidRDefault="009D6D4E" w:rsidP="00BF3B71">
            <w:pPr>
              <w:jc w:val="center"/>
              <w:rPr>
                <w:sz w:val="18"/>
                <w:szCs w:val="20"/>
                <w:lang w:val="en-US"/>
              </w:rPr>
            </w:pPr>
            <w:r w:rsidRPr="00030958">
              <w:rPr>
                <w:sz w:val="18"/>
                <w:szCs w:val="20"/>
                <w:lang w:val="en-US"/>
              </w:rPr>
              <w:t>4.1</w:t>
            </w:r>
          </w:p>
        </w:tc>
        <w:tc>
          <w:tcPr>
            <w:tcW w:w="326" w:type="pct"/>
            <w:tcBorders>
              <w:top w:val="nil"/>
              <w:left w:val="nil"/>
              <w:bottom w:val="dotted" w:sz="4" w:space="0" w:color="auto"/>
              <w:right w:val="dotted" w:sz="4" w:space="0" w:color="auto"/>
            </w:tcBorders>
            <w:shd w:val="clear" w:color="000000" w:fill="FFFFFF"/>
            <w:vAlign w:val="center"/>
            <w:hideMark/>
          </w:tcPr>
          <w:p w14:paraId="0A8AE779" w14:textId="77777777" w:rsidR="009D6D4E" w:rsidRPr="00030958" w:rsidRDefault="009D6D4E" w:rsidP="00BF3B71">
            <w:pPr>
              <w:jc w:val="center"/>
              <w:rPr>
                <w:sz w:val="18"/>
                <w:szCs w:val="20"/>
                <w:lang w:val="en-US"/>
              </w:rPr>
            </w:pPr>
            <w:r w:rsidRPr="00030958">
              <w:rPr>
                <w:sz w:val="18"/>
                <w:szCs w:val="20"/>
                <w:lang w:val="en-US"/>
              </w:rPr>
              <w:t>4.1</w:t>
            </w:r>
          </w:p>
        </w:tc>
        <w:tc>
          <w:tcPr>
            <w:tcW w:w="326" w:type="pct"/>
            <w:tcBorders>
              <w:top w:val="nil"/>
              <w:left w:val="nil"/>
              <w:bottom w:val="dotted" w:sz="4" w:space="0" w:color="auto"/>
              <w:right w:val="double" w:sz="6" w:space="0" w:color="auto"/>
            </w:tcBorders>
            <w:shd w:val="clear" w:color="000000" w:fill="FFFFFF"/>
            <w:vAlign w:val="center"/>
            <w:hideMark/>
          </w:tcPr>
          <w:p w14:paraId="0DDEC3A8" w14:textId="77777777" w:rsidR="009D6D4E" w:rsidRPr="00030958" w:rsidRDefault="009D6D4E" w:rsidP="00BF3B71">
            <w:pPr>
              <w:jc w:val="center"/>
              <w:rPr>
                <w:sz w:val="18"/>
                <w:szCs w:val="20"/>
                <w:lang w:val="en-US"/>
              </w:rPr>
            </w:pPr>
            <w:r w:rsidRPr="00030958">
              <w:rPr>
                <w:sz w:val="18"/>
                <w:szCs w:val="20"/>
                <w:lang w:val="en-US"/>
              </w:rPr>
              <w:t>4.2</w:t>
            </w:r>
          </w:p>
        </w:tc>
      </w:tr>
      <w:tr w:rsidR="009D6D4E" w:rsidRPr="00030958" w14:paraId="78452C17" w14:textId="77777777" w:rsidTr="00BF3B71">
        <w:trPr>
          <w:trHeight w:val="20"/>
        </w:trPr>
        <w:tc>
          <w:tcPr>
            <w:tcW w:w="2424" w:type="pct"/>
            <w:tcBorders>
              <w:top w:val="nil"/>
              <w:left w:val="double" w:sz="6" w:space="0" w:color="auto"/>
              <w:bottom w:val="dotted" w:sz="4" w:space="0" w:color="auto"/>
              <w:right w:val="nil"/>
            </w:tcBorders>
            <w:shd w:val="clear" w:color="000000" w:fill="FFFFFF"/>
            <w:vAlign w:val="center"/>
            <w:hideMark/>
          </w:tcPr>
          <w:p w14:paraId="71706052" w14:textId="77777777" w:rsidR="009D6D4E" w:rsidRPr="00030958" w:rsidRDefault="009D6D4E" w:rsidP="00BF3B71">
            <w:pPr>
              <w:rPr>
                <w:sz w:val="18"/>
                <w:szCs w:val="20"/>
                <w:lang w:val="en-US"/>
              </w:rPr>
            </w:pPr>
            <w:r w:rsidRPr="00030958">
              <w:rPr>
                <w:sz w:val="18"/>
                <w:szCs w:val="20"/>
                <w:lang w:val="en-US"/>
              </w:rPr>
              <w:t xml:space="preserve">12c. Taksat mbi kapital </w:t>
            </w:r>
          </w:p>
        </w:tc>
        <w:tc>
          <w:tcPr>
            <w:tcW w:w="517" w:type="pct"/>
            <w:tcBorders>
              <w:top w:val="nil"/>
              <w:left w:val="single" w:sz="8" w:space="0" w:color="auto"/>
              <w:bottom w:val="dotted" w:sz="4" w:space="0" w:color="auto"/>
              <w:right w:val="single" w:sz="8" w:space="0" w:color="auto"/>
            </w:tcBorders>
            <w:shd w:val="clear" w:color="000000" w:fill="FFFFFF"/>
            <w:vAlign w:val="center"/>
            <w:hideMark/>
          </w:tcPr>
          <w:p w14:paraId="7F2C2E7C" w14:textId="77777777" w:rsidR="009D6D4E" w:rsidRPr="00030958" w:rsidRDefault="009D6D4E" w:rsidP="00BF3B71">
            <w:pPr>
              <w:jc w:val="center"/>
              <w:rPr>
                <w:sz w:val="18"/>
                <w:szCs w:val="20"/>
                <w:lang w:val="en-US"/>
              </w:rPr>
            </w:pPr>
            <w:bookmarkStart w:id="237" w:name="RANGE!C22"/>
            <w:r w:rsidRPr="00030958">
              <w:rPr>
                <w:sz w:val="18"/>
                <w:szCs w:val="20"/>
                <w:lang w:val="en-US"/>
              </w:rPr>
              <w:t>D91</w:t>
            </w:r>
            <w:bookmarkEnd w:id="237"/>
          </w:p>
        </w:tc>
        <w:tc>
          <w:tcPr>
            <w:tcW w:w="429" w:type="pct"/>
            <w:tcBorders>
              <w:top w:val="nil"/>
              <w:left w:val="nil"/>
              <w:bottom w:val="dotted" w:sz="4" w:space="0" w:color="auto"/>
              <w:right w:val="single" w:sz="8" w:space="0" w:color="auto"/>
            </w:tcBorders>
            <w:shd w:val="clear" w:color="000000" w:fill="FFFFFF"/>
            <w:vAlign w:val="center"/>
            <w:hideMark/>
          </w:tcPr>
          <w:p w14:paraId="5D003F42"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dotted" w:sz="4" w:space="0" w:color="auto"/>
              <w:right w:val="dotted" w:sz="4" w:space="0" w:color="auto"/>
            </w:tcBorders>
            <w:shd w:val="clear" w:color="000000" w:fill="FFFFFF"/>
            <w:vAlign w:val="center"/>
            <w:hideMark/>
          </w:tcPr>
          <w:p w14:paraId="6D87BCB0"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dotted" w:sz="4" w:space="0" w:color="auto"/>
              <w:right w:val="dotted" w:sz="4" w:space="0" w:color="auto"/>
            </w:tcBorders>
            <w:shd w:val="clear" w:color="000000" w:fill="FFFFFF"/>
            <w:vAlign w:val="center"/>
            <w:hideMark/>
          </w:tcPr>
          <w:p w14:paraId="0B5E937E"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dotted" w:sz="4" w:space="0" w:color="auto"/>
              <w:right w:val="dotted" w:sz="4" w:space="0" w:color="auto"/>
            </w:tcBorders>
            <w:shd w:val="clear" w:color="000000" w:fill="FFFFFF"/>
            <w:vAlign w:val="center"/>
            <w:hideMark/>
          </w:tcPr>
          <w:p w14:paraId="464CFD73"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dotted" w:sz="4" w:space="0" w:color="auto"/>
              <w:right w:val="dotted" w:sz="4" w:space="0" w:color="auto"/>
            </w:tcBorders>
            <w:shd w:val="clear" w:color="000000" w:fill="FFFFFF"/>
            <w:vAlign w:val="center"/>
            <w:hideMark/>
          </w:tcPr>
          <w:p w14:paraId="12A3F2DB"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dotted" w:sz="4" w:space="0" w:color="auto"/>
              <w:right w:val="double" w:sz="6" w:space="0" w:color="auto"/>
            </w:tcBorders>
            <w:shd w:val="clear" w:color="000000" w:fill="FFFFFF"/>
            <w:vAlign w:val="center"/>
            <w:hideMark/>
          </w:tcPr>
          <w:p w14:paraId="36A87960" w14:textId="77777777" w:rsidR="009D6D4E" w:rsidRPr="00030958" w:rsidRDefault="009D6D4E" w:rsidP="00BF3B71">
            <w:pPr>
              <w:jc w:val="center"/>
              <w:rPr>
                <w:sz w:val="18"/>
                <w:szCs w:val="20"/>
                <w:lang w:val="en-US"/>
              </w:rPr>
            </w:pPr>
            <w:r w:rsidRPr="00030958">
              <w:rPr>
                <w:sz w:val="18"/>
                <w:szCs w:val="20"/>
                <w:lang w:val="en-US"/>
              </w:rPr>
              <w:t>:</w:t>
            </w:r>
          </w:p>
        </w:tc>
      </w:tr>
      <w:tr w:rsidR="009D6D4E" w:rsidRPr="00030958" w14:paraId="7234084C" w14:textId="77777777" w:rsidTr="00BF3B71">
        <w:trPr>
          <w:trHeight w:val="20"/>
        </w:trPr>
        <w:tc>
          <w:tcPr>
            <w:tcW w:w="2424" w:type="pct"/>
            <w:tcBorders>
              <w:top w:val="nil"/>
              <w:left w:val="double" w:sz="6" w:space="0" w:color="auto"/>
              <w:bottom w:val="dotted" w:sz="4" w:space="0" w:color="auto"/>
              <w:right w:val="nil"/>
            </w:tcBorders>
            <w:shd w:val="clear" w:color="000000" w:fill="FFFFFF"/>
            <w:vAlign w:val="center"/>
            <w:hideMark/>
          </w:tcPr>
          <w:p w14:paraId="10B974DB" w14:textId="77777777" w:rsidR="009D6D4E" w:rsidRPr="00030958" w:rsidRDefault="009D6D4E" w:rsidP="00BF3B71">
            <w:pPr>
              <w:rPr>
                <w:sz w:val="18"/>
                <w:szCs w:val="20"/>
                <w:lang w:val="en-US"/>
              </w:rPr>
            </w:pPr>
            <w:r w:rsidRPr="00030958">
              <w:rPr>
                <w:sz w:val="18"/>
                <w:szCs w:val="20"/>
                <w:lang w:val="en-US"/>
              </w:rPr>
              <w:t>13. Kontributet Sociale</w:t>
            </w:r>
          </w:p>
        </w:tc>
        <w:tc>
          <w:tcPr>
            <w:tcW w:w="517" w:type="pct"/>
            <w:tcBorders>
              <w:top w:val="nil"/>
              <w:left w:val="single" w:sz="8" w:space="0" w:color="auto"/>
              <w:bottom w:val="dotted" w:sz="4" w:space="0" w:color="auto"/>
              <w:right w:val="single" w:sz="8" w:space="0" w:color="auto"/>
            </w:tcBorders>
            <w:shd w:val="clear" w:color="000000" w:fill="FFFFFF"/>
            <w:vAlign w:val="center"/>
            <w:hideMark/>
          </w:tcPr>
          <w:p w14:paraId="35C4AAD5" w14:textId="77777777" w:rsidR="009D6D4E" w:rsidRPr="00030958" w:rsidRDefault="009D6D4E" w:rsidP="00BF3B71">
            <w:pPr>
              <w:jc w:val="center"/>
              <w:rPr>
                <w:sz w:val="18"/>
                <w:szCs w:val="20"/>
                <w:lang w:val="en-US"/>
              </w:rPr>
            </w:pPr>
            <w:r w:rsidRPr="00030958">
              <w:rPr>
                <w:sz w:val="18"/>
                <w:szCs w:val="20"/>
                <w:lang w:val="en-US"/>
              </w:rPr>
              <w:t>D61</w:t>
            </w:r>
          </w:p>
        </w:tc>
        <w:tc>
          <w:tcPr>
            <w:tcW w:w="429" w:type="pct"/>
            <w:tcBorders>
              <w:top w:val="nil"/>
              <w:left w:val="nil"/>
              <w:bottom w:val="dotted" w:sz="4" w:space="0" w:color="auto"/>
              <w:right w:val="single" w:sz="8" w:space="0" w:color="auto"/>
            </w:tcBorders>
            <w:shd w:val="clear" w:color="000000" w:fill="FFFFFF"/>
            <w:vAlign w:val="center"/>
            <w:hideMark/>
          </w:tcPr>
          <w:p w14:paraId="54DA8CD6"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dotted" w:sz="4" w:space="0" w:color="auto"/>
              <w:right w:val="dotted" w:sz="4" w:space="0" w:color="auto"/>
            </w:tcBorders>
            <w:shd w:val="clear" w:color="000000" w:fill="FFFFFF"/>
            <w:vAlign w:val="center"/>
            <w:hideMark/>
          </w:tcPr>
          <w:p w14:paraId="5F59D751"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dotted" w:sz="4" w:space="0" w:color="auto"/>
              <w:right w:val="dotted" w:sz="4" w:space="0" w:color="auto"/>
            </w:tcBorders>
            <w:shd w:val="clear" w:color="000000" w:fill="FFFFFF"/>
            <w:vAlign w:val="center"/>
            <w:hideMark/>
          </w:tcPr>
          <w:p w14:paraId="14A615A5"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dotted" w:sz="4" w:space="0" w:color="auto"/>
              <w:right w:val="dotted" w:sz="4" w:space="0" w:color="auto"/>
            </w:tcBorders>
            <w:shd w:val="clear" w:color="000000" w:fill="FFFFFF"/>
            <w:vAlign w:val="center"/>
            <w:hideMark/>
          </w:tcPr>
          <w:p w14:paraId="42991EE7"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dotted" w:sz="4" w:space="0" w:color="auto"/>
              <w:right w:val="dotted" w:sz="4" w:space="0" w:color="auto"/>
            </w:tcBorders>
            <w:shd w:val="clear" w:color="000000" w:fill="FFFFFF"/>
            <w:vAlign w:val="center"/>
            <w:hideMark/>
          </w:tcPr>
          <w:p w14:paraId="07435418"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dotted" w:sz="4" w:space="0" w:color="auto"/>
              <w:right w:val="double" w:sz="6" w:space="0" w:color="auto"/>
            </w:tcBorders>
            <w:shd w:val="clear" w:color="000000" w:fill="FFFFFF"/>
            <w:vAlign w:val="center"/>
            <w:hideMark/>
          </w:tcPr>
          <w:p w14:paraId="3CFDDDD5" w14:textId="77777777" w:rsidR="009D6D4E" w:rsidRPr="00030958" w:rsidRDefault="009D6D4E" w:rsidP="00BF3B71">
            <w:pPr>
              <w:jc w:val="center"/>
              <w:rPr>
                <w:sz w:val="18"/>
                <w:szCs w:val="20"/>
                <w:lang w:val="en-US"/>
              </w:rPr>
            </w:pPr>
            <w:r w:rsidRPr="00030958">
              <w:rPr>
                <w:sz w:val="18"/>
                <w:szCs w:val="20"/>
                <w:lang w:val="en-US"/>
              </w:rPr>
              <w:t>:</w:t>
            </w:r>
          </w:p>
        </w:tc>
      </w:tr>
      <w:tr w:rsidR="009D6D4E" w:rsidRPr="00030958" w14:paraId="529E1976" w14:textId="77777777" w:rsidTr="00BF3B71">
        <w:trPr>
          <w:trHeight w:val="20"/>
        </w:trPr>
        <w:tc>
          <w:tcPr>
            <w:tcW w:w="2424" w:type="pct"/>
            <w:tcBorders>
              <w:top w:val="nil"/>
              <w:left w:val="double" w:sz="6" w:space="0" w:color="auto"/>
              <w:bottom w:val="dotted" w:sz="4" w:space="0" w:color="auto"/>
              <w:right w:val="nil"/>
            </w:tcBorders>
            <w:shd w:val="clear" w:color="000000" w:fill="FFFFFF"/>
            <w:vAlign w:val="center"/>
            <w:hideMark/>
          </w:tcPr>
          <w:p w14:paraId="512F363B" w14:textId="77777777" w:rsidR="009D6D4E" w:rsidRPr="00030958" w:rsidRDefault="009D6D4E" w:rsidP="00BF3B71">
            <w:pPr>
              <w:rPr>
                <w:sz w:val="18"/>
                <w:szCs w:val="20"/>
                <w:lang w:val="en-US"/>
              </w:rPr>
            </w:pPr>
            <w:r w:rsidRPr="00030958">
              <w:rPr>
                <w:sz w:val="18"/>
                <w:szCs w:val="20"/>
                <w:lang w:val="en-US"/>
              </w:rPr>
              <w:t>14. Të ardhurat mbi Pronën</w:t>
            </w:r>
          </w:p>
        </w:tc>
        <w:tc>
          <w:tcPr>
            <w:tcW w:w="517" w:type="pct"/>
            <w:tcBorders>
              <w:top w:val="nil"/>
              <w:left w:val="single" w:sz="8" w:space="0" w:color="auto"/>
              <w:bottom w:val="dotted" w:sz="4" w:space="0" w:color="auto"/>
              <w:right w:val="single" w:sz="8" w:space="0" w:color="auto"/>
            </w:tcBorders>
            <w:shd w:val="clear" w:color="000000" w:fill="FFFFFF"/>
            <w:vAlign w:val="center"/>
            <w:hideMark/>
          </w:tcPr>
          <w:p w14:paraId="1B40618F" w14:textId="77777777" w:rsidR="009D6D4E" w:rsidRPr="00030958" w:rsidRDefault="009D6D4E" w:rsidP="00BF3B71">
            <w:pPr>
              <w:jc w:val="center"/>
              <w:rPr>
                <w:sz w:val="18"/>
                <w:szCs w:val="20"/>
                <w:lang w:val="en-US"/>
              </w:rPr>
            </w:pPr>
            <w:r w:rsidRPr="00030958">
              <w:rPr>
                <w:sz w:val="18"/>
                <w:szCs w:val="20"/>
                <w:lang w:val="en-US"/>
              </w:rPr>
              <w:t>D4</w:t>
            </w:r>
          </w:p>
        </w:tc>
        <w:tc>
          <w:tcPr>
            <w:tcW w:w="429" w:type="pct"/>
            <w:tcBorders>
              <w:top w:val="nil"/>
              <w:left w:val="nil"/>
              <w:bottom w:val="dotted" w:sz="4" w:space="0" w:color="auto"/>
              <w:right w:val="single" w:sz="8" w:space="0" w:color="auto"/>
            </w:tcBorders>
            <w:shd w:val="clear" w:color="000000" w:fill="FFFFFF"/>
            <w:vAlign w:val="center"/>
            <w:hideMark/>
          </w:tcPr>
          <w:p w14:paraId="0FEB628D"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dotted" w:sz="4" w:space="0" w:color="auto"/>
              <w:right w:val="dotted" w:sz="4" w:space="0" w:color="auto"/>
            </w:tcBorders>
            <w:shd w:val="clear" w:color="000000" w:fill="FFFFFF"/>
            <w:vAlign w:val="center"/>
            <w:hideMark/>
          </w:tcPr>
          <w:p w14:paraId="54306628"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dotted" w:sz="4" w:space="0" w:color="auto"/>
              <w:right w:val="dotted" w:sz="4" w:space="0" w:color="auto"/>
            </w:tcBorders>
            <w:shd w:val="clear" w:color="000000" w:fill="FFFFFF"/>
            <w:vAlign w:val="center"/>
            <w:hideMark/>
          </w:tcPr>
          <w:p w14:paraId="5FCBE971"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dotted" w:sz="4" w:space="0" w:color="auto"/>
              <w:right w:val="dotted" w:sz="4" w:space="0" w:color="auto"/>
            </w:tcBorders>
            <w:shd w:val="clear" w:color="000000" w:fill="FFFFFF"/>
            <w:vAlign w:val="center"/>
            <w:hideMark/>
          </w:tcPr>
          <w:p w14:paraId="2CC776E2"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dotted" w:sz="4" w:space="0" w:color="auto"/>
              <w:right w:val="dotted" w:sz="4" w:space="0" w:color="auto"/>
            </w:tcBorders>
            <w:shd w:val="clear" w:color="000000" w:fill="FFFFFF"/>
            <w:vAlign w:val="center"/>
            <w:hideMark/>
          </w:tcPr>
          <w:p w14:paraId="7B2885FA"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dotted" w:sz="4" w:space="0" w:color="auto"/>
              <w:right w:val="double" w:sz="6" w:space="0" w:color="auto"/>
            </w:tcBorders>
            <w:shd w:val="clear" w:color="000000" w:fill="FFFFFF"/>
            <w:vAlign w:val="center"/>
            <w:hideMark/>
          </w:tcPr>
          <w:p w14:paraId="5CA8CBC5" w14:textId="77777777" w:rsidR="009D6D4E" w:rsidRPr="00030958" w:rsidRDefault="009D6D4E" w:rsidP="00BF3B71">
            <w:pPr>
              <w:jc w:val="center"/>
              <w:rPr>
                <w:sz w:val="18"/>
                <w:szCs w:val="20"/>
                <w:lang w:val="en-US"/>
              </w:rPr>
            </w:pPr>
            <w:r w:rsidRPr="00030958">
              <w:rPr>
                <w:sz w:val="18"/>
                <w:szCs w:val="20"/>
                <w:lang w:val="en-US"/>
              </w:rPr>
              <w:t>:</w:t>
            </w:r>
          </w:p>
        </w:tc>
      </w:tr>
      <w:tr w:rsidR="009D6D4E" w:rsidRPr="00030958" w14:paraId="6D2E3627" w14:textId="77777777" w:rsidTr="00BF3B71">
        <w:trPr>
          <w:trHeight w:val="20"/>
        </w:trPr>
        <w:tc>
          <w:tcPr>
            <w:tcW w:w="2424" w:type="pct"/>
            <w:tcBorders>
              <w:top w:val="nil"/>
              <w:left w:val="double" w:sz="6" w:space="0" w:color="auto"/>
              <w:bottom w:val="dotted" w:sz="4" w:space="0" w:color="auto"/>
              <w:right w:val="nil"/>
            </w:tcBorders>
            <w:shd w:val="clear" w:color="000000" w:fill="FFFFFF"/>
            <w:vAlign w:val="center"/>
            <w:hideMark/>
          </w:tcPr>
          <w:p w14:paraId="164395FE" w14:textId="77777777" w:rsidR="009D6D4E" w:rsidRPr="00030958" w:rsidRDefault="009D6D4E" w:rsidP="00BF3B71">
            <w:pPr>
              <w:rPr>
                <w:sz w:val="18"/>
                <w:szCs w:val="20"/>
                <w:lang w:val="en-US"/>
              </w:rPr>
            </w:pPr>
            <w:r w:rsidRPr="00030958">
              <w:rPr>
                <w:sz w:val="18"/>
                <w:szCs w:val="20"/>
                <w:lang w:val="en-US"/>
              </w:rPr>
              <w:t>15. Tjera (15 = 16-(12+13+14)) [4]</w:t>
            </w:r>
          </w:p>
        </w:tc>
        <w:tc>
          <w:tcPr>
            <w:tcW w:w="517" w:type="pct"/>
            <w:tcBorders>
              <w:top w:val="nil"/>
              <w:left w:val="single" w:sz="8" w:space="0" w:color="auto"/>
              <w:bottom w:val="dotted" w:sz="4" w:space="0" w:color="auto"/>
              <w:right w:val="single" w:sz="8" w:space="0" w:color="auto"/>
            </w:tcBorders>
            <w:shd w:val="clear" w:color="000000" w:fill="FFFFFF"/>
            <w:vAlign w:val="center"/>
            <w:hideMark/>
          </w:tcPr>
          <w:p w14:paraId="39DDE7BF" w14:textId="77777777" w:rsidR="009D6D4E" w:rsidRPr="00030958" w:rsidRDefault="009D6D4E" w:rsidP="00BF3B71">
            <w:pPr>
              <w:jc w:val="center"/>
              <w:rPr>
                <w:sz w:val="18"/>
                <w:szCs w:val="20"/>
                <w:lang w:val="en-US"/>
              </w:rPr>
            </w:pPr>
            <w:r w:rsidRPr="00030958">
              <w:rPr>
                <w:sz w:val="18"/>
                <w:szCs w:val="20"/>
                <w:lang w:val="en-US"/>
              </w:rPr>
              <w:t> </w:t>
            </w:r>
          </w:p>
        </w:tc>
        <w:tc>
          <w:tcPr>
            <w:tcW w:w="429" w:type="pct"/>
            <w:tcBorders>
              <w:top w:val="nil"/>
              <w:left w:val="nil"/>
              <w:bottom w:val="dotted" w:sz="4" w:space="0" w:color="auto"/>
              <w:right w:val="single" w:sz="8" w:space="0" w:color="auto"/>
            </w:tcBorders>
            <w:shd w:val="clear" w:color="000000" w:fill="FFFFFF"/>
            <w:vAlign w:val="center"/>
            <w:hideMark/>
          </w:tcPr>
          <w:p w14:paraId="11106641" w14:textId="77777777" w:rsidR="009D6D4E" w:rsidRPr="00030958" w:rsidRDefault="009D6D4E" w:rsidP="00BF3B71">
            <w:pPr>
              <w:jc w:val="center"/>
              <w:rPr>
                <w:sz w:val="18"/>
                <w:szCs w:val="20"/>
                <w:lang w:val="en-US"/>
              </w:rPr>
            </w:pPr>
            <w:r w:rsidRPr="00030958">
              <w:rPr>
                <w:sz w:val="18"/>
                <w:szCs w:val="20"/>
                <w:lang w:val="en-US"/>
              </w:rPr>
              <w:t>192.9</w:t>
            </w:r>
          </w:p>
        </w:tc>
        <w:tc>
          <w:tcPr>
            <w:tcW w:w="326" w:type="pct"/>
            <w:tcBorders>
              <w:top w:val="nil"/>
              <w:left w:val="nil"/>
              <w:bottom w:val="dotted" w:sz="4" w:space="0" w:color="auto"/>
              <w:right w:val="dotted" w:sz="4" w:space="0" w:color="auto"/>
            </w:tcBorders>
            <w:shd w:val="clear" w:color="000000" w:fill="FFFFFF"/>
            <w:vAlign w:val="center"/>
            <w:hideMark/>
          </w:tcPr>
          <w:p w14:paraId="3D2F7340" w14:textId="77777777" w:rsidR="009D6D4E" w:rsidRPr="00030958" w:rsidRDefault="009D6D4E" w:rsidP="00BF3B71">
            <w:pPr>
              <w:jc w:val="center"/>
              <w:rPr>
                <w:sz w:val="18"/>
                <w:szCs w:val="20"/>
                <w:lang w:val="en-US"/>
              </w:rPr>
            </w:pPr>
            <w:r w:rsidRPr="00030958">
              <w:rPr>
                <w:sz w:val="18"/>
                <w:szCs w:val="20"/>
                <w:lang w:val="en-US"/>
              </w:rPr>
              <w:t>2.9</w:t>
            </w:r>
          </w:p>
        </w:tc>
        <w:tc>
          <w:tcPr>
            <w:tcW w:w="326" w:type="pct"/>
            <w:tcBorders>
              <w:top w:val="nil"/>
              <w:left w:val="nil"/>
              <w:bottom w:val="dotted" w:sz="4" w:space="0" w:color="auto"/>
              <w:right w:val="dotted" w:sz="4" w:space="0" w:color="auto"/>
            </w:tcBorders>
            <w:shd w:val="clear" w:color="000000" w:fill="FFFFFF"/>
            <w:vAlign w:val="center"/>
            <w:hideMark/>
          </w:tcPr>
          <w:p w14:paraId="60653B76" w14:textId="77777777" w:rsidR="009D6D4E" w:rsidRPr="00030958" w:rsidRDefault="009D6D4E" w:rsidP="00BF3B71">
            <w:pPr>
              <w:jc w:val="center"/>
              <w:rPr>
                <w:sz w:val="18"/>
                <w:szCs w:val="20"/>
                <w:lang w:val="en-US"/>
              </w:rPr>
            </w:pPr>
            <w:r w:rsidRPr="00030958">
              <w:rPr>
                <w:sz w:val="18"/>
                <w:szCs w:val="20"/>
                <w:lang w:val="en-US"/>
              </w:rPr>
              <w:t>3.1</w:t>
            </w:r>
          </w:p>
        </w:tc>
        <w:tc>
          <w:tcPr>
            <w:tcW w:w="326" w:type="pct"/>
            <w:tcBorders>
              <w:top w:val="nil"/>
              <w:left w:val="nil"/>
              <w:bottom w:val="dotted" w:sz="4" w:space="0" w:color="auto"/>
              <w:right w:val="dotted" w:sz="4" w:space="0" w:color="auto"/>
            </w:tcBorders>
            <w:shd w:val="clear" w:color="000000" w:fill="FFFFFF"/>
            <w:vAlign w:val="center"/>
            <w:hideMark/>
          </w:tcPr>
          <w:p w14:paraId="26A6F636" w14:textId="77777777" w:rsidR="009D6D4E" w:rsidRPr="00030958" w:rsidRDefault="009D6D4E" w:rsidP="00BF3B71">
            <w:pPr>
              <w:jc w:val="center"/>
              <w:rPr>
                <w:sz w:val="18"/>
                <w:szCs w:val="20"/>
                <w:lang w:val="en-US"/>
              </w:rPr>
            </w:pPr>
            <w:r w:rsidRPr="00030958">
              <w:rPr>
                <w:sz w:val="18"/>
                <w:szCs w:val="20"/>
                <w:lang w:val="en-US"/>
              </w:rPr>
              <w:t>3.1</w:t>
            </w:r>
          </w:p>
        </w:tc>
        <w:tc>
          <w:tcPr>
            <w:tcW w:w="326" w:type="pct"/>
            <w:tcBorders>
              <w:top w:val="nil"/>
              <w:left w:val="nil"/>
              <w:bottom w:val="dotted" w:sz="4" w:space="0" w:color="auto"/>
              <w:right w:val="dotted" w:sz="4" w:space="0" w:color="auto"/>
            </w:tcBorders>
            <w:shd w:val="clear" w:color="000000" w:fill="FFFFFF"/>
            <w:vAlign w:val="center"/>
            <w:hideMark/>
          </w:tcPr>
          <w:p w14:paraId="6E402F02" w14:textId="77777777" w:rsidR="009D6D4E" w:rsidRPr="00030958" w:rsidRDefault="009D6D4E" w:rsidP="00BF3B71">
            <w:pPr>
              <w:jc w:val="center"/>
              <w:rPr>
                <w:sz w:val="18"/>
                <w:szCs w:val="20"/>
                <w:lang w:val="en-US"/>
              </w:rPr>
            </w:pPr>
            <w:r w:rsidRPr="00030958">
              <w:rPr>
                <w:sz w:val="18"/>
                <w:szCs w:val="20"/>
                <w:lang w:val="en-US"/>
              </w:rPr>
              <w:t>3.0</w:t>
            </w:r>
          </w:p>
        </w:tc>
        <w:tc>
          <w:tcPr>
            <w:tcW w:w="326" w:type="pct"/>
            <w:tcBorders>
              <w:top w:val="nil"/>
              <w:left w:val="nil"/>
              <w:bottom w:val="dotted" w:sz="4" w:space="0" w:color="auto"/>
              <w:right w:val="double" w:sz="6" w:space="0" w:color="auto"/>
            </w:tcBorders>
            <w:shd w:val="clear" w:color="000000" w:fill="FFFFFF"/>
            <w:vAlign w:val="center"/>
            <w:hideMark/>
          </w:tcPr>
          <w:p w14:paraId="2F58652D" w14:textId="77777777" w:rsidR="009D6D4E" w:rsidRPr="00030958" w:rsidRDefault="009D6D4E" w:rsidP="00BF3B71">
            <w:pPr>
              <w:jc w:val="center"/>
              <w:rPr>
                <w:sz w:val="18"/>
                <w:szCs w:val="20"/>
                <w:lang w:val="en-US"/>
              </w:rPr>
            </w:pPr>
            <w:r w:rsidRPr="00030958">
              <w:rPr>
                <w:sz w:val="18"/>
                <w:szCs w:val="20"/>
                <w:lang w:val="en-US"/>
              </w:rPr>
              <w:t>2.9</w:t>
            </w:r>
          </w:p>
        </w:tc>
      </w:tr>
      <w:tr w:rsidR="009D6D4E" w:rsidRPr="00030958" w14:paraId="24C887BB" w14:textId="77777777" w:rsidTr="00BF3B71">
        <w:trPr>
          <w:trHeight w:val="20"/>
        </w:trPr>
        <w:tc>
          <w:tcPr>
            <w:tcW w:w="2424" w:type="pct"/>
            <w:tcBorders>
              <w:top w:val="nil"/>
              <w:left w:val="double" w:sz="6" w:space="0" w:color="auto"/>
              <w:bottom w:val="dotted" w:sz="4" w:space="0" w:color="auto"/>
              <w:right w:val="nil"/>
            </w:tcBorders>
            <w:shd w:val="clear" w:color="000000" w:fill="FFFFFF"/>
            <w:vAlign w:val="center"/>
            <w:hideMark/>
          </w:tcPr>
          <w:p w14:paraId="20E068F6" w14:textId="77777777" w:rsidR="009D6D4E" w:rsidRPr="00030958" w:rsidRDefault="009D6D4E" w:rsidP="00BF3B71">
            <w:pPr>
              <w:rPr>
                <w:sz w:val="18"/>
                <w:szCs w:val="20"/>
                <w:lang w:val="en-US"/>
              </w:rPr>
            </w:pPr>
            <w:r w:rsidRPr="00030958">
              <w:rPr>
                <w:sz w:val="18"/>
                <w:szCs w:val="20"/>
                <w:lang w:val="en-US"/>
              </w:rPr>
              <w:t>16 = 6.Të Hyrat Totale</w:t>
            </w:r>
          </w:p>
        </w:tc>
        <w:tc>
          <w:tcPr>
            <w:tcW w:w="517" w:type="pct"/>
            <w:tcBorders>
              <w:top w:val="nil"/>
              <w:left w:val="single" w:sz="8" w:space="0" w:color="auto"/>
              <w:bottom w:val="dotted" w:sz="4" w:space="0" w:color="auto"/>
              <w:right w:val="single" w:sz="8" w:space="0" w:color="auto"/>
            </w:tcBorders>
            <w:shd w:val="clear" w:color="000000" w:fill="FFFFFF"/>
            <w:vAlign w:val="center"/>
            <w:hideMark/>
          </w:tcPr>
          <w:p w14:paraId="5C276355" w14:textId="77777777" w:rsidR="009D6D4E" w:rsidRPr="00030958" w:rsidRDefault="009D6D4E" w:rsidP="00BF3B71">
            <w:pPr>
              <w:jc w:val="center"/>
              <w:rPr>
                <w:sz w:val="18"/>
                <w:szCs w:val="20"/>
                <w:lang w:val="en-US"/>
              </w:rPr>
            </w:pPr>
            <w:r w:rsidRPr="00030958">
              <w:rPr>
                <w:sz w:val="18"/>
                <w:szCs w:val="20"/>
                <w:lang w:val="en-US"/>
              </w:rPr>
              <w:t>TR</w:t>
            </w:r>
          </w:p>
        </w:tc>
        <w:tc>
          <w:tcPr>
            <w:tcW w:w="429" w:type="pct"/>
            <w:tcBorders>
              <w:top w:val="nil"/>
              <w:left w:val="nil"/>
              <w:bottom w:val="dotted" w:sz="4" w:space="0" w:color="auto"/>
              <w:right w:val="single" w:sz="8" w:space="0" w:color="auto"/>
            </w:tcBorders>
            <w:shd w:val="clear" w:color="000000" w:fill="FFFFFF"/>
            <w:vAlign w:val="center"/>
            <w:hideMark/>
          </w:tcPr>
          <w:p w14:paraId="6E1A9608" w14:textId="77777777" w:rsidR="009D6D4E" w:rsidRPr="00030958" w:rsidRDefault="009D6D4E" w:rsidP="00BF3B71">
            <w:pPr>
              <w:jc w:val="center"/>
              <w:rPr>
                <w:sz w:val="18"/>
                <w:szCs w:val="20"/>
                <w:lang w:val="en-US"/>
              </w:rPr>
            </w:pPr>
            <w:r w:rsidRPr="00030958">
              <w:rPr>
                <w:sz w:val="18"/>
                <w:szCs w:val="20"/>
                <w:lang w:val="en-US"/>
              </w:rPr>
              <w:t>1,756.6</w:t>
            </w:r>
          </w:p>
        </w:tc>
        <w:tc>
          <w:tcPr>
            <w:tcW w:w="326" w:type="pct"/>
            <w:tcBorders>
              <w:top w:val="nil"/>
              <w:left w:val="nil"/>
              <w:bottom w:val="dotted" w:sz="4" w:space="0" w:color="auto"/>
              <w:right w:val="dotted" w:sz="4" w:space="0" w:color="auto"/>
            </w:tcBorders>
            <w:shd w:val="clear" w:color="000000" w:fill="FFFFFF"/>
            <w:vAlign w:val="center"/>
            <w:hideMark/>
          </w:tcPr>
          <w:p w14:paraId="0CFAAF2A" w14:textId="77777777" w:rsidR="009D6D4E" w:rsidRPr="00030958" w:rsidRDefault="009D6D4E" w:rsidP="00BF3B71">
            <w:pPr>
              <w:jc w:val="center"/>
              <w:rPr>
                <w:sz w:val="18"/>
                <w:szCs w:val="20"/>
                <w:lang w:val="en-US"/>
              </w:rPr>
            </w:pPr>
            <w:r w:rsidRPr="00030958">
              <w:rPr>
                <w:sz w:val="18"/>
                <w:szCs w:val="20"/>
                <w:lang w:val="en-US"/>
              </w:rPr>
              <w:t>26.1</w:t>
            </w:r>
          </w:p>
        </w:tc>
        <w:tc>
          <w:tcPr>
            <w:tcW w:w="326" w:type="pct"/>
            <w:tcBorders>
              <w:top w:val="nil"/>
              <w:left w:val="nil"/>
              <w:bottom w:val="dotted" w:sz="4" w:space="0" w:color="auto"/>
              <w:right w:val="dotted" w:sz="4" w:space="0" w:color="auto"/>
            </w:tcBorders>
            <w:shd w:val="clear" w:color="000000" w:fill="FFFFFF"/>
            <w:vAlign w:val="center"/>
            <w:hideMark/>
          </w:tcPr>
          <w:p w14:paraId="081E9449" w14:textId="77777777" w:rsidR="009D6D4E" w:rsidRPr="00030958" w:rsidRDefault="009D6D4E" w:rsidP="00BF3B71">
            <w:pPr>
              <w:jc w:val="center"/>
              <w:rPr>
                <w:sz w:val="18"/>
                <w:szCs w:val="20"/>
                <w:lang w:val="en-US"/>
              </w:rPr>
            </w:pPr>
            <w:r w:rsidRPr="00030958">
              <w:rPr>
                <w:sz w:val="18"/>
                <w:szCs w:val="20"/>
                <w:lang w:val="en-US"/>
              </w:rPr>
              <w:t>27.4</w:t>
            </w:r>
          </w:p>
        </w:tc>
        <w:tc>
          <w:tcPr>
            <w:tcW w:w="326" w:type="pct"/>
            <w:tcBorders>
              <w:top w:val="nil"/>
              <w:left w:val="nil"/>
              <w:bottom w:val="dotted" w:sz="4" w:space="0" w:color="auto"/>
              <w:right w:val="dotted" w:sz="4" w:space="0" w:color="auto"/>
            </w:tcBorders>
            <w:shd w:val="clear" w:color="000000" w:fill="FFFFFF"/>
            <w:vAlign w:val="center"/>
            <w:hideMark/>
          </w:tcPr>
          <w:p w14:paraId="182B6693" w14:textId="77777777" w:rsidR="009D6D4E" w:rsidRPr="00030958" w:rsidRDefault="009D6D4E" w:rsidP="00BF3B71">
            <w:pPr>
              <w:jc w:val="center"/>
              <w:rPr>
                <w:sz w:val="18"/>
                <w:szCs w:val="20"/>
                <w:lang w:val="en-US"/>
              </w:rPr>
            </w:pPr>
            <w:r w:rsidRPr="00030958">
              <w:rPr>
                <w:sz w:val="18"/>
                <w:szCs w:val="20"/>
                <w:lang w:val="en-US"/>
              </w:rPr>
              <w:t>27.2</w:t>
            </w:r>
          </w:p>
        </w:tc>
        <w:tc>
          <w:tcPr>
            <w:tcW w:w="326" w:type="pct"/>
            <w:tcBorders>
              <w:top w:val="nil"/>
              <w:left w:val="nil"/>
              <w:bottom w:val="dotted" w:sz="4" w:space="0" w:color="auto"/>
              <w:right w:val="dotted" w:sz="4" w:space="0" w:color="auto"/>
            </w:tcBorders>
            <w:shd w:val="clear" w:color="000000" w:fill="FFFFFF"/>
            <w:vAlign w:val="center"/>
            <w:hideMark/>
          </w:tcPr>
          <w:p w14:paraId="540AD5C4" w14:textId="77777777" w:rsidR="009D6D4E" w:rsidRPr="00030958" w:rsidRDefault="009D6D4E" w:rsidP="00BF3B71">
            <w:pPr>
              <w:jc w:val="center"/>
              <w:rPr>
                <w:sz w:val="18"/>
                <w:szCs w:val="20"/>
                <w:lang w:val="en-US"/>
              </w:rPr>
            </w:pPr>
            <w:r w:rsidRPr="00030958">
              <w:rPr>
                <w:sz w:val="18"/>
                <w:szCs w:val="20"/>
                <w:lang w:val="en-US"/>
              </w:rPr>
              <w:t>26.7</w:t>
            </w:r>
          </w:p>
        </w:tc>
        <w:tc>
          <w:tcPr>
            <w:tcW w:w="326" w:type="pct"/>
            <w:tcBorders>
              <w:top w:val="nil"/>
              <w:left w:val="nil"/>
              <w:bottom w:val="dotted" w:sz="4" w:space="0" w:color="auto"/>
              <w:right w:val="double" w:sz="6" w:space="0" w:color="auto"/>
            </w:tcBorders>
            <w:shd w:val="clear" w:color="000000" w:fill="FFFFFF"/>
            <w:vAlign w:val="center"/>
            <w:hideMark/>
          </w:tcPr>
          <w:p w14:paraId="3EB79B2B" w14:textId="77777777" w:rsidR="009D6D4E" w:rsidRPr="00030958" w:rsidRDefault="009D6D4E" w:rsidP="00BF3B71">
            <w:pPr>
              <w:jc w:val="center"/>
              <w:rPr>
                <w:sz w:val="18"/>
                <w:szCs w:val="20"/>
                <w:lang w:val="en-US"/>
              </w:rPr>
            </w:pPr>
            <w:r w:rsidRPr="00030958">
              <w:rPr>
                <w:sz w:val="18"/>
                <w:szCs w:val="20"/>
                <w:lang w:val="en-US"/>
              </w:rPr>
              <w:t>26.7</w:t>
            </w:r>
          </w:p>
        </w:tc>
      </w:tr>
      <w:tr w:rsidR="009D6D4E" w:rsidRPr="00030958" w14:paraId="6AFA8B54" w14:textId="77777777" w:rsidTr="00BF3B71">
        <w:trPr>
          <w:trHeight w:val="20"/>
        </w:trPr>
        <w:tc>
          <w:tcPr>
            <w:tcW w:w="2424" w:type="pct"/>
            <w:tcBorders>
              <w:top w:val="nil"/>
              <w:left w:val="double" w:sz="6" w:space="0" w:color="auto"/>
              <w:bottom w:val="single" w:sz="8" w:space="0" w:color="auto"/>
              <w:right w:val="nil"/>
            </w:tcBorders>
            <w:shd w:val="clear" w:color="auto" w:fill="auto"/>
            <w:noWrap/>
            <w:vAlign w:val="bottom"/>
            <w:hideMark/>
          </w:tcPr>
          <w:p w14:paraId="3C0BD2DF" w14:textId="77777777" w:rsidR="009D6D4E" w:rsidRPr="00030958" w:rsidRDefault="009D6D4E" w:rsidP="00BF3B71">
            <w:pPr>
              <w:rPr>
                <w:rFonts w:ascii="Arial" w:hAnsi="Arial" w:cs="Arial"/>
                <w:sz w:val="18"/>
                <w:szCs w:val="20"/>
                <w:lang w:val="en-US"/>
              </w:rPr>
            </w:pPr>
            <w:r w:rsidRPr="00030958">
              <w:rPr>
                <w:rFonts w:ascii="Arial" w:hAnsi="Arial" w:cs="Arial"/>
                <w:sz w:val="18"/>
                <w:szCs w:val="20"/>
                <w:lang w:val="en-US"/>
              </w:rPr>
              <w:t>p.m.: Barra Tatimore  (D2+D5+D61+D91-D995) [5]</w:t>
            </w:r>
          </w:p>
        </w:tc>
        <w:tc>
          <w:tcPr>
            <w:tcW w:w="517" w:type="pct"/>
            <w:tcBorders>
              <w:top w:val="nil"/>
              <w:left w:val="single" w:sz="8" w:space="0" w:color="auto"/>
              <w:bottom w:val="single" w:sz="8" w:space="0" w:color="000000"/>
              <w:right w:val="single" w:sz="8" w:space="0" w:color="auto"/>
            </w:tcBorders>
            <w:shd w:val="clear" w:color="000000" w:fill="FFFFFF"/>
            <w:vAlign w:val="center"/>
            <w:hideMark/>
          </w:tcPr>
          <w:p w14:paraId="2CA588DC" w14:textId="77777777" w:rsidR="009D6D4E" w:rsidRPr="00030958" w:rsidRDefault="009D6D4E" w:rsidP="00BF3B71">
            <w:pPr>
              <w:jc w:val="center"/>
              <w:rPr>
                <w:sz w:val="18"/>
                <w:szCs w:val="20"/>
                <w:lang w:val="en-US"/>
              </w:rPr>
            </w:pPr>
            <w:r w:rsidRPr="00030958">
              <w:rPr>
                <w:sz w:val="18"/>
                <w:szCs w:val="20"/>
                <w:lang w:val="en-US"/>
              </w:rPr>
              <w:t> </w:t>
            </w:r>
          </w:p>
        </w:tc>
        <w:tc>
          <w:tcPr>
            <w:tcW w:w="429" w:type="pct"/>
            <w:tcBorders>
              <w:top w:val="nil"/>
              <w:left w:val="nil"/>
              <w:bottom w:val="single" w:sz="8" w:space="0" w:color="auto"/>
              <w:right w:val="single" w:sz="8" w:space="0" w:color="auto"/>
            </w:tcBorders>
            <w:shd w:val="clear" w:color="000000" w:fill="FFFFFF"/>
            <w:vAlign w:val="center"/>
            <w:hideMark/>
          </w:tcPr>
          <w:p w14:paraId="65801D36" w14:textId="77777777" w:rsidR="009D6D4E" w:rsidRPr="00030958" w:rsidRDefault="009D6D4E" w:rsidP="00BF3B71">
            <w:pPr>
              <w:jc w:val="center"/>
              <w:rPr>
                <w:sz w:val="18"/>
                <w:szCs w:val="20"/>
                <w:lang w:val="en-US"/>
              </w:rPr>
            </w:pPr>
            <w:r w:rsidRPr="00030958">
              <w:rPr>
                <w:sz w:val="18"/>
                <w:szCs w:val="20"/>
                <w:lang w:val="en-US"/>
              </w:rPr>
              <w:t>1,563.8</w:t>
            </w:r>
          </w:p>
        </w:tc>
        <w:tc>
          <w:tcPr>
            <w:tcW w:w="326" w:type="pct"/>
            <w:tcBorders>
              <w:top w:val="nil"/>
              <w:left w:val="nil"/>
              <w:bottom w:val="single" w:sz="8" w:space="0" w:color="000000"/>
              <w:right w:val="dotted" w:sz="4" w:space="0" w:color="auto"/>
            </w:tcBorders>
            <w:shd w:val="clear" w:color="000000" w:fill="FFFFFF"/>
            <w:vAlign w:val="center"/>
            <w:hideMark/>
          </w:tcPr>
          <w:p w14:paraId="7EED90C8" w14:textId="77777777" w:rsidR="009D6D4E" w:rsidRPr="00030958" w:rsidRDefault="009D6D4E" w:rsidP="00BF3B71">
            <w:pPr>
              <w:jc w:val="center"/>
              <w:rPr>
                <w:sz w:val="18"/>
                <w:szCs w:val="20"/>
                <w:lang w:val="en-US"/>
              </w:rPr>
            </w:pPr>
            <w:r w:rsidRPr="00030958">
              <w:rPr>
                <w:sz w:val="18"/>
                <w:szCs w:val="20"/>
                <w:lang w:val="en-US"/>
              </w:rPr>
              <w:t>23.2</w:t>
            </w:r>
          </w:p>
        </w:tc>
        <w:tc>
          <w:tcPr>
            <w:tcW w:w="326" w:type="pct"/>
            <w:tcBorders>
              <w:top w:val="nil"/>
              <w:left w:val="nil"/>
              <w:bottom w:val="single" w:sz="8" w:space="0" w:color="000000"/>
              <w:right w:val="dotted" w:sz="4" w:space="0" w:color="auto"/>
            </w:tcBorders>
            <w:shd w:val="clear" w:color="000000" w:fill="FFFFFF"/>
            <w:vAlign w:val="center"/>
            <w:hideMark/>
          </w:tcPr>
          <w:p w14:paraId="7AD845A2" w14:textId="77777777" w:rsidR="009D6D4E" w:rsidRPr="00030958" w:rsidRDefault="009D6D4E" w:rsidP="00BF3B71">
            <w:pPr>
              <w:jc w:val="center"/>
              <w:rPr>
                <w:sz w:val="18"/>
                <w:szCs w:val="20"/>
                <w:lang w:val="en-US"/>
              </w:rPr>
            </w:pPr>
            <w:r w:rsidRPr="00030958">
              <w:rPr>
                <w:sz w:val="18"/>
                <w:szCs w:val="20"/>
                <w:lang w:val="en-US"/>
              </w:rPr>
              <w:t>24.3</w:t>
            </w:r>
          </w:p>
        </w:tc>
        <w:tc>
          <w:tcPr>
            <w:tcW w:w="326" w:type="pct"/>
            <w:tcBorders>
              <w:top w:val="nil"/>
              <w:left w:val="nil"/>
              <w:bottom w:val="single" w:sz="8" w:space="0" w:color="000000"/>
              <w:right w:val="dotted" w:sz="4" w:space="0" w:color="auto"/>
            </w:tcBorders>
            <w:shd w:val="clear" w:color="000000" w:fill="FFFFFF"/>
            <w:vAlign w:val="center"/>
            <w:hideMark/>
          </w:tcPr>
          <w:p w14:paraId="55F45727" w14:textId="77777777" w:rsidR="009D6D4E" w:rsidRPr="00030958" w:rsidRDefault="009D6D4E" w:rsidP="00BF3B71">
            <w:pPr>
              <w:jc w:val="center"/>
              <w:rPr>
                <w:sz w:val="18"/>
                <w:szCs w:val="20"/>
                <w:lang w:val="en-US"/>
              </w:rPr>
            </w:pPr>
            <w:r w:rsidRPr="00030958">
              <w:rPr>
                <w:sz w:val="18"/>
                <w:szCs w:val="20"/>
                <w:lang w:val="en-US"/>
              </w:rPr>
              <w:t>24.0</w:t>
            </w:r>
          </w:p>
        </w:tc>
        <w:tc>
          <w:tcPr>
            <w:tcW w:w="326" w:type="pct"/>
            <w:tcBorders>
              <w:top w:val="nil"/>
              <w:left w:val="nil"/>
              <w:bottom w:val="single" w:sz="8" w:space="0" w:color="000000"/>
              <w:right w:val="dotted" w:sz="4" w:space="0" w:color="auto"/>
            </w:tcBorders>
            <w:shd w:val="clear" w:color="000000" w:fill="FFFFFF"/>
            <w:vAlign w:val="center"/>
            <w:hideMark/>
          </w:tcPr>
          <w:p w14:paraId="19C06463" w14:textId="77777777" w:rsidR="009D6D4E" w:rsidRPr="00030958" w:rsidRDefault="009D6D4E" w:rsidP="00BF3B71">
            <w:pPr>
              <w:jc w:val="center"/>
              <w:rPr>
                <w:sz w:val="18"/>
                <w:szCs w:val="20"/>
                <w:lang w:val="en-US"/>
              </w:rPr>
            </w:pPr>
            <w:r w:rsidRPr="00030958">
              <w:rPr>
                <w:sz w:val="18"/>
                <w:szCs w:val="20"/>
                <w:lang w:val="en-US"/>
              </w:rPr>
              <w:t>23.7</w:t>
            </w:r>
          </w:p>
        </w:tc>
        <w:tc>
          <w:tcPr>
            <w:tcW w:w="326" w:type="pct"/>
            <w:tcBorders>
              <w:top w:val="nil"/>
              <w:left w:val="nil"/>
              <w:bottom w:val="single" w:sz="8" w:space="0" w:color="auto"/>
              <w:right w:val="double" w:sz="6" w:space="0" w:color="auto"/>
            </w:tcBorders>
            <w:shd w:val="clear" w:color="000000" w:fill="FFFFFF"/>
            <w:vAlign w:val="center"/>
            <w:hideMark/>
          </w:tcPr>
          <w:p w14:paraId="04D7EF0D" w14:textId="77777777" w:rsidR="009D6D4E" w:rsidRPr="00030958" w:rsidRDefault="009D6D4E" w:rsidP="00BF3B71">
            <w:pPr>
              <w:jc w:val="center"/>
              <w:rPr>
                <w:sz w:val="18"/>
                <w:szCs w:val="20"/>
                <w:lang w:val="en-US"/>
              </w:rPr>
            </w:pPr>
            <w:r w:rsidRPr="00030958">
              <w:rPr>
                <w:sz w:val="18"/>
                <w:szCs w:val="20"/>
                <w:lang w:val="en-US"/>
              </w:rPr>
              <w:t>23.8</w:t>
            </w:r>
          </w:p>
        </w:tc>
      </w:tr>
      <w:tr w:rsidR="009D6D4E" w:rsidRPr="00030958" w14:paraId="6A957674" w14:textId="77777777" w:rsidTr="00BF3B71">
        <w:trPr>
          <w:trHeight w:val="20"/>
        </w:trPr>
        <w:tc>
          <w:tcPr>
            <w:tcW w:w="5000" w:type="pct"/>
            <w:gridSpan w:val="8"/>
            <w:tcBorders>
              <w:top w:val="nil"/>
              <w:left w:val="double" w:sz="6" w:space="0" w:color="auto"/>
              <w:bottom w:val="single" w:sz="8" w:space="0" w:color="auto"/>
              <w:right w:val="double" w:sz="6" w:space="0" w:color="000000"/>
            </w:tcBorders>
            <w:shd w:val="clear" w:color="000000" w:fill="FFFFFF"/>
            <w:vAlign w:val="center"/>
            <w:hideMark/>
          </w:tcPr>
          <w:p w14:paraId="28C00BE7" w14:textId="77777777" w:rsidR="009D6D4E" w:rsidRPr="00FC648F" w:rsidRDefault="009D6D4E" w:rsidP="00BF3B71">
            <w:pPr>
              <w:jc w:val="center"/>
              <w:rPr>
                <w:b/>
                <w:bCs/>
                <w:sz w:val="18"/>
                <w:szCs w:val="20"/>
              </w:rPr>
            </w:pPr>
            <w:r w:rsidRPr="00FC648F">
              <w:rPr>
                <w:b/>
                <w:bCs/>
                <w:sz w:val="18"/>
                <w:szCs w:val="20"/>
              </w:rPr>
              <w:t>Komponentet e zgjedhura të shpenzimeve</w:t>
            </w:r>
          </w:p>
        </w:tc>
      </w:tr>
      <w:tr w:rsidR="009D6D4E" w:rsidRPr="00030958" w14:paraId="506CDE56" w14:textId="77777777" w:rsidTr="00BF3B71">
        <w:trPr>
          <w:trHeight w:val="20"/>
        </w:trPr>
        <w:tc>
          <w:tcPr>
            <w:tcW w:w="2424" w:type="pct"/>
            <w:tcBorders>
              <w:top w:val="nil"/>
              <w:left w:val="double" w:sz="6" w:space="0" w:color="auto"/>
              <w:bottom w:val="dotted" w:sz="4" w:space="0" w:color="auto"/>
              <w:right w:val="nil"/>
            </w:tcBorders>
            <w:shd w:val="clear" w:color="000000" w:fill="FFFFFF"/>
            <w:vAlign w:val="center"/>
            <w:hideMark/>
          </w:tcPr>
          <w:p w14:paraId="02EE42AB" w14:textId="77777777" w:rsidR="009D6D4E" w:rsidRPr="00030958" w:rsidRDefault="009D6D4E" w:rsidP="00BF3B71">
            <w:pPr>
              <w:rPr>
                <w:sz w:val="18"/>
                <w:szCs w:val="20"/>
                <w:lang w:val="en-US"/>
              </w:rPr>
            </w:pPr>
            <w:r w:rsidRPr="00030958">
              <w:rPr>
                <w:sz w:val="18"/>
                <w:szCs w:val="20"/>
                <w:lang w:val="en-US"/>
              </w:rPr>
              <w:t xml:space="preserve">16. Konsumi i Përgjithshëm </w:t>
            </w:r>
          </w:p>
        </w:tc>
        <w:tc>
          <w:tcPr>
            <w:tcW w:w="517" w:type="pct"/>
            <w:tcBorders>
              <w:top w:val="nil"/>
              <w:left w:val="single" w:sz="8" w:space="0" w:color="auto"/>
              <w:bottom w:val="dotted" w:sz="4" w:space="0" w:color="auto"/>
              <w:right w:val="single" w:sz="8" w:space="0" w:color="auto"/>
            </w:tcBorders>
            <w:shd w:val="clear" w:color="000000" w:fill="FFFFFF"/>
            <w:vAlign w:val="center"/>
            <w:hideMark/>
          </w:tcPr>
          <w:p w14:paraId="09805DA3" w14:textId="77777777" w:rsidR="009D6D4E" w:rsidRPr="00030958" w:rsidRDefault="009D6D4E" w:rsidP="00BF3B71">
            <w:pPr>
              <w:jc w:val="center"/>
              <w:rPr>
                <w:sz w:val="18"/>
                <w:szCs w:val="20"/>
                <w:lang w:val="en-US"/>
              </w:rPr>
            </w:pPr>
            <w:r w:rsidRPr="00030958">
              <w:rPr>
                <w:sz w:val="18"/>
                <w:szCs w:val="20"/>
                <w:lang w:val="en-US"/>
              </w:rPr>
              <w:t>P32</w:t>
            </w:r>
          </w:p>
        </w:tc>
        <w:tc>
          <w:tcPr>
            <w:tcW w:w="429" w:type="pct"/>
            <w:tcBorders>
              <w:top w:val="nil"/>
              <w:left w:val="nil"/>
              <w:bottom w:val="dotted" w:sz="4" w:space="0" w:color="auto"/>
              <w:right w:val="single" w:sz="8" w:space="0" w:color="auto"/>
            </w:tcBorders>
            <w:shd w:val="clear" w:color="000000" w:fill="FFFFFF"/>
            <w:vAlign w:val="center"/>
            <w:hideMark/>
          </w:tcPr>
          <w:p w14:paraId="1C94DC95" w14:textId="77777777" w:rsidR="009D6D4E" w:rsidRPr="00030958" w:rsidRDefault="009D6D4E" w:rsidP="00BF3B71">
            <w:pPr>
              <w:jc w:val="center"/>
              <w:rPr>
                <w:sz w:val="18"/>
                <w:szCs w:val="20"/>
                <w:lang w:val="en-US"/>
              </w:rPr>
            </w:pPr>
            <w:r w:rsidRPr="00030958">
              <w:rPr>
                <w:sz w:val="18"/>
                <w:szCs w:val="20"/>
                <w:lang w:val="en-US"/>
              </w:rPr>
              <w:t>845.1</w:t>
            </w:r>
          </w:p>
        </w:tc>
        <w:tc>
          <w:tcPr>
            <w:tcW w:w="326" w:type="pct"/>
            <w:tcBorders>
              <w:top w:val="nil"/>
              <w:left w:val="nil"/>
              <w:bottom w:val="dotted" w:sz="4" w:space="0" w:color="auto"/>
              <w:right w:val="dotted" w:sz="4" w:space="0" w:color="auto"/>
            </w:tcBorders>
            <w:shd w:val="clear" w:color="000000" w:fill="FFFFFF"/>
            <w:vAlign w:val="center"/>
            <w:hideMark/>
          </w:tcPr>
          <w:p w14:paraId="15DF0A9A" w14:textId="77777777" w:rsidR="009D6D4E" w:rsidRPr="00030958" w:rsidRDefault="009D6D4E" w:rsidP="00BF3B71">
            <w:pPr>
              <w:jc w:val="center"/>
              <w:rPr>
                <w:sz w:val="18"/>
                <w:szCs w:val="20"/>
                <w:lang w:val="en-US"/>
              </w:rPr>
            </w:pPr>
            <w:r w:rsidRPr="00030958">
              <w:rPr>
                <w:sz w:val="18"/>
                <w:szCs w:val="20"/>
                <w:lang w:val="en-US"/>
              </w:rPr>
              <w:t>12.6</w:t>
            </w:r>
          </w:p>
        </w:tc>
        <w:tc>
          <w:tcPr>
            <w:tcW w:w="326" w:type="pct"/>
            <w:tcBorders>
              <w:top w:val="nil"/>
              <w:left w:val="nil"/>
              <w:bottom w:val="dotted" w:sz="4" w:space="0" w:color="auto"/>
              <w:right w:val="dotted" w:sz="4" w:space="0" w:color="auto"/>
            </w:tcBorders>
            <w:shd w:val="clear" w:color="000000" w:fill="FFFFFF"/>
            <w:vAlign w:val="center"/>
            <w:hideMark/>
          </w:tcPr>
          <w:p w14:paraId="28A66F4E" w14:textId="77777777" w:rsidR="009D6D4E" w:rsidRPr="00030958" w:rsidRDefault="009D6D4E" w:rsidP="00BF3B71">
            <w:pPr>
              <w:jc w:val="center"/>
              <w:rPr>
                <w:sz w:val="18"/>
                <w:szCs w:val="20"/>
                <w:lang w:val="en-US"/>
              </w:rPr>
            </w:pPr>
            <w:r w:rsidRPr="00030958">
              <w:rPr>
                <w:sz w:val="18"/>
                <w:szCs w:val="20"/>
                <w:lang w:val="en-US"/>
              </w:rPr>
              <w:t>13.4</w:t>
            </w:r>
          </w:p>
        </w:tc>
        <w:tc>
          <w:tcPr>
            <w:tcW w:w="326" w:type="pct"/>
            <w:tcBorders>
              <w:top w:val="nil"/>
              <w:left w:val="nil"/>
              <w:bottom w:val="dotted" w:sz="4" w:space="0" w:color="auto"/>
              <w:right w:val="dotted" w:sz="4" w:space="0" w:color="auto"/>
            </w:tcBorders>
            <w:shd w:val="clear" w:color="000000" w:fill="FFFFFF"/>
            <w:vAlign w:val="center"/>
            <w:hideMark/>
          </w:tcPr>
          <w:p w14:paraId="1408CBC2" w14:textId="77777777" w:rsidR="009D6D4E" w:rsidRPr="00030958" w:rsidRDefault="009D6D4E" w:rsidP="00BF3B71">
            <w:pPr>
              <w:jc w:val="center"/>
              <w:rPr>
                <w:sz w:val="18"/>
                <w:szCs w:val="20"/>
                <w:lang w:val="en-US"/>
              </w:rPr>
            </w:pPr>
            <w:r w:rsidRPr="00030958">
              <w:rPr>
                <w:sz w:val="18"/>
                <w:szCs w:val="20"/>
                <w:lang w:val="en-US"/>
              </w:rPr>
              <w:t>13.4</w:t>
            </w:r>
          </w:p>
        </w:tc>
        <w:tc>
          <w:tcPr>
            <w:tcW w:w="326" w:type="pct"/>
            <w:tcBorders>
              <w:top w:val="nil"/>
              <w:left w:val="nil"/>
              <w:bottom w:val="dotted" w:sz="4" w:space="0" w:color="auto"/>
              <w:right w:val="dotted" w:sz="4" w:space="0" w:color="auto"/>
            </w:tcBorders>
            <w:shd w:val="clear" w:color="000000" w:fill="FFFFFF"/>
            <w:vAlign w:val="center"/>
            <w:hideMark/>
          </w:tcPr>
          <w:p w14:paraId="307D8717" w14:textId="77777777" w:rsidR="009D6D4E" w:rsidRPr="00030958" w:rsidRDefault="009D6D4E" w:rsidP="00BF3B71">
            <w:pPr>
              <w:jc w:val="center"/>
              <w:rPr>
                <w:sz w:val="18"/>
                <w:szCs w:val="20"/>
                <w:lang w:val="en-US"/>
              </w:rPr>
            </w:pPr>
            <w:r w:rsidRPr="00030958">
              <w:rPr>
                <w:sz w:val="18"/>
                <w:szCs w:val="20"/>
                <w:lang w:val="en-US"/>
              </w:rPr>
              <w:t>13.2</w:t>
            </w:r>
          </w:p>
        </w:tc>
        <w:tc>
          <w:tcPr>
            <w:tcW w:w="326" w:type="pct"/>
            <w:tcBorders>
              <w:top w:val="nil"/>
              <w:left w:val="nil"/>
              <w:bottom w:val="dotted" w:sz="4" w:space="0" w:color="auto"/>
              <w:right w:val="double" w:sz="6" w:space="0" w:color="auto"/>
            </w:tcBorders>
            <w:shd w:val="clear" w:color="000000" w:fill="FFFFFF"/>
            <w:vAlign w:val="center"/>
            <w:hideMark/>
          </w:tcPr>
          <w:p w14:paraId="5AB442A0" w14:textId="77777777" w:rsidR="009D6D4E" w:rsidRPr="00030958" w:rsidRDefault="009D6D4E" w:rsidP="00BF3B71">
            <w:pPr>
              <w:jc w:val="center"/>
              <w:rPr>
                <w:sz w:val="18"/>
                <w:szCs w:val="20"/>
                <w:lang w:val="en-US"/>
              </w:rPr>
            </w:pPr>
            <w:r w:rsidRPr="00030958">
              <w:rPr>
                <w:sz w:val="18"/>
                <w:szCs w:val="20"/>
                <w:lang w:val="en-US"/>
              </w:rPr>
              <w:t>13.0</w:t>
            </w:r>
          </w:p>
        </w:tc>
      </w:tr>
      <w:tr w:rsidR="009D6D4E" w:rsidRPr="00030958" w14:paraId="71CD2451" w14:textId="77777777" w:rsidTr="00BF3B71">
        <w:trPr>
          <w:trHeight w:val="20"/>
        </w:trPr>
        <w:tc>
          <w:tcPr>
            <w:tcW w:w="2424" w:type="pct"/>
            <w:tcBorders>
              <w:top w:val="nil"/>
              <w:left w:val="double" w:sz="6" w:space="0" w:color="auto"/>
              <w:bottom w:val="dotted" w:sz="4" w:space="0" w:color="auto"/>
              <w:right w:val="nil"/>
            </w:tcBorders>
            <w:shd w:val="clear" w:color="000000" w:fill="FFFFFF"/>
            <w:vAlign w:val="center"/>
            <w:hideMark/>
          </w:tcPr>
          <w:p w14:paraId="7B9A621B" w14:textId="77777777" w:rsidR="009D6D4E" w:rsidRPr="00030958" w:rsidRDefault="009D6D4E" w:rsidP="00BF3B71">
            <w:pPr>
              <w:rPr>
                <w:sz w:val="18"/>
                <w:szCs w:val="20"/>
                <w:lang w:val="en-US"/>
              </w:rPr>
            </w:pPr>
            <w:r w:rsidRPr="00030958">
              <w:rPr>
                <w:sz w:val="18"/>
                <w:szCs w:val="20"/>
                <w:lang w:val="en-US"/>
              </w:rPr>
              <w:t>17. Totali i Transfereve Sociale</w:t>
            </w:r>
          </w:p>
        </w:tc>
        <w:tc>
          <w:tcPr>
            <w:tcW w:w="517" w:type="pct"/>
            <w:tcBorders>
              <w:top w:val="nil"/>
              <w:left w:val="single" w:sz="8" w:space="0" w:color="auto"/>
              <w:bottom w:val="dotted" w:sz="4" w:space="0" w:color="auto"/>
              <w:right w:val="single" w:sz="8" w:space="0" w:color="auto"/>
            </w:tcBorders>
            <w:shd w:val="clear" w:color="000000" w:fill="FFFFFF"/>
            <w:vAlign w:val="center"/>
            <w:hideMark/>
          </w:tcPr>
          <w:p w14:paraId="6CB28FFB" w14:textId="77777777" w:rsidR="009D6D4E" w:rsidRPr="00030958" w:rsidRDefault="009D6D4E" w:rsidP="00BF3B71">
            <w:pPr>
              <w:jc w:val="center"/>
              <w:rPr>
                <w:sz w:val="18"/>
                <w:szCs w:val="20"/>
                <w:lang w:val="en-US"/>
              </w:rPr>
            </w:pPr>
            <w:r w:rsidRPr="00030958">
              <w:rPr>
                <w:sz w:val="18"/>
                <w:szCs w:val="20"/>
                <w:lang w:val="en-US"/>
              </w:rPr>
              <w:t>D62 + D63</w:t>
            </w:r>
          </w:p>
        </w:tc>
        <w:tc>
          <w:tcPr>
            <w:tcW w:w="429" w:type="pct"/>
            <w:tcBorders>
              <w:top w:val="nil"/>
              <w:left w:val="nil"/>
              <w:bottom w:val="dotted" w:sz="4" w:space="0" w:color="auto"/>
              <w:right w:val="single" w:sz="8" w:space="0" w:color="auto"/>
            </w:tcBorders>
            <w:shd w:val="clear" w:color="000000" w:fill="FFFFFF"/>
            <w:vAlign w:val="center"/>
            <w:hideMark/>
          </w:tcPr>
          <w:p w14:paraId="194A78DC" w14:textId="77777777" w:rsidR="009D6D4E" w:rsidRPr="00030958" w:rsidRDefault="009D6D4E" w:rsidP="00BF3B71">
            <w:pPr>
              <w:jc w:val="center"/>
              <w:rPr>
                <w:sz w:val="18"/>
                <w:szCs w:val="20"/>
                <w:lang w:val="en-US"/>
              </w:rPr>
            </w:pPr>
            <w:r w:rsidRPr="00030958">
              <w:rPr>
                <w:sz w:val="18"/>
                <w:szCs w:val="20"/>
                <w:lang w:val="en-US"/>
              </w:rPr>
              <w:t>558.8</w:t>
            </w:r>
          </w:p>
        </w:tc>
        <w:tc>
          <w:tcPr>
            <w:tcW w:w="326" w:type="pct"/>
            <w:tcBorders>
              <w:top w:val="nil"/>
              <w:left w:val="nil"/>
              <w:bottom w:val="dotted" w:sz="4" w:space="0" w:color="auto"/>
              <w:right w:val="dotted" w:sz="4" w:space="0" w:color="auto"/>
            </w:tcBorders>
            <w:shd w:val="clear" w:color="000000" w:fill="FFFFFF"/>
            <w:vAlign w:val="center"/>
            <w:hideMark/>
          </w:tcPr>
          <w:p w14:paraId="590B6052" w14:textId="77777777" w:rsidR="009D6D4E" w:rsidRPr="00030958" w:rsidRDefault="009D6D4E" w:rsidP="00BF3B71">
            <w:pPr>
              <w:jc w:val="center"/>
              <w:rPr>
                <w:sz w:val="18"/>
                <w:szCs w:val="20"/>
                <w:lang w:val="en-US"/>
              </w:rPr>
            </w:pPr>
            <w:r w:rsidRPr="00030958">
              <w:rPr>
                <w:sz w:val="18"/>
                <w:szCs w:val="20"/>
                <w:lang w:val="en-US"/>
              </w:rPr>
              <w:t>8.3</w:t>
            </w:r>
          </w:p>
        </w:tc>
        <w:tc>
          <w:tcPr>
            <w:tcW w:w="326" w:type="pct"/>
            <w:tcBorders>
              <w:top w:val="nil"/>
              <w:left w:val="nil"/>
              <w:bottom w:val="dotted" w:sz="4" w:space="0" w:color="auto"/>
              <w:right w:val="dotted" w:sz="4" w:space="0" w:color="auto"/>
            </w:tcBorders>
            <w:shd w:val="clear" w:color="000000" w:fill="FFFFFF"/>
            <w:vAlign w:val="center"/>
            <w:hideMark/>
          </w:tcPr>
          <w:p w14:paraId="247AFFCF" w14:textId="77777777" w:rsidR="009D6D4E" w:rsidRPr="00030958" w:rsidRDefault="009D6D4E" w:rsidP="00BF3B71">
            <w:pPr>
              <w:jc w:val="center"/>
              <w:rPr>
                <w:sz w:val="18"/>
                <w:szCs w:val="20"/>
                <w:lang w:val="en-US"/>
              </w:rPr>
            </w:pPr>
            <w:r w:rsidRPr="00030958">
              <w:rPr>
                <w:sz w:val="18"/>
                <w:szCs w:val="20"/>
                <w:lang w:val="en-US"/>
              </w:rPr>
              <w:t>8.4</w:t>
            </w:r>
          </w:p>
        </w:tc>
        <w:tc>
          <w:tcPr>
            <w:tcW w:w="326" w:type="pct"/>
            <w:tcBorders>
              <w:top w:val="nil"/>
              <w:left w:val="nil"/>
              <w:bottom w:val="dotted" w:sz="4" w:space="0" w:color="auto"/>
              <w:right w:val="dotted" w:sz="4" w:space="0" w:color="auto"/>
            </w:tcBorders>
            <w:shd w:val="clear" w:color="000000" w:fill="FFFFFF"/>
            <w:vAlign w:val="center"/>
            <w:hideMark/>
          </w:tcPr>
          <w:p w14:paraId="1DB46FC2" w14:textId="77777777" w:rsidR="009D6D4E" w:rsidRPr="00030958" w:rsidRDefault="009D6D4E" w:rsidP="00BF3B71">
            <w:pPr>
              <w:jc w:val="center"/>
              <w:rPr>
                <w:sz w:val="18"/>
                <w:szCs w:val="20"/>
                <w:lang w:val="en-US"/>
              </w:rPr>
            </w:pPr>
            <w:r w:rsidRPr="00030958">
              <w:rPr>
                <w:sz w:val="18"/>
                <w:szCs w:val="20"/>
                <w:lang w:val="en-US"/>
              </w:rPr>
              <w:t>8.4</w:t>
            </w:r>
          </w:p>
        </w:tc>
        <w:tc>
          <w:tcPr>
            <w:tcW w:w="326" w:type="pct"/>
            <w:tcBorders>
              <w:top w:val="nil"/>
              <w:left w:val="nil"/>
              <w:bottom w:val="dotted" w:sz="4" w:space="0" w:color="auto"/>
              <w:right w:val="dotted" w:sz="4" w:space="0" w:color="auto"/>
            </w:tcBorders>
            <w:shd w:val="clear" w:color="000000" w:fill="FFFFFF"/>
            <w:vAlign w:val="center"/>
            <w:hideMark/>
          </w:tcPr>
          <w:p w14:paraId="2E302ADD" w14:textId="77777777" w:rsidR="009D6D4E" w:rsidRPr="00030958" w:rsidRDefault="009D6D4E" w:rsidP="00BF3B71">
            <w:pPr>
              <w:jc w:val="center"/>
              <w:rPr>
                <w:sz w:val="18"/>
                <w:szCs w:val="20"/>
                <w:lang w:val="en-US"/>
              </w:rPr>
            </w:pPr>
            <w:r w:rsidRPr="00030958">
              <w:rPr>
                <w:sz w:val="18"/>
                <w:szCs w:val="20"/>
                <w:lang w:val="en-US"/>
              </w:rPr>
              <w:t>7.9</w:t>
            </w:r>
          </w:p>
        </w:tc>
        <w:tc>
          <w:tcPr>
            <w:tcW w:w="326" w:type="pct"/>
            <w:tcBorders>
              <w:top w:val="nil"/>
              <w:left w:val="nil"/>
              <w:bottom w:val="dotted" w:sz="4" w:space="0" w:color="auto"/>
              <w:right w:val="double" w:sz="6" w:space="0" w:color="auto"/>
            </w:tcBorders>
            <w:shd w:val="clear" w:color="000000" w:fill="FFFFFF"/>
            <w:vAlign w:val="center"/>
            <w:hideMark/>
          </w:tcPr>
          <w:p w14:paraId="08E91B68" w14:textId="77777777" w:rsidR="009D6D4E" w:rsidRPr="00030958" w:rsidRDefault="009D6D4E" w:rsidP="00BF3B71">
            <w:pPr>
              <w:jc w:val="center"/>
              <w:rPr>
                <w:sz w:val="18"/>
                <w:szCs w:val="20"/>
                <w:lang w:val="en-US"/>
              </w:rPr>
            </w:pPr>
            <w:r w:rsidRPr="00030958">
              <w:rPr>
                <w:sz w:val="18"/>
                <w:szCs w:val="20"/>
                <w:lang w:val="en-US"/>
              </w:rPr>
              <w:t>7.6</w:t>
            </w:r>
          </w:p>
        </w:tc>
      </w:tr>
      <w:tr w:rsidR="009D6D4E" w:rsidRPr="00030958" w14:paraId="07BBE4BF" w14:textId="77777777" w:rsidTr="00BF3B71">
        <w:trPr>
          <w:trHeight w:val="20"/>
        </w:trPr>
        <w:tc>
          <w:tcPr>
            <w:tcW w:w="2424" w:type="pct"/>
            <w:tcBorders>
              <w:top w:val="nil"/>
              <w:left w:val="double" w:sz="6" w:space="0" w:color="auto"/>
              <w:bottom w:val="dotted" w:sz="4" w:space="0" w:color="auto"/>
              <w:right w:val="nil"/>
            </w:tcBorders>
            <w:shd w:val="clear" w:color="000000" w:fill="FFFFFF"/>
            <w:vAlign w:val="center"/>
            <w:hideMark/>
          </w:tcPr>
          <w:p w14:paraId="65F738D3" w14:textId="77777777" w:rsidR="009D6D4E" w:rsidRPr="00030958" w:rsidRDefault="009D6D4E" w:rsidP="00BF3B71">
            <w:pPr>
              <w:rPr>
                <w:sz w:val="18"/>
                <w:szCs w:val="20"/>
                <w:lang w:val="en-US"/>
              </w:rPr>
            </w:pPr>
            <w:r w:rsidRPr="00030958">
              <w:rPr>
                <w:sz w:val="18"/>
                <w:szCs w:val="20"/>
                <w:lang w:val="en-US"/>
              </w:rPr>
              <w:t xml:space="preserve">17a. Transferet Sociale në Mallra </w:t>
            </w:r>
          </w:p>
        </w:tc>
        <w:tc>
          <w:tcPr>
            <w:tcW w:w="517" w:type="pct"/>
            <w:tcBorders>
              <w:top w:val="nil"/>
              <w:left w:val="single" w:sz="8" w:space="0" w:color="auto"/>
              <w:bottom w:val="dotted" w:sz="4" w:space="0" w:color="auto"/>
              <w:right w:val="single" w:sz="8" w:space="0" w:color="auto"/>
            </w:tcBorders>
            <w:shd w:val="clear" w:color="000000" w:fill="FFFFFF"/>
            <w:vAlign w:val="center"/>
            <w:hideMark/>
          </w:tcPr>
          <w:p w14:paraId="584BEB2A" w14:textId="77777777" w:rsidR="009D6D4E" w:rsidRPr="00030958" w:rsidRDefault="009D6D4E" w:rsidP="00BF3B71">
            <w:pPr>
              <w:jc w:val="center"/>
              <w:rPr>
                <w:sz w:val="18"/>
                <w:szCs w:val="20"/>
                <w:lang w:val="en-US"/>
              </w:rPr>
            </w:pPr>
            <w:r w:rsidRPr="00030958">
              <w:rPr>
                <w:sz w:val="18"/>
                <w:szCs w:val="20"/>
                <w:lang w:val="en-US"/>
              </w:rPr>
              <w:t>P31 = D63</w:t>
            </w:r>
          </w:p>
        </w:tc>
        <w:tc>
          <w:tcPr>
            <w:tcW w:w="429" w:type="pct"/>
            <w:tcBorders>
              <w:top w:val="nil"/>
              <w:left w:val="nil"/>
              <w:bottom w:val="dotted" w:sz="4" w:space="0" w:color="auto"/>
              <w:right w:val="single" w:sz="8" w:space="0" w:color="auto"/>
            </w:tcBorders>
            <w:shd w:val="clear" w:color="000000" w:fill="FFFFFF"/>
            <w:vAlign w:val="center"/>
            <w:hideMark/>
          </w:tcPr>
          <w:p w14:paraId="73899567"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dotted" w:sz="4" w:space="0" w:color="auto"/>
              <w:right w:val="dotted" w:sz="4" w:space="0" w:color="auto"/>
            </w:tcBorders>
            <w:shd w:val="clear" w:color="000000" w:fill="FFFFFF"/>
            <w:vAlign w:val="center"/>
            <w:hideMark/>
          </w:tcPr>
          <w:p w14:paraId="003586E2"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dotted" w:sz="4" w:space="0" w:color="auto"/>
              <w:right w:val="dotted" w:sz="4" w:space="0" w:color="auto"/>
            </w:tcBorders>
            <w:shd w:val="clear" w:color="000000" w:fill="FFFFFF"/>
            <w:vAlign w:val="center"/>
            <w:hideMark/>
          </w:tcPr>
          <w:p w14:paraId="20844653"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dotted" w:sz="4" w:space="0" w:color="auto"/>
              <w:right w:val="dotted" w:sz="4" w:space="0" w:color="auto"/>
            </w:tcBorders>
            <w:shd w:val="clear" w:color="000000" w:fill="FFFFFF"/>
            <w:vAlign w:val="center"/>
            <w:hideMark/>
          </w:tcPr>
          <w:p w14:paraId="0D8A96CE"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dotted" w:sz="4" w:space="0" w:color="auto"/>
              <w:right w:val="dotted" w:sz="4" w:space="0" w:color="auto"/>
            </w:tcBorders>
            <w:shd w:val="clear" w:color="000000" w:fill="FFFFFF"/>
            <w:vAlign w:val="center"/>
            <w:hideMark/>
          </w:tcPr>
          <w:p w14:paraId="18C804A0"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dotted" w:sz="4" w:space="0" w:color="auto"/>
              <w:right w:val="double" w:sz="6" w:space="0" w:color="auto"/>
            </w:tcBorders>
            <w:shd w:val="clear" w:color="000000" w:fill="FFFFFF"/>
            <w:vAlign w:val="center"/>
            <w:hideMark/>
          </w:tcPr>
          <w:p w14:paraId="4C6632E9" w14:textId="77777777" w:rsidR="009D6D4E" w:rsidRPr="00030958" w:rsidRDefault="009D6D4E" w:rsidP="00BF3B71">
            <w:pPr>
              <w:jc w:val="center"/>
              <w:rPr>
                <w:sz w:val="18"/>
                <w:szCs w:val="20"/>
                <w:lang w:val="en-US"/>
              </w:rPr>
            </w:pPr>
            <w:r w:rsidRPr="00030958">
              <w:rPr>
                <w:sz w:val="18"/>
                <w:szCs w:val="20"/>
                <w:lang w:val="en-US"/>
              </w:rPr>
              <w:t>:</w:t>
            </w:r>
          </w:p>
        </w:tc>
      </w:tr>
      <w:tr w:rsidR="009D6D4E" w:rsidRPr="00030958" w14:paraId="170B7B35" w14:textId="77777777" w:rsidTr="00BF3B71">
        <w:trPr>
          <w:trHeight w:val="20"/>
        </w:trPr>
        <w:tc>
          <w:tcPr>
            <w:tcW w:w="2424" w:type="pct"/>
            <w:tcBorders>
              <w:top w:val="nil"/>
              <w:left w:val="double" w:sz="6" w:space="0" w:color="auto"/>
              <w:bottom w:val="dotted" w:sz="4" w:space="0" w:color="auto"/>
              <w:right w:val="nil"/>
            </w:tcBorders>
            <w:shd w:val="clear" w:color="000000" w:fill="FFFFFF"/>
            <w:vAlign w:val="center"/>
            <w:hideMark/>
          </w:tcPr>
          <w:p w14:paraId="4E432D88" w14:textId="77777777" w:rsidR="009D6D4E" w:rsidRPr="00030958" w:rsidRDefault="009D6D4E" w:rsidP="00BF3B71">
            <w:pPr>
              <w:rPr>
                <w:sz w:val="18"/>
                <w:szCs w:val="20"/>
                <w:lang w:val="en-US"/>
              </w:rPr>
            </w:pPr>
            <w:r w:rsidRPr="00030958">
              <w:rPr>
                <w:sz w:val="18"/>
                <w:szCs w:val="20"/>
                <w:lang w:val="en-US"/>
              </w:rPr>
              <w:t>17b. Transferet Sociale përveç në Mallra/2</w:t>
            </w:r>
          </w:p>
        </w:tc>
        <w:tc>
          <w:tcPr>
            <w:tcW w:w="517" w:type="pct"/>
            <w:tcBorders>
              <w:top w:val="nil"/>
              <w:left w:val="single" w:sz="8" w:space="0" w:color="auto"/>
              <w:bottom w:val="dotted" w:sz="4" w:space="0" w:color="auto"/>
              <w:right w:val="single" w:sz="8" w:space="0" w:color="auto"/>
            </w:tcBorders>
            <w:shd w:val="clear" w:color="000000" w:fill="FFFFFF"/>
            <w:vAlign w:val="center"/>
            <w:hideMark/>
          </w:tcPr>
          <w:p w14:paraId="02369273" w14:textId="77777777" w:rsidR="009D6D4E" w:rsidRPr="00030958" w:rsidRDefault="009D6D4E" w:rsidP="00BF3B71">
            <w:pPr>
              <w:jc w:val="center"/>
              <w:rPr>
                <w:sz w:val="18"/>
                <w:szCs w:val="20"/>
                <w:lang w:val="en-US"/>
              </w:rPr>
            </w:pPr>
            <w:r w:rsidRPr="00030958">
              <w:rPr>
                <w:sz w:val="18"/>
                <w:szCs w:val="20"/>
                <w:lang w:val="en-US"/>
              </w:rPr>
              <w:t>D62</w:t>
            </w:r>
          </w:p>
        </w:tc>
        <w:tc>
          <w:tcPr>
            <w:tcW w:w="429" w:type="pct"/>
            <w:tcBorders>
              <w:top w:val="nil"/>
              <w:left w:val="nil"/>
              <w:bottom w:val="dotted" w:sz="4" w:space="0" w:color="auto"/>
              <w:right w:val="single" w:sz="8" w:space="0" w:color="auto"/>
            </w:tcBorders>
            <w:shd w:val="clear" w:color="000000" w:fill="FFFFFF"/>
            <w:vAlign w:val="center"/>
            <w:hideMark/>
          </w:tcPr>
          <w:p w14:paraId="029D09AB" w14:textId="77777777" w:rsidR="009D6D4E" w:rsidRPr="00030958" w:rsidRDefault="009D6D4E" w:rsidP="00BF3B71">
            <w:pPr>
              <w:jc w:val="center"/>
              <w:rPr>
                <w:sz w:val="18"/>
                <w:szCs w:val="20"/>
                <w:lang w:val="en-US"/>
              </w:rPr>
            </w:pPr>
            <w:r w:rsidRPr="00030958">
              <w:rPr>
                <w:sz w:val="18"/>
                <w:szCs w:val="20"/>
                <w:lang w:val="en-US"/>
              </w:rPr>
              <w:t>558.8</w:t>
            </w:r>
          </w:p>
        </w:tc>
        <w:tc>
          <w:tcPr>
            <w:tcW w:w="326" w:type="pct"/>
            <w:tcBorders>
              <w:top w:val="nil"/>
              <w:left w:val="nil"/>
              <w:bottom w:val="dotted" w:sz="4" w:space="0" w:color="auto"/>
              <w:right w:val="dotted" w:sz="4" w:space="0" w:color="auto"/>
            </w:tcBorders>
            <w:shd w:val="clear" w:color="000000" w:fill="FFFFFF"/>
            <w:vAlign w:val="center"/>
            <w:hideMark/>
          </w:tcPr>
          <w:p w14:paraId="5D8887F7" w14:textId="77777777" w:rsidR="009D6D4E" w:rsidRPr="00030958" w:rsidRDefault="009D6D4E" w:rsidP="00BF3B71">
            <w:pPr>
              <w:jc w:val="center"/>
              <w:rPr>
                <w:sz w:val="18"/>
                <w:szCs w:val="20"/>
                <w:lang w:val="en-US"/>
              </w:rPr>
            </w:pPr>
            <w:r w:rsidRPr="00030958">
              <w:rPr>
                <w:sz w:val="18"/>
                <w:szCs w:val="20"/>
                <w:lang w:val="en-US"/>
              </w:rPr>
              <w:t>8.3</w:t>
            </w:r>
          </w:p>
        </w:tc>
        <w:tc>
          <w:tcPr>
            <w:tcW w:w="326" w:type="pct"/>
            <w:tcBorders>
              <w:top w:val="nil"/>
              <w:left w:val="nil"/>
              <w:bottom w:val="dotted" w:sz="4" w:space="0" w:color="auto"/>
              <w:right w:val="dotted" w:sz="4" w:space="0" w:color="auto"/>
            </w:tcBorders>
            <w:shd w:val="clear" w:color="000000" w:fill="FFFFFF"/>
            <w:vAlign w:val="center"/>
            <w:hideMark/>
          </w:tcPr>
          <w:p w14:paraId="59D4EAF6" w14:textId="77777777" w:rsidR="009D6D4E" w:rsidRPr="00030958" w:rsidRDefault="009D6D4E" w:rsidP="00BF3B71">
            <w:pPr>
              <w:jc w:val="center"/>
              <w:rPr>
                <w:sz w:val="18"/>
                <w:szCs w:val="20"/>
                <w:lang w:val="en-US"/>
              </w:rPr>
            </w:pPr>
            <w:r w:rsidRPr="00030958">
              <w:rPr>
                <w:sz w:val="18"/>
                <w:szCs w:val="20"/>
                <w:lang w:val="en-US"/>
              </w:rPr>
              <w:t>8.4</w:t>
            </w:r>
          </w:p>
        </w:tc>
        <w:tc>
          <w:tcPr>
            <w:tcW w:w="326" w:type="pct"/>
            <w:tcBorders>
              <w:top w:val="nil"/>
              <w:left w:val="nil"/>
              <w:bottom w:val="dotted" w:sz="4" w:space="0" w:color="auto"/>
              <w:right w:val="dotted" w:sz="4" w:space="0" w:color="auto"/>
            </w:tcBorders>
            <w:shd w:val="clear" w:color="000000" w:fill="FFFFFF"/>
            <w:vAlign w:val="center"/>
            <w:hideMark/>
          </w:tcPr>
          <w:p w14:paraId="5846C891" w14:textId="77777777" w:rsidR="009D6D4E" w:rsidRPr="00030958" w:rsidRDefault="009D6D4E" w:rsidP="00BF3B71">
            <w:pPr>
              <w:jc w:val="center"/>
              <w:rPr>
                <w:sz w:val="18"/>
                <w:szCs w:val="20"/>
                <w:lang w:val="en-US"/>
              </w:rPr>
            </w:pPr>
            <w:r w:rsidRPr="00030958">
              <w:rPr>
                <w:sz w:val="18"/>
                <w:szCs w:val="20"/>
                <w:lang w:val="en-US"/>
              </w:rPr>
              <w:t>8.4</w:t>
            </w:r>
          </w:p>
        </w:tc>
        <w:tc>
          <w:tcPr>
            <w:tcW w:w="326" w:type="pct"/>
            <w:tcBorders>
              <w:top w:val="nil"/>
              <w:left w:val="nil"/>
              <w:bottom w:val="dotted" w:sz="4" w:space="0" w:color="auto"/>
              <w:right w:val="dotted" w:sz="4" w:space="0" w:color="auto"/>
            </w:tcBorders>
            <w:shd w:val="clear" w:color="000000" w:fill="FFFFFF"/>
            <w:vAlign w:val="center"/>
            <w:hideMark/>
          </w:tcPr>
          <w:p w14:paraId="2E893D6A" w14:textId="77777777" w:rsidR="009D6D4E" w:rsidRPr="00030958" w:rsidRDefault="009D6D4E" w:rsidP="00BF3B71">
            <w:pPr>
              <w:jc w:val="center"/>
              <w:rPr>
                <w:sz w:val="18"/>
                <w:szCs w:val="20"/>
                <w:lang w:val="en-US"/>
              </w:rPr>
            </w:pPr>
            <w:r w:rsidRPr="00030958">
              <w:rPr>
                <w:sz w:val="18"/>
                <w:szCs w:val="20"/>
                <w:lang w:val="en-US"/>
              </w:rPr>
              <w:t>7.9</w:t>
            </w:r>
          </w:p>
        </w:tc>
        <w:tc>
          <w:tcPr>
            <w:tcW w:w="326" w:type="pct"/>
            <w:tcBorders>
              <w:top w:val="nil"/>
              <w:left w:val="nil"/>
              <w:bottom w:val="dotted" w:sz="4" w:space="0" w:color="auto"/>
              <w:right w:val="double" w:sz="6" w:space="0" w:color="auto"/>
            </w:tcBorders>
            <w:shd w:val="clear" w:color="000000" w:fill="FFFFFF"/>
            <w:vAlign w:val="center"/>
            <w:hideMark/>
          </w:tcPr>
          <w:p w14:paraId="6205E412" w14:textId="77777777" w:rsidR="009D6D4E" w:rsidRPr="00030958" w:rsidRDefault="009D6D4E" w:rsidP="00BF3B71">
            <w:pPr>
              <w:jc w:val="center"/>
              <w:rPr>
                <w:sz w:val="18"/>
                <w:szCs w:val="20"/>
                <w:lang w:val="en-US"/>
              </w:rPr>
            </w:pPr>
            <w:r w:rsidRPr="00030958">
              <w:rPr>
                <w:sz w:val="18"/>
                <w:szCs w:val="20"/>
                <w:lang w:val="en-US"/>
              </w:rPr>
              <w:t>7.6</w:t>
            </w:r>
          </w:p>
        </w:tc>
      </w:tr>
      <w:tr w:rsidR="009D6D4E" w:rsidRPr="00030958" w14:paraId="49775847" w14:textId="77777777" w:rsidTr="00BF3B71">
        <w:trPr>
          <w:trHeight w:val="20"/>
        </w:trPr>
        <w:tc>
          <w:tcPr>
            <w:tcW w:w="2424" w:type="pct"/>
            <w:tcBorders>
              <w:top w:val="nil"/>
              <w:left w:val="double" w:sz="6" w:space="0" w:color="auto"/>
              <w:bottom w:val="dotted" w:sz="4" w:space="0" w:color="auto"/>
              <w:right w:val="nil"/>
            </w:tcBorders>
            <w:shd w:val="clear" w:color="000000" w:fill="FFFFFF"/>
            <w:vAlign w:val="center"/>
            <w:hideMark/>
          </w:tcPr>
          <w:p w14:paraId="2E824C9D" w14:textId="77777777" w:rsidR="009D6D4E" w:rsidRPr="00030958" w:rsidRDefault="009D6D4E" w:rsidP="00BF3B71">
            <w:pPr>
              <w:rPr>
                <w:sz w:val="18"/>
                <w:szCs w:val="20"/>
                <w:lang w:val="en-US"/>
              </w:rPr>
            </w:pPr>
            <w:r w:rsidRPr="00030958">
              <w:rPr>
                <w:sz w:val="18"/>
                <w:szCs w:val="20"/>
                <w:lang w:val="en-US"/>
              </w:rPr>
              <w:t>18 = 9. Shpenzimet e Interesit (përfshirë.</w:t>
            </w:r>
            <w:r w:rsidRPr="00030958">
              <w:rPr>
                <w:sz w:val="18"/>
                <w:szCs w:val="20"/>
                <w:lang w:val="en-US"/>
              </w:rPr>
              <w:br/>
              <w:t xml:space="preserve">FISIM) </w:t>
            </w:r>
          </w:p>
        </w:tc>
        <w:tc>
          <w:tcPr>
            <w:tcW w:w="517" w:type="pct"/>
            <w:tcBorders>
              <w:top w:val="nil"/>
              <w:left w:val="single" w:sz="8" w:space="0" w:color="auto"/>
              <w:bottom w:val="dotted" w:sz="4" w:space="0" w:color="auto"/>
              <w:right w:val="single" w:sz="8" w:space="0" w:color="auto"/>
            </w:tcBorders>
            <w:shd w:val="clear" w:color="000000" w:fill="FFFFFF"/>
            <w:vAlign w:val="center"/>
            <w:hideMark/>
          </w:tcPr>
          <w:p w14:paraId="57C1EAE4" w14:textId="77777777" w:rsidR="009D6D4E" w:rsidRPr="00030958" w:rsidRDefault="009D6D4E" w:rsidP="00BF3B71">
            <w:pPr>
              <w:jc w:val="center"/>
              <w:rPr>
                <w:sz w:val="18"/>
                <w:szCs w:val="20"/>
                <w:lang w:val="en-US"/>
              </w:rPr>
            </w:pPr>
            <w:r w:rsidRPr="00030958">
              <w:rPr>
                <w:sz w:val="18"/>
                <w:szCs w:val="20"/>
                <w:lang w:val="en-US"/>
              </w:rPr>
              <w:t>EDP.D41 + FISIM</w:t>
            </w:r>
          </w:p>
        </w:tc>
        <w:tc>
          <w:tcPr>
            <w:tcW w:w="429" w:type="pct"/>
            <w:tcBorders>
              <w:top w:val="nil"/>
              <w:left w:val="nil"/>
              <w:bottom w:val="dotted" w:sz="4" w:space="0" w:color="auto"/>
              <w:right w:val="single" w:sz="8" w:space="0" w:color="auto"/>
            </w:tcBorders>
            <w:shd w:val="clear" w:color="000000" w:fill="FFFFFF"/>
            <w:vAlign w:val="center"/>
            <w:hideMark/>
          </w:tcPr>
          <w:p w14:paraId="455D0E16" w14:textId="77777777" w:rsidR="009D6D4E" w:rsidRPr="00030958" w:rsidRDefault="009D6D4E" w:rsidP="00BF3B71">
            <w:pPr>
              <w:jc w:val="center"/>
              <w:rPr>
                <w:sz w:val="18"/>
                <w:szCs w:val="20"/>
                <w:lang w:val="en-US"/>
              </w:rPr>
            </w:pPr>
            <w:r w:rsidRPr="00030958">
              <w:rPr>
                <w:sz w:val="18"/>
                <w:szCs w:val="20"/>
                <w:lang w:val="en-US"/>
              </w:rPr>
              <w:t>18.7</w:t>
            </w:r>
          </w:p>
        </w:tc>
        <w:tc>
          <w:tcPr>
            <w:tcW w:w="326" w:type="pct"/>
            <w:tcBorders>
              <w:top w:val="nil"/>
              <w:left w:val="nil"/>
              <w:bottom w:val="dotted" w:sz="4" w:space="0" w:color="auto"/>
              <w:right w:val="dotted" w:sz="4" w:space="0" w:color="auto"/>
            </w:tcBorders>
            <w:shd w:val="clear" w:color="000000" w:fill="FFFFFF"/>
            <w:vAlign w:val="center"/>
            <w:hideMark/>
          </w:tcPr>
          <w:p w14:paraId="1DF232FE" w14:textId="77777777" w:rsidR="009D6D4E" w:rsidRPr="00030958" w:rsidRDefault="009D6D4E" w:rsidP="00BF3B71">
            <w:pPr>
              <w:jc w:val="center"/>
              <w:rPr>
                <w:sz w:val="18"/>
                <w:szCs w:val="20"/>
                <w:lang w:val="en-US"/>
              </w:rPr>
            </w:pPr>
            <w:r w:rsidRPr="00030958">
              <w:rPr>
                <w:sz w:val="18"/>
                <w:szCs w:val="20"/>
                <w:lang w:val="en-US"/>
              </w:rPr>
              <w:t>0.3</w:t>
            </w:r>
          </w:p>
        </w:tc>
        <w:tc>
          <w:tcPr>
            <w:tcW w:w="326" w:type="pct"/>
            <w:tcBorders>
              <w:top w:val="nil"/>
              <w:left w:val="nil"/>
              <w:bottom w:val="dotted" w:sz="4" w:space="0" w:color="auto"/>
              <w:right w:val="dotted" w:sz="4" w:space="0" w:color="auto"/>
            </w:tcBorders>
            <w:shd w:val="clear" w:color="000000" w:fill="FFFFFF"/>
            <w:vAlign w:val="center"/>
            <w:hideMark/>
          </w:tcPr>
          <w:p w14:paraId="6F9AFB4F" w14:textId="77777777" w:rsidR="009D6D4E" w:rsidRPr="00030958" w:rsidRDefault="009D6D4E" w:rsidP="00BF3B71">
            <w:pPr>
              <w:jc w:val="center"/>
              <w:rPr>
                <w:sz w:val="18"/>
                <w:szCs w:val="20"/>
                <w:lang w:val="en-US"/>
              </w:rPr>
            </w:pPr>
            <w:r w:rsidRPr="00030958">
              <w:rPr>
                <w:sz w:val="18"/>
                <w:szCs w:val="20"/>
                <w:lang w:val="en-US"/>
              </w:rPr>
              <w:t>0.4</w:t>
            </w:r>
          </w:p>
        </w:tc>
        <w:tc>
          <w:tcPr>
            <w:tcW w:w="326" w:type="pct"/>
            <w:tcBorders>
              <w:top w:val="nil"/>
              <w:left w:val="nil"/>
              <w:bottom w:val="dotted" w:sz="4" w:space="0" w:color="auto"/>
              <w:right w:val="dotted" w:sz="4" w:space="0" w:color="auto"/>
            </w:tcBorders>
            <w:shd w:val="clear" w:color="000000" w:fill="FFFFFF"/>
            <w:vAlign w:val="center"/>
            <w:hideMark/>
          </w:tcPr>
          <w:p w14:paraId="27A7F904" w14:textId="77777777" w:rsidR="009D6D4E" w:rsidRPr="00030958" w:rsidRDefault="009D6D4E" w:rsidP="00BF3B71">
            <w:pPr>
              <w:jc w:val="center"/>
              <w:rPr>
                <w:sz w:val="18"/>
                <w:szCs w:val="20"/>
                <w:lang w:val="en-US"/>
              </w:rPr>
            </w:pPr>
            <w:r w:rsidRPr="00030958">
              <w:rPr>
                <w:sz w:val="18"/>
                <w:szCs w:val="20"/>
                <w:lang w:val="en-US"/>
              </w:rPr>
              <w:t>0.4</w:t>
            </w:r>
          </w:p>
        </w:tc>
        <w:tc>
          <w:tcPr>
            <w:tcW w:w="326" w:type="pct"/>
            <w:tcBorders>
              <w:top w:val="nil"/>
              <w:left w:val="nil"/>
              <w:bottom w:val="dotted" w:sz="4" w:space="0" w:color="auto"/>
              <w:right w:val="dotted" w:sz="4" w:space="0" w:color="auto"/>
            </w:tcBorders>
            <w:shd w:val="clear" w:color="000000" w:fill="FFFFFF"/>
            <w:vAlign w:val="center"/>
            <w:hideMark/>
          </w:tcPr>
          <w:p w14:paraId="7208D6E8" w14:textId="77777777" w:rsidR="009D6D4E" w:rsidRPr="00030958" w:rsidRDefault="009D6D4E" w:rsidP="00BF3B71">
            <w:pPr>
              <w:jc w:val="center"/>
              <w:rPr>
                <w:sz w:val="18"/>
                <w:szCs w:val="20"/>
                <w:lang w:val="en-US"/>
              </w:rPr>
            </w:pPr>
            <w:r w:rsidRPr="00030958">
              <w:rPr>
                <w:sz w:val="18"/>
                <w:szCs w:val="20"/>
                <w:lang w:val="en-US"/>
              </w:rPr>
              <w:t>0.5</w:t>
            </w:r>
          </w:p>
        </w:tc>
        <w:tc>
          <w:tcPr>
            <w:tcW w:w="326" w:type="pct"/>
            <w:tcBorders>
              <w:top w:val="nil"/>
              <w:left w:val="nil"/>
              <w:bottom w:val="dotted" w:sz="4" w:space="0" w:color="auto"/>
              <w:right w:val="double" w:sz="6" w:space="0" w:color="auto"/>
            </w:tcBorders>
            <w:shd w:val="clear" w:color="000000" w:fill="FFFFFF"/>
            <w:vAlign w:val="center"/>
            <w:hideMark/>
          </w:tcPr>
          <w:p w14:paraId="582974EC" w14:textId="77777777" w:rsidR="009D6D4E" w:rsidRPr="00030958" w:rsidRDefault="009D6D4E" w:rsidP="00BF3B71">
            <w:pPr>
              <w:jc w:val="center"/>
              <w:rPr>
                <w:sz w:val="18"/>
                <w:szCs w:val="20"/>
                <w:lang w:val="en-US"/>
              </w:rPr>
            </w:pPr>
            <w:r w:rsidRPr="00030958">
              <w:rPr>
                <w:sz w:val="18"/>
                <w:szCs w:val="20"/>
                <w:lang w:val="en-US"/>
              </w:rPr>
              <w:t>0.5</w:t>
            </w:r>
          </w:p>
        </w:tc>
      </w:tr>
      <w:tr w:rsidR="009D6D4E" w:rsidRPr="00030958" w14:paraId="0C69E908" w14:textId="77777777" w:rsidTr="00BF3B71">
        <w:trPr>
          <w:trHeight w:val="20"/>
        </w:trPr>
        <w:tc>
          <w:tcPr>
            <w:tcW w:w="2424" w:type="pct"/>
            <w:tcBorders>
              <w:top w:val="nil"/>
              <w:left w:val="double" w:sz="6" w:space="0" w:color="auto"/>
              <w:bottom w:val="dotted" w:sz="4" w:space="0" w:color="auto"/>
              <w:right w:val="nil"/>
            </w:tcBorders>
            <w:shd w:val="clear" w:color="000000" w:fill="FFFFFF"/>
            <w:vAlign w:val="center"/>
            <w:hideMark/>
          </w:tcPr>
          <w:p w14:paraId="02826DC5" w14:textId="77777777" w:rsidR="009D6D4E" w:rsidRPr="00030958" w:rsidRDefault="009D6D4E" w:rsidP="00BF3B71">
            <w:pPr>
              <w:rPr>
                <w:sz w:val="18"/>
                <w:szCs w:val="20"/>
                <w:lang w:val="en-US"/>
              </w:rPr>
            </w:pPr>
            <w:r w:rsidRPr="00030958">
              <w:rPr>
                <w:sz w:val="18"/>
                <w:szCs w:val="20"/>
                <w:lang w:val="en-US"/>
              </w:rPr>
              <w:t>19. Subvencionet</w:t>
            </w:r>
          </w:p>
        </w:tc>
        <w:tc>
          <w:tcPr>
            <w:tcW w:w="517" w:type="pct"/>
            <w:tcBorders>
              <w:top w:val="nil"/>
              <w:left w:val="single" w:sz="8" w:space="0" w:color="auto"/>
              <w:bottom w:val="dotted" w:sz="4" w:space="0" w:color="auto"/>
              <w:right w:val="single" w:sz="8" w:space="0" w:color="auto"/>
            </w:tcBorders>
            <w:shd w:val="clear" w:color="000000" w:fill="FFFFFF"/>
            <w:vAlign w:val="center"/>
            <w:hideMark/>
          </w:tcPr>
          <w:p w14:paraId="60B9C71A" w14:textId="77777777" w:rsidR="009D6D4E" w:rsidRPr="00030958" w:rsidRDefault="009D6D4E" w:rsidP="00BF3B71">
            <w:pPr>
              <w:jc w:val="center"/>
              <w:rPr>
                <w:sz w:val="18"/>
                <w:szCs w:val="20"/>
                <w:lang w:val="en-US"/>
              </w:rPr>
            </w:pPr>
            <w:r w:rsidRPr="00030958">
              <w:rPr>
                <w:sz w:val="18"/>
                <w:szCs w:val="20"/>
                <w:lang w:val="en-US"/>
              </w:rPr>
              <w:t>D3</w:t>
            </w:r>
          </w:p>
        </w:tc>
        <w:tc>
          <w:tcPr>
            <w:tcW w:w="429" w:type="pct"/>
            <w:tcBorders>
              <w:top w:val="nil"/>
              <w:left w:val="nil"/>
              <w:bottom w:val="dotted" w:sz="4" w:space="0" w:color="auto"/>
              <w:right w:val="single" w:sz="8" w:space="0" w:color="auto"/>
            </w:tcBorders>
            <w:shd w:val="clear" w:color="000000" w:fill="FFFFFF"/>
            <w:vAlign w:val="center"/>
            <w:hideMark/>
          </w:tcPr>
          <w:p w14:paraId="5218148D"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dotted" w:sz="4" w:space="0" w:color="auto"/>
              <w:right w:val="dotted" w:sz="4" w:space="0" w:color="auto"/>
            </w:tcBorders>
            <w:shd w:val="clear" w:color="000000" w:fill="FFFFFF"/>
            <w:vAlign w:val="center"/>
            <w:hideMark/>
          </w:tcPr>
          <w:p w14:paraId="00D9497B"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dotted" w:sz="4" w:space="0" w:color="auto"/>
              <w:right w:val="dotted" w:sz="4" w:space="0" w:color="auto"/>
            </w:tcBorders>
            <w:shd w:val="clear" w:color="000000" w:fill="FFFFFF"/>
            <w:vAlign w:val="center"/>
            <w:hideMark/>
          </w:tcPr>
          <w:p w14:paraId="2AE4A882"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dotted" w:sz="4" w:space="0" w:color="auto"/>
              <w:right w:val="dotted" w:sz="4" w:space="0" w:color="auto"/>
            </w:tcBorders>
            <w:shd w:val="clear" w:color="000000" w:fill="FFFFFF"/>
            <w:vAlign w:val="center"/>
            <w:hideMark/>
          </w:tcPr>
          <w:p w14:paraId="21215F3E"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dotted" w:sz="4" w:space="0" w:color="auto"/>
              <w:right w:val="dotted" w:sz="4" w:space="0" w:color="auto"/>
            </w:tcBorders>
            <w:shd w:val="clear" w:color="000000" w:fill="FFFFFF"/>
            <w:vAlign w:val="center"/>
            <w:hideMark/>
          </w:tcPr>
          <w:p w14:paraId="184F8E9A"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dotted" w:sz="4" w:space="0" w:color="auto"/>
              <w:right w:val="double" w:sz="6" w:space="0" w:color="auto"/>
            </w:tcBorders>
            <w:shd w:val="clear" w:color="000000" w:fill="FFFFFF"/>
            <w:vAlign w:val="center"/>
            <w:hideMark/>
          </w:tcPr>
          <w:p w14:paraId="3F1E6733" w14:textId="77777777" w:rsidR="009D6D4E" w:rsidRPr="00030958" w:rsidRDefault="009D6D4E" w:rsidP="00BF3B71">
            <w:pPr>
              <w:jc w:val="center"/>
              <w:rPr>
                <w:sz w:val="18"/>
                <w:szCs w:val="20"/>
                <w:lang w:val="en-US"/>
              </w:rPr>
            </w:pPr>
            <w:r w:rsidRPr="00030958">
              <w:rPr>
                <w:sz w:val="18"/>
                <w:szCs w:val="20"/>
                <w:lang w:val="en-US"/>
              </w:rPr>
              <w:t>:</w:t>
            </w:r>
          </w:p>
        </w:tc>
      </w:tr>
      <w:tr w:rsidR="009D6D4E" w:rsidRPr="00030958" w14:paraId="4D6149B4" w14:textId="77777777" w:rsidTr="00BF3B71">
        <w:trPr>
          <w:trHeight w:val="20"/>
        </w:trPr>
        <w:tc>
          <w:tcPr>
            <w:tcW w:w="2424" w:type="pct"/>
            <w:tcBorders>
              <w:top w:val="nil"/>
              <w:left w:val="double" w:sz="6" w:space="0" w:color="auto"/>
              <w:bottom w:val="dotted" w:sz="4" w:space="0" w:color="auto"/>
              <w:right w:val="nil"/>
            </w:tcBorders>
            <w:shd w:val="clear" w:color="000000" w:fill="FFFFFF"/>
            <w:vAlign w:val="center"/>
            <w:hideMark/>
          </w:tcPr>
          <w:p w14:paraId="561D9D70" w14:textId="77777777" w:rsidR="009D6D4E" w:rsidRPr="00030958" w:rsidRDefault="009D6D4E" w:rsidP="00BF3B71">
            <w:pPr>
              <w:rPr>
                <w:sz w:val="18"/>
                <w:szCs w:val="20"/>
                <w:lang w:val="en-US"/>
              </w:rPr>
            </w:pPr>
            <w:r w:rsidRPr="00030958">
              <w:rPr>
                <w:sz w:val="18"/>
                <w:szCs w:val="20"/>
                <w:lang w:val="en-US"/>
              </w:rPr>
              <w:t xml:space="preserve">20. Formimi bruto I Kapitalit Fiks </w:t>
            </w:r>
          </w:p>
        </w:tc>
        <w:tc>
          <w:tcPr>
            <w:tcW w:w="517" w:type="pct"/>
            <w:tcBorders>
              <w:top w:val="nil"/>
              <w:left w:val="single" w:sz="8" w:space="0" w:color="auto"/>
              <w:bottom w:val="dotted" w:sz="4" w:space="0" w:color="auto"/>
              <w:right w:val="single" w:sz="8" w:space="0" w:color="auto"/>
            </w:tcBorders>
            <w:shd w:val="clear" w:color="000000" w:fill="FFFFFF"/>
            <w:vAlign w:val="center"/>
            <w:hideMark/>
          </w:tcPr>
          <w:p w14:paraId="492DC11B" w14:textId="77777777" w:rsidR="009D6D4E" w:rsidRPr="00030958" w:rsidRDefault="009D6D4E" w:rsidP="00BF3B71">
            <w:pPr>
              <w:jc w:val="center"/>
              <w:rPr>
                <w:sz w:val="18"/>
                <w:szCs w:val="20"/>
                <w:lang w:val="en-US"/>
              </w:rPr>
            </w:pPr>
            <w:r w:rsidRPr="00030958">
              <w:rPr>
                <w:sz w:val="18"/>
                <w:szCs w:val="20"/>
                <w:lang w:val="en-US"/>
              </w:rPr>
              <w:t>P51</w:t>
            </w:r>
          </w:p>
        </w:tc>
        <w:tc>
          <w:tcPr>
            <w:tcW w:w="429" w:type="pct"/>
            <w:tcBorders>
              <w:top w:val="nil"/>
              <w:left w:val="nil"/>
              <w:bottom w:val="dotted" w:sz="4" w:space="0" w:color="auto"/>
              <w:right w:val="single" w:sz="8" w:space="0" w:color="auto"/>
            </w:tcBorders>
            <w:shd w:val="clear" w:color="000000" w:fill="FFFFFF"/>
            <w:vAlign w:val="center"/>
            <w:hideMark/>
          </w:tcPr>
          <w:p w14:paraId="7B560677" w14:textId="77777777" w:rsidR="009D6D4E" w:rsidRPr="00030958" w:rsidRDefault="009D6D4E" w:rsidP="00BF3B71">
            <w:pPr>
              <w:jc w:val="center"/>
              <w:rPr>
                <w:sz w:val="18"/>
                <w:szCs w:val="20"/>
                <w:lang w:val="en-US"/>
              </w:rPr>
            </w:pPr>
            <w:r w:rsidRPr="00030958">
              <w:rPr>
                <w:sz w:val="18"/>
                <w:szCs w:val="20"/>
                <w:lang w:val="en-US"/>
              </w:rPr>
              <w:t>533.2</w:t>
            </w:r>
          </w:p>
        </w:tc>
        <w:tc>
          <w:tcPr>
            <w:tcW w:w="326" w:type="pct"/>
            <w:tcBorders>
              <w:top w:val="nil"/>
              <w:left w:val="nil"/>
              <w:bottom w:val="dotted" w:sz="4" w:space="0" w:color="auto"/>
              <w:right w:val="dotted" w:sz="4" w:space="0" w:color="auto"/>
            </w:tcBorders>
            <w:shd w:val="clear" w:color="000000" w:fill="FFFFFF"/>
            <w:vAlign w:val="center"/>
            <w:hideMark/>
          </w:tcPr>
          <w:p w14:paraId="2E430562" w14:textId="77777777" w:rsidR="009D6D4E" w:rsidRPr="00030958" w:rsidRDefault="009D6D4E" w:rsidP="00BF3B71">
            <w:pPr>
              <w:jc w:val="center"/>
              <w:rPr>
                <w:sz w:val="18"/>
                <w:szCs w:val="20"/>
                <w:lang w:val="en-US"/>
              </w:rPr>
            </w:pPr>
            <w:r w:rsidRPr="00030958">
              <w:rPr>
                <w:sz w:val="18"/>
                <w:szCs w:val="20"/>
                <w:lang w:val="en-US"/>
              </w:rPr>
              <w:t>7.9</w:t>
            </w:r>
          </w:p>
        </w:tc>
        <w:tc>
          <w:tcPr>
            <w:tcW w:w="326" w:type="pct"/>
            <w:tcBorders>
              <w:top w:val="nil"/>
              <w:left w:val="nil"/>
              <w:bottom w:val="dotted" w:sz="4" w:space="0" w:color="auto"/>
              <w:right w:val="dotted" w:sz="4" w:space="0" w:color="auto"/>
            </w:tcBorders>
            <w:shd w:val="clear" w:color="000000" w:fill="FFFFFF"/>
            <w:vAlign w:val="center"/>
            <w:hideMark/>
          </w:tcPr>
          <w:p w14:paraId="5C3247B5" w14:textId="77777777" w:rsidR="009D6D4E" w:rsidRPr="00030958" w:rsidRDefault="009D6D4E" w:rsidP="00BF3B71">
            <w:pPr>
              <w:jc w:val="center"/>
              <w:rPr>
                <w:sz w:val="18"/>
                <w:szCs w:val="20"/>
                <w:lang w:val="en-US"/>
              </w:rPr>
            </w:pPr>
            <w:r w:rsidRPr="00030958">
              <w:rPr>
                <w:sz w:val="18"/>
                <w:szCs w:val="20"/>
                <w:lang w:val="en-US"/>
              </w:rPr>
              <w:t>11.1</w:t>
            </w:r>
          </w:p>
        </w:tc>
        <w:tc>
          <w:tcPr>
            <w:tcW w:w="326" w:type="pct"/>
            <w:tcBorders>
              <w:top w:val="nil"/>
              <w:left w:val="nil"/>
              <w:bottom w:val="dotted" w:sz="4" w:space="0" w:color="auto"/>
              <w:right w:val="dotted" w:sz="4" w:space="0" w:color="auto"/>
            </w:tcBorders>
            <w:shd w:val="clear" w:color="000000" w:fill="FFFFFF"/>
            <w:vAlign w:val="center"/>
            <w:hideMark/>
          </w:tcPr>
          <w:p w14:paraId="0FF5D30F" w14:textId="77777777" w:rsidR="009D6D4E" w:rsidRPr="00030958" w:rsidRDefault="009D6D4E" w:rsidP="00BF3B71">
            <w:pPr>
              <w:jc w:val="center"/>
              <w:rPr>
                <w:sz w:val="18"/>
                <w:szCs w:val="20"/>
                <w:lang w:val="en-US"/>
              </w:rPr>
            </w:pPr>
            <w:r w:rsidRPr="00030958">
              <w:rPr>
                <w:sz w:val="18"/>
                <w:szCs w:val="20"/>
                <w:lang w:val="en-US"/>
              </w:rPr>
              <w:t>10.5</w:t>
            </w:r>
          </w:p>
        </w:tc>
        <w:tc>
          <w:tcPr>
            <w:tcW w:w="326" w:type="pct"/>
            <w:tcBorders>
              <w:top w:val="nil"/>
              <w:left w:val="nil"/>
              <w:bottom w:val="dotted" w:sz="4" w:space="0" w:color="auto"/>
              <w:right w:val="dotted" w:sz="4" w:space="0" w:color="auto"/>
            </w:tcBorders>
            <w:shd w:val="clear" w:color="000000" w:fill="FFFFFF"/>
            <w:vAlign w:val="center"/>
            <w:hideMark/>
          </w:tcPr>
          <w:p w14:paraId="64AE93EE" w14:textId="77777777" w:rsidR="009D6D4E" w:rsidRPr="00030958" w:rsidRDefault="009D6D4E" w:rsidP="00BF3B71">
            <w:pPr>
              <w:jc w:val="center"/>
              <w:rPr>
                <w:sz w:val="18"/>
                <w:szCs w:val="20"/>
                <w:lang w:val="en-US"/>
              </w:rPr>
            </w:pPr>
            <w:r w:rsidRPr="00030958">
              <w:rPr>
                <w:sz w:val="18"/>
                <w:szCs w:val="20"/>
                <w:lang w:val="en-US"/>
              </w:rPr>
              <w:t>10.4</w:t>
            </w:r>
          </w:p>
        </w:tc>
        <w:tc>
          <w:tcPr>
            <w:tcW w:w="326" w:type="pct"/>
            <w:tcBorders>
              <w:top w:val="nil"/>
              <w:left w:val="nil"/>
              <w:bottom w:val="dotted" w:sz="4" w:space="0" w:color="auto"/>
              <w:right w:val="double" w:sz="6" w:space="0" w:color="auto"/>
            </w:tcBorders>
            <w:shd w:val="clear" w:color="000000" w:fill="FFFFFF"/>
            <w:vAlign w:val="center"/>
            <w:hideMark/>
          </w:tcPr>
          <w:p w14:paraId="186DF51E" w14:textId="77777777" w:rsidR="009D6D4E" w:rsidRPr="00030958" w:rsidRDefault="009D6D4E" w:rsidP="00BF3B71">
            <w:pPr>
              <w:jc w:val="center"/>
              <w:rPr>
                <w:sz w:val="18"/>
                <w:szCs w:val="20"/>
                <w:lang w:val="en-US"/>
              </w:rPr>
            </w:pPr>
            <w:r w:rsidRPr="00030958">
              <w:rPr>
                <w:sz w:val="18"/>
                <w:szCs w:val="20"/>
                <w:lang w:val="en-US"/>
              </w:rPr>
              <w:t>10.1</w:t>
            </w:r>
          </w:p>
        </w:tc>
      </w:tr>
      <w:tr w:rsidR="009D6D4E" w:rsidRPr="00030958" w14:paraId="7C0BA12F" w14:textId="77777777" w:rsidTr="00BF3B71">
        <w:trPr>
          <w:trHeight w:val="20"/>
        </w:trPr>
        <w:tc>
          <w:tcPr>
            <w:tcW w:w="2424" w:type="pct"/>
            <w:tcBorders>
              <w:top w:val="nil"/>
              <w:left w:val="double" w:sz="6" w:space="0" w:color="auto"/>
              <w:bottom w:val="dotted" w:sz="4" w:space="0" w:color="auto"/>
              <w:right w:val="nil"/>
            </w:tcBorders>
            <w:shd w:val="clear" w:color="000000" w:fill="FFFFFF"/>
            <w:vAlign w:val="center"/>
            <w:hideMark/>
          </w:tcPr>
          <w:p w14:paraId="28555502" w14:textId="77777777" w:rsidR="009D6D4E" w:rsidRPr="00030958" w:rsidRDefault="009D6D4E" w:rsidP="00BF3B71">
            <w:pPr>
              <w:rPr>
                <w:sz w:val="18"/>
                <w:szCs w:val="20"/>
                <w:lang w:val="en-US"/>
              </w:rPr>
            </w:pPr>
            <w:r w:rsidRPr="00030958">
              <w:rPr>
                <w:sz w:val="18"/>
                <w:szCs w:val="20"/>
                <w:lang w:val="en-US"/>
              </w:rPr>
              <w:t>21.Tjera (21 = 22-(16+17+18+19+20) [6]</w:t>
            </w:r>
          </w:p>
        </w:tc>
        <w:tc>
          <w:tcPr>
            <w:tcW w:w="517" w:type="pct"/>
            <w:tcBorders>
              <w:top w:val="nil"/>
              <w:left w:val="single" w:sz="8" w:space="0" w:color="auto"/>
              <w:bottom w:val="dotted" w:sz="4" w:space="0" w:color="auto"/>
              <w:right w:val="single" w:sz="8" w:space="0" w:color="auto"/>
            </w:tcBorders>
            <w:shd w:val="clear" w:color="000000" w:fill="FFFFFF"/>
            <w:vAlign w:val="center"/>
            <w:hideMark/>
          </w:tcPr>
          <w:p w14:paraId="6CAB06AA" w14:textId="77777777" w:rsidR="009D6D4E" w:rsidRPr="00030958" w:rsidRDefault="009D6D4E" w:rsidP="00BF3B71">
            <w:pPr>
              <w:jc w:val="center"/>
              <w:rPr>
                <w:sz w:val="18"/>
                <w:szCs w:val="20"/>
                <w:lang w:val="en-US"/>
              </w:rPr>
            </w:pPr>
            <w:r w:rsidRPr="00030958">
              <w:rPr>
                <w:sz w:val="18"/>
                <w:szCs w:val="20"/>
                <w:lang w:val="en-US"/>
              </w:rPr>
              <w:t> </w:t>
            </w:r>
          </w:p>
        </w:tc>
        <w:tc>
          <w:tcPr>
            <w:tcW w:w="429" w:type="pct"/>
            <w:tcBorders>
              <w:top w:val="nil"/>
              <w:left w:val="nil"/>
              <w:bottom w:val="dotted" w:sz="4" w:space="0" w:color="auto"/>
              <w:right w:val="single" w:sz="8" w:space="0" w:color="auto"/>
            </w:tcBorders>
            <w:shd w:val="clear" w:color="000000" w:fill="FFFFFF"/>
            <w:vAlign w:val="center"/>
            <w:hideMark/>
          </w:tcPr>
          <w:p w14:paraId="782B98E5"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dotted" w:sz="4" w:space="0" w:color="auto"/>
              <w:right w:val="dotted" w:sz="4" w:space="0" w:color="auto"/>
            </w:tcBorders>
            <w:shd w:val="clear" w:color="000000" w:fill="FFFFFF"/>
            <w:vAlign w:val="center"/>
            <w:hideMark/>
          </w:tcPr>
          <w:p w14:paraId="3B95942F" w14:textId="77777777" w:rsidR="009D6D4E" w:rsidRPr="00030958" w:rsidRDefault="009D6D4E" w:rsidP="00BF3B71">
            <w:pPr>
              <w:jc w:val="center"/>
              <w:rPr>
                <w:sz w:val="18"/>
                <w:szCs w:val="20"/>
                <w:lang w:val="en-US"/>
              </w:rPr>
            </w:pPr>
            <w:r w:rsidRPr="00030958">
              <w:rPr>
                <w:sz w:val="18"/>
                <w:szCs w:val="20"/>
                <w:lang w:val="en-US"/>
              </w:rPr>
              <w:t>:</w:t>
            </w:r>
          </w:p>
        </w:tc>
        <w:tc>
          <w:tcPr>
            <w:tcW w:w="326" w:type="pct"/>
            <w:tcBorders>
              <w:top w:val="nil"/>
              <w:left w:val="nil"/>
              <w:bottom w:val="dotted" w:sz="4" w:space="0" w:color="auto"/>
              <w:right w:val="dotted" w:sz="4" w:space="0" w:color="auto"/>
            </w:tcBorders>
            <w:shd w:val="clear" w:color="000000" w:fill="FFFFFF"/>
            <w:vAlign w:val="center"/>
            <w:hideMark/>
          </w:tcPr>
          <w:p w14:paraId="7462A6D0" w14:textId="77777777" w:rsidR="009D6D4E" w:rsidRPr="00030958" w:rsidRDefault="009D6D4E" w:rsidP="00BF3B71">
            <w:pPr>
              <w:jc w:val="center"/>
              <w:rPr>
                <w:sz w:val="18"/>
                <w:szCs w:val="20"/>
                <w:lang w:val="en-US"/>
              </w:rPr>
            </w:pPr>
            <w:r w:rsidRPr="00030958">
              <w:rPr>
                <w:sz w:val="18"/>
                <w:szCs w:val="20"/>
                <w:lang w:val="en-US"/>
              </w:rPr>
              <w:t>0.1</w:t>
            </w:r>
          </w:p>
        </w:tc>
        <w:tc>
          <w:tcPr>
            <w:tcW w:w="326" w:type="pct"/>
            <w:tcBorders>
              <w:top w:val="nil"/>
              <w:left w:val="nil"/>
              <w:bottom w:val="dotted" w:sz="4" w:space="0" w:color="auto"/>
              <w:right w:val="dotted" w:sz="4" w:space="0" w:color="auto"/>
            </w:tcBorders>
            <w:shd w:val="clear" w:color="000000" w:fill="FFFFFF"/>
            <w:vAlign w:val="center"/>
            <w:hideMark/>
          </w:tcPr>
          <w:p w14:paraId="07A66E4E" w14:textId="77777777" w:rsidR="009D6D4E" w:rsidRPr="00030958" w:rsidRDefault="009D6D4E" w:rsidP="00BF3B71">
            <w:pPr>
              <w:jc w:val="center"/>
              <w:rPr>
                <w:sz w:val="18"/>
                <w:szCs w:val="20"/>
                <w:lang w:val="en-US"/>
              </w:rPr>
            </w:pPr>
            <w:r w:rsidRPr="00030958">
              <w:rPr>
                <w:sz w:val="18"/>
                <w:szCs w:val="20"/>
                <w:lang w:val="en-US"/>
              </w:rPr>
              <w:t>0.1</w:t>
            </w:r>
          </w:p>
        </w:tc>
        <w:tc>
          <w:tcPr>
            <w:tcW w:w="326" w:type="pct"/>
            <w:tcBorders>
              <w:top w:val="nil"/>
              <w:left w:val="nil"/>
              <w:bottom w:val="dotted" w:sz="4" w:space="0" w:color="auto"/>
              <w:right w:val="dotted" w:sz="4" w:space="0" w:color="auto"/>
            </w:tcBorders>
            <w:shd w:val="clear" w:color="000000" w:fill="FFFFFF"/>
            <w:vAlign w:val="center"/>
            <w:hideMark/>
          </w:tcPr>
          <w:p w14:paraId="16E259D1" w14:textId="77777777" w:rsidR="009D6D4E" w:rsidRPr="00030958" w:rsidRDefault="009D6D4E" w:rsidP="00BF3B71">
            <w:pPr>
              <w:jc w:val="center"/>
              <w:rPr>
                <w:sz w:val="18"/>
                <w:szCs w:val="20"/>
                <w:lang w:val="en-US"/>
              </w:rPr>
            </w:pPr>
            <w:r w:rsidRPr="00030958">
              <w:rPr>
                <w:sz w:val="18"/>
                <w:szCs w:val="20"/>
                <w:lang w:val="en-US"/>
              </w:rPr>
              <w:t>0.1</w:t>
            </w:r>
          </w:p>
        </w:tc>
        <w:tc>
          <w:tcPr>
            <w:tcW w:w="326" w:type="pct"/>
            <w:tcBorders>
              <w:top w:val="nil"/>
              <w:left w:val="nil"/>
              <w:bottom w:val="dotted" w:sz="4" w:space="0" w:color="auto"/>
              <w:right w:val="double" w:sz="6" w:space="0" w:color="auto"/>
            </w:tcBorders>
            <w:shd w:val="clear" w:color="000000" w:fill="FFFFFF"/>
            <w:vAlign w:val="center"/>
            <w:hideMark/>
          </w:tcPr>
          <w:p w14:paraId="049C523D" w14:textId="77777777" w:rsidR="009D6D4E" w:rsidRPr="00030958" w:rsidRDefault="009D6D4E" w:rsidP="00BF3B71">
            <w:pPr>
              <w:jc w:val="center"/>
              <w:rPr>
                <w:sz w:val="18"/>
                <w:szCs w:val="20"/>
                <w:lang w:val="en-US"/>
              </w:rPr>
            </w:pPr>
            <w:r w:rsidRPr="00030958">
              <w:rPr>
                <w:sz w:val="18"/>
                <w:szCs w:val="20"/>
                <w:lang w:val="en-US"/>
              </w:rPr>
              <w:t>0.1</w:t>
            </w:r>
          </w:p>
        </w:tc>
      </w:tr>
      <w:tr w:rsidR="009D6D4E" w:rsidRPr="00030958" w14:paraId="3AC184B2" w14:textId="77777777" w:rsidTr="00BF3B71">
        <w:trPr>
          <w:trHeight w:val="20"/>
        </w:trPr>
        <w:tc>
          <w:tcPr>
            <w:tcW w:w="2424" w:type="pct"/>
            <w:tcBorders>
              <w:top w:val="nil"/>
              <w:left w:val="double" w:sz="6" w:space="0" w:color="auto"/>
              <w:bottom w:val="dotted" w:sz="4" w:space="0" w:color="auto"/>
              <w:right w:val="nil"/>
            </w:tcBorders>
            <w:shd w:val="clear" w:color="000000" w:fill="FFFFFF"/>
            <w:vAlign w:val="center"/>
            <w:hideMark/>
          </w:tcPr>
          <w:p w14:paraId="65337CA9" w14:textId="77777777" w:rsidR="009D6D4E" w:rsidRPr="00030958" w:rsidRDefault="009D6D4E" w:rsidP="00BF3B71">
            <w:pPr>
              <w:rPr>
                <w:sz w:val="18"/>
                <w:szCs w:val="20"/>
                <w:lang w:val="en-US"/>
              </w:rPr>
            </w:pPr>
            <w:r w:rsidRPr="00030958">
              <w:rPr>
                <w:sz w:val="18"/>
                <w:szCs w:val="20"/>
                <w:lang w:val="en-US"/>
              </w:rPr>
              <w:t xml:space="preserve">22. Shpenzimet Totale </w:t>
            </w:r>
          </w:p>
        </w:tc>
        <w:tc>
          <w:tcPr>
            <w:tcW w:w="517" w:type="pct"/>
            <w:tcBorders>
              <w:top w:val="nil"/>
              <w:left w:val="single" w:sz="8" w:space="0" w:color="auto"/>
              <w:bottom w:val="dotted" w:sz="4" w:space="0" w:color="auto"/>
              <w:right w:val="single" w:sz="8" w:space="0" w:color="auto"/>
            </w:tcBorders>
            <w:shd w:val="clear" w:color="000000" w:fill="FFFFFF"/>
            <w:vAlign w:val="center"/>
            <w:hideMark/>
          </w:tcPr>
          <w:p w14:paraId="03425184" w14:textId="77777777" w:rsidR="009D6D4E" w:rsidRPr="00030958" w:rsidRDefault="009D6D4E" w:rsidP="00BF3B71">
            <w:pPr>
              <w:jc w:val="center"/>
              <w:rPr>
                <w:sz w:val="18"/>
                <w:szCs w:val="20"/>
                <w:lang w:val="en-US"/>
              </w:rPr>
            </w:pPr>
            <w:r w:rsidRPr="00030958">
              <w:rPr>
                <w:sz w:val="18"/>
                <w:szCs w:val="20"/>
                <w:lang w:val="en-US"/>
              </w:rPr>
              <w:t>TE [1]</w:t>
            </w:r>
          </w:p>
        </w:tc>
        <w:tc>
          <w:tcPr>
            <w:tcW w:w="429" w:type="pct"/>
            <w:tcBorders>
              <w:top w:val="nil"/>
              <w:left w:val="nil"/>
              <w:bottom w:val="dotted" w:sz="4" w:space="0" w:color="auto"/>
              <w:right w:val="single" w:sz="8" w:space="0" w:color="auto"/>
            </w:tcBorders>
            <w:shd w:val="clear" w:color="000000" w:fill="FFFFFF"/>
            <w:vAlign w:val="center"/>
            <w:hideMark/>
          </w:tcPr>
          <w:p w14:paraId="223DDA92" w14:textId="77777777" w:rsidR="009D6D4E" w:rsidRPr="00030958" w:rsidRDefault="009D6D4E" w:rsidP="00BF3B71">
            <w:pPr>
              <w:jc w:val="center"/>
              <w:rPr>
                <w:sz w:val="18"/>
                <w:szCs w:val="20"/>
                <w:lang w:val="en-US"/>
              </w:rPr>
            </w:pPr>
            <w:r w:rsidRPr="00030958">
              <w:rPr>
                <w:sz w:val="18"/>
                <w:szCs w:val="20"/>
                <w:lang w:val="en-US"/>
              </w:rPr>
              <w:t>1,955.8</w:t>
            </w:r>
          </w:p>
        </w:tc>
        <w:tc>
          <w:tcPr>
            <w:tcW w:w="326" w:type="pct"/>
            <w:tcBorders>
              <w:top w:val="nil"/>
              <w:left w:val="nil"/>
              <w:bottom w:val="dotted" w:sz="4" w:space="0" w:color="auto"/>
              <w:right w:val="dotted" w:sz="4" w:space="0" w:color="auto"/>
            </w:tcBorders>
            <w:shd w:val="clear" w:color="000000" w:fill="FFFFFF"/>
            <w:vAlign w:val="center"/>
            <w:hideMark/>
          </w:tcPr>
          <w:p w14:paraId="39F6CD90" w14:textId="77777777" w:rsidR="009D6D4E" w:rsidRPr="00030958" w:rsidRDefault="009D6D4E" w:rsidP="00BF3B71">
            <w:pPr>
              <w:jc w:val="center"/>
              <w:rPr>
                <w:sz w:val="18"/>
                <w:szCs w:val="20"/>
                <w:lang w:val="en-US"/>
              </w:rPr>
            </w:pPr>
            <w:r w:rsidRPr="00030958">
              <w:rPr>
                <w:sz w:val="18"/>
                <w:szCs w:val="20"/>
                <w:lang w:val="en-US"/>
              </w:rPr>
              <w:t>29.1</w:t>
            </w:r>
          </w:p>
        </w:tc>
        <w:tc>
          <w:tcPr>
            <w:tcW w:w="326" w:type="pct"/>
            <w:tcBorders>
              <w:top w:val="nil"/>
              <w:left w:val="nil"/>
              <w:bottom w:val="dotted" w:sz="4" w:space="0" w:color="auto"/>
              <w:right w:val="dotted" w:sz="4" w:space="0" w:color="auto"/>
            </w:tcBorders>
            <w:shd w:val="clear" w:color="000000" w:fill="FFFFFF"/>
            <w:vAlign w:val="center"/>
            <w:hideMark/>
          </w:tcPr>
          <w:p w14:paraId="4C38D279" w14:textId="77777777" w:rsidR="009D6D4E" w:rsidRPr="00030958" w:rsidRDefault="009D6D4E" w:rsidP="00BF3B71">
            <w:pPr>
              <w:jc w:val="center"/>
              <w:rPr>
                <w:sz w:val="18"/>
                <w:szCs w:val="20"/>
                <w:lang w:val="en-US"/>
              </w:rPr>
            </w:pPr>
            <w:r w:rsidRPr="00030958">
              <w:rPr>
                <w:sz w:val="18"/>
                <w:szCs w:val="20"/>
                <w:lang w:val="en-US"/>
              </w:rPr>
              <w:t>33.4</w:t>
            </w:r>
          </w:p>
        </w:tc>
        <w:tc>
          <w:tcPr>
            <w:tcW w:w="326" w:type="pct"/>
            <w:tcBorders>
              <w:top w:val="nil"/>
              <w:left w:val="nil"/>
              <w:bottom w:val="dotted" w:sz="4" w:space="0" w:color="auto"/>
              <w:right w:val="dotted" w:sz="4" w:space="0" w:color="auto"/>
            </w:tcBorders>
            <w:shd w:val="clear" w:color="000000" w:fill="FFFFFF"/>
            <w:vAlign w:val="center"/>
            <w:hideMark/>
          </w:tcPr>
          <w:p w14:paraId="3AEF3889" w14:textId="77777777" w:rsidR="009D6D4E" w:rsidRPr="00030958" w:rsidRDefault="009D6D4E" w:rsidP="00BF3B71">
            <w:pPr>
              <w:jc w:val="center"/>
              <w:rPr>
                <w:sz w:val="18"/>
                <w:szCs w:val="20"/>
                <w:lang w:val="en-US"/>
              </w:rPr>
            </w:pPr>
            <w:r w:rsidRPr="00030958">
              <w:rPr>
                <w:sz w:val="18"/>
                <w:szCs w:val="20"/>
                <w:lang w:val="en-US"/>
              </w:rPr>
              <w:t>32.7</w:t>
            </w:r>
          </w:p>
        </w:tc>
        <w:tc>
          <w:tcPr>
            <w:tcW w:w="326" w:type="pct"/>
            <w:tcBorders>
              <w:top w:val="nil"/>
              <w:left w:val="nil"/>
              <w:bottom w:val="dotted" w:sz="4" w:space="0" w:color="auto"/>
              <w:right w:val="dotted" w:sz="4" w:space="0" w:color="auto"/>
            </w:tcBorders>
            <w:shd w:val="clear" w:color="000000" w:fill="FFFFFF"/>
            <w:vAlign w:val="center"/>
            <w:hideMark/>
          </w:tcPr>
          <w:p w14:paraId="0658ABAD" w14:textId="77777777" w:rsidR="009D6D4E" w:rsidRPr="00030958" w:rsidRDefault="009D6D4E" w:rsidP="00BF3B71">
            <w:pPr>
              <w:jc w:val="center"/>
              <w:rPr>
                <w:sz w:val="18"/>
                <w:szCs w:val="20"/>
                <w:lang w:val="en-US"/>
              </w:rPr>
            </w:pPr>
            <w:r w:rsidRPr="00030958">
              <w:rPr>
                <w:sz w:val="18"/>
                <w:szCs w:val="20"/>
                <w:lang w:val="en-US"/>
              </w:rPr>
              <w:t>32.0</w:t>
            </w:r>
          </w:p>
        </w:tc>
        <w:tc>
          <w:tcPr>
            <w:tcW w:w="326" w:type="pct"/>
            <w:tcBorders>
              <w:top w:val="nil"/>
              <w:left w:val="nil"/>
              <w:bottom w:val="dotted" w:sz="4" w:space="0" w:color="auto"/>
              <w:right w:val="double" w:sz="6" w:space="0" w:color="auto"/>
            </w:tcBorders>
            <w:shd w:val="clear" w:color="000000" w:fill="FFFFFF"/>
            <w:vAlign w:val="center"/>
            <w:hideMark/>
          </w:tcPr>
          <w:p w14:paraId="12BEBF67" w14:textId="77777777" w:rsidR="009D6D4E" w:rsidRPr="00030958" w:rsidRDefault="009D6D4E" w:rsidP="00BF3B71">
            <w:pPr>
              <w:jc w:val="center"/>
              <w:rPr>
                <w:sz w:val="18"/>
                <w:szCs w:val="20"/>
                <w:lang w:val="en-US"/>
              </w:rPr>
            </w:pPr>
            <w:r w:rsidRPr="00030958">
              <w:rPr>
                <w:sz w:val="18"/>
                <w:szCs w:val="20"/>
                <w:lang w:val="en-US"/>
              </w:rPr>
              <w:t>31.2</w:t>
            </w:r>
          </w:p>
        </w:tc>
      </w:tr>
      <w:tr w:rsidR="009D6D4E" w:rsidRPr="00030958" w14:paraId="33B00DEB" w14:textId="77777777" w:rsidTr="00BF3B71">
        <w:trPr>
          <w:trHeight w:val="20"/>
        </w:trPr>
        <w:tc>
          <w:tcPr>
            <w:tcW w:w="2424" w:type="pct"/>
            <w:tcBorders>
              <w:top w:val="nil"/>
              <w:left w:val="double" w:sz="6" w:space="0" w:color="auto"/>
              <w:bottom w:val="double" w:sz="6" w:space="0" w:color="auto"/>
              <w:right w:val="nil"/>
            </w:tcBorders>
            <w:shd w:val="clear" w:color="000000" w:fill="FFFFFF"/>
            <w:vAlign w:val="bottom"/>
            <w:hideMark/>
          </w:tcPr>
          <w:p w14:paraId="2D0C75EF" w14:textId="77777777" w:rsidR="009D6D4E" w:rsidRPr="00030958" w:rsidRDefault="009D6D4E" w:rsidP="00BF3B71">
            <w:pPr>
              <w:rPr>
                <w:sz w:val="18"/>
                <w:szCs w:val="20"/>
                <w:lang w:val="en-US"/>
              </w:rPr>
            </w:pPr>
            <w:r w:rsidRPr="00030958">
              <w:rPr>
                <w:sz w:val="18"/>
                <w:szCs w:val="20"/>
                <w:lang w:val="en-US"/>
              </w:rPr>
              <w:t>p.m.  Kompenzimi I punëtorëve</w:t>
            </w:r>
          </w:p>
        </w:tc>
        <w:tc>
          <w:tcPr>
            <w:tcW w:w="517" w:type="pct"/>
            <w:tcBorders>
              <w:top w:val="nil"/>
              <w:left w:val="single" w:sz="8" w:space="0" w:color="auto"/>
              <w:bottom w:val="double" w:sz="6" w:space="0" w:color="auto"/>
              <w:right w:val="single" w:sz="8" w:space="0" w:color="auto"/>
            </w:tcBorders>
            <w:shd w:val="clear" w:color="000000" w:fill="FFFFFF"/>
            <w:vAlign w:val="bottom"/>
            <w:hideMark/>
          </w:tcPr>
          <w:p w14:paraId="5215206C" w14:textId="77777777" w:rsidR="009D6D4E" w:rsidRPr="00030958" w:rsidRDefault="009D6D4E" w:rsidP="00BF3B71">
            <w:pPr>
              <w:jc w:val="center"/>
              <w:rPr>
                <w:sz w:val="18"/>
                <w:szCs w:val="20"/>
                <w:lang w:val="en-US"/>
              </w:rPr>
            </w:pPr>
            <w:r w:rsidRPr="00030958">
              <w:rPr>
                <w:sz w:val="18"/>
                <w:szCs w:val="20"/>
                <w:lang w:val="en-US"/>
              </w:rPr>
              <w:t>D1</w:t>
            </w:r>
          </w:p>
        </w:tc>
        <w:tc>
          <w:tcPr>
            <w:tcW w:w="429" w:type="pct"/>
            <w:tcBorders>
              <w:top w:val="nil"/>
              <w:left w:val="nil"/>
              <w:bottom w:val="double" w:sz="6" w:space="0" w:color="auto"/>
              <w:right w:val="single" w:sz="8" w:space="0" w:color="auto"/>
            </w:tcBorders>
            <w:shd w:val="clear" w:color="000000" w:fill="FFFFFF"/>
            <w:vAlign w:val="bottom"/>
            <w:hideMark/>
          </w:tcPr>
          <w:p w14:paraId="0F89BDD5" w14:textId="77777777" w:rsidR="009D6D4E" w:rsidRPr="00030958" w:rsidRDefault="009D6D4E" w:rsidP="00BF3B71">
            <w:pPr>
              <w:jc w:val="center"/>
              <w:rPr>
                <w:sz w:val="18"/>
                <w:szCs w:val="20"/>
                <w:lang w:val="en-US"/>
              </w:rPr>
            </w:pPr>
            <w:r w:rsidRPr="00030958">
              <w:rPr>
                <w:sz w:val="18"/>
                <w:szCs w:val="20"/>
                <w:lang w:val="en-US"/>
              </w:rPr>
              <w:t>592.6</w:t>
            </w:r>
          </w:p>
        </w:tc>
        <w:tc>
          <w:tcPr>
            <w:tcW w:w="326" w:type="pct"/>
            <w:tcBorders>
              <w:top w:val="nil"/>
              <w:left w:val="nil"/>
              <w:bottom w:val="double" w:sz="6" w:space="0" w:color="auto"/>
              <w:right w:val="dotted" w:sz="4" w:space="0" w:color="auto"/>
            </w:tcBorders>
            <w:shd w:val="clear" w:color="000000" w:fill="FFFFFF"/>
            <w:vAlign w:val="bottom"/>
            <w:hideMark/>
          </w:tcPr>
          <w:p w14:paraId="32444BC1" w14:textId="77777777" w:rsidR="009D6D4E" w:rsidRPr="00030958" w:rsidRDefault="009D6D4E" w:rsidP="00BF3B71">
            <w:pPr>
              <w:jc w:val="center"/>
              <w:rPr>
                <w:sz w:val="18"/>
                <w:szCs w:val="20"/>
                <w:lang w:val="en-US"/>
              </w:rPr>
            </w:pPr>
            <w:r w:rsidRPr="00030958">
              <w:rPr>
                <w:sz w:val="18"/>
                <w:szCs w:val="20"/>
                <w:lang w:val="en-US"/>
              </w:rPr>
              <w:t>8.8</w:t>
            </w:r>
          </w:p>
        </w:tc>
        <w:tc>
          <w:tcPr>
            <w:tcW w:w="326" w:type="pct"/>
            <w:tcBorders>
              <w:top w:val="nil"/>
              <w:left w:val="nil"/>
              <w:bottom w:val="double" w:sz="6" w:space="0" w:color="auto"/>
              <w:right w:val="dotted" w:sz="4" w:space="0" w:color="auto"/>
            </w:tcBorders>
            <w:shd w:val="clear" w:color="000000" w:fill="FFFFFF"/>
            <w:vAlign w:val="bottom"/>
            <w:hideMark/>
          </w:tcPr>
          <w:p w14:paraId="011AE782" w14:textId="77777777" w:rsidR="009D6D4E" w:rsidRPr="00030958" w:rsidRDefault="009D6D4E" w:rsidP="00BF3B71">
            <w:pPr>
              <w:jc w:val="center"/>
              <w:rPr>
                <w:sz w:val="18"/>
                <w:szCs w:val="20"/>
                <w:lang w:val="en-US"/>
              </w:rPr>
            </w:pPr>
            <w:r w:rsidRPr="00030958">
              <w:rPr>
                <w:sz w:val="18"/>
                <w:szCs w:val="20"/>
                <w:lang w:val="en-US"/>
              </w:rPr>
              <w:t>8.7</w:t>
            </w:r>
          </w:p>
        </w:tc>
        <w:tc>
          <w:tcPr>
            <w:tcW w:w="326" w:type="pct"/>
            <w:tcBorders>
              <w:top w:val="nil"/>
              <w:left w:val="nil"/>
              <w:bottom w:val="double" w:sz="6" w:space="0" w:color="auto"/>
              <w:right w:val="dotted" w:sz="4" w:space="0" w:color="auto"/>
            </w:tcBorders>
            <w:shd w:val="clear" w:color="000000" w:fill="FFFFFF"/>
            <w:vAlign w:val="bottom"/>
            <w:hideMark/>
          </w:tcPr>
          <w:p w14:paraId="00302924" w14:textId="77777777" w:rsidR="009D6D4E" w:rsidRPr="00030958" w:rsidRDefault="009D6D4E" w:rsidP="00BF3B71">
            <w:pPr>
              <w:jc w:val="center"/>
              <w:rPr>
                <w:sz w:val="18"/>
                <w:szCs w:val="20"/>
                <w:lang w:val="en-US"/>
              </w:rPr>
            </w:pPr>
            <w:r w:rsidRPr="00030958">
              <w:rPr>
                <w:sz w:val="18"/>
                <w:szCs w:val="20"/>
                <w:lang w:val="en-US"/>
              </w:rPr>
              <w:t>8.7</w:t>
            </w:r>
          </w:p>
        </w:tc>
        <w:tc>
          <w:tcPr>
            <w:tcW w:w="326" w:type="pct"/>
            <w:tcBorders>
              <w:top w:val="nil"/>
              <w:left w:val="nil"/>
              <w:bottom w:val="double" w:sz="6" w:space="0" w:color="auto"/>
              <w:right w:val="dotted" w:sz="4" w:space="0" w:color="auto"/>
            </w:tcBorders>
            <w:shd w:val="clear" w:color="000000" w:fill="FFFFFF"/>
            <w:vAlign w:val="bottom"/>
            <w:hideMark/>
          </w:tcPr>
          <w:p w14:paraId="52A7056C" w14:textId="77777777" w:rsidR="009D6D4E" w:rsidRPr="00030958" w:rsidRDefault="009D6D4E" w:rsidP="00BF3B71">
            <w:pPr>
              <w:jc w:val="center"/>
              <w:rPr>
                <w:sz w:val="18"/>
                <w:szCs w:val="20"/>
                <w:lang w:val="en-US"/>
              </w:rPr>
            </w:pPr>
            <w:r w:rsidRPr="00030958">
              <w:rPr>
                <w:sz w:val="18"/>
                <w:szCs w:val="20"/>
                <w:lang w:val="en-US"/>
              </w:rPr>
              <w:t>8.7</w:t>
            </w:r>
          </w:p>
        </w:tc>
        <w:tc>
          <w:tcPr>
            <w:tcW w:w="326" w:type="pct"/>
            <w:tcBorders>
              <w:top w:val="nil"/>
              <w:left w:val="nil"/>
              <w:bottom w:val="double" w:sz="6" w:space="0" w:color="auto"/>
              <w:right w:val="double" w:sz="6" w:space="0" w:color="auto"/>
            </w:tcBorders>
            <w:shd w:val="clear" w:color="000000" w:fill="FFFFFF"/>
            <w:vAlign w:val="bottom"/>
            <w:hideMark/>
          </w:tcPr>
          <w:p w14:paraId="6C87E02D" w14:textId="77777777" w:rsidR="009D6D4E" w:rsidRPr="00030958" w:rsidRDefault="009D6D4E" w:rsidP="00BF3B71">
            <w:pPr>
              <w:jc w:val="center"/>
              <w:rPr>
                <w:sz w:val="18"/>
                <w:szCs w:val="20"/>
                <w:lang w:val="en-US"/>
              </w:rPr>
            </w:pPr>
            <w:r w:rsidRPr="00030958">
              <w:rPr>
                <w:sz w:val="18"/>
                <w:szCs w:val="20"/>
                <w:lang w:val="en-US"/>
              </w:rPr>
              <w:t>8.7</w:t>
            </w:r>
          </w:p>
        </w:tc>
      </w:tr>
    </w:tbl>
    <w:p w14:paraId="0412B5AF" w14:textId="77777777" w:rsidR="009D6D4E" w:rsidRDefault="009D6D4E" w:rsidP="009D6D4E"/>
    <w:tbl>
      <w:tblPr>
        <w:tblW w:w="5000" w:type="pct"/>
        <w:tblLook w:val="04A0" w:firstRow="1" w:lastRow="0" w:firstColumn="1" w:lastColumn="0" w:noHBand="0" w:noVBand="1"/>
      </w:tblPr>
      <w:tblGrid>
        <w:gridCol w:w="4329"/>
        <w:gridCol w:w="483"/>
        <w:gridCol w:w="847"/>
        <w:gridCol w:w="731"/>
        <w:gridCol w:w="731"/>
        <w:gridCol w:w="731"/>
        <w:gridCol w:w="731"/>
        <w:gridCol w:w="731"/>
      </w:tblGrid>
      <w:tr w:rsidR="009D6D4E" w:rsidRPr="00030958" w14:paraId="1BD18BC8" w14:textId="77777777" w:rsidTr="00BF3B71">
        <w:trPr>
          <w:trHeight w:val="20"/>
        </w:trPr>
        <w:tc>
          <w:tcPr>
            <w:tcW w:w="2301" w:type="pct"/>
            <w:gridSpan w:val="2"/>
            <w:tcBorders>
              <w:top w:val="nil"/>
              <w:left w:val="nil"/>
              <w:bottom w:val="nil"/>
              <w:right w:val="nil"/>
            </w:tcBorders>
            <w:shd w:val="clear" w:color="000000" w:fill="FFFFFF"/>
            <w:noWrap/>
            <w:vAlign w:val="center"/>
            <w:hideMark/>
          </w:tcPr>
          <w:p w14:paraId="5CD0AEB9" w14:textId="77777777" w:rsidR="009D6D4E" w:rsidRPr="00FC648F" w:rsidRDefault="009D6D4E" w:rsidP="00BF3B71">
            <w:pPr>
              <w:rPr>
                <w:b/>
                <w:bCs/>
                <w:sz w:val="18"/>
                <w:szCs w:val="20"/>
              </w:rPr>
            </w:pPr>
            <w:r w:rsidRPr="00FC648F">
              <w:rPr>
                <w:b/>
                <w:bCs/>
                <w:sz w:val="18"/>
                <w:szCs w:val="20"/>
              </w:rPr>
              <w:t>Tabela 2b:  Prospektet buxhetore të qeverisë së përgjtihshme</w:t>
            </w:r>
          </w:p>
        </w:tc>
        <w:tc>
          <w:tcPr>
            <w:tcW w:w="389" w:type="pct"/>
            <w:tcBorders>
              <w:top w:val="nil"/>
              <w:left w:val="nil"/>
              <w:bottom w:val="nil"/>
              <w:right w:val="nil"/>
            </w:tcBorders>
            <w:shd w:val="clear" w:color="000000" w:fill="FFFFFF"/>
            <w:noWrap/>
            <w:vAlign w:val="center"/>
            <w:hideMark/>
          </w:tcPr>
          <w:p w14:paraId="4CCBD93B" w14:textId="77777777" w:rsidR="009D6D4E" w:rsidRPr="00FC648F" w:rsidRDefault="009D6D4E" w:rsidP="00BF3B71">
            <w:pPr>
              <w:rPr>
                <w:sz w:val="18"/>
                <w:szCs w:val="20"/>
              </w:rPr>
            </w:pPr>
            <w:r w:rsidRPr="00FC648F">
              <w:rPr>
                <w:sz w:val="18"/>
                <w:szCs w:val="20"/>
              </w:rPr>
              <w:t> </w:t>
            </w:r>
          </w:p>
        </w:tc>
        <w:tc>
          <w:tcPr>
            <w:tcW w:w="462" w:type="pct"/>
            <w:tcBorders>
              <w:top w:val="nil"/>
              <w:left w:val="nil"/>
              <w:bottom w:val="nil"/>
              <w:right w:val="nil"/>
            </w:tcBorders>
            <w:shd w:val="clear" w:color="000000" w:fill="FFFFFF"/>
            <w:noWrap/>
            <w:vAlign w:val="center"/>
            <w:hideMark/>
          </w:tcPr>
          <w:p w14:paraId="43598719" w14:textId="77777777" w:rsidR="009D6D4E" w:rsidRPr="00FC648F" w:rsidRDefault="009D6D4E" w:rsidP="00BF3B71">
            <w:pPr>
              <w:rPr>
                <w:sz w:val="18"/>
                <w:szCs w:val="20"/>
              </w:rPr>
            </w:pPr>
            <w:r w:rsidRPr="00FC648F">
              <w:rPr>
                <w:sz w:val="18"/>
                <w:szCs w:val="20"/>
              </w:rPr>
              <w:t> </w:t>
            </w:r>
          </w:p>
        </w:tc>
        <w:tc>
          <w:tcPr>
            <w:tcW w:w="462" w:type="pct"/>
            <w:tcBorders>
              <w:top w:val="nil"/>
              <w:left w:val="nil"/>
              <w:bottom w:val="nil"/>
              <w:right w:val="nil"/>
            </w:tcBorders>
            <w:shd w:val="clear" w:color="000000" w:fill="FFFFFF"/>
            <w:noWrap/>
            <w:vAlign w:val="center"/>
            <w:hideMark/>
          </w:tcPr>
          <w:p w14:paraId="5CA09BAD" w14:textId="77777777" w:rsidR="009D6D4E" w:rsidRPr="00FC648F" w:rsidRDefault="009D6D4E" w:rsidP="00BF3B71">
            <w:pPr>
              <w:rPr>
                <w:sz w:val="18"/>
                <w:szCs w:val="20"/>
              </w:rPr>
            </w:pPr>
            <w:r w:rsidRPr="00FC648F">
              <w:rPr>
                <w:sz w:val="18"/>
                <w:szCs w:val="20"/>
              </w:rPr>
              <w:t> </w:t>
            </w:r>
          </w:p>
        </w:tc>
        <w:tc>
          <w:tcPr>
            <w:tcW w:w="462" w:type="pct"/>
            <w:tcBorders>
              <w:top w:val="nil"/>
              <w:left w:val="nil"/>
              <w:bottom w:val="nil"/>
              <w:right w:val="nil"/>
            </w:tcBorders>
            <w:shd w:val="clear" w:color="000000" w:fill="FFFFFF"/>
            <w:noWrap/>
            <w:vAlign w:val="center"/>
            <w:hideMark/>
          </w:tcPr>
          <w:p w14:paraId="188134A3" w14:textId="77777777" w:rsidR="009D6D4E" w:rsidRPr="00FC648F" w:rsidRDefault="009D6D4E" w:rsidP="00BF3B71">
            <w:pPr>
              <w:rPr>
                <w:sz w:val="18"/>
                <w:szCs w:val="20"/>
              </w:rPr>
            </w:pPr>
            <w:r w:rsidRPr="00FC648F">
              <w:rPr>
                <w:sz w:val="18"/>
                <w:szCs w:val="20"/>
              </w:rPr>
              <w:t> </w:t>
            </w:r>
          </w:p>
        </w:tc>
        <w:tc>
          <w:tcPr>
            <w:tcW w:w="462" w:type="pct"/>
            <w:tcBorders>
              <w:top w:val="nil"/>
              <w:left w:val="nil"/>
              <w:bottom w:val="nil"/>
              <w:right w:val="nil"/>
            </w:tcBorders>
            <w:shd w:val="clear" w:color="000000" w:fill="FFFFFF"/>
            <w:noWrap/>
            <w:vAlign w:val="center"/>
            <w:hideMark/>
          </w:tcPr>
          <w:p w14:paraId="2FCCFD33" w14:textId="77777777" w:rsidR="009D6D4E" w:rsidRPr="00FC648F" w:rsidRDefault="009D6D4E" w:rsidP="00BF3B71">
            <w:pPr>
              <w:rPr>
                <w:sz w:val="18"/>
                <w:szCs w:val="20"/>
              </w:rPr>
            </w:pPr>
            <w:r w:rsidRPr="00FC648F">
              <w:rPr>
                <w:sz w:val="18"/>
                <w:szCs w:val="20"/>
              </w:rPr>
              <w:t> </w:t>
            </w:r>
          </w:p>
        </w:tc>
        <w:tc>
          <w:tcPr>
            <w:tcW w:w="462" w:type="pct"/>
            <w:tcBorders>
              <w:top w:val="nil"/>
              <w:left w:val="nil"/>
              <w:bottom w:val="nil"/>
              <w:right w:val="nil"/>
            </w:tcBorders>
            <w:shd w:val="clear" w:color="000000" w:fill="FFFFFF"/>
            <w:noWrap/>
            <w:vAlign w:val="center"/>
            <w:hideMark/>
          </w:tcPr>
          <w:p w14:paraId="661A58E7" w14:textId="77777777" w:rsidR="009D6D4E" w:rsidRPr="00FC648F" w:rsidRDefault="009D6D4E" w:rsidP="00BF3B71">
            <w:pPr>
              <w:rPr>
                <w:sz w:val="18"/>
                <w:szCs w:val="20"/>
              </w:rPr>
            </w:pPr>
            <w:r w:rsidRPr="00FC648F">
              <w:rPr>
                <w:sz w:val="18"/>
                <w:szCs w:val="20"/>
              </w:rPr>
              <w:t> </w:t>
            </w:r>
          </w:p>
        </w:tc>
      </w:tr>
      <w:tr w:rsidR="009D6D4E" w:rsidRPr="00030958" w14:paraId="51AFD035" w14:textId="77777777" w:rsidTr="00BF3B71">
        <w:trPr>
          <w:trHeight w:val="20"/>
        </w:trPr>
        <w:tc>
          <w:tcPr>
            <w:tcW w:w="2070" w:type="pct"/>
            <w:tcBorders>
              <w:top w:val="double" w:sz="6" w:space="0" w:color="auto"/>
              <w:left w:val="double" w:sz="6" w:space="0" w:color="auto"/>
              <w:bottom w:val="nil"/>
              <w:right w:val="nil"/>
            </w:tcBorders>
            <w:shd w:val="clear" w:color="000000" w:fill="FFFFFF"/>
            <w:vAlign w:val="center"/>
            <w:hideMark/>
          </w:tcPr>
          <w:p w14:paraId="50EC46C8" w14:textId="77777777" w:rsidR="009D6D4E" w:rsidRPr="00030958" w:rsidRDefault="009D6D4E" w:rsidP="00BF3B71">
            <w:pPr>
              <w:rPr>
                <w:sz w:val="18"/>
                <w:szCs w:val="20"/>
                <w:lang w:val="en-US"/>
              </w:rPr>
            </w:pPr>
            <w:r w:rsidRPr="00FC648F">
              <w:rPr>
                <w:sz w:val="18"/>
                <w:szCs w:val="20"/>
              </w:rPr>
              <w:t> </w:t>
            </w:r>
            <w:r>
              <w:rPr>
                <w:sz w:val="18"/>
                <w:szCs w:val="20"/>
                <w:lang w:val="en-US"/>
              </w:rPr>
              <w:t>mln</w:t>
            </w:r>
          </w:p>
        </w:tc>
        <w:tc>
          <w:tcPr>
            <w:tcW w:w="231" w:type="pct"/>
            <w:vMerge w:val="restart"/>
            <w:tcBorders>
              <w:top w:val="double" w:sz="6" w:space="0" w:color="auto"/>
              <w:left w:val="nil"/>
              <w:bottom w:val="double" w:sz="6" w:space="0" w:color="000000"/>
              <w:right w:val="single" w:sz="8" w:space="0" w:color="auto"/>
            </w:tcBorders>
            <w:shd w:val="clear" w:color="000000" w:fill="FFFFFF"/>
            <w:vAlign w:val="center"/>
            <w:hideMark/>
          </w:tcPr>
          <w:p w14:paraId="1364394E" w14:textId="77777777" w:rsidR="009D6D4E" w:rsidRPr="00030958" w:rsidRDefault="009D6D4E" w:rsidP="00BF3B71">
            <w:pPr>
              <w:jc w:val="center"/>
              <w:rPr>
                <w:sz w:val="18"/>
                <w:szCs w:val="20"/>
                <w:lang w:val="en-US"/>
              </w:rPr>
            </w:pPr>
            <w:r w:rsidRPr="00030958">
              <w:rPr>
                <w:sz w:val="18"/>
                <w:szCs w:val="20"/>
                <w:lang w:val="en-US"/>
              </w:rPr>
              <w:t> </w:t>
            </w:r>
          </w:p>
        </w:tc>
        <w:tc>
          <w:tcPr>
            <w:tcW w:w="389" w:type="pct"/>
            <w:vMerge w:val="restart"/>
            <w:tcBorders>
              <w:top w:val="double" w:sz="6" w:space="0" w:color="auto"/>
              <w:left w:val="single" w:sz="8" w:space="0" w:color="auto"/>
              <w:bottom w:val="double" w:sz="6" w:space="0" w:color="000000"/>
              <w:right w:val="single" w:sz="8" w:space="0" w:color="auto"/>
            </w:tcBorders>
            <w:shd w:val="clear" w:color="000000" w:fill="FFFFFF"/>
            <w:vAlign w:val="center"/>
            <w:hideMark/>
          </w:tcPr>
          <w:p w14:paraId="06F7263A" w14:textId="77777777" w:rsidR="009D6D4E" w:rsidRPr="00030958" w:rsidRDefault="009D6D4E" w:rsidP="00BF3B71">
            <w:pPr>
              <w:jc w:val="center"/>
              <w:rPr>
                <w:sz w:val="18"/>
                <w:szCs w:val="20"/>
                <w:lang w:val="en-US"/>
              </w:rPr>
            </w:pPr>
            <w:r w:rsidRPr="00030958">
              <w:rPr>
                <w:sz w:val="18"/>
                <w:szCs w:val="20"/>
                <w:lang w:val="en-US"/>
              </w:rPr>
              <w:t>ESA code</w:t>
            </w:r>
          </w:p>
        </w:tc>
        <w:tc>
          <w:tcPr>
            <w:tcW w:w="462" w:type="pct"/>
            <w:tcBorders>
              <w:top w:val="double" w:sz="6" w:space="0" w:color="auto"/>
              <w:left w:val="nil"/>
              <w:bottom w:val="dotted" w:sz="4" w:space="0" w:color="auto"/>
              <w:right w:val="dotted" w:sz="4" w:space="0" w:color="auto"/>
            </w:tcBorders>
            <w:shd w:val="clear" w:color="000000" w:fill="FFFFFF"/>
            <w:vAlign w:val="center"/>
            <w:hideMark/>
          </w:tcPr>
          <w:p w14:paraId="52823E16" w14:textId="77777777" w:rsidR="009D6D4E" w:rsidRPr="00030958" w:rsidRDefault="009D6D4E" w:rsidP="00BF3B71">
            <w:pPr>
              <w:jc w:val="center"/>
              <w:rPr>
                <w:sz w:val="18"/>
                <w:szCs w:val="20"/>
                <w:lang w:val="en-US"/>
              </w:rPr>
            </w:pPr>
            <w:r w:rsidRPr="00030958">
              <w:rPr>
                <w:sz w:val="18"/>
                <w:szCs w:val="20"/>
                <w:lang w:val="en-US"/>
              </w:rPr>
              <w:t>2018</w:t>
            </w:r>
          </w:p>
        </w:tc>
        <w:tc>
          <w:tcPr>
            <w:tcW w:w="462" w:type="pct"/>
            <w:tcBorders>
              <w:top w:val="double" w:sz="6" w:space="0" w:color="auto"/>
              <w:left w:val="nil"/>
              <w:bottom w:val="dotted" w:sz="4" w:space="0" w:color="auto"/>
              <w:right w:val="dotted" w:sz="4" w:space="0" w:color="auto"/>
            </w:tcBorders>
            <w:shd w:val="clear" w:color="000000" w:fill="FFFFFF"/>
            <w:vAlign w:val="center"/>
            <w:hideMark/>
          </w:tcPr>
          <w:p w14:paraId="6994A29D" w14:textId="77777777" w:rsidR="009D6D4E" w:rsidRPr="00030958" w:rsidRDefault="009D6D4E" w:rsidP="00BF3B71">
            <w:pPr>
              <w:jc w:val="center"/>
              <w:rPr>
                <w:sz w:val="18"/>
                <w:szCs w:val="20"/>
                <w:lang w:val="en-US"/>
              </w:rPr>
            </w:pPr>
            <w:r w:rsidRPr="00030958">
              <w:rPr>
                <w:sz w:val="18"/>
                <w:szCs w:val="20"/>
                <w:lang w:val="en-US"/>
              </w:rPr>
              <w:t>2019</w:t>
            </w:r>
          </w:p>
        </w:tc>
        <w:tc>
          <w:tcPr>
            <w:tcW w:w="462" w:type="pct"/>
            <w:tcBorders>
              <w:top w:val="double" w:sz="6" w:space="0" w:color="auto"/>
              <w:left w:val="nil"/>
              <w:bottom w:val="dotted" w:sz="4" w:space="0" w:color="auto"/>
              <w:right w:val="dotted" w:sz="4" w:space="0" w:color="auto"/>
            </w:tcBorders>
            <w:shd w:val="clear" w:color="000000" w:fill="FFFFFF"/>
            <w:vAlign w:val="center"/>
            <w:hideMark/>
          </w:tcPr>
          <w:p w14:paraId="062F4BF6" w14:textId="77777777" w:rsidR="009D6D4E" w:rsidRPr="00030958" w:rsidRDefault="009D6D4E" w:rsidP="00BF3B71">
            <w:pPr>
              <w:jc w:val="center"/>
              <w:rPr>
                <w:sz w:val="18"/>
                <w:szCs w:val="20"/>
                <w:lang w:val="en-US"/>
              </w:rPr>
            </w:pPr>
            <w:r w:rsidRPr="00030958">
              <w:rPr>
                <w:sz w:val="18"/>
                <w:szCs w:val="20"/>
                <w:lang w:val="en-US"/>
              </w:rPr>
              <w:t>2020</w:t>
            </w:r>
          </w:p>
        </w:tc>
        <w:tc>
          <w:tcPr>
            <w:tcW w:w="462" w:type="pct"/>
            <w:tcBorders>
              <w:top w:val="double" w:sz="6" w:space="0" w:color="auto"/>
              <w:left w:val="nil"/>
              <w:bottom w:val="dotted" w:sz="4" w:space="0" w:color="auto"/>
              <w:right w:val="dotted" w:sz="4" w:space="0" w:color="auto"/>
            </w:tcBorders>
            <w:shd w:val="clear" w:color="000000" w:fill="FFFFFF"/>
            <w:vAlign w:val="center"/>
            <w:hideMark/>
          </w:tcPr>
          <w:p w14:paraId="5F81D78F" w14:textId="77777777" w:rsidR="009D6D4E" w:rsidRPr="00030958" w:rsidRDefault="009D6D4E" w:rsidP="00BF3B71">
            <w:pPr>
              <w:jc w:val="center"/>
              <w:rPr>
                <w:sz w:val="18"/>
                <w:szCs w:val="20"/>
                <w:lang w:val="en-US"/>
              </w:rPr>
            </w:pPr>
            <w:r w:rsidRPr="00030958">
              <w:rPr>
                <w:sz w:val="18"/>
                <w:szCs w:val="20"/>
                <w:lang w:val="en-US"/>
              </w:rPr>
              <w:t>2021</w:t>
            </w:r>
          </w:p>
        </w:tc>
        <w:tc>
          <w:tcPr>
            <w:tcW w:w="462" w:type="pct"/>
            <w:tcBorders>
              <w:top w:val="double" w:sz="6" w:space="0" w:color="auto"/>
              <w:left w:val="nil"/>
              <w:bottom w:val="dotted" w:sz="4" w:space="0" w:color="auto"/>
              <w:right w:val="double" w:sz="6" w:space="0" w:color="auto"/>
            </w:tcBorders>
            <w:shd w:val="clear" w:color="000000" w:fill="FFFFFF"/>
            <w:vAlign w:val="center"/>
            <w:hideMark/>
          </w:tcPr>
          <w:p w14:paraId="133775D3" w14:textId="77777777" w:rsidR="009D6D4E" w:rsidRPr="00030958" w:rsidRDefault="009D6D4E" w:rsidP="00BF3B71">
            <w:pPr>
              <w:jc w:val="center"/>
              <w:rPr>
                <w:sz w:val="18"/>
                <w:szCs w:val="20"/>
                <w:lang w:val="en-US"/>
              </w:rPr>
            </w:pPr>
            <w:r w:rsidRPr="00030958">
              <w:rPr>
                <w:sz w:val="18"/>
                <w:szCs w:val="20"/>
                <w:lang w:val="en-US"/>
              </w:rPr>
              <w:t>2022</w:t>
            </w:r>
          </w:p>
        </w:tc>
      </w:tr>
      <w:tr w:rsidR="009D6D4E" w:rsidRPr="00030958" w14:paraId="76087534" w14:textId="77777777" w:rsidTr="00BF3B71">
        <w:trPr>
          <w:trHeight w:val="20"/>
        </w:trPr>
        <w:tc>
          <w:tcPr>
            <w:tcW w:w="2070" w:type="pct"/>
            <w:tcBorders>
              <w:top w:val="nil"/>
              <w:left w:val="double" w:sz="6" w:space="0" w:color="auto"/>
              <w:bottom w:val="double" w:sz="6" w:space="0" w:color="auto"/>
              <w:right w:val="nil"/>
            </w:tcBorders>
            <w:shd w:val="clear" w:color="000000" w:fill="FFFFFF"/>
            <w:vAlign w:val="center"/>
            <w:hideMark/>
          </w:tcPr>
          <w:p w14:paraId="60D34FB4" w14:textId="77777777" w:rsidR="009D6D4E" w:rsidRPr="00030958" w:rsidRDefault="009D6D4E" w:rsidP="00BF3B71">
            <w:pPr>
              <w:rPr>
                <w:sz w:val="18"/>
                <w:szCs w:val="20"/>
                <w:lang w:val="en-US"/>
              </w:rPr>
            </w:pPr>
            <w:r w:rsidRPr="00030958">
              <w:rPr>
                <w:sz w:val="18"/>
                <w:szCs w:val="20"/>
                <w:lang w:val="en-US"/>
              </w:rPr>
              <w:t> </w:t>
            </w:r>
          </w:p>
        </w:tc>
        <w:tc>
          <w:tcPr>
            <w:tcW w:w="231" w:type="pct"/>
            <w:vMerge/>
            <w:tcBorders>
              <w:top w:val="double" w:sz="6" w:space="0" w:color="auto"/>
              <w:left w:val="nil"/>
              <w:bottom w:val="double" w:sz="6" w:space="0" w:color="000000"/>
              <w:right w:val="single" w:sz="8" w:space="0" w:color="auto"/>
            </w:tcBorders>
            <w:vAlign w:val="center"/>
            <w:hideMark/>
          </w:tcPr>
          <w:p w14:paraId="25A58D0D" w14:textId="77777777" w:rsidR="009D6D4E" w:rsidRPr="00030958" w:rsidRDefault="009D6D4E" w:rsidP="00BF3B71">
            <w:pPr>
              <w:rPr>
                <w:sz w:val="18"/>
                <w:szCs w:val="20"/>
                <w:lang w:val="en-US"/>
              </w:rPr>
            </w:pPr>
          </w:p>
        </w:tc>
        <w:tc>
          <w:tcPr>
            <w:tcW w:w="389" w:type="pct"/>
            <w:vMerge/>
            <w:tcBorders>
              <w:top w:val="double" w:sz="6" w:space="0" w:color="auto"/>
              <w:left w:val="single" w:sz="8" w:space="0" w:color="auto"/>
              <w:bottom w:val="double" w:sz="6" w:space="0" w:color="000000"/>
              <w:right w:val="single" w:sz="8" w:space="0" w:color="auto"/>
            </w:tcBorders>
            <w:vAlign w:val="center"/>
            <w:hideMark/>
          </w:tcPr>
          <w:p w14:paraId="5B20EB56" w14:textId="77777777" w:rsidR="009D6D4E" w:rsidRPr="00030958" w:rsidRDefault="009D6D4E" w:rsidP="00BF3B71">
            <w:pPr>
              <w:rPr>
                <w:sz w:val="18"/>
                <w:szCs w:val="20"/>
                <w:lang w:val="en-US"/>
              </w:rPr>
            </w:pPr>
          </w:p>
        </w:tc>
        <w:tc>
          <w:tcPr>
            <w:tcW w:w="2310" w:type="pct"/>
            <w:gridSpan w:val="5"/>
            <w:tcBorders>
              <w:top w:val="dotted" w:sz="4" w:space="0" w:color="auto"/>
              <w:left w:val="nil"/>
              <w:bottom w:val="double" w:sz="6" w:space="0" w:color="auto"/>
              <w:right w:val="double" w:sz="6" w:space="0" w:color="000000"/>
            </w:tcBorders>
            <w:shd w:val="clear" w:color="000000" w:fill="FFFFFF"/>
            <w:vAlign w:val="center"/>
            <w:hideMark/>
          </w:tcPr>
          <w:p w14:paraId="18F12440" w14:textId="77777777" w:rsidR="009D6D4E" w:rsidRPr="00030958" w:rsidRDefault="009D6D4E" w:rsidP="00BF3B71">
            <w:pPr>
              <w:jc w:val="center"/>
              <w:rPr>
                <w:sz w:val="18"/>
                <w:szCs w:val="20"/>
                <w:lang w:val="en-US"/>
              </w:rPr>
            </w:pPr>
            <w:r w:rsidRPr="00030958">
              <w:rPr>
                <w:sz w:val="18"/>
                <w:szCs w:val="20"/>
                <w:lang w:val="en-US"/>
              </w:rPr>
              <w:t> </w:t>
            </w:r>
          </w:p>
        </w:tc>
      </w:tr>
      <w:tr w:rsidR="009D6D4E" w:rsidRPr="00030958" w14:paraId="6BA3FDF7" w14:textId="77777777" w:rsidTr="00BF3B71">
        <w:trPr>
          <w:trHeight w:val="20"/>
        </w:trPr>
        <w:tc>
          <w:tcPr>
            <w:tcW w:w="2070" w:type="pct"/>
            <w:tcBorders>
              <w:top w:val="nil"/>
              <w:left w:val="double" w:sz="6" w:space="0" w:color="auto"/>
              <w:bottom w:val="single" w:sz="8" w:space="0" w:color="auto"/>
              <w:right w:val="nil"/>
            </w:tcBorders>
            <w:shd w:val="clear" w:color="000000" w:fill="FFFFFF"/>
            <w:vAlign w:val="center"/>
            <w:hideMark/>
          </w:tcPr>
          <w:p w14:paraId="3D853072" w14:textId="77777777" w:rsidR="009D6D4E" w:rsidRPr="00FC648F" w:rsidRDefault="009D6D4E" w:rsidP="00BF3B71">
            <w:pPr>
              <w:rPr>
                <w:b/>
                <w:bCs/>
                <w:sz w:val="18"/>
                <w:szCs w:val="20"/>
              </w:rPr>
            </w:pPr>
            <w:r w:rsidRPr="00FC648F">
              <w:rPr>
                <w:b/>
                <w:bCs/>
                <w:sz w:val="18"/>
                <w:szCs w:val="20"/>
              </w:rPr>
              <w:t>Neto huadhënia (B9) nga nën-sektorët</w:t>
            </w:r>
          </w:p>
        </w:tc>
        <w:tc>
          <w:tcPr>
            <w:tcW w:w="231" w:type="pct"/>
            <w:tcBorders>
              <w:top w:val="nil"/>
              <w:left w:val="nil"/>
              <w:bottom w:val="single" w:sz="8" w:space="0" w:color="auto"/>
              <w:right w:val="nil"/>
            </w:tcBorders>
            <w:shd w:val="clear" w:color="000000" w:fill="FFFFFF"/>
            <w:vAlign w:val="center"/>
            <w:hideMark/>
          </w:tcPr>
          <w:p w14:paraId="39A05643" w14:textId="77777777" w:rsidR="009D6D4E" w:rsidRPr="00FC648F" w:rsidRDefault="009D6D4E" w:rsidP="00BF3B71">
            <w:pPr>
              <w:rPr>
                <w:b/>
                <w:bCs/>
                <w:sz w:val="18"/>
                <w:szCs w:val="20"/>
              </w:rPr>
            </w:pPr>
            <w:r w:rsidRPr="00FC648F">
              <w:rPr>
                <w:b/>
                <w:bCs/>
                <w:sz w:val="18"/>
                <w:szCs w:val="20"/>
              </w:rPr>
              <w:t> </w:t>
            </w:r>
          </w:p>
        </w:tc>
        <w:tc>
          <w:tcPr>
            <w:tcW w:w="389" w:type="pct"/>
            <w:tcBorders>
              <w:top w:val="nil"/>
              <w:left w:val="nil"/>
              <w:bottom w:val="single" w:sz="8" w:space="0" w:color="auto"/>
              <w:right w:val="nil"/>
            </w:tcBorders>
            <w:shd w:val="clear" w:color="000000" w:fill="FFFFFF"/>
            <w:vAlign w:val="center"/>
            <w:hideMark/>
          </w:tcPr>
          <w:p w14:paraId="571A21CE" w14:textId="77777777" w:rsidR="009D6D4E" w:rsidRPr="00FC648F" w:rsidRDefault="009D6D4E" w:rsidP="00BF3B71">
            <w:pPr>
              <w:rPr>
                <w:b/>
                <w:bCs/>
                <w:sz w:val="18"/>
                <w:szCs w:val="20"/>
              </w:rPr>
            </w:pPr>
            <w:r w:rsidRPr="00FC648F">
              <w:rPr>
                <w:b/>
                <w:bCs/>
                <w:sz w:val="18"/>
                <w:szCs w:val="20"/>
              </w:rPr>
              <w:t> </w:t>
            </w:r>
          </w:p>
        </w:tc>
        <w:tc>
          <w:tcPr>
            <w:tcW w:w="462" w:type="pct"/>
            <w:tcBorders>
              <w:top w:val="nil"/>
              <w:left w:val="nil"/>
              <w:bottom w:val="single" w:sz="8" w:space="0" w:color="auto"/>
              <w:right w:val="nil"/>
            </w:tcBorders>
            <w:shd w:val="clear" w:color="000000" w:fill="FFFFFF"/>
            <w:vAlign w:val="center"/>
            <w:hideMark/>
          </w:tcPr>
          <w:p w14:paraId="208FB108" w14:textId="77777777" w:rsidR="009D6D4E" w:rsidRPr="00FC648F" w:rsidRDefault="009D6D4E" w:rsidP="00BF3B71">
            <w:pPr>
              <w:rPr>
                <w:b/>
                <w:bCs/>
                <w:sz w:val="18"/>
                <w:szCs w:val="20"/>
              </w:rPr>
            </w:pPr>
            <w:r w:rsidRPr="00FC648F">
              <w:rPr>
                <w:b/>
                <w:bCs/>
                <w:sz w:val="18"/>
                <w:szCs w:val="20"/>
              </w:rPr>
              <w:t> </w:t>
            </w:r>
          </w:p>
        </w:tc>
        <w:tc>
          <w:tcPr>
            <w:tcW w:w="462" w:type="pct"/>
            <w:tcBorders>
              <w:top w:val="nil"/>
              <w:left w:val="nil"/>
              <w:bottom w:val="single" w:sz="8" w:space="0" w:color="auto"/>
              <w:right w:val="nil"/>
            </w:tcBorders>
            <w:shd w:val="clear" w:color="000000" w:fill="FFFFFF"/>
            <w:vAlign w:val="center"/>
            <w:hideMark/>
          </w:tcPr>
          <w:p w14:paraId="4387478A" w14:textId="77777777" w:rsidR="009D6D4E" w:rsidRPr="00FC648F" w:rsidRDefault="009D6D4E" w:rsidP="00BF3B71">
            <w:pPr>
              <w:rPr>
                <w:b/>
                <w:bCs/>
                <w:sz w:val="18"/>
                <w:szCs w:val="20"/>
              </w:rPr>
            </w:pPr>
            <w:r w:rsidRPr="00FC648F">
              <w:rPr>
                <w:b/>
                <w:bCs/>
                <w:sz w:val="18"/>
                <w:szCs w:val="20"/>
              </w:rPr>
              <w:t> </w:t>
            </w:r>
          </w:p>
        </w:tc>
        <w:tc>
          <w:tcPr>
            <w:tcW w:w="462" w:type="pct"/>
            <w:tcBorders>
              <w:top w:val="nil"/>
              <w:left w:val="nil"/>
              <w:bottom w:val="single" w:sz="8" w:space="0" w:color="auto"/>
              <w:right w:val="nil"/>
            </w:tcBorders>
            <w:shd w:val="clear" w:color="000000" w:fill="FFFFFF"/>
            <w:vAlign w:val="center"/>
            <w:hideMark/>
          </w:tcPr>
          <w:p w14:paraId="37D0457C" w14:textId="77777777" w:rsidR="009D6D4E" w:rsidRPr="00FC648F" w:rsidRDefault="009D6D4E" w:rsidP="00BF3B71">
            <w:pPr>
              <w:rPr>
                <w:b/>
                <w:bCs/>
                <w:sz w:val="18"/>
                <w:szCs w:val="20"/>
              </w:rPr>
            </w:pPr>
            <w:r w:rsidRPr="00FC648F">
              <w:rPr>
                <w:b/>
                <w:bCs/>
                <w:sz w:val="18"/>
                <w:szCs w:val="20"/>
              </w:rPr>
              <w:t> </w:t>
            </w:r>
          </w:p>
        </w:tc>
        <w:tc>
          <w:tcPr>
            <w:tcW w:w="462" w:type="pct"/>
            <w:tcBorders>
              <w:top w:val="nil"/>
              <w:left w:val="nil"/>
              <w:bottom w:val="single" w:sz="8" w:space="0" w:color="auto"/>
              <w:right w:val="nil"/>
            </w:tcBorders>
            <w:shd w:val="clear" w:color="000000" w:fill="FFFFFF"/>
            <w:vAlign w:val="center"/>
            <w:hideMark/>
          </w:tcPr>
          <w:p w14:paraId="4C068368" w14:textId="77777777" w:rsidR="009D6D4E" w:rsidRPr="00FC648F" w:rsidRDefault="009D6D4E" w:rsidP="00BF3B71">
            <w:pPr>
              <w:rPr>
                <w:b/>
                <w:bCs/>
                <w:sz w:val="18"/>
                <w:szCs w:val="20"/>
              </w:rPr>
            </w:pPr>
            <w:r w:rsidRPr="00FC648F">
              <w:rPr>
                <w:b/>
                <w:bCs/>
                <w:sz w:val="18"/>
                <w:szCs w:val="20"/>
              </w:rPr>
              <w:t> </w:t>
            </w:r>
          </w:p>
        </w:tc>
        <w:tc>
          <w:tcPr>
            <w:tcW w:w="462" w:type="pct"/>
            <w:tcBorders>
              <w:top w:val="nil"/>
              <w:left w:val="nil"/>
              <w:bottom w:val="single" w:sz="8" w:space="0" w:color="auto"/>
              <w:right w:val="double" w:sz="6" w:space="0" w:color="auto"/>
            </w:tcBorders>
            <w:shd w:val="clear" w:color="000000" w:fill="FFFFFF"/>
            <w:vAlign w:val="center"/>
            <w:hideMark/>
          </w:tcPr>
          <w:p w14:paraId="30EC130F" w14:textId="77777777" w:rsidR="009D6D4E" w:rsidRPr="00FC648F" w:rsidRDefault="009D6D4E" w:rsidP="00BF3B71">
            <w:pPr>
              <w:rPr>
                <w:b/>
                <w:bCs/>
                <w:sz w:val="18"/>
                <w:szCs w:val="20"/>
              </w:rPr>
            </w:pPr>
            <w:r w:rsidRPr="00FC648F">
              <w:rPr>
                <w:b/>
                <w:bCs/>
                <w:sz w:val="18"/>
                <w:szCs w:val="20"/>
              </w:rPr>
              <w:t> </w:t>
            </w:r>
          </w:p>
        </w:tc>
      </w:tr>
      <w:tr w:rsidR="009D6D4E" w:rsidRPr="00030958" w14:paraId="457E5312" w14:textId="77777777" w:rsidTr="00BF3B71">
        <w:trPr>
          <w:trHeight w:val="20"/>
        </w:trPr>
        <w:tc>
          <w:tcPr>
            <w:tcW w:w="2070" w:type="pct"/>
            <w:tcBorders>
              <w:top w:val="nil"/>
              <w:left w:val="double" w:sz="6" w:space="0" w:color="auto"/>
              <w:bottom w:val="dotted" w:sz="4" w:space="0" w:color="auto"/>
              <w:right w:val="nil"/>
            </w:tcBorders>
            <w:shd w:val="clear" w:color="000000" w:fill="FFFFFF"/>
            <w:vAlign w:val="center"/>
            <w:hideMark/>
          </w:tcPr>
          <w:p w14:paraId="0D52CC91" w14:textId="77777777" w:rsidR="009D6D4E" w:rsidRPr="00030958" w:rsidRDefault="009D6D4E" w:rsidP="00BF3B71">
            <w:pPr>
              <w:rPr>
                <w:sz w:val="18"/>
                <w:szCs w:val="20"/>
                <w:lang w:val="en-US"/>
              </w:rPr>
            </w:pPr>
            <w:r w:rsidRPr="00030958">
              <w:rPr>
                <w:sz w:val="18"/>
                <w:szCs w:val="20"/>
                <w:lang w:val="en-US"/>
              </w:rPr>
              <w:t>1. Qeveria e Përgjithshme/1</w:t>
            </w:r>
          </w:p>
        </w:tc>
        <w:tc>
          <w:tcPr>
            <w:tcW w:w="231" w:type="pct"/>
            <w:tcBorders>
              <w:top w:val="nil"/>
              <w:left w:val="nil"/>
              <w:bottom w:val="dotted" w:sz="4" w:space="0" w:color="auto"/>
              <w:right w:val="single" w:sz="8" w:space="0" w:color="auto"/>
            </w:tcBorders>
            <w:shd w:val="clear" w:color="000000" w:fill="FFFFFF"/>
            <w:vAlign w:val="center"/>
            <w:hideMark/>
          </w:tcPr>
          <w:p w14:paraId="3C7E9671" w14:textId="77777777" w:rsidR="009D6D4E" w:rsidRPr="00030958" w:rsidRDefault="009D6D4E" w:rsidP="00BF3B71">
            <w:pPr>
              <w:jc w:val="center"/>
              <w:rPr>
                <w:sz w:val="18"/>
                <w:szCs w:val="20"/>
                <w:lang w:val="en-US"/>
              </w:rPr>
            </w:pPr>
            <w:r w:rsidRPr="00030958">
              <w:rPr>
                <w:sz w:val="18"/>
                <w:szCs w:val="20"/>
                <w:lang w:val="en-US"/>
              </w:rPr>
              <w:t> </w:t>
            </w:r>
          </w:p>
        </w:tc>
        <w:tc>
          <w:tcPr>
            <w:tcW w:w="389" w:type="pct"/>
            <w:tcBorders>
              <w:top w:val="nil"/>
              <w:left w:val="nil"/>
              <w:bottom w:val="dotted" w:sz="4" w:space="0" w:color="auto"/>
              <w:right w:val="single" w:sz="8" w:space="0" w:color="auto"/>
            </w:tcBorders>
            <w:shd w:val="clear" w:color="000000" w:fill="FFFFFF"/>
            <w:vAlign w:val="center"/>
            <w:hideMark/>
          </w:tcPr>
          <w:p w14:paraId="5F5E36A1" w14:textId="77777777" w:rsidR="009D6D4E" w:rsidRPr="00030958" w:rsidRDefault="009D6D4E" w:rsidP="00BF3B71">
            <w:pPr>
              <w:jc w:val="center"/>
              <w:rPr>
                <w:sz w:val="18"/>
                <w:szCs w:val="20"/>
                <w:lang w:val="en-US"/>
              </w:rPr>
            </w:pPr>
            <w:r w:rsidRPr="00030958">
              <w:rPr>
                <w:sz w:val="18"/>
                <w:szCs w:val="20"/>
                <w:lang w:val="en-US"/>
              </w:rPr>
              <w:t>S13</w:t>
            </w:r>
          </w:p>
        </w:tc>
        <w:tc>
          <w:tcPr>
            <w:tcW w:w="462" w:type="pct"/>
            <w:tcBorders>
              <w:top w:val="nil"/>
              <w:left w:val="nil"/>
              <w:bottom w:val="dotted" w:sz="4" w:space="0" w:color="auto"/>
              <w:right w:val="dotted" w:sz="4" w:space="0" w:color="auto"/>
            </w:tcBorders>
            <w:shd w:val="clear" w:color="000000" w:fill="FFFFFF"/>
            <w:vAlign w:val="center"/>
            <w:hideMark/>
          </w:tcPr>
          <w:p w14:paraId="3C62A690" w14:textId="77777777" w:rsidR="009D6D4E" w:rsidRPr="00030958" w:rsidRDefault="009D6D4E" w:rsidP="00BF3B71">
            <w:pPr>
              <w:jc w:val="center"/>
              <w:rPr>
                <w:sz w:val="18"/>
                <w:szCs w:val="20"/>
                <w:lang w:val="en-US"/>
              </w:rPr>
            </w:pPr>
            <w:r w:rsidRPr="00030958">
              <w:rPr>
                <w:sz w:val="18"/>
                <w:szCs w:val="20"/>
                <w:lang w:val="en-US"/>
              </w:rPr>
              <w:t>-199</w:t>
            </w:r>
          </w:p>
        </w:tc>
        <w:tc>
          <w:tcPr>
            <w:tcW w:w="462" w:type="pct"/>
            <w:tcBorders>
              <w:top w:val="nil"/>
              <w:left w:val="nil"/>
              <w:bottom w:val="dotted" w:sz="4" w:space="0" w:color="auto"/>
              <w:right w:val="dotted" w:sz="4" w:space="0" w:color="auto"/>
            </w:tcBorders>
            <w:shd w:val="clear" w:color="000000" w:fill="FFFFFF"/>
            <w:vAlign w:val="center"/>
            <w:hideMark/>
          </w:tcPr>
          <w:p w14:paraId="2F9CC79E" w14:textId="77777777" w:rsidR="009D6D4E" w:rsidRPr="00030958" w:rsidRDefault="009D6D4E" w:rsidP="00BF3B71">
            <w:pPr>
              <w:jc w:val="center"/>
              <w:rPr>
                <w:sz w:val="18"/>
                <w:szCs w:val="20"/>
                <w:lang w:val="en-US"/>
              </w:rPr>
            </w:pPr>
            <w:r w:rsidRPr="00030958">
              <w:rPr>
                <w:sz w:val="18"/>
                <w:szCs w:val="20"/>
                <w:lang w:val="en-US"/>
              </w:rPr>
              <w:t>-429</w:t>
            </w:r>
          </w:p>
        </w:tc>
        <w:tc>
          <w:tcPr>
            <w:tcW w:w="462" w:type="pct"/>
            <w:tcBorders>
              <w:top w:val="nil"/>
              <w:left w:val="nil"/>
              <w:bottom w:val="dotted" w:sz="4" w:space="0" w:color="auto"/>
              <w:right w:val="dotted" w:sz="4" w:space="0" w:color="auto"/>
            </w:tcBorders>
            <w:shd w:val="clear" w:color="000000" w:fill="FFFFFF"/>
            <w:vAlign w:val="center"/>
            <w:hideMark/>
          </w:tcPr>
          <w:p w14:paraId="2CA2C20E" w14:textId="77777777" w:rsidR="009D6D4E" w:rsidRPr="00030958" w:rsidRDefault="009D6D4E" w:rsidP="00BF3B71">
            <w:pPr>
              <w:jc w:val="center"/>
              <w:rPr>
                <w:sz w:val="18"/>
                <w:szCs w:val="20"/>
                <w:lang w:val="en-US"/>
              </w:rPr>
            </w:pPr>
            <w:r w:rsidRPr="00030958">
              <w:rPr>
                <w:sz w:val="18"/>
                <w:szCs w:val="20"/>
                <w:lang w:val="en-US"/>
              </w:rPr>
              <w:t>-419</w:t>
            </w:r>
          </w:p>
        </w:tc>
        <w:tc>
          <w:tcPr>
            <w:tcW w:w="462" w:type="pct"/>
            <w:tcBorders>
              <w:top w:val="nil"/>
              <w:left w:val="nil"/>
              <w:bottom w:val="dotted" w:sz="4" w:space="0" w:color="auto"/>
              <w:right w:val="dotted" w:sz="4" w:space="0" w:color="auto"/>
            </w:tcBorders>
            <w:shd w:val="clear" w:color="000000" w:fill="FFFFFF"/>
            <w:vAlign w:val="center"/>
            <w:hideMark/>
          </w:tcPr>
          <w:p w14:paraId="7AFB5BC3" w14:textId="77777777" w:rsidR="009D6D4E" w:rsidRPr="00030958" w:rsidRDefault="009D6D4E" w:rsidP="00BF3B71">
            <w:pPr>
              <w:jc w:val="center"/>
              <w:rPr>
                <w:sz w:val="18"/>
                <w:szCs w:val="20"/>
                <w:lang w:val="en-US"/>
              </w:rPr>
            </w:pPr>
            <w:r w:rsidRPr="00030958">
              <w:rPr>
                <w:sz w:val="18"/>
                <w:szCs w:val="20"/>
                <w:lang w:val="en-US"/>
              </w:rPr>
              <w:t>-420</w:t>
            </w:r>
          </w:p>
        </w:tc>
        <w:tc>
          <w:tcPr>
            <w:tcW w:w="462" w:type="pct"/>
            <w:tcBorders>
              <w:top w:val="nil"/>
              <w:left w:val="nil"/>
              <w:bottom w:val="dotted" w:sz="4" w:space="0" w:color="auto"/>
              <w:right w:val="double" w:sz="6" w:space="0" w:color="auto"/>
            </w:tcBorders>
            <w:shd w:val="clear" w:color="000000" w:fill="FFFFFF"/>
            <w:vAlign w:val="center"/>
            <w:hideMark/>
          </w:tcPr>
          <w:p w14:paraId="17FC4F63" w14:textId="77777777" w:rsidR="009D6D4E" w:rsidRPr="00030958" w:rsidRDefault="009D6D4E" w:rsidP="00BF3B71">
            <w:pPr>
              <w:jc w:val="center"/>
              <w:rPr>
                <w:sz w:val="18"/>
                <w:szCs w:val="20"/>
                <w:lang w:val="en-US"/>
              </w:rPr>
            </w:pPr>
            <w:r w:rsidRPr="00030958">
              <w:rPr>
                <w:sz w:val="18"/>
                <w:szCs w:val="20"/>
                <w:lang w:val="en-US"/>
              </w:rPr>
              <w:t>-376</w:t>
            </w:r>
          </w:p>
        </w:tc>
      </w:tr>
      <w:tr w:rsidR="009D6D4E" w:rsidRPr="00030958" w14:paraId="0557AD3E" w14:textId="77777777" w:rsidTr="00BF3B71">
        <w:trPr>
          <w:trHeight w:val="20"/>
        </w:trPr>
        <w:tc>
          <w:tcPr>
            <w:tcW w:w="2070" w:type="pct"/>
            <w:tcBorders>
              <w:top w:val="nil"/>
              <w:left w:val="double" w:sz="6" w:space="0" w:color="auto"/>
              <w:bottom w:val="dotted" w:sz="4" w:space="0" w:color="auto"/>
              <w:right w:val="nil"/>
            </w:tcBorders>
            <w:shd w:val="clear" w:color="000000" w:fill="FFFFFF"/>
            <w:vAlign w:val="center"/>
            <w:hideMark/>
          </w:tcPr>
          <w:p w14:paraId="1A45A5AB" w14:textId="77777777" w:rsidR="009D6D4E" w:rsidRPr="00030958" w:rsidRDefault="009D6D4E" w:rsidP="00BF3B71">
            <w:pPr>
              <w:rPr>
                <w:sz w:val="18"/>
                <w:szCs w:val="20"/>
                <w:lang w:val="en-US"/>
              </w:rPr>
            </w:pPr>
            <w:r w:rsidRPr="00030958">
              <w:rPr>
                <w:sz w:val="18"/>
                <w:szCs w:val="20"/>
                <w:lang w:val="en-US"/>
              </w:rPr>
              <w:t>2. Qeveria Qëndrore</w:t>
            </w:r>
          </w:p>
        </w:tc>
        <w:tc>
          <w:tcPr>
            <w:tcW w:w="231" w:type="pct"/>
            <w:tcBorders>
              <w:top w:val="nil"/>
              <w:left w:val="nil"/>
              <w:bottom w:val="dotted" w:sz="4" w:space="0" w:color="auto"/>
              <w:right w:val="single" w:sz="8" w:space="0" w:color="auto"/>
            </w:tcBorders>
            <w:shd w:val="clear" w:color="000000" w:fill="FFFFFF"/>
            <w:vAlign w:val="center"/>
            <w:hideMark/>
          </w:tcPr>
          <w:p w14:paraId="7CF15993" w14:textId="77777777" w:rsidR="009D6D4E" w:rsidRPr="00030958" w:rsidRDefault="009D6D4E" w:rsidP="00BF3B71">
            <w:pPr>
              <w:jc w:val="center"/>
              <w:rPr>
                <w:sz w:val="18"/>
                <w:szCs w:val="20"/>
                <w:lang w:val="en-US"/>
              </w:rPr>
            </w:pPr>
            <w:r w:rsidRPr="00030958">
              <w:rPr>
                <w:sz w:val="18"/>
                <w:szCs w:val="20"/>
                <w:lang w:val="en-US"/>
              </w:rPr>
              <w:t> </w:t>
            </w:r>
          </w:p>
        </w:tc>
        <w:tc>
          <w:tcPr>
            <w:tcW w:w="389" w:type="pct"/>
            <w:tcBorders>
              <w:top w:val="nil"/>
              <w:left w:val="nil"/>
              <w:bottom w:val="dotted" w:sz="4" w:space="0" w:color="auto"/>
              <w:right w:val="single" w:sz="8" w:space="0" w:color="auto"/>
            </w:tcBorders>
            <w:shd w:val="clear" w:color="000000" w:fill="FFFFFF"/>
            <w:vAlign w:val="center"/>
            <w:hideMark/>
          </w:tcPr>
          <w:p w14:paraId="52064F0B" w14:textId="77777777" w:rsidR="009D6D4E" w:rsidRPr="00030958" w:rsidRDefault="009D6D4E" w:rsidP="00BF3B71">
            <w:pPr>
              <w:jc w:val="center"/>
              <w:rPr>
                <w:sz w:val="18"/>
                <w:szCs w:val="20"/>
                <w:lang w:val="en-US"/>
              </w:rPr>
            </w:pPr>
            <w:r w:rsidRPr="00030958">
              <w:rPr>
                <w:sz w:val="18"/>
                <w:szCs w:val="20"/>
                <w:lang w:val="en-US"/>
              </w:rPr>
              <w:t>S1311</w:t>
            </w:r>
          </w:p>
        </w:tc>
        <w:tc>
          <w:tcPr>
            <w:tcW w:w="462" w:type="pct"/>
            <w:tcBorders>
              <w:top w:val="nil"/>
              <w:left w:val="nil"/>
              <w:bottom w:val="dotted" w:sz="4" w:space="0" w:color="auto"/>
              <w:right w:val="dotted" w:sz="4" w:space="0" w:color="auto"/>
            </w:tcBorders>
            <w:shd w:val="clear" w:color="000000" w:fill="FFFFFF"/>
            <w:vAlign w:val="center"/>
            <w:hideMark/>
          </w:tcPr>
          <w:p w14:paraId="57132F8A" w14:textId="77777777" w:rsidR="009D6D4E" w:rsidRPr="00030958" w:rsidRDefault="009D6D4E" w:rsidP="00BF3B71">
            <w:pPr>
              <w:jc w:val="center"/>
              <w:rPr>
                <w:sz w:val="18"/>
                <w:szCs w:val="20"/>
                <w:lang w:val="en-US"/>
              </w:rPr>
            </w:pPr>
            <w:r w:rsidRPr="00030958">
              <w:rPr>
                <w:sz w:val="18"/>
                <w:szCs w:val="20"/>
                <w:lang w:val="en-US"/>
              </w:rPr>
              <w:t>:</w:t>
            </w:r>
          </w:p>
        </w:tc>
        <w:tc>
          <w:tcPr>
            <w:tcW w:w="462" w:type="pct"/>
            <w:tcBorders>
              <w:top w:val="nil"/>
              <w:left w:val="nil"/>
              <w:bottom w:val="dotted" w:sz="4" w:space="0" w:color="auto"/>
              <w:right w:val="dotted" w:sz="4" w:space="0" w:color="auto"/>
            </w:tcBorders>
            <w:shd w:val="clear" w:color="000000" w:fill="FFFFFF"/>
            <w:vAlign w:val="center"/>
            <w:hideMark/>
          </w:tcPr>
          <w:p w14:paraId="1613931B" w14:textId="77777777" w:rsidR="009D6D4E" w:rsidRPr="00030958" w:rsidRDefault="009D6D4E" w:rsidP="00BF3B71">
            <w:pPr>
              <w:jc w:val="center"/>
              <w:rPr>
                <w:sz w:val="18"/>
                <w:szCs w:val="20"/>
                <w:lang w:val="en-US"/>
              </w:rPr>
            </w:pPr>
            <w:r w:rsidRPr="00030958">
              <w:rPr>
                <w:sz w:val="18"/>
                <w:szCs w:val="20"/>
                <w:lang w:val="en-US"/>
              </w:rPr>
              <w:t>:</w:t>
            </w:r>
          </w:p>
        </w:tc>
        <w:tc>
          <w:tcPr>
            <w:tcW w:w="462" w:type="pct"/>
            <w:tcBorders>
              <w:top w:val="nil"/>
              <w:left w:val="nil"/>
              <w:bottom w:val="dotted" w:sz="4" w:space="0" w:color="auto"/>
              <w:right w:val="dotted" w:sz="4" w:space="0" w:color="auto"/>
            </w:tcBorders>
            <w:shd w:val="clear" w:color="000000" w:fill="FFFFFF"/>
            <w:vAlign w:val="center"/>
            <w:hideMark/>
          </w:tcPr>
          <w:p w14:paraId="07FF41B6" w14:textId="77777777" w:rsidR="009D6D4E" w:rsidRPr="00030958" w:rsidRDefault="009D6D4E" w:rsidP="00BF3B71">
            <w:pPr>
              <w:jc w:val="center"/>
              <w:rPr>
                <w:sz w:val="18"/>
                <w:szCs w:val="20"/>
                <w:lang w:val="en-US"/>
              </w:rPr>
            </w:pPr>
            <w:r w:rsidRPr="00030958">
              <w:rPr>
                <w:sz w:val="18"/>
                <w:szCs w:val="20"/>
                <w:lang w:val="en-US"/>
              </w:rPr>
              <w:t>:</w:t>
            </w:r>
          </w:p>
        </w:tc>
        <w:tc>
          <w:tcPr>
            <w:tcW w:w="462" w:type="pct"/>
            <w:tcBorders>
              <w:top w:val="nil"/>
              <w:left w:val="nil"/>
              <w:bottom w:val="dotted" w:sz="4" w:space="0" w:color="auto"/>
              <w:right w:val="dotted" w:sz="4" w:space="0" w:color="auto"/>
            </w:tcBorders>
            <w:shd w:val="clear" w:color="000000" w:fill="FFFFFF"/>
            <w:vAlign w:val="center"/>
            <w:hideMark/>
          </w:tcPr>
          <w:p w14:paraId="6688A0DB" w14:textId="77777777" w:rsidR="009D6D4E" w:rsidRPr="00030958" w:rsidRDefault="009D6D4E" w:rsidP="00BF3B71">
            <w:pPr>
              <w:jc w:val="center"/>
              <w:rPr>
                <w:sz w:val="18"/>
                <w:szCs w:val="20"/>
                <w:lang w:val="en-US"/>
              </w:rPr>
            </w:pPr>
            <w:r w:rsidRPr="00030958">
              <w:rPr>
                <w:sz w:val="18"/>
                <w:szCs w:val="20"/>
                <w:lang w:val="en-US"/>
              </w:rPr>
              <w:t>:</w:t>
            </w:r>
          </w:p>
        </w:tc>
        <w:tc>
          <w:tcPr>
            <w:tcW w:w="462" w:type="pct"/>
            <w:tcBorders>
              <w:top w:val="nil"/>
              <w:left w:val="nil"/>
              <w:bottom w:val="dotted" w:sz="4" w:space="0" w:color="auto"/>
              <w:right w:val="double" w:sz="6" w:space="0" w:color="auto"/>
            </w:tcBorders>
            <w:shd w:val="clear" w:color="000000" w:fill="FFFFFF"/>
            <w:vAlign w:val="center"/>
            <w:hideMark/>
          </w:tcPr>
          <w:p w14:paraId="228FE52D" w14:textId="77777777" w:rsidR="009D6D4E" w:rsidRPr="00030958" w:rsidRDefault="009D6D4E" w:rsidP="00BF3B71">
            <w:pPr>
              <w:jc w:val="center"/>
              <w:rPr>
                <w:sz w:val="18"/>
                <w:szCs w:val="20"/>
                <w:lang w:val="en-US"/>
              </w:rPr>
            </w:pPr>
            <w:r w:rsidRPr="00030958">
              <w:rPr>
                <w:sz w:val="18"/>
                <w:szCs w:val="20"/>
                <w:lang w:val="en-US"/>
              </w:rPr>
              <w:t>:</w:t>
            </w:r>
          </w:p>
        </w:tc>
      </w:tr>
      <w:tr w:rsidR="009D6D4E" w:rsidRPr="00030958" w14:paraId="634203A7" w14:textId="77777777" w:rsidTr="00BF3B71">
        <w:trPr>
          <w:trHeight w:val="20"/>
        </w:trPr>
        <w:tc>
          <w:tcPr>
            <w:tcW w:w="2070" w:type="pct"/>
            <w:tcBorders>
              <w:top w:val="nil"/>
              <w:left w:val="double" w:sz="6" w:space="0" w:color="auto"/>
              <w:bottom w:val="dotted" w:sz="4" w:space="0" w:color="auto"/>
              <w:right w:val="nil"/>
            </w:tcBorders>
            <w:shd w:val="clear" w:color="000000" w:fill="FFFFFF"/>
            <w:vAlign w:val="center"/>
            <w:hideMark/>
          </w:tcPr>
          <w:p w14:paraId="0F9DD85A" w14:textId="77777777" w:rsidR="009D6D4E" w:rsidRPr="00030958" w:rsidRDefault="009D6D4E" w:rsidP="00BF3B71">
            <w:pPr>
              <w:rPr>
                <w:sz w:val="18"/>
                <w:szCs w:val="20"/>
                <w:lang w:val="en-US"/>
              </w:rPr>
            </w:pPr>
            <w:r w:rsidRPr="00030958">
              <w:rPr>
                <w:sz w:val="18"/>
                <w:szCs w:val="20"/>
                <w:lang w:val="en-US"/>
              </w:rPr>
              <w:t>3. Qeveria Shtetërore</w:t>
            </w:r>
          </w:p>
        </w:tc>
        <w:tc>
          <w:tcPr>
            <w:tcW w:w="231" w:type="pct"/>
            <w:tcBorders>
              <w:top w:val="nil"/>
              <w:left w:val="nil"/>
              <w:bottom w:val="dotted" w:sz="4" w:space="0" w:color="auto"/>
              <w:right w:val="single" w:sz="8" w:space="0" w:color="auto"/>
            </w:tcBorders>
            <w:shd w:val="clear" w:color="000000" w:fill="FFFFFF"/>
            <w:vAlign w:val="center"/>
            <w:hideMark/>
          </w:tcPr>
          <w:p w14:paraId="3581AA58" w14:textId="77777777" w:rsidR="009D6D4E" w:rsidRPr="00030958" w:rsidRDefault="009D6D4E" w:rsidP="00BF3B71">
            <w:pPr>
              <w:jc w:val="center"/>
              <w:rPr>
                <w:sz w:val="18"/>
                <w:szCs w:val="20"/>
                <w:lang w:val="en-US"/>
              </w:rPr>
            </w:pPr>
            <w:r w:rsidRPr="00030958">
              <w:rPr>
                <w:sz w:val="18"/>
                <w:szCs w:val="20"/>
                <w:lang w:val="en-US"/>
              </w:rPr>
              <w:t> </w:t>
            </w:r>
          </w:p>
        </w:tc>
        <w:tc>
          <w:tcPr>
            <w:tcW w:w="389" w:type="pct"/>
            <w:tcBorders>
              <w:top w:val="nil"/>
              <w:left w:val="nil"/>
              <w:bottom w:val="dotted" w:sz="4" w:space="0" w:color="auto"/>
              <w:right w:val="single" w:sz="8" w:space="0" w:color="auto"/>
            </w:tcBorders>
            <w:shd w:val="clear" w:color="000000" w:fill="FFFFFF"/>
            <w:vAlign w:val="center"/>
            <w:hideMark/>
          </w:tcPr>
          <w:p w14:paraId="4A70CDE8" w14:textId="77777777" w:rsidR="009D6D4E" w:rsidRPr="00030958" w:rsidRDefault="009D6D4E" w:rsidP="00BF3B71">
            <w:pPr>
              <w:jc w:val="center"/>
              <w:rPr>
                <w:sz w:val="18"/>
                <w:szCs w:val="20"/>
                <w:lang w:val="en-US"/>
              </w:rPr>
            </w:pPr>
            <w:r w:rsidRPr="00030958">
              <w:rPr>
                <w:sz w:val="18"/>
                <w:szCs w:val="20"/>
                <w:lang w:val="en-US"/>
              </w:rPr>
              <w:t>S1312</w:t>
            </w:r>
          </w:p>
        </w:tc>
        <w:tc>
          <w:tcPr>
            <w:tcW w:w="462" w:type="pct"/>
            <w:tcBorders>
              <w:top w:val="nil"/>
              <w:left w:val="nil"/>
              <w:bottom w:val="dotted" w:sz="4" w:space="0" w:color="auto"/>
              <w:right w:val="dotted" w:sz="4" w:space="0" w:color="auto"/>
            </w:tcBorders>
            <w:shd w:val="clear" w:color="000000" w:fill="FFFFFF"/>
            <w:vAlign w:val="center"/>
            <w:hideMark/>
          </w:tcPr>
          <w:p w14:paraId="6498123F" w14:textId="77777777" w:rsidR="009D6D4E" w:rsidRPr="00030958" w:rsidRDefault="009D6D4E" w:rsidP="00BF3B71">
            <w:pPr>
              <w:jc w:val="center"/>
              <w:rPr>
                <w:sz w:val="18"/>
                <w:szCs w:val="20"/>
                <w:lang w:val="en-US"/>
              </w:rPr>
            </w:pPr>
            <w:r w:rsidRPr="00030958">
              <w:rPr>
                <w:sz w:val="18"/>
                <w:szCs w:val="20"/>
                <w:lang w:val="en-US"/>
              </w:rPr>
              <w:t>:</w:t>
            </w:r>
          </w:p>
        </w:tc>
        <w:tc>
          <w:tcPr>
            <w:tcW w:w="462" w:type="pct"/>
            <w:tcBorders>
              <w:top w:val="nil"/>
              <w:left w:val="nil"/>
              <w:bottom w:val="dotted" w:sz="4" w:space="0" w:color="auto"/>
              <w:right w:val="dotted" w:sz="4" w:space="0" w:color="auto"/>
            </w:tcBorders>
            <w:shd w:val="clear" w:color="000000" w:fill="FFFFFF"/>
            <w:vAlign w:val="center"/>
            <w:hideMark/>
          </w:tcPr>
          <w:p w14:paraId="3900FA57" w14:textId="77777777" w:rsidR="009D6D4E" w:rsidRPr="00030958" w:rsidRDefault="009D6D4E" w:rsidP="00BF3B71">
            <w:pPr>
              <w:jc w:val="center"/>
              <w:rPr>
                <w:sz w:val="18"/>
                <w:szCs w:val="20"/>
                <w:lang w:val="en-US"/>
              </w:rPr>
            </w:pPr>
            <w:r w:rsidRPr="00030958">
              <w:rPr>
                <w:sz w:val="18"/>
                <w:szCs w:val="20"/>
                <w:lang w:val="en-US"/>
              </w:rPr>
              <w:t>:</w:t>
            </w:r>
          </w:p>
        </w:tc>
        <w:tc>
          <w:tcPr>
            <w:tcW w:w="462" w:type="pct"/>
            <w:tcBorders>
              <w:top w:val="nil"/>
              <w:left w:val="nil"/>
              <w:bottom w:val="dotted" w:sz="4" w:space="0" w:color="auto"/>
              <w:right w:val="dotted" w:sz="4" w:space="0" w:color="auto"/>
            </w:tcBorders>
            <w:shd w:val="clear" w:color="000000" w:fill="FFFFFF"/>
            <w:vAlign w:val="center"/>
            <w:hideMark/>
          </w:tcPr>
          <w:p w14:paraId="7590B451" w14:textId="77777777" w:rsidR="009D6D4E" w:rsidRPr="00030958" w:rsidRDefault="009D6D4E" w:rsidP="00BF3B71">
            <w:pPr>
              <w:jc w:val="center"/>
              <w:rPr>
                <w:sz w:val="18"/>
                <w:szCs w:val="20"/>
                <w:lang w:val="en-US"/>
              </w:rPr>
            </w:pPr>
            <w:r w:rsidRPr="00030958">
              <w:rPr>
                <w:sz w:val="18"/>
                <w:szCs w:val="20"/>
                <w:lang w:val="en-US"/>
              </w:rPr>
              <w:t>:</w:t>
            </w:r>
          </w:p>
        </w:tc>
        <w:tc>
          <w:tcPr>
            <w:tcW w:w="462" w:type="pct"/>
            <w:tcBorders>
              <w:top w:val="nil"/>
              <w:left w:val="nil"/>
              <w:bottom w:val="dotted" w:sz="4" w:space="0" w:color="auto"/>
              <w:right w:val="dotted" w:sz="4" w:space="0" w:color="auto"/>
            </w:tcBorders>
            <w:shd w:val="clear" w:color="000000" w:fill="FFFFFF"/>
            <w:vAlign w:val="center"/>
            <w:hideMark/>
          </w:tcPr>
          <w:p w14:paraId="4B628A07" w14:textId="77777777" w:rsidR="009D6D4E" w:rsidRPr="00030958" w:rsidRDefault="009D6D4E" w:rsidP="00BF3B71">
            <w:pPr>
              <w:jc w:val="center"/>
              <w:rPr>
                <w:sz w:val="18"/>
                <w:szCs w:val="20"/>
                <w:lang w:val="en-US"/>
              </w:rPr>
            </w:pPr>
            <w:r w:rsidRPr="00030958">
              <w:rPr>
                <w:sz w:val="18"/>
                <w:szCs w:val="20"/>
                <w:lang w:val="en-US"/>
              </w:rPr>
              <w:t>:</w:t>
            </w:r>
          </w:p>
        </w:tc>
        <w:tc>
          <w:tcPr>
            <w:tcW w:w="462" w:type="pct"/>
            <w:tcBorders>
              <w:top w:val="nil"/>
              <w:left w:val="nil"/>
              <w:bottom w:val="dotted" w:sz="4" w:space="0" w:color="auto"/>
              <w:right w:val="double" w:sz="6" w:space="0" w:color="auto"/>
            </w:tcBorders>
            <w:shd w:val="clear" w:color="000000" w:fill="FFFFFF"/>
            <w:vAlign w:val="center"/>
            <w:hideMark/>
          </w:tcPr>
          <w:p w14:paraId="1E55F919" w14:textId="77777777" w:rsidR="009D6D4E" w:rsidRPr="00030958" w:rsidRDefault="009D6D4E" w:rsidP="00BF3B71">
            <w:pPr>
              <w:jc w:val="center"/>
              <w:rPr>
                <w:sz w:val="18"/>
                <w:szCs w:val="20"/>
                <w:lang w:val="en-US"/>
              </w:rPr>
            </w:pPr>
            <w:r w:rsidRPr="00030958">
              <w:rPr>
                <w:sz w:val="18"/>
                <w:szCs w:val="20"/>
                <w:lang w:val="en-US"/>
              </w:rPr>
              <w:t>:</w:t>
            </w:r>
          </w:p>
        </w:tc>
      </w:tr>
      <w:tr w:rsidR="009D6D4E" w:rsidRPr="00030958" w14:paraId="4329B3BA" w14:textId="77777777" w:rsidTr="00BF3B71">
        <w:trPr>
          <w:trHeight w:val="20"/>
        </w:trPr>
        <w:tc>
          <w:tcPr>
            <w:tcW w:w="2070" w:type="pct"/>
            <w:tcBorders>
              <w:top w:val="nil"/>
              <w:left w:val="double" w:sz="6" w:space="0" w:color="auto"/>
              <w:bottom w:val="dotted" w:sz="4" w:space="0" w:color="auto"/>
              <w:right w:val="nil"/>
            </w:tcBorders>
            <w:shd w:val="clear" w:color="000000" w:fill="FFFFFF"/>
            <w:vAlign w:val="center"/>
            <w:hideMark/>
          </w:tcPr>
          <w:p w14:paraId="76931A1F" w14:textId="77777777" w:rsidR="009D6D4E" w:rsidRPr="00030958" w:rsidRDefault="009D6D4E" w:rsidP="00BF3B71">
            <w:pPr>
              <w:rPr>
                <w:sz w:val="18"/>
                <w:szCs w:val="20"/>
                <w:lang w:val="en-US"/>
              </w:rPr>
            </w:pPr>
            <w:r w:rsidRPr="00030958">
              <w:rPr>
                <w:sz w:val="18"/>
                <w:szCs w:val="20"/>
                <w:lang w:val="en-US"/>
              </w:rPr>
              <w:t>4. Qeveria Lokale</w:t>
            </w:r>
          </w:p>
        </w:tc>
        <w:tc>
          <w:tcPr>
            <w:tcW w:w="231" w:type="pct"/>
            <w:tcBorders>
              <w:top w:val="nil"/>
              <w:left w:val="nil"/>
              <w:bottom w:val="dotted" w:sz="4" w:space="0" w:color="auto"/>
              <w:right w:val="single" w:sz="8" w:space="0" w:color="auto"/>
            </w:tcBorders>
            <w:shd w:val="clear" w:color="000000" w:fill="FFFFFF"/>
            <w:vAlign w:val="center"/>
            <w:hideMark/>
          </w:tcPr>
          <w:p w14:paraId="045E0C27" w14:textId="77777777" w:rsidR="009D6D4E" w:rsidRPr="00030958" w:rsidRDefault="009D6D4E" w:rsidP="00BF3B71">
            <w:pPr>
              <w:jc w:val="center"/>
              <w:rPr>
                <w:sz w:val="18"/>
                <w:szCs w:val="20"/>
                <w:lang w:val="en-US"/>
              </w:rPr>
            </w:pPr>
            <w:r w:rsidRPr="00030958">
              <w:rPr>
                <w:sz w:val="18"/>
                <w:szCs w:val="20"/>
                <w:lang w:val="en-US"/>
              </w:rPr>
              <w:t> </w:t>
            </w:r>
          </w:p>
        </w:tc>
        <w:tc>
          <w:tcPr>
            <w:tcW w:w="389" w:type="pct"/>
            <w:tcBorders>
              <w:top w:val="nil"/>
              <w:left w:val="nil"/>
              <w:bottom w:val="dotted" w:sz="4" w:space="0" w:color="auto"/>
              <w:right w:val="single" w:sz="8" w:space="0" w:color="auto"/>
            </w:tcBorders>
            <w:shd w:val="clear" w:color="000000" w:fill="FFFFFF"/>
            <w:vAlign w:val="center"/>
            <w:hideMark/>
          </w:tcPr>
          <w:p w14:paraId="2704F56F" w14:textId="77777777" w:rsidR="009D6D4E" w:rsidRPr="00030958" w:rsidRDefault="009D6D4E" w:rsidP="00BF3B71">
            <w:pPr>
              <w:jc w:val="center"/>
              <w:rPr>
                <w:sz w:val="18"/>
                <w:szCs w:val="20"/>
                <w:lang w:val="en-US"/>
              </w:rPr>
            </w:pPr>
            <w:r w:rsidRPr="00030958">
              <w:rPr>
                <w:sz w:val="18"/>
                <w:szCs w:val="20"/>
                <w:lang w:val="en-US"/>
              </w:rPr>
              <w:t>S1313</w:t>
            </w:r>
          </w:p>
        </w:tc>
        <w:tc>
          <w:tcPr>
            <w:tcW w:w="462" w:type="pct"/>
            <w:tcBorders>
              <w:top w:val="nil"/>
              <w:left w:val="nil"/>
              <w:bottom w:val="dotted" w:sz="4" w:space="0" w:color="auto"/>
              <w:right w:val="dotted" w:sz="4" w:space="0" w:color="auto"/>
            </w:tcBorders>
            <w:shd w:val="clear" w:color="000000" w:fill="FFFFFF"/>
            <w:vAlign w:val="center"/>
            <w:hideMark/>
          </w:tcPr>
          <w:p w14:paraId="04485ED2" w14:textId="77777777" w:rsidR="009D6D4E" w:rsidRPr="00030958" w:rsidRDefault="009D6D4E" w:rsidP="00BF3B71">
            <w:pPr>
              <w:jc w:val="center"/>
              <w:rPr>
                <w:sz w:val="18"/>
                <w:szCs w:val="20"/>
                <w:lang w:val="en-US"/>
              </w:rPr>
            </w:pPr>
            <w:r w:rsidRPr="00030958">
              <w:rPr>
                <w:sz w:val="18"/>
                <w:szCs w:val="20"/>
                <w:lang w:val="en-US"/>
              </w:rPr>
              <w:t>:</w:t>
            </w:r>
          </w:p>
        </w:tc>
        <w:tc>
          <w:tcPr>
            <w:tcW w:w="462" w:type="pct"/>
            <w:tcBorders>
              <w:top w:val="nil"/>
              <w:left w:val="nil"/>
              <w:bottom w:val="dotted" w:sz="4" w:space="0" w:color="auto"/>
              <w:right w:val="dotted" w:sz="4" w:space="0" w:color="auto"/>
            </w:tcBorders>
            <w:shd w:val="clear" w:color="000000" w:fill="FFFFFF"/>
            <w:vAlign w:val="center"/>
            <w:hideMark/>
          </w:tcPr>
          <w:p w14:paraId="676A5A4E" w14:textId="77777777" w:rsidR="009D6D4E" w:rsidRPr="00030958" w:rsidRDefault="009D6D4E" w:rsidP="00BF3B71">
            <w:pPr>
              <w:jc w:val="center"/>
              <w:rPr>
                <w:sz w:val="18"/>
                <w:szCs w:val="20"/>
                <w:lang w:val="en-US"/>
              </w:rPr>
            </w:pPr>
            <w:r w:rsidRPr="00030958">
              <w:rPr>
                <w:sz w:val="18"/>
                <w:szCs w:val="20"/>
                <w:lang w:val="en-US"/>
              </w:rPr>
              <w:t>:</w:t>
            </w:r>
          </w:p>
        </w:tc>
        <w:tc>
          <w:tcPr>
            <w:tcW w:w="462" w:type="pct"/>
            <w:tcBorders>
              <w:top w:val="nil"/>
              <w:left w:val="nil"/>
              <w:bottom w:val="dotted" w:sz="4" w:space="0" w:color="auto"/>
              <w:right w:val="dotted" w:sz="4" w:space="0" w:color="auto"/>
            </w:tcBorders>
            <w:shd w:val="clear" w:color="000000" w:fill="FFFFFF"/>
            <w:vAlign w:val="center"/>
            <w:hideMark/>
          </w:tcPr>
          <w:p w14:paraId="76174F21" w14:textId="77777777" w:rsidR="009D6D4E" w:rsidRPr="00030958" w:rsidRDefault="009D6D4E" w:rsidP="00BF3B71">
            <w:pPr>
              <w:jc w:val="center"/>
              <w:rPr>
                <w:sz w:val="18"/>
                <w:szCs w:val="20"/>
                <w:lang w:val="en-US"/>
              </w:rPr>
            </w:pPr>
            <w:r w:rsidRPr="00030958">
              <w:rPr>
                <w:sz w:val="18"/>
                <w:szCs w:val="20"/>
                <w:lang w:val="en-US"/>
              </w:rPr>
              <w:t>:</w:t>
            </w:r>
          </w:p>
        </w:tc>
        <w:tc>
          <w:tcPr>
            <w:tcW w:w="462" w:type="pct"/>
            <w:tcBorders>
              <w:top w:val="nil"/>
              <w:left w:val="nil"/>
              <w:bottom w:val="dotted" w:sz="4" w:space="0" w:color="auto"/>
              <w:right w:val="dotted" w:sz="4" w:space="0" w:color="auto"/>
            </w:tcBorders>
            <w:shd w:val="clear" w:color="000000" w:fill="FFFFFF"/>
            <w:vAlign w:val="center"/>
            <w:hideMark/>
          </w:tcPr>
          <w:p w14:paraId="77439B4C" w14:textId="77777777" w:rsidR="009D6D4E" w:rsidRPr="00030958" w:rsidRDefault="009D6D4E" w:rsidP="00BF3B71">
            <w:pPr>
              <w:jc w:val="center"/>
              <w:rPr>
                <w:sz w:val="18"/>
                <w:szCs w:val="20"/>
                <w:lang w:val="en-US"/>
              </w:rPr>
            </w:pPr>
            <w:r w:rsidRPr="00030958">
              <w:rPr>
                <w:sz w:val="18"/>
                <w:szCs w:val="20"/>
                <w:lang w:val="en-US"/>
              </w:rPr>
              <w:t>:</w:t>
            </w:r>
          </w:p>
        </w:tc>
        <w:tc>
          <w:tcPr>
            <w:tcW w:w="462" w:type="pct"/>
            <w:tcBorders>
              <w:top w:val="nil"/>
              <w:left w:val="nil"/>
              <w:bottom w:val="dotted" w:sz="4" w:space="0" w:color="auto"/>
              <w:right w:val="double" w:sz="6" w:space="0" w:color="auto"/>
            </w:tcBorders>
            <w:shd w:val="clear" w:color="000000" w:fill="FFFFFF"/>
            <w:vAlign w:val="center"/>
            <w:hideMark/>
          </w:tcPr>
          <w:p w14:paraId="77A9AB9E" w14:textId="77777777" w:rsidR="009D6D4E" w:rsidRPr="00030958" w:rsidRDefault="009D6D4E" w:rsidP="00BF3B71">
            <w:pPr>
              <w:jc w:val="center"/>
              <w:rPr>
                <w:sz w:val="18"/>
                <w:szCs w:val="20"/>
                <w:lang w:val="en-US"/>
              </w:rPr>
            </w:pPr>
            <w:r w:rsidRPr="00030958">
              <w:rPr>
                <w:sz w:val="18"/>
                <w:szCs w:val="20"/>
                <w:lang w:val="en-US"/>
              </w:rPr>
              <w:t>:</w:t>
            </w:r>
          </w:p>
        </w:tc>
      </w:tr>
      <w:tr w:rsidR="009D6D4E" w:rsidRPr="00030958" w14:paraId="1B177F15" w14:textId="77777777" w:rsidTr="00BF3B71">
        <w:trPr>
          <w:trHeight w:val="20"/>
        </w:trPr>
        <w:tc>
          <w:tcPr>
            <w:tcW w:w="2070" w:type="pct"/>
            <w:tcBorders>
              <w:top w:val="nil"/>
              <w:left w:val="double" w:sz="6" w:space="0" w:color="auto"/>
              <w:bottom w:val="single" w:sz="8" w:space="0" w:color="auto"/>
              <w:right w:val="nil"/>
            </w:tcBorders>
            <w:shd w:val="clear" w:color="000000" w:fill="FFFFFF"/>
            <w:vAlign w:val="center"/>
            <w:hideMark/>
          </w:tcPr>
          <w:p w14:paraId="31E0ACA1" w14:textId="77777777" w:rsidR="009D6D4E" w:rsidRPr="00030958" w:rsidRDefault="009D6D4E" w:rsidP="00BF3B71">
            <w:pPr>
              <w:rPr>
                <w:sz w:val="18"/>
                <w:szCs w:val="20"/>
                <w:lang w:val="en-US"/>
              </w:rPr>
            </w:pPr>
            <w:r w:rsidRPr="00030958">
              <w:rPr>
                <w:sz w:val="18"/>
                <w:szCs w:val="20"/>
                <w:lang w:val="en-US"/>
              </w:rPr>
              <w:t>5. Fondi I sigurimit shoqëror</w:t>
            </w:r>
          </w:p>
        </w:tc>
        <w:tc>
          <w:tcPr>
            <w:tcW w:w="231" w:type="pct"/>
            <w:tcBorders>
              <w:top w:val="nil"/>
              <w:left w:val="nil"/>
              <w:bottom w:val="single" w:sz="8" w:space="0" w:color="auto"/>
              <w:right w:val="single" w:sz="8" w:space="0" w:color="auto"/>
            </w:tcBorders>
            <w:shd w:val="clear" w:color="000000" w:fill="FFFFFF"/>
            <w:vAlign w:val="center"/>
            <w:hideMark/>
          </w:tcPr>
          <w:p w14:paraId="134B6FF6" w14:textId="77777777" w:rsidR="009D6D4E" w:rsidRPr="00030958" w:rsidRDefault="009D6D4E" w:rsidP="00BF3B71">
            <w:pPr>
              <w:jc w:val="center"/>
              <w:rPr>
                <w:sz w:val="18"/>
                <w:szCs w:val="20"/>
                <w:lang w:val="en-US"/>
              </w:rPr>
            </w:pPr>
            <w:r w:rsidRPr="00030958">
              <w:rPr>
                <w:sz w:val="18"/>
                <w:szCs w:val="20"/>
                <w:lang w:val="en-US"/>
              </w:rPr>
              <w:t> </w:t>
            </w:r>
          </w:p>
        </w:tc>
        <w:tc>
          <w:tcPr>
            <w:tcW w:w="389" w:type="pct"/>
            <w:tcBorders>
              <w:top w:val="nil"/>
              <w:left w:val="nil"/>
              <w:bottom w:val="single" w:sz="8" w:space="0" w:color="auto"/>
              <w:right w:val="single" w:sz="8" w:space="0" w:color="auto"/>
            </w:tcBorders>
            <w:shd w:val="clear" w:color="000000" w:fill="FFFFFF"/>
            <w:vAlign w:val="center"/>
            <w:hideMark/>
          </w:tcPr>
          <w:p w14:paraId="5012F12E" w14:textId="77777777" w:rsidR="009D6D4E" w:rsidRPr="00030958" w:rsidRDefault="009D6D4E" w:rsidP="00BF3B71">
            <w:pPr>
              <w:jc w:val="center"/>
              <w:rPr>
                <w:sz w:val="18"/>
                <w:szCs w:val="20"/>
                <w:lang w:val="en-US"/>
              </w:rPr>
            </w:pPr>
            <w:r w:rsidRPr="00030958">
              <w:rPr>
                <w:sz w:val="18"/>
                <w:szCs w:val="20"/>
                <w:lang w:val="en-US"/>
              </w:rPr>
              <w:t>S1314</w:t>
            </w:r>
          </w:p>
        </w:tc>
        <w:tc>
          <w:tcPr>
            <w:tcW w:w="462" w:type="pct"/>
            <w:tcBorders>
              <w:top w:val="nil"/>
              <w:left w:val="nil"/>
              <w:bottom w:val="single" w:sz="8" w:space="0" w:color="auto"/>
              <w:right w:val="dotted" w:sz="4" w:space="0" w:color="auto"/>
            </w:tcBorders>
            <w:shd w:val="clear" w:color="000000" w:fill="FFFFFF"/>
            <w:vAlign w:val="center"/>
            <w:hideMark/>
          </w:tcPr>
          <w:p w14:paraId="01BB5020" w14:textId="77777777" w:rsidR="009D6D4E" w:rsidRPr="00030958" w:rsidRDefault="009D6D4E" w:rsidP="00BF3B71">
            <w:pPr>
              <w:jc w:val="center"/>
              <w:rPr>
                <w:sz w:val="18"/>
                <w:szCs w:val="20"/>
                <w:lang w:val="en-US"/>
              </w:rPr>
            </w:pPr>
            <w:r w:rsidRPr="00030958">
              <w:rPr>
                <w:sz w:val="18"/>
                <w:szCs w:val="20"/>
                <w:lang w:val="en-US"/>
              </w:rPr>
              <w:t>:</w:t>
            </w:r>
          </w:p>
        </w:tc>
        <w:tc>
          <w:tcPr>
            <w:tcW w:w="462" w:type="pct"/>
            <w:tcBorders>
              <w:top w:val="nil"/>
              <w:left w:val="nil"/>
              <w:bottom w:val="single" w:sz="8" w:space="0" w:color="auto"/>
              <w:right w:val="dotted" w:sz="4" w:space="0" w:color="auto"/>
            </w:tcBorders>
            <w:shd w:val="clear" w:color="000000" w:fill="FFFFFF"/>
            <w:vAlign w:val="center"/>
            <w:hideMark/>
          </w:tcPr>
          <w:p w14:paraId="09FD8A02" w14:textId="77777777" w:rsidR="009D6D4E" w:rsidRPr="00030958" w:rsidRDefault="009D6D4E" w:rsidP="00BF3B71">
            <w:pPr>
              <w:jc w:val="center"/>
              <w:rPr>
                <w:sz w:val="18"/>
                <w:szCs w:val="20"/>
                <w:lang w:val="en-US"/>
              </w:rPr>
            </w:pPr>
            <w:r w:rsidRPr="00030958">
              <w:rPr>
                <w:sz w:val="18"/>
                <w:szCs w:val="20"/>
                <w:lang w:val="en-US"/>
              </w:rPr>
              <w:t>:</w:t>
            </w:r>
          </w:p>
        </w:tc>
        <w:tc>
          <w:tcPr>
            <w:tcW w:w="462" w:type="pct"/>
            <w:tcBorders>
              <w:top w:val="nil"/>
              <w:left w:val="nil"/>
              <w:bottom w:val="single" w:sz="8" w:space="0" w:color="auto"/>
              <w:right w:val="dotted" w:sz="4" w:space="0" w:color="auto"/>
            </w:tcBorders>
            <w:shd w:val="clear" w:color="000000" w:fill="FFFFFF"/>
            <w:vAlign w:val="center"/>
            <w:hideMark/>
          </w:tcPr>
          <w:p w14:paraId="5EA432E9" w14:textId="77777777" w:rsidR="009D6D4E" w:rsidRPr="00030958" w:rsidRDefault="009D6D4E" w:rsidP="00BF3B71">
            <w:pPr>
              <w:jc w:val="center"/>
              <w:rPr>
                <w:sz w:val="18"/>
                <w:szCs w:val="20"/>
                <w:lang w:val="en-US"/>
              </w:rPr>
            </w:pPr>
            <w:r w:rsidRPr="00030958">
              <w:rPr>
                <w:sz w:val="18"/>
                <w:szCs w:val="20"/>
                <w:lang w:val="en-US"/>
              </w:rPr>
              <w:t>:</w:t>
            </w:r>
          </w:p>
        </w:tc>
        <w:tc>
          <w:tcPr>
            <w:tcW w:w="462" w:type="pct"/>
            <w:tcBorders>
              <w:top w:val="nil"/>
              <w:left w:val="nil"/>
              <w:bottom w:val="single" w:sz="8" w:space="0" w:color="auto"/>
              <w:right w:val="dotted" w:sz="4" w:space="0" w:color="auto"/>
            </w:tcBorders>
            <w:shd w:val="clear" w:color="000000" w:fill="FFFFFF"/>
            <w:vAlign w:val="center"/>
            <w:hideMark/>
          </w:tcPr>
          <w:p w14:paraId="5C4210B7" w14:textId="77777777" w:rsidR="009D6D4E" w:rsidRPr="00030958" w:rsidRDefault="009D6D4E" w:rsidP="00BF3B71">
            <w:pPr>
              <w:jc w:val="center"/>
              <w:rPr>
                <w:sz w:val="18"/>
                <w:szCs w:val="20"/>
                <w:lang w:val="en-US"/>
              </w:rPr>
            </w:pPr>
            <w:r w:rsidRPr="00030958">
              <w:rPr>
                <w:sz w:val="18"/>
                <w:szCs w:val="20"/>
                <w:lang w:val="en-US"/>
              </w:rPr>
              <w:t>:</w:t>
            </w:r>
          </w:p>
        </w:tc>
        <w:tc>
          <w:tcPr>
            <w:tcW w:w="462" w:type="pct"/>
            <w:tcBorders>
              <w:top w:val="nil"/>
              <w:left w:val="nil"/>
              <w:bottom w:val="single" w:sz="8" w:space="0" w:color="auto"/>
              <w:right w:val="double" w:sz="6" w:space="0" w:color="auto"/>
            </w:tcBorders>
            <w:shd w:val="clear" w:color="000000" w:fill="FFFFFF"/>
            <w:vAlign w:val="center"/>
            <w:hideMark/>
          </w:tcPr>
          <w:p w14:paraId="6D88259A" w14:textId="77777777" w:rsidR="009D6D4E" w:rsidRPr="00030958" w:rsidRDefault="009D6D4E" w:rsidP="00BF3B71">
            <w:pPr>
              <w:jc w:val="center"/>
              <w:rPr>
                <w:sz w:val="18"/>
                <w:szCs w:val="20"/>
                <w:lang w:val="en-US"/>
              </w:rPr>
            </w:pPr>
            <w:r w:rsidRPr="00030958">
              <w:rPr>
                <w:sz w:val="18"/>
                <w:szCs w:val="20"/>
                <w:lang w:val="en-US"/>
              </w:rPr>
              <w:t>:</w:t>
            </w:r>
          </w:p>
        </w:tc>
      </w:tr>
      <w:tr w:rsidR="009D6D4E" w:rsidRPr="00030958" w14:paraId="29B1644F" w14:textId="77777777" w:rsidTr="00BF3B71">
        <w:trPr>
          <w:trHeight w:val="20"/>
        </w:trPr>
        <w:tc>
          <w:tcPr>
            <w:tcW w:w="5000" w:type="pct"/>
            <w:gridSpan w:val="8"/>
            <w:tcBorders>
              <w:top w:val="single" w:sz="8" w:space="0" w:color="auto"/>
              <w:left w:val="double" w:sz="6" w:space="0" w:color="auto"/>
              <w:bottom w:val="single" w:sz="8" w:space="0" w:color="auto"/>
              <w:right w:val="double" w:sz="6" w:space="0" w:color="000000"/>
            </w:tcBorders>
            <w:shd w:val="clear" w:color="000000" w:fill="FFFFFF"/>
            <w:vAlign w:val="center"/>
            <w:hideMark/>
          </w:tcPr>
          <w:p w14:paraId="6F72FF19" w14:textId="77777777" w:rsidR="009D6D4E" w:rsidRPr="00030958" w:rsidRDefault="009D6D4E" w:rsidP="00BF3B71">
            <w:pPr>
              <w:jc w:val="center"/>
              <w:rPr>
                <w:b/>
                <w:bCs/>
                <w:sz w:val="18"/>
                <w:szCs w:val="20"/>
                <w:lang w:val="en-US"/>
              </w:rPr>
            </w:pPr>
            <w:r w:rsidRPr="00030958">
              <w:rPr>
                <w:b/>
                <w:bCs/>
                <w:sz w:val="18"/>
                <w:szCs w:val="20"/>
                <w:lang w:val="en-US"/>
              </w:rPr>
              <w:t>Qeveria e Përgjithshme (S13)</w:t>
            </w:r>
          </w:p>
        </w:tc>
      </w:tr>
      <w:tr w:rsidR="009D6D4E" w:rsidRPr="00030958" w14:paraId="05E206C2" w14:textId="77777777" w:rsidTr="00BF3B71">
        <w:trPr>
          <w:trHeight w:val="20"/>
        </w:trPr>
        <w:tc>
          <w:tcPr>
            <w:tcW w:w="2070" w:type="pct"/>
            <w:tcBorders>
              <w:top w:val="nil"/>
              <w:left w:val="double" w:sz="6" w:space="0" w:color="auto"/>
              <w:bottom w:val="dotted" w:sz="4" w:space="0" w:color="auto"/>
              <w:right w:val="nil"/>
            </w:tcBorders>
            <w:shd w:val="clear" w:color="000000" w:fill="FFFFFF"/>
            <w:vAlign w:val="center"/>
            <w:hideMark/>
          </w:tcPr>
          <w:p w14:paraId="1561F8DA" w14:textId="77777777" w:rsidR="009D6D4E" w:rsidRPr="00030958" w:rsidRDefault="009D6D4E" w:rsidP="00BF3B71">
            <w:pPr>
              <w:rPr>
                <w:sz w:val="18"/>
                <w:szCs w:val="20"/>
                <w:lang w:val="en-US"/>
              </w:rPr>
            </w:pPr>
            <w:r w:rsidRPr="00030958">
              <w:rPr>
                <w:sz w:val="18"/>
                <w:szCs w:val="20"/>
                <w:lang w:val="en-US"/>
              </w:rPr>
              <w:t>6. Të Hyrat Totale</w:t>
            </w:r>
          </w:p>
        </w:tc>
        <w:tc>
          <w:tcPr>
            <w:tcW w:w="231" w:type="pct"/>
            <w:tcBorders>
              <w:top w:val="nil"/>
              <w:left w:val="nil"/>
              <w:bottom w:val="dotted" w:sz="4" w:space="0" w:color="auto"/>
              <w:right w:val="single" w:sz="8" w:space="0" w:color="auto"/>
            </w:tcBorders>
            <w:shd w:val="clear" w:color="000000" w:fill="FFFFFF"/>
            <w:vAlign w:val="center"/>
            <w:hideMark/>
          </w:tcPr>
          <w:p w14:paraId="6A9487FA" w14:textId="77777777" w:rsidR="009D6D4E" w:rsidRPr="00030958" w:rsidRDefault="009D6D4E" w:rsidP="00BF3B71">
            <w:pPr>
              <w:jc w:val="center"/>
              <w:rPr>
                <w:sz w:val="18"/>
                <w:szCs w:val="20"/>
                <w:lang w:val="en-US"/>
              </w:rPr>
            </w:pPr>
            <w:r w:rsidRPr="00030958">
              <w:rPr>
                <w:sz w:val="18"/>
                <w:szCs w:val="20"/>
                <w:lang w:val="en-US"/>
              </w:rPr>
              <w:t> </w:t>
            </w:r>
          </w:p>
        </w:tc>
        <w:tc>
          <w:tcPr>
            <w:tcW w:w="389" w:type="pct"/>
            <w:tcBorders>
              <w:top w:val="nil"/>
              <w:left w:val="nil"/>
              <w:bottom w:val="dotted" w:sz="4" w:space="0" w:color="auto"/>
              <w:right w:val="single" w:sz="8" w:space="0" w:color="auto"/>
            </w:tcBorders>
            <w:shd w:val="clear" w:color="000000" w:fill="FFFFFF"/>
            <w:vAlign w:val="center"/>
            <w:hideMark/>
          </w:tcPr>
          <w:p w14:paraId="5F317848" w14:textId="77777777" w:rsidR="009D6D4E" w:rsidRPr="00030958" w:rsidRDefault="009D6D4E" w:rsidP="00BF3B71">
            <w:pPr>
              <w:jc w:val="center"/>
              <w:rPr>
                <w:sz w:val="18"/>
                <w:szCs w:val="20"/>
                <w:lang w:val="en-US"/>
              </w:rPr>
            </w:pPr>
            <w:r w:rsidRPr="00030958">
              <w:rPr>
                <w:sz w:val="18"/>
                <w:szCs w:val="20"/>
                <w:lang w:val="en-US"/>
              </w:rPr>
              <w:t>TR</w:t>
            </w:r>
          </w:p>
        </w:tc>
        <w:tc>
          <w:tcPr>
            <w:tcW w:w="462" w:type="pct"/>
            <w:tcBorders>
              <w:top w:val="nil"/>
              <w:left w:val="nil"/>
              <w:bottom w:val="dotted" w:sz="4" w:space="0" w:color="auto"/>
              <w:right w:val="dotted" w:sz="4" w:space="0" w:color="auto"/>
            </w:tcBorders>
            <w:shd w:val="clear" w:color="000000" w:fill="FFFFFF"/>
            <w:vAlign w:val="center"/>
            <w:hideMark/>
          </w:tcPr>
          <w:p w14:paraId="07E042AB" w14:textId="77777777" w:rsidR="009D6D4E" w:rsidRPr="00030958" w:rsidRDefault="009D6D4E" w:rsidP="00BF3B71">
            <w:pPr>
              <w:jc w:val="center"/>
              <w:rPr>
                <w:sz w:val="18"/>
                <w:szCs w:val="20"/>
                <w:lang w:val="en-US"/>
              </w:rPr>
            </w:pPr>
            <w:r w:rsidRPr="00030958">
              <w:rPr>
                <w:sz w:val="18"/>
                <w:szCs w:val="20"/>
                <w:lang w:val="en-US"/>
              </w:rPr>
              <w:t>1,757</w:t>
            </w:r>
          </w:p>
        </w:tc>
        <w:tc>
          <w:tcPr>
            <w:tcW w:w="462" w:type="pct"/>
            <w:tcBorders>
              <w:top w:val="nil"/>
              <w:left w:val="nil"/>
              <w:bottom w:val="dotted" w:sz="4" w:space="0" w:color="auto"/>
              <w:right w:val="dotted" w:sz="4" w:space="0" w:color="auto"/>
            </w:tcBorders>
            <w:shd w:val="clear" w:color="000000" w:fill="FFFFFF"/>
            <w:vAlign w:val="center"/>
            <w:hideMark/>
          </w:tcPr>
          <w:p w14:paraId="416A4BCC" w14:textId="77777777" w:rsidR="009D6D4E" w:rsidRPr="00030958" w:rsidRDefault="009D6D4E" w:rsidP="00BF3B71">
            <w:pPr>
              <w:jc w:val="center"/>
              <w:rPr>
                <w:sz w:val="18"/>
                <w:szCs w:val="20"/>
                <w:lang w:val="en-US"/>
              </w:rPr>
            </w:pPr>
            <w:r w:rsidRPr="00030958">
              <w:rPr>
                <w:sz w:val="18"/>
                <w:szCs w:val="20"/>
                <w:lang w:val="en-US"/>
              </w:rPr>
              <w:t>1,949</w:t>
            </w:r>
          </w:p>
        </w:tc>
        <w:tc>
          <w:tcPr>
            <w:tcW w:w="462" w:type="pct"/>
            <w:tcBorders>
              <w:top w:val="nil"/>
              <w:left w:val="nil"/>
              <w:bottom w:val="dotted" w:sz="4" w:space="0" w:color="auto"/>
              <w:right w:val="dotted" w:sz="4" w:space="0" w:color="auto"/>
            </w:tcBorders>
            <w:shd w:val="clear" w:color="000000" w:fill="FFFFFF"/>
            <w:vAlign w:val="center"/>
            <w:hideMark/>
          </w:tcPr>
          <w:p w14:paraId="25EABB5C" w14:textId="77777777" w:rsidR="009D6D4E" w:rsidRPr="00030958" w:rsidRDefault="009D6D4E" w:rsidP="00BF3B71">
            <w:pPr>
              <w:jc w:val="center"/>
              <w:rPr>
                <w:sz w:val="18"/>
                <w:szCs w:val="20"/>
                <w:lang w:val="en-US"/>
              </w:rPr>
            </w:pPr>
            <w:r w:rsidRPr="00030958">
              <w:rPr>
                <w:sz w:val="18"/>
                <w:szCs w:val="20"/>
                <w:lang w:val="en-US"/>
              </w:rPr>
              <w:t>2,047</w:t>
            </w:r>
          </w:p>
        </w:tc>
        <w:tc>
          <w:tcPr>
            <w:tcW w:w="462" w:type="pct"/>
            <w:tcBorders>
              <w:top w:val="nil"/>
              <w:left w:val="nil"/>
              <w:bottom w:val="dotted" w:sz="4" w:space="0" w:color="auto"/>
              <w:right w:val="dotted" w:sz="4" w:space="0" w:color="auto"/>
            </w:tcBorders>
            <w:shd w:val="clear" w:color="000000" w:fill="FFFFFF"/>
            <w:vAlign w:val="center"/>
            <w:hideMark/>
          </w:tcPr>
          <w:p w14:paraId="392281A1" w14:textId="77777777" w:rsidR="009D6D4E" w:rsidRPr="00030958" w:rsidRDefault="009D6D4E" w:rsidP="00BF3B71">
            <w:pPr>
              <w:jc w:val="center"/>
              <w:rPr>
                <w:sz w:val="18"/>
                <w:szCs w:val="20"/>
                <w:lang w:val="en-US"/>
              </w:rPr>
            </w:pPr>
            <w:r w:rsidRPr="00030958">
              <w:rPr>
                <w:sz w:val="18"/>
                <w:szCs w:val="20"/>
                <w:lang w:val="en-US"/>
              </w:rPr>
              <w:t>2,124</w:t>
            </w:r>
          </w:p>
        </w:tc>
        <w:tc>
          <w:tcPr>
            <w:tcW w:w="462" w:type="pct"/>
            <w:tcBorders>
              <w:top w:val="nil"/>
              <w:left w:val="nil"/>
              <w:bottom w:val="dotted" w:sz="4" w:space="0" w:color="auto"/>
              <w:right w:val="double" w:sz="6" w:space="0" w:color="auto"/>
            </w:tcBorders>
            <w:shd w:val="clear" w:color="000000" w:fill="FFFFFF"/>
            <w:vAlign w:val="center"/>
            <w:hideMark/>
          </w:tcPr>
          <w:p w14:paraId="7BD3C2B8" w14:textId="77777777" w:rsidR="009D6D4E" w:rsidRPr="00030958" w:rsidRDefault="009D6D4E" w:rsidP="00BF3B71">
            <w:pPr>
              <w:jc w:val="center"/>
              <w:rPr>
                <w:sz w:val="18"/>
                <w:szCs w:val="20"/>
                <w:lang w:val="en-US"/>
              </w:rPr>
            </w:pPr>
            <w:r w:rsidRPr="00030958">
              <w:rPr>
                <w:sz w:val="18"/>
                <w:szCs w:val="20"/>
                <w:lang w:val="en-US"/>
              </w:rPr>
              <w:t>2,239</w:t>
            </w:r>
          </w:p>
        </w:tc>
      </w:tr>
      <w:tr w:rsidR="009D6D4E" w:rsidRPr="00030958" w14:paraId="23052DCA" w14:textId="77777777" w:rsidTr="00BF3B71">
        <w:trPr>
          <w:trHeight w:val="20"/>
        </w:trPr>
        <w:tc>
          <w:tcPr>
            <w:tcW w:w="2070" w:type="pct"/>
            <w:tcBorders>
              <w:top w:val="nil"/>
              <w:left w:val="double" w:sz="6" w:space="0" w:color="auto"/>
              <w:bottom w:val="dotted" w:sz="4" w:space="0" w:color="auto"/>
              <w:right w:val="nil"/>
            </w:tcBorders>
            <w:shd w:val="clear" w:color="000000" w:fill="FFFFFF"/>
            <w:vAlign w:val="center"/>
            <w:hideMark/>
          </w:tcPr>
          <w:p w14:paraId="4B29E1F8" w14:textId="77777777" w:rsidR="009D6D4E" w:rsidRPr="00030958" w:rsidRDefault="009D6D4E" w:rsidP="00BF3B71">
            <w:pPr>
              <w:rPr>
                <w:sz w:val="18"/>
                <w:szCs w:val="20"/>
                <w:lang w:val="en-US"/>
              </w:rPr>
            </w:pPr>
            <w:r w:rsidRPr="00030958">
              <w:rPr>
                <w:sz w:val="18"/>
                <w:szCs w:val="20"/>
                <w:lang w:val="en-US"/>
              </w:rPr>
              <w:t>7. Shpenzimet Totale[1]</w:t>
            </w:r>
          </w:p>
        </w:tc>
        <w:tc>
          <w:tcPr>
            <w:tcW w:w="231" w:type="pct"/>
            <w:tcBorders>
              <w:top w:val="nil"/>
              <w:left w:val="nil"/>
              <w:bottom w:val="dotted" w:sz="4" w:space="0" w:color="auto"/>
              <w:right w:val="single" w:sz="8" w:space="0" w:color="auto"/>
            </w:tcBorders>
            <w:shd w:val="clear" w:color="000000" w:fill="FFFFFF"/>
            <w:vAlign w:val="center"/>
            <w:hideMark/>
          </w:tcPr>
          <w:p w14:paraId="20CEC85A" w14:textId="77777777" w:rsidR="009D6D4E" w:rsidRPr="00030958" w:rsidRDefault="009D6D4E" w:rsidP="00BF3B71">
            <w:pPr>
              <w:jc w:val="center"/>
              <w:rPr>
                <w:sz w:val="18"/>
                <w:szCs w:val="20"/>
                <w:lang w:val="en-US"/>
              </w:rPr>
            </w:pPr>
            <w:r w:rsidRPr="00030958">
              <w:rPr>
                <w:sz w:val="18"/>
                <w:szCs w:val="20"/>
                <w:lang w:val="en-US"/>
              </w:rPr>
              <w:t> </w:t>
            </w:r>
          </w:p>
        </w:tc>
        <w:tc>
          <w:tcPr>
            <w:tcW w:w="389" w:type="pct"/>
            <w:tcBorders>
              <w:top w:val="nil"/>
              <w:left w:val="nil"/>
              <w:bottom w:val="dotted" w:sz="4" w:space="0" w:color="auto"/>
              <w:right w:val="single" w:sz="8" w:space="0" w:color="auto"/>
            </w:tcBorders>
            <w:shd w:val="clear" w:color="000000" w:fill="FFFFFF"/>
            <w:vAlign w:val="center"/>
            <w:hideMark/>
          </w:tcPr>
          <w:p w14:paraId="37E8F5B2" w14:textId="77777777" w:rsidR="009D6D4E" w:rsidRPr="00030958" w:rsidRDefault="009D6D4E" w:rsidP="00BF3B71">
            <w:pPr>
              <w:jc w:val="center"/>
              <w:rPr>
                <w:sz w:val="18"/>
                <w:szCs w:val="20"/>
                <w:lang w:val="en-US"/>
              </w:rPr>
            </w:pPr>
            <w:r w:rsidRPr="00030958">
              <w:rPr>
                <w:sz w:val="18"/>
                <w:szCs w:val="20"/>
                <w:lang w:val="en-US"/>
              </w:rPr>
              <w:t>TE</w:t>
            </w:r>
          </w:p>
        </w:tc>
        <w:tc>
          <w:tcPr>
            <w:tcW w:w="462" w:type="pct"/>
            <w:tcBorders>
              <w:top w:val="nil"/>
              <w:left w:val="nil"/>
              <w:bottom w:val="dotted" w:sz="4" w:space="0" w:color="auto"/>
              <w:right w:val="dotted" w:sz="4" w:space="0" w:color="auto"/>
            </w:tcBorders>
            <w:shd w:val="clear" w:color="000000" w:fill="FFFFFF"/>
            <w:vAlign w:val="center"/>
            <w:hideMark/>
          </w:tcPr>
          <w:p w14:paraId="7F266EB3" w14:textId="77777777" w:rsidR="009D6D4E" w:rsidRPr="00030958" w:rsidRDefault="009D6D4E" w:rsidP="00BF3B71">
            <w:pPr>
              <w:jc w:val="center"/>
              <w:rPr>
                <w:sz w:val="18"/>
                <w:szCs w:val="20"/>
                <w:lang w:val="en-US"/>
              </w:rPr>
            </w:pPr>
            <w:r w:rsidRPr="00030958">
              <w:rPr>
                <w:sz w:val="18"/>
                <w:szCs w:val="20"/>
                <w:lang w:val="en-US"/>
              </w:rPr>
              <w:t>1,956</w:t>
            </w:r>
          </w:p>
        </w:tc>
        <w:tc>
          <w:tcPr>
            <w:tcW w:w="462" w:type="pct"/>
            <w:tcBorders>
              <w:top w:val="nil"/>
              <w:left w:val="nil"/>
              <w:bottom w:val="dotted" w:sz="4" w:space="0" w:color="auto"/>
              <w:right w:val="dotted" w:sz="4" w:space="0" w:color="auto"/>
            </w:tcBorders>
            <w:shd w:val="clear" w:color="000000" w:fill="FFFFFF"/>
            <w:vAlign w:val="center"/>
            <w:hideMark/>
          </w:tcPr>
          <w:p w14:paraId="0071BC59" w14:textId="77777777" w:rsidR="009D6D4E" w:rsidRPr="00030958" w:rsidRDefault="009D6D4E" w:rsidP="00BF3B71">
            <w:pPr>
              <w:jc w:val="center"/>
              <w:rPr>
                <w:sz w:val="18"/>
                <w:szCs w:val="20"/>
                <w:lang w:val="en-US"/>
              </w:rPr>
            </w:pPr>
            <w:r w:rsidRPr="00030958">
              <w:rPr>
                <w:sz w:val="18"/>
                <w:szCs w:val="20"/>
                <w:lang w:val="en-US"/>
              </w:rPr>
              <w:t>2,378</w:t>
            </w:r>
          </w:p>
        </w:tc>
        <w:tc>
          <w:tcPr>
            <w:tcW w:w="462" w:type="pct"/>
            <w:tcBorders>
              <w:top w:val="nil"/>
              <w:left w:val="nil"/>
              <w:bottom w:val="dotted" w:sz="4" w:space="0" w:color="auto"/>
              <w:right w:val="dotted" w:sz="4" w:space="0" w:color="auto"/>
            </w:tcBorders>
            <w:shd w:val="clear" w:color="000000" w:fill="FFFFFF"/>
            <w:vAlign w:val="center"/>
            <w:hideMark/>
          </w:tcPr>
          <w:p w14:paraId="2653446D" w14:textId="77777777" w:rsidR="009D6D4E" w:rsidRPr="00030958" w:rsidRDefault="009D6D4E" w:rsidP="00BF3B71">
            <w:pPr>
              <w:jc w:val="center"/>
              <w:rPr>
                <w:sz w:val="18"/>
                <w:szCs w:val="20"/>
                <w:lang w:val="en-US"/>
              </w:rPr>
            </w:pPr>
            <w:r w:rsidRPr="00030958">
              <w:rPr>
                <w:sz w:val="18"/>
                <w:szCs w:val="20"/>
                <w:lang w:val="en-US"/>
              </w:rPr>
              <w:t>2,467</w:t>
            </w:r>
          </w:p>
        </w:tc>
        <w:tc>
          <w:tcPr>
            <w:tcW w:w="462" w:type="pct"/>
            <w:tcBorders>
              <w:top w:val="nil"/>
              <w:left w:val="nil"/>
              <w:bottom w:val="dotted" w:sz="4" w:space="0" w:color="auto"/>
              <w:right w:val="dotted" w:sz="4" w:space="0" w:color="auto"/>
            </w:tcBorders>
            <w:shd w:val="clear" w:color="000000" w:fill="FFFFFF"/>
            <w:vAlign w:val="center"/>
            <w:hideMark/>
          </w:tcPr>
          <w:p w14:paraId="6374D5E0" w14:textId="77777777" w:rsidR="009D6D4E" w:rsidRPr="00030958" w:rsidRDefault="009D6D4E" w:rsidP="00BF3B71">
            <w:pPr>
              <w:jc w:val="center"/>
              <w:rPr>
                <w:sz w:val="18"/>
                <w:szCs w:val="20"/>
                <w:lang w:val="en-US"/>
              </w:rPr>
            </w:pPr>
            <w:r w:rsidRPr="00030958">
              <w:rPr>
                <w:sz w:val="18"/>
                <w:szCs w:val="20"/>
                <w:lang w:val="en-US"/>
              </w:rPr>
              <w:t>2,544</w:t>
            </w:r>
          </w:p>
        </w:tc>
        <w:tc>
          <w:tcPr>
            <w:tcW w:w="462" w:type="pct"/>
            <w:tcBorders>
              <w:top w:val="nil"/>
              <w:left w:val="nil"/>
              <w:bottom w:val="dotted" w:sz="4" w:space="0" w:color="auto"/>
              <w:right w:val="double" w:sz="6" w:space="0" w:color="auto"/>
            </w:tcBorders>
            <w:shd w:val="clear" w:color="000000" w:fill="FFFFFF"/>
            <w:vAlign w:val="center"/>
            <w:hideMark/>
          </w:tcPr>
          <w:p w14:paraId="143DD446" w14:textId="77777777" w:rsidR="009D6D4E" w:rsidRPr="00030958" w:rsidRDefault="009D6D4E" w:rsidP="00BF3B71">
            <w:pPr>
              <w:jc w:val="center"/>
              <w:rPr>
                <w:sz w:val="18"/>
                <w:szCs w:val="20"/>
                <w:lang w:val="en-US"/>
              </w:rPr>
            </w:pPr>
            <w:r w:rsidRPr="00030958">
              <w:rPr>
                <w:sz w:val="18"/>
                <w:szCs w:val="20"/>
                <w:lang w:val="en-US"/>
              </w:rPr>
              <w:t>2,616</w:t>
            </w:r>
          </w:p>
        </w:tc>
      </w:tr>
      <w:tr w:rsidR="009D6D4E" w:rsidRPr="00030958" w14:paraId="2C7A1FCC" w14:textId="77777777" w:rsidTr="00BF3B71">
        <w:trPr>
          <w:trHeight w:val="20"/>
        </w:trPr>
        <w:tc>
          <w:tcPr>
            <w:tcW w:w="2070" w:type="pct"/>
            <w:tcBorders>
              <w:top w:val="nil"/>
              <w:left w:val="double" w:sz="6" w:space="0" w:color="auto"/>
              <w:bottom w:val="dotted" w:sz="4" w:space="0" w:color="auto"/>
              <w:right w:val="nil"/>
            </w:tcBorders>
            <w:shd w:val="clear" w:color="000000" w:fill="FFFFFF"/>
            <w:vAlign w:val="center"/>
            <w:hideMark/>
          </w:tcPr>
          <w:p w14:paraId="18BA663E" w14:textId="77777777" w:rsidR="009D6D4E" w:rsidRPr="00030958" w:rsidRDefault="009D6D4E" w:rsidP="00BF3B71">
            <w:pPr>
              <w:rPr>
                <w:sz w:val="18"/>
                <w:szCs w:val="20"/>
                <w:lang w:val="en-US"/>
              </w:rPr>
            </w:pPr>
            <w:r w:rsidRPr="00030958">
              <w:rPr>
                <w:sz w:val="18"/>
                <w:szCs w:val="20"/>
                <w:lang w:val="en-US"/>
              </w:rPr>
              <w:t>8. Neto Huamarrja/Huadhënja</w:t>
            </w:r>
          </w:p>
        </w:tc>
        <w:tc>
          <w:tcPr>
            <w:tcW w:w="231" w:type="pct"/>
            <w:tcBorders>
              <w:top w:val="nil"/>
              <w:left w:val="nil"/>
              <w:bottom w:val="dotted" w:sz="4" w:space="0" w:color="auto"/>
              <w:right w:val="single" w:sz="8" w:space="0" w:color="auto"/>
            </w:tcBorders>
            <w:shd w:val="clear" w:color="000000" w:fill="FFFFFF"/>
            <w:vAlign w:val="center"/>
            <w:hideMark/>
          </w:tcPr>
          <w:p w14:paraId="41F1136B" w14:textId="77777777" w:rsidR="009D6D4E" w:rsidRPr="00030958" w:rsidRDefault="009D6D4E" w:rsidP="00BF3B71">
            <w:pPr>
              <w:jc w:val="center"/>
              <w:rPr>
                <w:sz w:val="18"/>
                <w:szCs w:val="20"/>
                <w:lang w:val="en-US"/>
              </w:rPr>
            </w:pPr>
            <w:r w:rsidRPr="00030958">
              <w:rPr>
                <w:sz w:val="18"/>
                <w:szCs w:val="20"/>
                <w:lang w:val="en-US"/>
              </w:rPr>
              <w:t> </w:t>
            </w:r>
          </w:p>
        </w:tc>
        <w:tc>
          <w:tcPr>
            <w:tcW w:w="389" w:type="pct"/>
            <w:tcBorders>
              <w:top w:val="nil"/>
              <w:left w:val="nil"/>
              <w:bottom w:val="dotted" w:sz="4" w:space="0" w:color="auto"/>
              <w:right w:val="single" w:sz="8" w:space="0" w:color="auto"/>
            </w:tcBorders>
            <w:shd w:val="clear" w:color="000000" w:fill="FFFFFF"/>
            <w:vAlign w:val="center"/>
            <w:hideMark/>
          </w:tcPr>
          <w:p w14:paraId="5882C0DE" w14:textId="77777777" w:rsidR="009D6D4E" w:rsidRPr="00030958" w:rsidRDefault="009D6D4E" w:rsidP="00BF3B71">
            <w:pPr>
              <w:jc w:val="center"/>
              <w:rPr>
                <w:sz w:val="18"/>
                <w:szCs w:val="20"/>
                <w:lang w:val="en-US"/>
              </w:rPr>
            </w:pPr>
            <w:r w:rsidRPr="00030958">
              <w:rPr>
                <w:sz w:val="18"/>
                <w:szCs w:val="20"/>
                <w:lang w:val="en-US"/>
              </w:rPr>
              <w:t>EDP.B9</w:t>
            </w:r>
          </w:p>
        </w:tc>
        <w:tc>
          <w:tcPr>
            <w:tcW w:w="462" w:type="pct"/>
            <w:tcBorders>
              <w:top w:val="nil"/>
              <w:left w:val="nil"/>
              <w:bottom w:val="dotted" w:sz="4" w:space="0" w:color="auto"/>
              <w:right w:val="dotted" w:sz="4" w:space="0" w:color="auto"/>
            </w:tcBorders>
            <w:shd w:val="clear" w:color="000000" w:fill="FFFFFF"/>
            <w:vAlign w:val="center"/>
            <w:hideMark/>
          </w:tcPr>
          <w:p w14:paraId="2B2DEC0D" w14:textId="77777777" w:rsidR="009D6D4E" w:rsidRPr="00030958" w:rsidRDefault="009D6D4E" w:rsidP="00BF3B71">
            <w:pPr>
              <w:jc w:val="center"/>
              <w:rPr>
                <w:sz w:val="18"/>
                <w:szCs w:val="20"/>
                <w:lang w:val="en-US"/>
              </w:rPr>
            </w:pPr>
            <w:r w:rsidRPr="00030958">
              <w:rPr>
                <w:sz w:val="18"/>
                <w:szCs w:val="20"/>
                <w:lang w:val="en-US"/>
              </w:rPr>
              <w:t>-199</w:t>
            </w:r>
          </w:p>
        </w:tc>
        <w:tc>
          <w:tcPr>
            <w:tcW w:w="462" w:type="pct"/>
            <w:tcBorders>
              <w:top w:val="nil"/>
              <w:left w:val="nil"/>
              <w:bottom w:val="dotted" w:sz="4" w:space="0" w:color="auto"/>
              <w:right w:val="dotted" w:sz="4" w:space="0" w:color="auto"/>
            </w:tcBorders>
            <w:shd w:val="clear" w:color="000000" w:fill="FFFFFF"/>
            <w:vAlign w:val="center"/>
            <w:hideMark/>
          </w:tcPr>
          <w:p w14:paraId="1BC57BAD" w14:textId="77777777" w:rsidR="009D6D4E" w:rsidRPr="00030958" w:rsidRDefault="009D6D4E" w:rsidP="00BF3B71">
            <w:pPr>
              <w:jc w:val="center"/>
              <w:rPr>
                <w:sz w:val="18"/>
                <w:szCs w:val="20"/>
                <w:lang w:val="en-US"/>
              </w:rPr>
            </w:pPr>
            <w:r w:rsidRPr="00030958">
              <w:rPr>
                <w:sz w:val="18"/>
                <w:szCs w:val="20"/>
                <w:lang w:val="en-US"/>
              </w:rPr>
              <w:t>-429</w:t>
            </w:r>
          </w:p>
        </w:tc>
        <w:tc>
          <w:tcPr>
            <w:tcW w:w="462" w:type="pct"/>
            <w:tcBorders>
              <w:top w:val="nil"/>
              <w:left w:val="nil"/>
              <w:bottom w:val="dotted" w:sz="4" w:space="0" w:color="auto"/>
              <w:right w:val="dotted" w:sz="4" w:space="0" w:color="auto"/>
            </w:tcBorders>
            <w:shd w:val="clear" w:color="000000" w:fill="FFFFFF"/>
            <w:vAlign w:val="center"/>
            <w:hideMark/>
          </w:tcPr>
          <w:p w14:paraId="0226643C" w14:textId="77777777" w:rsidR="009D6D4E" w:rsidRPr="00030958" w:rsidRDefault="009D6D4E" w:rsidP="00BF3B71">
            <w:pPr>
              <w:jc w:val="center"/>
              <w:rPr>
                <w:sz w:val="18"/>
                <w:szCs w:val="20"/>
                <w:lang w:val="en-US"/>
              </w:rPr>
            </w:pPr>
            <w:r w:rsidRPr="00030958">
              <w:rPr>
                <w:sz w:val="18"/>
                <w:szCs w:val="20"/>
                <w:lang w:val="en-US"/>
              </w:rPr>
              <w:t>-419</w:t>
            </w:r>
          </w:p>
        </w:tc>
        <w:tc>
          <w:tcPr>
            <w:tcW w:w="462" w:type="pct"/>
            <w:tcBorders>
              <w:top w:val="nil"/>
              <w:left w:val="nil"/>
              <w:bottom w:val="dotted" w:sz="4" w:space="0" w:color="auto"/>
              <w:right w:val="dotted" w:sz="4" w:space="0" w:color="auto"/>
            </w:tcBorders>
            <w:shd w:val="clear" w:color="000000" w:fill="FFFFFF"/>
            <w:vAlign w:val="center"/>
            <w:hideMark/>
          </w:tcPr>
          <w:p w14:paraId="15DFF0BF" w14:textId="77777777" w:rsidR="009D6D4E" w:rsidRPr="00030958" w:rsidRDefault="009D6D4E" w:rsidP="00BF3B71">
            <w:pPr>
              <w:jc w:val="center"/>
              <w:rPr>
                <w:sz w:val="18"/>
                <w:szCs w:val="20"/>
                <w:lang w:val="en-US"/>
              </w:rPr>
            </w:pPr>
            <w:r w:rsidRPr="00030958">
              <w:rPr>
                <w:sz w:val="18"/>
                <w:szCs w:val="20"/>
                <w:lang w:val="en-US"/>
              </w:rPr>
              <w:t>-420</w:t>
            </w:r>
          </w:p>
        </w:tc>
        <w:tc>
          <w:tcPr>
            <w:tcW w:w="462" w:type="pct"/>
            <w:tcBorders>
              <w:top w:val="nil"/>
              <w:left w:val="nil"/>
              <w:bottom w:val="dotted" w:sz="4" w:space="0" w:color="auto"/>
              <w:right w:val="double" w:sz="6" w:space="0" w:color="auto"/>
            </w:tcBorders>
            <w:shd w:val="clear" w:color="000000" w:fill="FFFFFF"/>
            <w:vAlign w:val="center"/>
            <w:hideMark/>
          </w:tcPr>
          <w:p w14:paraId="4B23838A" w14:textId="77777777" w:rsidR="009D6D4E" w:rsidRPr="00030958" w:rsidRDefault="009D6D4E" w:rsidP="00BF3B71">
            <w:pPr>
              <w:jc w:val="center"/>
              <w:rPr>
                <w:sz w:val="18"/>
                <w:szCs w:val="20"/>
                <w:lang w:val="en-US"/>
              </w:rPr>
            </w:pPr>
            <w:r w:rsidRPr="00030958">
              <w:rPr>
                <w:sz w:val="18"/>
                <w:szCs w:val="20"/>
                <w:lang w:val="en-US"/>
              </w:rPr>
              <w:t>-376</w:t>
            </w:r>
          </w:p>
        </w:tc>
      </w:tr>
      <w:tr w:rsidR="009D6D4E" w:rsidRPr="00030958" w14:paraId="0049C43B" w14:textId="77777777" w:rsidTr="00BF3B71">
        <w:trPr>
          <w:trHeight w:val="20"/>
        </w:trPr>
        <w:tc>
          <w:tcPr>
            <w:tcW w:w="2070" w:type="pct"/>
            <w:tcBorders>
              <w:top w:val="nil"/>
              <w:left w:val="double" w:sz="6" w:space="0" w:color="auto"/>
              <w:bottom w:val="dotted" w:sz="4" w:space="0" w:color="auto"/>
              <w:right w:val="nil"/>
            </w:tcBorders>
            <w:shd w:val="clear" w:color="000000" w:fill="FFFFFF"/>
            <w:vAlign w:val="center"/>
            <w:hideMark/>
          </w:tcPr>
          <w:p w14:paraId="6422A6B4" w14:textId="77777777" w:rsidR="009D6D4E" w:rsidRPr="00030958" w:rsidRDefault="009D6D4E" w:rsidP="00BF3B71">
            <w:pPr>
              <w:rPr>
                <w:sz w:val="18"/>
                <w:szCs w:val="20"/>
                <w:lang w:val="en-US"/>
              </w:rPr>
            </w:pPr>
            <w:r w:rsidRPr="00030958">
              <w:rPr>
                <w:sz w:val="18"/>
                <w:szCs w:val="20"/>
                <w:lang w:val="en-US"/>
              </w:rPr>
              <w:t>9. Shpenzimet e Interesit</w:t>
            </w:r>
          </w:p>
        </w:tc>
        <w:tc>
          <w:tcPr>
            <w:tcW w:w="231" w:type="pct"/>
            <w:tcBorders>
              <w:top w:val="nil"/>
              <w:left w:val="nil"/>
              <w:bottom w:val="dotted" w:sz="4" w:space="0" w:color="auto"/>
              <w:right w:val="single" w:sz="8" w:space="0" w:color="auto"/>
            </w:tcBorders>
            <w:shd w:val="clear" w:color="000000" w:fill="FFFFFF"/>
            <w:vAlign w:val="center"/>
            <w:hideMark/>
          </w:tcPr>
          <w:p w14:paraId="2062402D" w14:textId="77777777" w:rsidR="009D6D4E" w:rsidRPr="00030958" w:rsidRDefault="009D6D4E" w:rsidP="00BF3B71">
            <w:pPr>
              <w:jc w:val="center"/>
              <w:rPr>
                <w:sz w:val="18"/>
                <w:szCs w:val="20"/>
                <w:lang w:val="en-US"/>
              </w:rPr>
            </w:pPr>
            <w:r w:rsidRPr="00030958">
              <w:rPr>
                <w:sz w:val="18"/>
                <w:szCs w:val="20"/>
                <w:lang w:val="en-US"/>
              </w:rPr>
              <w:t> </w:t>
            </w:r>
          </w:p>
        </w:tc>
        <w:tc>
          <w:tcPr>
            <w:tcW w:w="389" w:type="pct"/>
            <w:tcBorders>
              <w:top w:val="nil"/>
              <w:left w:val="nil"/>
              <w:bottom w:val="dotted" w:sz="4" w:space="0" w:color="auto"/>
              <w:right w:val="single" w:sz="8" w:space="0" w:color="auto"/>
            </w:tcBorders>
            <w:shd w:val="clear" w:color="000000" w:fill="FFFFFF"/>
            <w:vAlign w:val="center"/>
            <w:hideMark/>
          </w:tcPr>
          <w:p w14:paraId="7444D0B1" w14:textId="77777777" w:rsidR="009D6D4E" w:rsidRPr="00030958" w:rsidRDefault="009D6D4E" w:rsidP="00BF3B71">
            <w:pPr>
              <w:jc w:val="center"/>
              <w:rPr>
                <w:sz w:val="18"/>
                <w:szCs w:val="20"/>
                <w:lang w:val="en-US"/>
              </w:rPr>
            </w:pPr>
            <w:r w:rsidRPr="00030958">
              <w:rPr>
                <w:sz w:val="18"/>
                <w:szCs w:val="20"/>
                <w:lang w:val="en-US"/>
              </w:rPr>
              <w:t>EDP.D41 incl. FISIM</w:t>
            </w:r>
          </w:p>
        </w:tc>
        <w:tc>
          <w:tcPr>
            <w:tcW w:w="462" w:type="pct"/>
            <w:tcBorders>
              <w:top w:val="nil"/>
              <w:left w:val="nil"/>
              <w:bottom w:val="dotted" w:sz="4" w:space="0" w:color="auto"/>
              <w:right w:val="dotted" w:sz="4" w:space="0" w:color="auto"/>
            </w:tcBorders>
            <w:shd w:val="clear" w:color="000000" w:fill="FFFFFF"/>
            <w:vAlign w:val="center"/>
            <w:hideMark/>
          </w:tcPr>
          <w:p w14:paraId="0F07080C" w14:textId="77777777" w:rsidR="009D6D4E" w:rsidRPr="00030958" w:rsidRDefault="009D6D4E" w:rsidP="00BF3B71">
            <w:pPr>
              <w:jc w:val="center"/>
              <w:rPr>
                <w:sz w:val="18"/>
                <w:szCs w:val="20"/>
                <w:lang w:val="en-US"/>
              </w:rPr>
            </w:pPr>
            <w:r w:rsidRPr="00030958">
              <w:rPr>
                <w:sz w:val="18"/>
                <w:szCs w:val="20"/>
                <w:lang w:val="en-US"/>
              </w:rPr>
              <w:t>19</w:t>
            </w:r>
          </w:p>
        </w:tc>
        <w:tc>
          <w:tcPr>
            <w:tcW w:w="462" w:type="pct"/>
            <w:tcBorders>
              <w:top w:val="nil"/>
              <w:left w:val="nil"/>
              <w:bottom w:val="dotted" w:sz="4" w:space="0" w:color="auto"/>
              <w:right w:val="dotted" w:sz="4" w:space="0" w:color="auto"/>
            </w:tcBorders>
            <w:shd w:val="clear" w:color="000000" w:fill="FFFFFF"/>
            <w:vAlign w:val="center"/>
            <w:hideMark/>
          </w:tcPr>
          <w:p w14:paraId="1BCC5DA6" w14:textId="77777777" w:rsidR="009D6D4E" w:rsidRPr="00030958" w:rsidRDefault="009D6D4E" w:rsidP="00BF3B71">
            <w:pPr>
              <w:jc w:val="center"/>
              <w:rPr>
                <w:sz w:val="18"/>
                <w:szCs w:val="20"/>
                <w:lang w:val="en-US"/>
              </w:rPr>
            </w:pPr>
            <w:r w:rsidRPr="00030958">
              <w:rPr>
                <w:sz w:val="18"/>
                <w:szCs w:val="20"/>
                <w:lang w:val="en-US"/>
              </w:rPr>
              <w:t>28</w:t>
            </w:r>
          </w:p>
        </w:tc>
        <w:tc>
          <w:tcPr>
            <w:tcW w:w="462" w:type="pct"/>
            <w:tcBorders>
              <w:top w:val="nil"/>
              <w:left w:val="nil"/>
              <w:bottom w:val="dotted" w:sz="4" w:space="0" w:color="auto"/>
              <w:right w:val="dotted" w:sz="4" w:space="0" w:color="auto"/>
            </w:tcBorders>
            <w:shd w:val="clear" w:color="000000" w:fill="FFFFFF"/>
            <w:vAlign w:val="center"/>
            <w:hideMark/>
          </w:tcPr>
          <w:p w14:paraId="0A316002" w14:textId="77777777" w:rsidR="009D6D4E" w:rsidRPr="00030958" w:rsidRDefault="009D6D4E" w:rsidP="00BF3B71">
            <w:pPr>
              <w:jc w:val="center"/>
              <w:rPr>
                <w:sz w:val="18"/>
                <w:szCs w:val="20"/>
                <w:lang w:val="en-US"/>
              </w:rPr>
            </w:pPr>
            <w:r w:rsidRPr="00030958">
              <w:rPr>
                <w:sz w:val="18"/>
                <w:szCs w:val="20"/>
                <w:lang w:val="en-US"/>
              </w:rPr>
              <w:t>30</w:t>
            </w:r>
          </w:p>
        </w:tc>
        <w:tc>
          <w:tcPr>
            <w:tcW w:w="462" w:type="pct"/>
            <w:tcBorders>
              <w:top w:val="nil"/>
              <w:left w:val="nil"/>
              <w:bottom w:val="dotted" w:sz="4" w:space="0" w:color="auto"/>
              <w:right w:val="dotted" w:sz="4" w:space="0" w:color="auto"/>
            </w:tcBorders>
            <w:shd w:val="clear" w:color="000000" w:fill="FFFFFF"/>
            <w:vAlign w:val="center"/>
            <w:hideMark/>
          </w:tcPr>
          <w:p w14:paraId="233CD0C5" w14:textId="77777777" w:rsidR="009D6D4E" w:rsidRPr="00030958" w:rsidRDefault="009D6D4E" w:rsidP="00BF3B71">
            <w:pPr>
              <w:jc w:val="center"/>
              <w:rPr>
                <w:sz w:val="18"/>
                <w:szCs w:val="20"/>
                <w:lang w:val="en-US"/>
              </w:rPr>
            </w:pPr>
            <w:r w:rsidRPr="00030958">
              <w:rPr>
                <w:sz w:val="18"/>
                <w:szCs w:val="20"/>
                <w:lang w:val="en-US"/>
              </w:rPr>
              <w:t>37</w:t>
            </w:r>
          </w:p>
        </w:tc>
        <w:tc>
          <w:tcPr>
            <w:tcW w:w="462" w:type="pct"/>
            <w:tcBorders>
              <w:top w:val="nil"/>
              <w:left w:val="nil"/>
              <w:bottom w:val="dotted" w:sz="4" w:space="0" w:color="auto"/>
              <w:right w:val="double" w:sz="6" w:space="0" w:color="auto"/>
            </w:tcBorders>
            <w:shd w:val="clear" w:color="000000" w:fill="FFFFFF"/>
            <w:vAlign w:val="center"/>
            <w:hideMark/>
          </w:tcPr>
          <w:p w14:paraId="6F21D733" w14:textId="77777777" w:rsidR="009D6D4E" w:rsidRPr="00030958" w:rsidRDefault="009D6D4E" w:rsidP="00BF3B71">
            <w:pPr>
              <w:jc w:val="center"/>
              <w:rPr>
                <w:sz w:val="18"/>
                <w:szCs w:val="20"/>
                <w:lang w:val="en-US"/>
              </w:rPr>
            </w:pPr>
            <w:r w:rsidRPr="00030958">
              <w:rPr>
                <w:sz w:val="18"/>
                <w:szCs w:val="20"/>
                <w:lang w:val="en-US"/>
              </w:rPr>
              <w:t>42</w:t>
            </w:r>
          </w:p>
        </w:tc>
      </w:tr>
      <w:tr w:rsidR="009D6D4E" w:rsidRPr="00030958" w14:paraId="1AFE3B3E" w14:textId="77777777" w:rsidTr="00BF3B71">
        <w:trPr>
          <w:trHeight w:val="20"/>
        </w:trPr>
        <w:tc>
          <w:tcPr>
            <w:tcW w:w="2070" w:type="pct"/>
            <w:tcBorders>
              <w:top w:val="nil"/>
              <w:left w:val="double" w:sz="6" w:space="0" w:color="auto"/>
              <w:bottom w:val="dotted" w:sz="4" w:space="0" w:color="auto"/>
              <w:right w:val="nil"/>
            </w:tcBorders>
            <w:shd w:val="clear" w:color="000000" w:fill="FFFFFF"/>
            <w:vAlign w:val="center"/>
            <w:hideMark/>
          </w:tcPr>
          <w:p w14:paraId="28F9B2EC" w14:textId="77777777" w:rsidR="009D6D4E" w:rsidRPr="00030958" w:rsidRDefault="009D6D4E" w:rsidP="00BF3B71">
            <w:pPr>
              <w:rPr>
                <w:sz w:val="18"/>
                <w:szCs w:val="20"/>
                <w:lang w:val="en-US"/>
              </w:rPr>
            </w:pPr>
            <w:r w:rsidRPr="00030958">
              <w:rPr>
                <w:sz w:val="18"/>
                <w:szCs w:val="20"/>
                <w:lang w:val="en-US"/>
              </w:rPr>
              <w:t>10. Bilanci Primar[2]</w:t>
            </w:r>
          </w:p>
        </w:tc>
        <w:tc>
          <w:tcPr>
            <w:tcW w:w="231" w:type="pct"/>
            <w:tcBorders>
              <w:top w:val="nil"/>
              <w:left w:val="nil"/>
              <w:bottom w:val="dotted" w:sz="4" w:space="0" w:color="auto"/>
              <w:right w:val="single" w:sz="8" w:space="0" w:color="auto"/>
            </w:tcBorders>
            <w:shd w:val="clear" w:color="000000" w:fill="FFFFFF"/>
            <w:vAlign w:val="center"/>
            <w:hideMark/>
          </w:tcPr>
          <w:p w14:paraId="0E51D703" w14:textId="77777777" w:rsidR="009D6D4E" w:rsidRPr="00030958" w:rsidRDefault="009D6D4E" w:rsidP="00BF3B71">
            <w:pPr>
              <w:jc w:val="center"/>
              <w:rPr>
                <w:sz w:val="18"/>
                <w:szCs w:val="20"/>
                <w:lang w:val="en-US"/>
              </w:rPr>
            </w:pPr>
            <w:r w:rsidRPr="00030958">
              <w:rPr>
                <w:sz w:val="18"/>
                <w:szCs w:val="20"/>
                <w:lang w:val="en-US"/>
              </w:rPr>
              <w:t> </w:t>
            </w:r>
          </w:p>
        </w:tc>
        <w:tc>
          <w:tcPr>
            <w:tcW w:w="389" w:type="pct"/>
            <w:tcBorders>
              <w:top w:val="nil"/>
              <w:left w:val="nil"/>
              <w:bottom w:val="dotted" w:sz="4" w:space="0" w:color="auto"/>
              <w:right w:val="single" w:sz="8" w:space="0" w:color="auto"/>
            </w:tcBorders>
            <w:shd w:val="clear" w:color="000000" w:fill="FFFFFF"/>
            <w:vAlign w:val="center"/>
            <w:hideMark/>
          </w:tcPr>
          <w:p w14:paraId="74B256B1" w14:textId="77777777" w:rsidR="009D6D4E" w:rsidRPr="00030958" w:rsidRDefault="009D6D4E" w:rsidP="00BF3B71">
            <w:pPr>
              <w:jc w:val="center"/>
              <w:rPr>
                <w:sz w:val="18"/>
                <w:szCs w:val="20"/>
                <w:lang w:val="en-US"/>
              </w:rPr>
            </w:pPr>
            <w:r w:rsidRPr="00030958">
              <w:rPr>
                <w:sz w:val="18"/>
                <w:szCs w:val="20"/>
                <w:lang w:val="en-US"/>
              </w:rPr>
              <w:t> </w:t>
            </w:r>
          </w:p>
        </w:tc>
        <w:tc>
          <w:tcPr>
            <w:tcW w:w="462" w:type="pct"/>
            <w:tcBorders>
              <w:top w:val="nil"/>
              <w:left w:val="nil"/>
              <w:bottom w:val="dotted" w:sz="4" w:space="0" w:color="auto"/>
              <w:right w:val="dotted" w:sz="4" w:space="0" w:color="auto"/>
            </w:tcBorders>
            <w:shd w:val="clear" w:color="000000" w:fill="FFFFFF"/>
            <w:vAlign w:val="center"/>
            <w:hideMark/>
          </w:tcPr>
          <w:p w14:paraId="78B4C4E0" w14:textId="77777777" w:rsidR="009D6D4E" w:rsidRPr="00030958" w:rsidRDefault="009D6D4E" w:rsidP="00BF3B71">
            <w:pPr>
              <w:jc w:val="center"/>
              <w:rPr>
                <w:sz w:val="18"/>
                <w:szCs w:val="20"/>
                <w:lang w:val="en-US"/>
              </w:rPr>
            </w:pPr>
            <w:r w:rsidRPr="00030958">
              <w:rPr>
                <w:sz w:val="18"/>
                <w:szCs w:val="20"/>
                <w:lang w:val="en-US"/>
              </w:rPr>
              <w:t>-180</w:t>
            </w:r>
          </w:p>
        </w:tc>
        <w:tc>
          <w:tcPr>
            <w:tcW w:w="462" w:type="pct"/>
            <w:tcBorders>
              <w:top w:val="nil"/>
              <w:left w:val="nil"/>
              <w:bottom w:val="dotted" w:sz="4" w:space="0" w:color="auto"/>
              <w:right w:val="dotted" w:sz="4" w:space="0" w:color="auto"/>
            </w:tcBorders>
            <w:shd w:val="clear" w:color="000000" w:fill="FFFFFF"/>
            <w:vAlign w:val="center"/>
            <w:hideMark/>
          </w:tcPr>
          <w:p w14:paraId="49F1B9E3" w14:textId="77777777" w:rsidR="009D6D4E" w:rsidRPr="00030958" w:rsidRDefault="009D6D4E" w:rsidP="00BF3B71">
            <w:pPr>
              <w:jc w:val="center"/>
              <w:rPr>
                <w:sz w:val="18"/>
                <w:szCs w:val="20"/>
                <w:lang w:val="en-US"/>
              </w:rPr>
            </w:pPr>
            <w:r w:rsidRPr="00030958">
              <w:rPr>
                <w:sz w:val="18"/>
                <w:szCs w:val="20"/>
                <w:lang w:val="en-US"/>
              </w:rPr>
              <w:t>-401</w:t>
            </w:r>
          </w:p>
        </w:tc>
        <w:tc>
          <w:tcPr>
            <w:tcW w:w="462" w:type="pct"/>
            <w:tcBorders>
              <w:top w:val="nil"/>
              <w:left w:val="nil"/>
              <w:bottom w:val="dotted" w:sz="4" w:space="0" w:color="auto"/>
              <w:right w:val="dotted" w:sz="4" w:space="0" w:color="auto"/>
            </w:tcBorders>
            <w:shd w:val="clear" w:color="000000" w:fill="FFFFFF"/>
            <w:vAlign w:val="center"/>
            <w:hideMark/>
          </w:tcPr>
          <w:p w14:paraId="597524B0" w14:textId="77777777" w:rsidR="009D6D4E" w:rsidRPr="00030958" w:rsidRDefault="009D6D4E" w:rsidP="00BF3B71">
            <w:pPr>
              <w:jc w:val="center"/>
              <w:rPr>
                <w:sz w:val="18"/>
                <w:szCs w:val="20"/>
                <w:lang w:val="en-US"/>
              </w:rPr>
            </w:pPr>
            <w:r w:rsidRPr="00030958">
              <w:rPr>
                <w:sz w:val="18"/>
                <w:szCs w:val="20"/>
                <w:lang w:val="en-US"/>
              </w:rPr>
              <w:t>-389</w:t>
            </w:r>
          </w:p>
        </w:tc>
        <w:tc>
          <w:tcPr>
            <w:tcW w:w="462" w:type="pct"/>
            <w:tcBorders>
              <w:top w:val="nil"/>
              <w:left w:val="nil"/>
              <w:bottom w:val="dotted" w:sz="4" w:space="0" w:color="auto"/>
              <w:right w:val="dotted" w:sz="4" w:space="0" w:color="auto"/>
            </w:tcBorders>
            <w:shd w:val="clear" w:color="000000" w:fill="FFFFFF"/>
            <w:vAlign w:val="center"/>
            <w:hideMark/>
          </w:tcPr>
          <w:p w14:paraId="7E0D4B00" w14:textId="77777777" w:rsidR="009D6D4E" w:rsidRPr="00030958" w:rsidRDefault="009D6D4E" w:rsidP="00BF3B71">
            <w:pPr>
              <w:jc w:val="center"/>
              <w:rPr>
                <w:sz w:val="18"/>
                <w:szCs w:val="20"/>
                <w:lang w:val="en-US"/>
              </w:rPr>
            </w:pPr>
            <w:r w:rsidRPr="00030958">
              <w:rPr>
                <w:sz w:val="18"/>
                <w:szCs w:val="20"/>
                <w:lang w:val="en-US"/>
              </w:rPr>
              <w:t>-383</w:t>
            </w:r>
          </w:p>
        </w:tc>
        <w:tc>
          <w:tcPr>
            <w:tcW w:w="462" w:type="pct"/>
            <w:tcBorders>
              <w:top w:val="nil"/>
              <w:left w:val="nil"/>
              <w:bottom w:val="dotted" w:sz="4" w:space="0" w:color="auto"/>
              <w:right w:val="double" w:sz="6" w:space="0" w:color="auto"/>
            </w:tcBorders>
            <w:shd w:val="clear" w:color="000000" w:fill="FFFFFF"/>
            <w:vAlign w:val="center"/>
            <w:hideMark/>
          </w:tcPr>
          <w:p w14:paraId="5F0341C0" w14:textId="77777777" w:rsidR="009D6D4E" w:rsidRPr="00030958" w:rsidRDefault="009D6D4E" w:rsidP="00BF3B71">
            <w:pPr>
              <w:jc w:val="center"/>
              <w:rPr>
                <w:sz w:val="18"/>
                <w:szCs w:val="20"/>
                <w:lang w:val="en-US"/>
              </w:rPr>
            </w:pPr>
            <w:r w:rsidRPr="00030958">
              <w:rPr>
                <w:sz w:val="18"/>
                <w:szCs w:val="20"/>
                <w:lang w:val="en-US"/>
              </w:rPr>
              <w:t>-334</w:t>
            </w:r>
          </w:p>
        </w:tc>
      </w:tr>
      <w:tr w:rsidR="009D6D4E" w:rsidRPr="00030958" w14:paraId="33F52E49" w14:textId="77777777" w:rsidTr="00BF3B71">
        <w:trPr>
          <w:trHeight w:val="20"/>
        </w:trPr>
        <w:tc>
          <w:tcPr>
            <w:tcW w:w="2070" w:type="pct"/>
            <w:tcBorders>
              <w:top w:val="nil"/>
              <w:left w:val="double" w:sz="6" w:space="0" w:color="auto"/>
              <w:bottom w:val="single" w:sz="8" w:space="0" w:color="auto"/>
              <w:right w:val="nil"/>
            </w:tcBorders>
            <w:shd w:val="clear" w:color="000000" w:fill="FFFFFF"/>
            <w:vAlign w:val="center"/>
            <w:hideMark/>
          </w:tcPr>
          <w:p w14:paraId="263380DB" w14:textId="77777777" w:rsidR="009D6D4E" w:rsidRPr="00FC648F" w:rsidRDefault="009D6D4E" w:rsidP="00BF3B71">
            <w:pPr>
              <w:rPr>
                <w:sz w:val="18"/>
                <w:szCs w:val="20"/>
              </w:rPr>
            </w:pPr>
            <w:r w:rsidRPr="00FC648F">
              <w:rPr>
                <w:sz w:val="18"/>
                <w:szCs w:val="20"/>
              </w:rPr>
              <w:t>11. Masat e njëhershme dhe masat e</w:t>
            </w:r>
            <w:r w:rsidRPr="00FC648F">
              <w:rPr>
                <w:sz w:val="18"/>
                <w:szCs w:val="20"/>
              </w:rPr>
              <w:br/>
              <w:t>përkohshme[3]</w:t>
            </w:r>
          </w:p>
        </w:tc>
        <w:tc>
          <w:tcPr>
            <w:tcW w:w="231" w:type="pct"/>
            <w:tcBorders>
              <w:top w:val="nil"/>
              <w:left w:val="nil"/>
              <w:bottom w:val="single" w:sz="8" w:space="0" w:color="auto"/>
              <w:right w:val="single" w:sz="8" w:space="0" w:color="auto"/>
            </w:tcBorders>
            <w:shd w:val="clear" w:color="000000" w:fill="FFFFFF"/>
            <w:vAlign w:val="center"/>
            <w:hideMark/>
          </w:tcPr>
          <w:p w14:paraId="20E32867" w14:textId="77777777" w:rsidR="009D6D4E" w:rsidRPr="00FC648F" w:rsidRDefault="009D6D4E" w:rsidP="00BF3B71">
            <w:pPr>
              <w:jc w:val="center"/>
              <w:rPr>
                <w:sz w:val="18"/>
                <w:szCs w:val="20"/>
              </w:rPr>
            </w:pPr>
            <w:r w:rsidRPr="00FC648F">
              <w:rPr>
                <w:sz w:val="18"/>
                <w:szCs w:val="20"/>
              </w:rPr>
              <w:t> </w:t>
            </w:r>
          </w:p>
        </w:tc>
        <w:tc>
          <w:tcPr>
            <w:tcW w:w="389" w:type="pct"/>
            <w:tcBorders>
              <w:top w:val="nil"/>
              <w:left w:val="nil"/>
              <w:bottom w:val="single" w:sz="8" w:space="0" w:color="auto"/>
              <w:right w:val="single" w:sz="8" w:space="0" w:color="auto"/>
            </w:tcBorders>
            <w:shd w:val="clear" w:color="000000" w:fill="FFFFFF"/>
            <w:vAlign w:val="center"/>
            <w:hideMark/>
          </w:tcPr>
          <w:p w14:paraId="4591BEE6" w14:textId="77777777" w:rsidR="009D6D4E" w:rsidRPr="00FC648F" w:rsidRDefault="009D6D4E" w:rsidP="00BF3B71">
            <w:pPr>
              <w:jc w:val="center"/>
              <w:rPr>
                <w:sz w:val="18"/>
                <w:szCs w:val="20"/>
              </w:rPr>
            </w:pPr>
            <w:r w:rsidRPr="00FC648F">
              <w:rPr>
                <w:sz w:val="18"/>
                <w:szCs w:val="20"/>
              </w:rPr>
              <w:t> </w:t>
            </w:r>
          </w:p>
        </w:tc>
        <w:tc>
          <w:tcPr>
            <w:tcW w:w="462" w:type="pct"/>
            <w:tcBorders>
              <w:top w:val="nil"/>
              <w:left w:val="nil"/>
              <w:bottom w:val="single" w:sz="8" w:space="0" w:color="auto"/>
              <w:right w:val="dotted" w:sz="4" w:space="0" w:color="auto"/>
            </w:tcBorders>
            <w:shd w:val="clear" w:color="000000" w:fill="FFFFFF"/>
            <w:vAlign w:val="center"/>
            <w:hideMark/>
          </w:tcPr>
          <w:p w14:paraId="03556256" w14:textId="77777777" w:rsidR="009D6D4E" w:rsidRPr="00030958" w:rsidRDefault="009D6D4E" w:rsidP="00BF3B71">
            <w:pPr>
              <w:jc w:val="center"/>
              <w:rPr>
                <w:sz w:val="18"/>
                <w:szCs w:val="20"/>
                <w:lang w:val="en-US"/>
              </w:rPr>
            </w:pPr>
            <w:r w:rsidRPr="00030958">
              <w:rPr>
                <w:sz w:val="18"/>
                <w:szCs w:val="20"/>
                <w:lang w:val="en-US"/>
              </w:rPr>
              <w:t>:</w:t>
            </w:r>
          </w:p>
        </w:tc>
        <w:tc>
          <w:tcPr>
            <w:tcW w:w="462" w:type="pct"/>
            <w:tcBorders>
              <w:top w:val="nil"/>
              <w:left w:val="nil"/>
              <w:bottom w:val="single" w:sz="8" w:space="0" w:color="auto"/>
              <w:right w:val="dotted" w:sz="4" w:space="0" w:color="auto"/>
            </w:tcBorders>
            <w:shd w:val="clear" w:color="000000" w:fill="FFFFFF"/>
            <w:vAlign w:val="center"/>
            <w:hideMark/>
          </w:tcPr>
          <w:p w14:paraId="7DAA3C7A" w14:textId="77777777" w:rsidR="009D6D4E" w:rsidRPr="00030958" w:rsidRDefault="009D6D4E" w:rsidP="00BF3B71">
            <w:pPr>
              <w:jc w:val="center"/>
              <w:rPr>
                <w:sz w:val="18"/>
                <w:szCs w:val="20"/>
                <w:lang w:val="en-US"/>
              </w:rPr>
            </w:pPr>
            <w:r w:rsidRPr="00030958">
              <w:rPr>
                <w:sz w:val="18"/>
                <w:szCs w:val="20"/>
                <w:lang w:val="en-US"/>
              </w:rPr>
              <w:t>:</w:t>
            </w:r>
          </w:p>
        </w:tc>
        <w:tc>
          <w:tcPr>
            <w:tcW w:w="462" w:type="pct"/>
            <w:tcBorders>
              <w:top w:val="nil"/>
              <w:left w:val="nil"/>
              <w:bottom w:val="single" w:sz="8" w:space="0" w:color="auto"/>
              <w:right w:val="dotted" w:sz="4" w:space="0" w:color="auto"/>
            </w:tcBorders>
            <w:shd w:val="clear" w:color="000000" w:fill="FFFFFF"/>
            <w:vAlign w:val="center"/>
            <w:hideMark/>
          </w:tcPr>
          <w:p w14:paraId="06DF2038" w14:textId="77777777" w:rsidR="009D6D4E" w:rsidRPr="00030958" w:rsidRDefault="009D6D4E" w:rsidP="00BF3B71">
            <w:pPr>
              <w:jc w:val="center"/>
              <w:rPr>
                <w:sz w:val="18"/>
                <w:szCs w:val="20"/>
                <w:lang w:val="en-US"/>
              </w:rPr>
            </w:pPr>
            <w:r w:rsidRPr="00030958">
              <w:rPr>
                <w:sz w:val="18"/>
                <w:szCs w:val="20"/>
                <w:lang w:val="en-US"/>
              </w:rPr>
              <w:t>:</w:t>
            </w:r>
          </w:p>
        </w:tc>
        <w:tc>
          <w:tcPr>
            <w:tcW w:w="462" w:type="pct"/>
            <w:tcBorders>
              <w:top w:val="nil"/>
              <w:left w:val="nil"/>
              <w:bottom w:val="single" w:sz="8" w:space="0" w:color="auto"/>
              <w:right w:val="dotted" w:sz="4" w:space="0" w:color="auto"/>
            </w:tcBorders>
            <w:shd w:val="clear" w:color="000000" w:fill="FFFFFF"/>
            <w:vAlign w:val="center"/>
            <w:hideMark/>
          </w:tcPr>
          <w:p w14:paraId="38E3AD2E" w14:textId="77777777" w:rsidR="009D6D4E" w:rsidRPr="00030958" w:rsidRDefault="009D6D4E" w:rsidP="00BF3B71">
            <w:pPr>
              <w:jc w:val="center"/>
              <w:rPr>
                <w:sz w:val="18"/>
                <w:szCs w:val="20"/>
                <w:lang w:val="en-US"/>
              </w:rPr>
            </w:pPr>
            <w:r w:rsidRPr="00030958">
              <w:rPr>
                <w:sz w:val="18"/>
                <w:szCs w:val="20"/>
                <w:lang w:val="en-US"/>
              </w:rPr>
              <w:t>:</w:t>
            </w:r>
          </w:p>
        </w:tc>
        <w:tc>
          <w:tcPr>
            <w:tcW w:w="462" w:type="pct"/>
            <w:tcBorders>
              <w:top w:val="nil"/>
              <w:left w:val="nil"/>
              <w:bottom w:val="single" w:sz="8" w:space="0" w:color="auto"/>
              <w:right w:val="double" w:sz="6" w:space="0" w:color="auto"/>
            </w:tcBorders>
            <w:shd w:val="clear" w:color="000000" w:fill="FFFFFF"/>
            <w:vAlign w:val="center"/>
            <w:hideMark/>
          </w:tcPr>
          <w:p w14:paraId="11779754" w14:textId="77777777" w:rsidR="009D6D4E" w:rsidRPr="00030958" w:rsidRDefault="009D6D4E" w:rsidP="00BF3B71">
            <w:pPr>
              <w:jc w:val="center"/>
              <w:rPr>
                <w:sz w:val="18"/>
                <w:szCs w:val="20"/>
                <w:lang w:val="en-US"/>
              </w:rPr>
            </w:pPr>
            <w:r w:rsidRPr="00030958">
              <w:rPr>
                <w:sz w:val="18"/>
                <w:szCs w:val="20"/>
                <w:lang w:val="en-US"/>
              </w:rPr>
              <w:t>:</w:t>
            </w:r>
          </w:p>
        </w:tc>
      </w:tr>
      <w:tr w:rsidR="009D6D4E" w:rsidRPr="00030958" w14:paraId="173B68C0" w14:textId="77777777" w:rsidTr="00BF3B71">
        <w:trPr>
          <w:trHeight w:val="20"/>
        </w:trPr>
        <w:tc>
          <w:tcPr>
            <w:tcW w:w="5000" w:type="pct"/>
            <w:gridSpan w:val="8"/>
            <w:tcBorders>
              <w:top w:val="single" w:sz="8" w:space="0" w:color="auto"/>
              <w:left w:val="double" w:sz="6" w:space="0" w:color="auto"/>
              <w:bottom w:val="single" w:sz="8" w:space="0" w:color="auto"/>
              <w:right w:val="double" w:sz="6" w:space="0" w:color="000000"/>
            </w:tcBorders>
            <w:shd w:val="clear" w:color="000000" w:fill="FFFFFF"/>
            <w:vAlign w:val="center"/>
            <w:hideMark/>
          </w:tcPr>
          <w:p w14:paraId="5FFD65E8" w14:textId="77777777" w:rsidR="009D6D4E" w:rsidRPr="00030958" w:rsidRDefault="009D6D4E" w:rsidP="00BF3B71">
            <w:pPr>
              <w:jc w:val="center"/>
              <w:rPr>
                <w:b/>
                <w:bCs/>
                <w:sz w:val="18"/>
                <w:szCs w:val="20"/>
                <w:lang w:val="en-US"/>
              </w:rPr>
            </w:pPr>
            <w:r w:rsidRPr="00030958">
              <w:rPr>
                <w:b/>
                <w:bCs/>
                <w:sz w:val="18"/>
                <w:szCs w:val="20"/>
                <w:lang w:val="en-US"/>
              </w:rPr>
              <w:t>Komponentët e të hyrave</w:t>
            </w:r>
          </w:p>
        </w:tc>
      </w:tr>
      <w:tr w:rsidR="009D6D4E" w:rsidRPr="00030958" w14:paraId="49468967" w14:textId="77777777" w:rsidTr="00BF3B71">
        <w:trPr>
          <w:trHeight w:val="20"/>
        </w:trPr>
        <w:tc>
          <w:tcPr>
            <w:tcW w:w="2070" w:type="pct"/>
            <w:tcBorders>
              <w:top w:val="nil"/>
              <w:left w:val="double" w:sz="6" w:space="0" w:color="auto"/>
              <w:bottom w:val="dotted" w:sz="4" w:space="0" w:color="auto"/>
              <w:right w:val="nil"/>
            </w:tcBorders>
            <w:shd w:val="clear" w:color="000000" w:fill="FFFFFF"/>
            <w:vAlign w:val="center"/>
            <w:hideMark/>
          </w:tcPr>
          <w:p w14:paraId="5D2E3DB4" w14:textId="77777777" w:rsidR="009D6D4E" w:rsidRPr="00030958" w:rsidRDefault="009D6D4E" w:rsidP="00BF3B71">
            <w:pPr>
              <w:rPr>
                <w:sz w:val="18"/>
                <w:szCs w:val="20"/>
                <w:lang w:val="en-US"/>
              </w:rPr>
            </w:pPr>
            <w:r w:rsidRPr="00030958">
              <w:rPr>
                <w:sz w:val="18"/>
                <w:szCs w:val="20"/>
                <w:lang w:val="en-US"/>
              </w:rPr>
              <w:t>12. Taksat Totale (12 = 12a+12b+12c)</w:t>
            </w:r>
          </w:p>
        </w:tc>
        <w:tc>
          <w:tcPr>
            <w:tcW w:w="231" w:type="pct"/>
            <w:tcBorders>
              <w:top w:val="nil"/>
              <w:left w:val="nil"/>
              <w:bottom w:val="dotted" w:sz="4" w:space="0" w:color="auto"/>
              <w:right w:val="single" w:sz="8" w:space="0" w:color="auto"/>
            </w:tcBorders>
            <w:shd w:val="clear" w:color="000000" w:fill="FFFFFF"/>
            <w:vAlign w:val="center"/>
            <w:hideMark/>
          </w:tcPr>
          <w:p w14:paraId="520205D2" w14:textId="77777777" w:rsidR="009D6D4E" w:rsidRPr="00030958" w:rsidRDefault="009D6D4E" w:rsidP="00BF3B71">
            <w:pPr>
              <w:jc w:val="center"/>
              <w:rPr>
                <w:sz w:val="18"/>
                <w:szCs w:val="20"/>
                <w:lang w:val="en-US"/>
              </w:rPr>
            </w:pPr>
            <w:r w:rsidRPr="00030958">
              <w:rPr>
                <w:sz w:val="18"/>
                <w:szCs w:val="20"/>
                <w:lang w:val="en-US"/>
              </w:rPr>
              <w:t> </w:t>
            </w:r>
          </w:p>
        </w:tc>
        <w:tc>
          <w:tcPr>
            <w:tcW w:w="389" w:type="pct"/>
            <w:tcBorders>
              <w:top w:val="nil"/>
              <w:left w:val="nil"/>
              <w:bottom w:val="dotted" w:sz="4" w:space="0" w:color="auto"/>
              <w:right w:val="single" w:sz="8" w:space="0" w:color="auto"/>
            </w:tcBorders>
            <w:shd w:val="clear" w:color="000000" w:fill="FFFFFF"/>
            <w:vAlign w:val="center"/>
            <w:hideMark/>
          </w:tcPr>
          <w:p w14:paraId="32A6248E" w14:textId="77777777" w:rsidR="009D6D4E" w:rsidRPr="00030958" w:rsidRDefault="009D6D4E" w:rsidP="00BF3B71">
            <w:pPr>
              <w:jc w:val="center"/>
              <w:rPr>
                <w:sz w:val="18"/>
                <w:szCs w:val="20"/>
                <w:lang w:val="en-US"/>
              </w:rPr>
            </w:pPr>
            <w:r w:rsidRPr="00030958">
              <w:rPr>
                <w:sz w:val="18"/>
                <w:szCs w:val="20"/>
                <w:lang w:val="en-US"/>
              </w:rPr>
              <w:t> </w:t>
            </w:r>
          </w:p>
        </w:tc>
        <w:tc>
          <w:tcPr>
            <w:tcW w:w="462" w:type="pct"/>
            <w:tcBorders>
              <w:top w:val="nil"/>
              <w:left w:val="nil"/>
              <w:bottom w:val="dotted" w:sz="4" w:space="0" w:color="auto"/>
              <w:right w:val="dotted" w:sz="4" w:space="0" w:color="auto"/>
            </w:tcBorders>
            <w:shd w:val="clear" w:color="000000" w:fill="FFFFFF"/>
            <w:vAlign w:val="center"/>
            <w:hideMark/>
          </w:tcPr>
          <w:p w14:paraId="2AD51834" w14:textId="77777777" w:rsidR="009D6D4E" w:rsidRPr="00030958" w:rsidRDefault="009D6D4E" w:rsidP="00BF3B71">
            <w:pPr>
              <w:jc w:val="center"/>
              <w:rPr>
                <w:sz w:val="18"/>
                <w:szCs w:val="20"/>
                <w:lang w:val="en-US"/>
              </w:rPr>
            </w:pPr>
            <w:r w:rsidRPr="00030958">
              <w:rPr>
                <w:sz w:val="18"/>
                <w:szCs w:val="20"/>
                <w:lang w:val="en-US"/>
              </w:rPr>
              <w:t>1,564</w:t>
            </w:r>
          </w:p>
        </w:tc>
        <w:tc>
          <w:tcPr>
            <w:tcW w:w="462" w:type="pct"/>
            <w:tcBorders>
              <w:top w:val="nil"/>
              <w:left w:val="nil"/>
              <w:bottom w:val="dotted" w:sz="4" w:space="0" w:color="auto"/>
              <w:right w:val="dotted" w:sz="4" w:space="0" w:color="auto"/>
            </w:tcBorders>
            <w:shd w:val="clear" w:color="000000" w:fill="FFFFFF"/>
            <w:vAlign w:val="center"/>
            <w:hideMark/>
          </w:tcPr>
          <w:p w14:paraId="4C0E5AB5" w14:textId="77777777" w:rsidR="009D6D4E" w:rsidRPr="00030958" w:rsidRDefault="009D6D4E" w:rsidP="00BF3B71">
            <w:pPr>
              <w:jc w:val="center"/>
              <w:rPr>
                <w:sz w:val="18"/>
                <w:szCs w:val="20"/>
                <w:lang w:val="en-US"/>
              </w:rPr>
            </w:pPr>
            <w:r w:rsidRPr="00030958">
              <w:rPr>
                <w:sz w:val="18"/>
                <w:szCs w:val="20"/>
                <w:lang w:val="en-US"/>
              </w:rPr>
              <w:t>1,730</w:t>
            </w:r>
          </w:p>
        </w:tc>
        <w:tc>
          <w:tcPr>
            <w:tcW w:w="462" w:type="pct"/>
            <w:tcBorders>
              <w:top w:val="nil"/>
              <w:left w:val="nil"/>
              <w:bottom w:val="dotted" w:sz="4" w:space="0" w:color="auto"/>
              <w:right w:val="dotted" w:sz="4" w:space="0" w:color="auto"/>
            </w:tcBorders>
            <w:shd w:val="clear" w:color="000000" w:fill="FFFFFF"/>
            <w:vAlign w:val="center"/>
            <w:hideMark/>
          </w:tcPr>
          <w:p w14:paraId="5DBAA719" w14:textId="77777777" w:rsidR="009D6D4E" w:rsidRPr="00030958" w:rsidRDefault="009D6D4E" w:rsidP="00BF3B71">
            <w:pPr>
              <w:jc w:val="center"/>
              <w:rPr>
                <w:sz w:val="18"/>
                <w:szCs w:val="20"/>
                <w:lang w:val="en-US"/>
              </w:rPr>
            </w:pPr>
            <w:r w:rsidRPr="00030958">
              <w:rPr>
                <w:sz w:val="18"/>
                <w:szCs w:val="20"/>
                <w:lang w:val="en-US"/>
              </w:rPr>
              <w:t>1,810</w:t>
            </w:r>
          </w:p>
        </w:tc>
        <w:tc>
          <w:tcPr>
            <w:tcW w:w="462" w:type="pct"/>
            <w:tcBorders>
              <w:top w:val="nil"/>
              <w:left w:val="nil"/>
              <w:bottom w:val="dotted" w:sz="4" w:space="0" w:color="auto"/>
              <w:right w:val="dotted" w:sz="4" w:space="0" w:color="auto"/>
            </w:tcBorders>
            <w:shd w:val="clear" w:color="000000" w:fill="FFFFFF"/>
            <w:vAlign w:val="center"/>
            <w:hideMark/>
          </w:tcPr>
          <w:p w14:paraId="5CA93FA6" w14:textId="77777777" w:rsidR="009D6D4E" w:rsidRPr="00030958" w:rsidRDefault="009D6D4E" w:rsidP="00BF3B71">
            <w:pPr>
              <w:jc w:val="center"/>
              <w:rPr>
                <w:sz w:val="18"/>
                <w:szCs w:val="20"/>
                <w:lang w:val="en-US"/>
              </w:rPr>
            </w:pPr>
            <w:r w:rsidRPr="00030958">
              <w:rPr>
                <w:sz w:val="18"/>
                <w:szCs w:val="20"/>
                <w:lang w:val="en-US"/>
              </w:rPr>
              <w:t>1,888</w:t>
            </w:r>
          </w:p>
        </w:tc>
        <w:tc>
          <w:tcPr>
            <w:tcW w:w="462" w:type="pct"/>
            <w:tcBorders>
              <w:top w:val="nil"/>
              <w:left w:val="nil"/>
              <w:bottom w:val="dotted" w:sz="4" w:space="0" w:color="auto"/>
              <w:right w:val="double" w:sz="6" w:space="0" w:color="auto"/>
            </w:tcBorders>
            <w:shd w:val="clear" w:color="000000" w:fill="FFFFFF"/>
            <w:vAlign w:val="center"/>
            <w:hideMark/>
          </w:tcPr>
          <w:p w14:paraId="63FBADC7" w14:textId="77777777" w:rsidR="009D6D4E" w:rsidRPr="00030958" w:rsidRDefault="009D6D4E" w:rsidP="00BF3B71">
            <w:pPr>
              <w:jc w:val="center"/>
              <w:rPr>
                <w:sz w:val="18"/>
                <w:szCs w:val="20"/>
                <w:lang w:val="en-US"/>
              </w:rPr>
            </w:pPr>
            <w:r w:rsidRPr="00030958">
              <w:rPr>
                <w:sz w:val="18"/>
                <w:szCs w:val="20"/>
                <w:lang w:val="en-US"/>
              </w:rPr>
              <w:t>1,995</w:t>
            </w:r>
          </w:p>
        </w:tc>
      </w:tr>
      <w:tr w:rsidR="009D6D4E" w:rsidRPr="00030958" w14:paraId="438727A7" w14:textId="77777777" w:rsidTr="00BF3B71">
        <w:trPr>
          <w:trHeight w:val="20"/>
        </w:trPr>
        <w:tc>
          <w:tcPr>
            <w:tcW w:w="2070" w:type="pct"/>
            <w:tcBorders>
              <w:top w:val="nil"/>
              <w:left w:val="double" w:sz="6" w:space="0" w:color="auto"/>
              <w:bottom w:val="dotted" w:sz="4" w:space="0" w:color="auto"/>
              <w:right w:val="nil"/>
            </w:tcBorders>
            <w:shd w:val="clear" w:color="000000" w:fill="FFFFFF"/>
            <w:vAlign w:val="center"/>
            <w:hideMark/>
          </w:tcPr>
          <w:p w14:paraId="321213A7" w14:textId="77777777" w:rsidR="009D6D4E" w:rsidRPr="00030958" w:rsidRDefault="009D6D4E" w:rsidP="00BF3B71">
            <w:pPr>
              <w:rPr>
                <w:sz w:val="18"/>
                <w:szCs w:val="20"/>
                <w:lang w:val="en-US"/>
              </w:rPr>
            </w:pPr>
            <w:r w:rsidRPr="00030958">
              <w:rPr>
                <w:sz w:val="18"/>
                <w:szCs w:val="20"/>
                <w:lang w:val="en-US"/>
              </w:rPr>
              <w:t xml:space="preserve">12a. Taksat mbi Prodhim dhe Import </w:t>
            </w:r>
          </w:p>
        </w:tc>
        <w:tc>
          <w:tcPr>
            <w:tcW w:w="231" w:type="pct"/>
            <w:tcBorders>
              <w:top w:val="nil"/>
              <w:left w:val="nil"/>
              <w:bottom w:val="dotted" w:sz="4" w:space="0" w:color="auto"/>
              <w:right w:val="single" w:sz="8" w:space="0" w:color="auto"/>
            </w:tcBorders>
            <w:shd w:val="clear" w:color="000000" w:fill="FFFFFF"/>
            <w:vAlign w:val="center"/>
            <w:hideMark/>
          </w:tcPr>
          <w:p w14:paraId="7A88C255" w14:textId="77777777" w:rsidR="009D6D4E" w:rsidRPr="00030958" w:rsidRDefault="009D6D4E" w:rsidP="00BF3B71">
            <w:pPr>
              <w:jc w:val="center"/>
              <w:rPr>
                <w:sz w:val="18"/>
                <w:szCs w:val="20"/>
                <w:lang w:val="en-US"/>
              </w:rPr>
            </w:pPr>
            <w:r w:rsidRPr="00030958">
              <w:rPr>
                <w:sz w:val="18"/>
                <w:szCs w:val="20"/>
                <w:lang w:val="en-US"/>
              </w:rPr>
              <w:t> </w:t>
            </w:r>
          </w:p>
        </w:tc>
        <w:tc>
          <w:tcPr>
            <w:tcW w:w="389" w:type="pct"/>
            <w:tcBorders>
              <w:top w:val="nil"/>
              <w:left w:val="nil"/>
              <w:bottom w:val="dotted" w:sz="4" w:space="0" w:color="auto"/>
              <w:right w:val="single" w:sz="8" w:space="0" w:color="auto"/>
            </w:tcBorders>
            <w:shd w:val="clear" w:color="000000" w:fill="FFFFFF"/>
            <w:vAlign w:val="center"/>
            <w:hideMark/>
          </w:tcPr>
          <w:p w14:paraId="6B9440D2" w14:textId="77777777" w:rsidR="009D6D4E" w:rsidRPr="00030958" w:rsidRDefault="009D6D4E" w:rsidP="00BF3B71">
            <w:pPr>
              <w:jc w:val="center"/>
              <w:rPr>
                <w:sz w:val="18"/>
                <w:szCs w:val="20"/>
                <w:lang w:val="en-US"/>
              </w:rPr>
            </w:pPr>
            <w:r w:rsidRPr="00030958">
              <w:rPr>
                <w:sz w:val="18"/>
                <w:szCs w:val="20"/>
                <w:lang w:val="en-US"/>
              </w:rPr>
              <w:t>D2</w:t>
            </w:r>
          </w:p>
        </w:tc>
        <w:tc>
          <w:tcPr>
            <w:tcW w:w="462" w:type="pct"/>
            <w:tcBorders>
              <w:top w:val="nil"/>
              <w:left w:val="nil"/>
              <w:bottom w:val="dotted" w:sz="4" w:space="0" w:color="auto"/>
              <w:right w:val="dotted" w:sz="4" w:space="0" w:color="auto"/>
            </w:tcBorders>
            <w:shd w:val="clear" w:color="000000" w:fill="FFFFFF"/>
            <w:vAlign w:val="center"/>
            <w:hideMark/>
          </w:tcPr>
          <w:p w14:paraId="3187A191" w14:textId="77777777" w:rsidR="009D6D4E" w:rsidRPr="00030958" w:rsidRDefault="009D6D4E" w:rsidP="00BF3B71">
            <w:pPr>
              <w:jc w:val="center"/>
              <w:rPr>
                <w:sz w:val="18"/>
                <w:szCs w:val="20"/>
                <w:lang w:val="en-US"/>
              </w:rPr>
            </w:pPr>
            <w:r w:rsidRPr="00030958">
              <w:rPr>
                <w:sz w:val="18"/>
                <w:szCs w:val="20"/>
                <w:lang w:val="en-US"/>
              </w:rPr>
              <w:t>1,296</w:t>
            </w:r>
          </w:p>
        </w:tc>
        <w:tc>
          <w:tcPr>
            <w:tcW w:w="462" w:type="pct"/>
            <w:tcBorders>
              <w:top w:val="nil"/>
              <w:left w:val="nil"/>
              <w:bottom w:val="dotted" w:sz="4" w:space="0" w:color="auto"/>
              <w:right w:val="dotted" w:sz="4" w:space="0" w:color="auto"/>
            </w:tcBorders>
            <w:shd w:val="clear" w:color="000000" w:fill="FFFFFF"/>
            <w:vAlign w:val="center"/>
            <w:hideMark/>
          </w:tcPr>
          <w:p w14:paraId="3B4DF318" w14:textId="77777777" w:rsidR="009D6D4E" w:rsidRPr="00030958" w:rsidRDefault="009D6D4E" w:rsidP="00BF3B71">
            <w:pPr>
              <w:jc w:val="center"/>
              <w:rPr>
                <w:sz w:val="18"/>
                <w:szCs w:val="20"/>
                <w:lang w:val="en-US"/>
              </w:rPr>
            </w:pPr>
            <w:r w:rsidRPr="00030958">
              <w:rPr>
                <w:sz w:val="18"/>
                <w:szCs w:val="20"/>
                <w:lang w:val="en-US"/>
              </w:rPr>
              <w:t>1,442</w:t>
            </w:r>
          </w:p>
        </w:tc>
        <w:tc>
          <w:tcPr>
            <w:tcW w:w="462" w:type="pct"/>
            <w:tcBorders>
              <w:top w:val="nil"/>
              <w:left w:val="nil"/>
              <w:bottom w:val="dotted" w:sz="4" w:space="0" w:color="auto"/>
              <w:right w:val="dotted" w:sz="4" w:space="0" w:color="auto"/>
            </w:tcBorders>
            <w:shd w:val="clear" w:color="000000" w:fill="FFFFFF"/>
            <w:vAlign w:val="center"/>
            <w:hideMark/>
          </w:tcPr>
          <w:p w14:paraId="3873BB22" w14:textId="77777777" w:rsidR="009D6D4E" w:rsidRPr="00030958" w:rsidRDefault="009D6D4E" w:rsidP="00BF3B71">
            <w:pPr>
              <w:jc w:val="center"/>
              <w:rPr>
                <w:sz w:val="18"/>
                <w:szCs w:val="20"/>
                <w:lang w:val="en-US"/>
              </w:rPr>
            </w:pPr>
            <w:r w:rsidRPr="00030958">
              <w:rPr>
                <w:sz w:val="18"/>
                <w:szCs w:val="20"/>
                <w:lang w:val="en-US"/>
              </w:rPr>
              <w:t>1,498</w:t>
            </w:r>
          </w:p>
        </w:tc>
        <w:tc>
          <w:tcPr>
            <w:tcW w:w="462" w:type="pct"/>
            <w:tcBorders>
              <w:top w:val="nil"/>
              <w:left w:val="nil"/>
              <w:bottom w:val="dotted" w:sz="4" w:space="0" w:color="auto"/>
              <w:right w:val="dotted" w:sz="4" w:space="0" w:color="auto"/>
            </w:tcBorders>
            <w:shd w:val="clear" w:color="000000" w:fill="FFFFFF"/>
            <w:vAlign w:val="center"/>
            <w:hideMark/>
          </w:tcPr>
          <w:p w14:paraId="4ADED1E8" w14:textId="77777777" w:rsidR="009D6D4E" w:rsidRPr="00030958" w:rsidRDefault="009D6D4E" w:rsidP="00BF3B71">
            <w:pPr>
              <w:jc w:val="center"/>
              <w:rPr>
                <w:sz w:val="18"/>
                <w:szCs w:val="20"/>
                <w:lang w:val="en-US"/>
              </w:rPr>
            </w:pPr>
            <w:r w:rsidRPr="00030958">
              <w:rPr>
                <w:sz w:val="18"/>
                <w:szCs w:val="20"/>
                <w:lang w:val="en-US"/>
              </w:rPr>
              <w:t>1,559</w:t>
            </w:r>
          </w:p>
        </w:tc>
        <w:tc>
          <w:tcPr>
            <w:tcW w:w="462" w:type="pct"/>
            <w:tcBorders>
              <w:top w:val="nil"/>
              <w:left w:val="nil"/>
              <w:bottom w:val="dotted" w:sz="4" w:space="0" w:color="auto"/>
              <w:right w:val="double" w:sz="6" w:space="0" w:color="auto"/>
            </w:tcBorders>
            <w:shd w:val="clear" w:color="000000" w:fill="FFFFFF"/>
            <w:vAlign w:val="center"/>
            <w:hideMark/>
          </w:tcPr>
          <w:p w14:paraId="612780DA" w14:textId="77777777" w:rsidR="009D6D4E" w:rsidRPr="00030958" w:rsidRDefault="009D6D4E" w:rsidP="00BF3B71">
            <w:pPr>
              <w:jc w:val="center"/>
              <w:rPr>
                <w:sz w:val="18"/>
                <w:szCs w:val="20"/>
                <w:lang w:val="en-US"/>
              </w:rPr>
            </w:pPr>
            <w:r w:rsidRPr="00030958">
              <w:rPr>
                <w:sz w:val="18"/>
                <w:szCs w:val="20"/>
                <w:lang w:val="en-US"/>
              </w:rPr>
              <w:t>1,647</w:t>
            </w:r>
          </w:p>
        </w:tc>
      </w:tr>
      <w:tr w:rsidR="009D6D4E" w:rsidRPr="00030958" w14:paraId="18A3AB87" w14:textId="77777777" w:rsidTr="00BF3B71">
        <w:trPr>
          <w:trHeight w:val="20"/>
        </w:trPr>
        <w:tc>
          <w:tcPr>
            <w:tcW w:w="2070" w:type="pct"/>
            <w:tcBorders>
              <w:top w:val="nil"/>
              <w:left w:val="double" w:sz="6" w:space="0" w:color="auto"/>
              <w:bottom w:val="dotted" w:sz="4" w:space="0" w:color="auto"/>
              <w:right w:val="nil"/>
            </w:tcBorders>
            <w:shd w:val="clear" w:color="000000" w:fill="FFFFFF"/>
            <w:vAlign w:val="center"/>
            <w:hideMark/>
          </w:tcPr>
          <w:p w14:paraId="33090032" w14:textId="77777777" w:rsidR="009D6D4E" w:rsidRPr="00FC648F" w:rsidRDefault="009D6D4E" w:rsidP="00BF3B71">
            <w:pPr>
              <w:rPr>
                <w:sz w:val="18"/>
                <w:szCs w:val="20"/>
              </w:rPr>
            </w:pPr>
            <w:r w:rsidRPr="00FC648F">
              <w:rPr>
                <w:sz w:val="18"/>
                <w:szCs w:val="20"/>
              </w:rPr>
              <w:t>12b. Taksat aktuale në të ardhura dhe pasuri</w:t>
            </w:r>
          </w:p>
        </w:tc>
        <w:tc>
          <w:tcPr>
            <w:tcW w:w="231" w:type="pct"/>
            <w:tcBorders>
              <w:top w:val="nil"/>
              <w:left w:val="nil"/>
              <w:bottom w:val="dotted" w:sz="4" w:space="0" w:color="auto"/>
              <w:right w:val="single" w:sz="8" w:space="0" w:color="auto"/>
            </w:tcBorders>
            <w:shd w:val="clear" w:color="000000" w:fill="FFFFFF"/>
            <w:vAlign w:val="center"/>
            <w:hideMark/>
          </w:tcPr>
          <w:p w14:paraId="7B593F6C" w14:textId="77777777" w:rsidR="009D6D4E" w:rsidRPr="00FC648F" w:rsidRDefault="009D6D4E" w:rsidP="00BF3B71">
            <w:pPr>
              <w:jc w:val="center"/>
              <w:rPr>
                <w:sz w:val="18"/>
                <w:szCs w:val="20"/>
              </w:rPr>
            </w:pPr>
            <w:r w:rsidRPr="00FC648F">
              <w:rPr>
                <w:sz w:val="18"/>
                <w:szCs w:val="20"/>
              </w:rPr>
              <w:t> </w:t>
            </w:r>
          </w:p>
        </w:tc>
        <w:tc>
          <w:tcPr>
            <w:tcW w:w="389" w:type="pct"/>
            <w:tcBorders>
              <w:top w:val="nil"/>
              <w:left w:val="nil"/>
              <w:bottom w:val="dotted" w:sz="4" w:space="0" w:color="auto"/>
              <w:right w:val="single" w:sz="8" w:space="0" w:color="auto"/>
            </w:tcBorders>
            <w:shd w:val="clear" w:color="000000" w:fill="FFFFFF"/>
            <w:vAlign w:val="center"/>
            <w:hideMark/>
          </w:tcPr>
          <w:p w14:paraId="29E31A75" w14:textId="77777777" w:rsidR="009D6D4E" w:rsidRPr="00030958" w:rsidRDefault="009D6D4E" w:rsidP="00BF3B71">
            <w:pPr>
              <w:jc w:val="center"/>
              <w:rPr>
                <w:sz w:val="18"/>
                <w:szCs w:val="20"/>
                <w:lang w:val="en-US"/>
              </w:rPr>
            </w:pPr>
            <w:r w:rsidRPr="00030958">
              <w:rPr>
                <w:sz w:val="18"/>
                <w:szCs w:val="20"/>
                <w:lang w:val="en-US"/>
              </w:rPr>
              <w:t>D5</w:t>
            </w:r>
          </w:p>
        </w:tc>
        <w:tc>
          <w:tcPr>
            <w:tcW w:w="462" w:type="pct"/>
            <w:tcBorders>
              <w:top w:val="nil"/>
              <w:left w:val="nil"/>
              <w:bottom w:val="dotted" w:sz="4" w:space="0" w:color="auto"/>
              <w:right w:val="dotted" w:sz="4" w:space="0" w:color="auto"/>
            </w:tcBorders>
            <w:shd w:val="clear" w:color="000000" w:fill="FFFFFF"/>
            <w:vAlign w:val="center"/>
            <w:hideMark/>
          </w:tcPr>
          <w:p w14:paraId="087AB6AD" w14:textId="77777777" w:rsidR="009D6D4E" w:rsidRPr="00030958" w:rsidRDefault="009D6D4E" w:rsidP="00BF3B71">
            <w:pPr>
              <w:jc w:val="center"/>
              <w:rPr>
                <w:sz w:val="18"/>
                <w:szCs w:val="20"/>
                <w:lang w:val="en-US"/>
              </w:rPr>
            </w:pPr>
            <w:r w:rsidRPr="00030958">
              <w:rPr>
                <w:sz w:val="18"/>
                <w:szCs w:val="20"/>
                <w:lang w:val="en-US"/>
              </w:rPr>
              <w:t>268</w:t>
            </w:r>
          </w:p>
        </w:tc>
        <w:tc>
          <w:tcPr>
            <w:tcW w:w="462" w:type="pct"/>
            <w:tcBorders>
              <w:top w:val="nil"/>
              <w:left w:val="nil"/>
              <w:bottom w:val="dotted" w:sz="4" w:space="0" w:color="auto"/>
              <w:right w:val="dotted" w:sz="4" w:space="0" w:color="auto"/>
            </w:tcBorders>
            <w:shd w:val="clear" w:color="000000" w:fill="FFFFFF"/>
            <w:vAlign w:val="center"/>
            <w:hideMark/>
          </w:tcPr>
          <w:p w14:paraId="66BEB8DA" w14:textId="77777777" w:rsidR="009D6D4E" w:rsidRPr="00030958" w:rsidRDefault="009D6D4E" w:rsidP="00BF3B71">
            <w:pPr>
              <w:jc w:val="center"/>
              <w:rPr>
                <w:sz w:val="18"/>
                <w:szCs w:val="20"/>
                <w:lang w:val="en-US"/>
              </w:rPr>
            </w:pPr>
            <w:r w:rsidRPr="00030958">
              <w:rPr>
                <w:sz w:val="18"/>
                <w:szCs w:val="20"/>
                <w:lang w:val="en-US"/>
              </w:rPr>
              <w:t>288</w:t>
            </w:r>
          </w:p>
        </w:tc>
        <w:tc>
          <w:tcPr>
            <w:tcW w:w="462" w:type="pct"/>
            <w:tcBorders>
              <w:top w:val="nil"/>
              <w:left w:val="nil"/>
              <w:bottom w:val="dotted" w:sz="4" w:space="0" w:color="auto"/>
              <w:right w:val="dotted" w:sz="4" w:space="0" w:color="auto"/>
            </w:tcBorders>
            <w:shd w:val="clear" w:color="000000" w:fill="FFFFFF"/>
            <w:vAlign w:val="center"/>
            <w:hideMark/>
          </w:tcPr>
          <w:p w14:paraId="3DC67144" w14:textId="77777777" w:rsidR="009D6D4E" w:rsidRPr="00030958" w:rsidRDefault="009D6D4E" w:rsidP="00BF3B71">
            <w:pPr>
              <w:jc w:val="center"/>
              <w:rPr>
                <w:sz w:val="18"/>
                <w:szCs w:val="20"/>
                <w:lang w:val="en-US"/>
              </w:rPr>
            </w:pPr>
            <w:r w:rsidRPr="00030958">
              <w:rPr>
                <w:sz w:val="18"/>
                <w:szCs w:val="20"/>
                <w:lang w:val="en-US"/>
              </w:rPr>
              <w:t>313</w:t>
            </w:r>
          </w:p>
        </w:tc>
        <w:tc>
          <w:tcPr>
            <w:tcW w:w="462" w:type="pct"/>
            <w:tcBorders>
              <w:top w:val="nil"/>
              <w:left w:val="nil"/>
              <w:bottom w:val="dotted" w:sz="4" w:space="0" w:color="auto"/>
              <w:right w:val="dotted" w:sz="4" w:space="0" w:color="auto"/>
            </w:tcBorders>
            <w:shd w:val="clear" w:color="000000" w:fill="FFFFFF"/>
            <w:vAlign w:val="center"/>
            <w:hideMark/>
          </w:tcPr>
          <w:p w14:paraId="00F41107" w14:textId="77777777" w:rsidR="009D6D4E" w:rsidRPr="00030958" w:rsidRDefault="009D6D4E" w:rsidP="00BF3B71">
            <w:pPr>
              <w:jc w:val="center"/>
              <w:rPr>
                <w:sz w:val="18"/>
                <w:szCs w:val="20"/>
                <w:lang w:val="en-US"/>
              </w:rPr>
            </w:pPr>
            <w:r w:rsidRPr="00030958">
              <w:rPr>
                <w:sz w:val="18"/>
                <w:szCs w:val="20"/>
                <w:lang w:val="en-US"/>
              </w:rPr>
              <w:t>329</w:t>
            </w:r>
          </w:p>
        </w:tc>
        <w:tc>
          <w:tcPr>
            <w:tcW w:w="462" w:type="pct"/>
            <w:tcBorders>
              <w:top w:val="nil"/>
              <w:left w:val="nil"/>
              <w:bottom w:val="dotted" w:sz="4" w:space="0" w:color="auto"/>
              <w:right w:val="double" w:sz="6" w:space="0" w:color="auto"/>
            </w:tcBorders>
            <w:shd w:val="clear" w:color="000000" w:fill="FFFFFF"/>
            <w:vAlign w:val="center"/>
            <w:hideMark/>
          </w:tcPr>
          <w:p w14:paraId="2E3DEC6C" w14:textId="77777777" w:rsidR="009D6D4E" w:rsidRPr="00030958" w:rsidRDefault="009D6D4E" w:rsidP="00BF3B71">
            <w:pPr>
              <w:jc w:val="center"/>
              <w:rPr>
                <w:sz w:val="18"/>
                <w:szCs w:val="20"/>
                <w:lang w:val="en-US"/>
              </w:rPr>
            </w:pPr>
            <w:r w:rsidRPr="00030958">
              <w:rPr>
                <w:sz w:val="18"/>
                <w:szCs w:val="20"/>
                <w:lang w:val="en-US"/>
              </w:rPr>
              <w:t>348</w:t>
            </w:r>
          </w:p>
        </w:tc>
      </w:tr>
      <w:tr w:rsidR="009D6D4E" w:rsidRPr="00030958" w14:paraId="15248323" w14:textId="77777777" w:rsidTr="00BF3B71">
        <w:trPr>
          <w:trHeight w:val="20"/>
        </w:trPr>
        <w:tc>
          <w:tcPr>
            <w:tcW w:w="2070" w:type="pct"/>
            <w:tcBorders>
              <w:top w:val="nil"/>
              <w:left w:val="double" w:sz="6" w:space="0" w:color="auto"/>
              <w:bottom w:val="dotted" w:sz="4" w:space="0" w:color="auto"/>
              <w:right w:val="nil"/>
            </w:tcBorders>
            <w:shd w:val="clear" w:color="000000" w:fill="FFFFFF"/>
            <w:vAlign w:val="center"/>
            <w:hideMark/>
          </w:tcPr>
          <w:p w14:paraId="59F8132D" w14:textId="77777777" w:rsidR="009D6D4E" w:rsidRPr="00030958" w:rsidRDefault="009D6D4E" w:rsidP="00BF3B71">
            <w:pPr>
              <w:rPr>
                <w:sz w:val="18"/>
                <w:szCs w:val="20"/>
                <w:lang w:val="en-US"/>
              </w:rPr>
            </w:pPr>
            <w:r w:rsidRPr="00030958">
              <w:rPr>
                <w:sz w:val="18"/>
                <w:szCs w:val="20"/>
                <w:lang w:val="en-US"/>
              </w:rPr>
              <w:t xml:space="preserve">12c. Taksat mbi kapital </w:t>
            </w:r>
          </w:p>
        </w:tc>
        <w:tc>
          <w:tcPr>
            <w:tcW w:w="231" w:type="pct"/>
            <w:tcBorders>
              <w:top w:val="nil"/>
              <w:left w:val="nil"/>
              <w:bottom w:val="dotted" w:sz="4" w:space="0" w:color="auto"/>
              <w:right w:val="single" w:sz="8" w:space="0" w:color="auto"/>
            </w:tcBorders>
            <w:shd w:val="clear" w:color="000000" w:fill="FFFFFF"/>
            <w:vAlign w:val="center"/>
            <w:hideMark/>
          </w:tcPr>
          <w:p w14:paraId="1D047F3A" w14:textId="77777777" w:rsidR="009D6D4E" w:rsidRPr="00030958" w:rsidRDefault="009D6D4E" w:rsidP="00BF3B71">
            <w:pPr>
              <w:jc w:val="center"/>
              <w:rPr>
                <w:sz w:val="18"/>
                <w:szCs w:val="20"/>
                <w:lang w:val="en-US"/>
              </w:rPr>
            </w:pPr>
            <w:r w:rsidRPr="00030958">
              <w:rPr>
                <w:sz w:val="18"/>
                <w:szCs w:val="20"/>
                <w:lang w:val="en-US"/>
              </w:rPr>
              <w:t> </w:t>
            </w:r>
          </w:p>
        </w:tc>
        <w:tc>
          <w:tcPr>
            <w:tcW w:w="389" w:type="pct"/>
            <w:tcBorders>
              <w:top w:val="nil"/>
              <w:left w:val="nil"/>
              <w:bottom w:val="dotted" w:sz="4" w:space="0" w:color="auto"/>
              <w:right w:val="single" w:sz="8" w:space="0" w:color="auto"/>
            </w:tcBorders>
            <w:shd w:val="clear" w:color="000000" w:fill="FFFFFF"/>
            <w:vAlign w:val="center"/>
            <w:hideMark/>
          </w:tcPr>
          <w:p w14:paraId="50919602" w14:textId="77777777" w:rsidR="009D6D4E" w:rsidRPr="00030958" w:rsidRDefault="009D6D4E" w:rsidP="00BF3B71">
            <w:pPr>
              <w:jc w:val="center"/>
              <w:rPr>
                <w:sz w:val="18"/>
                <w:szCs w:val="20"/>
                <w:lang w:val="en-US"/>
              </w:rPr>
            </w:pPr>
            <w:r w:rsidRPr="00030958">
              <w:rPr>
                <w:sz w:val="18"/>
                <w:szCs w:val="20"/>
                <w:lang w:val="en-US"/>
              </w:rPr>
              <w:t>D91</w:t>
            </w:r>
          </w:p>
        </w:tc>
        <w:tc>
          <w:tcPr>
            <w:tcW w:w="462" w:type="pct"/>
            <w:tcBorders>
              <w:top w:val="nil"/>
              <w:left w:val="nil"/>
              <w:bottom w:val="dotted" w:sz="4" w:space="0" w:color="auto"/>
              <w:right w:val="dotted" w:sz="4" w:space="0" w:color="auto"/>
            </w:tcBorders>
            <w:shd w:val="clear" w:color="000000" w:fill="FFFFFF"/>
            <w:vAlign w:val="center"/>
            <w:hideMark/>
          </w:tcPr>
          <w:p w14:paraId="7C349E91" w14:textId="77777777" w:rsidR="009D6D4E" w:rsidRPr="00030958" w:rsidRDefault="009D6D4E" w:rsidP="00BF3B71">
            <w:pPr>
              <w:jc w:val="center"/>
              <w:rPr>
                <w:sz w:val="18"/>
                <w:szCs w:val="20"/>
                <w:lang w:val="en-US"/>
              </w:rPr>
            </w:pPr>
            <w:r w:rsidRPr="00030958">
              <w:rPr>
                <w:sz w:val="18"/>
                <w:szCs w:val="20"/>
                <w:lang w:val="en-US"/>
              </w:rPr>
              <w:t>:</w:t>
            </w:r>
          </w:p>
        </w:tc>
        <w:tc>
          <w:tcPr>
            <w:tcW w:w="462" w:type="pct"/>
            <w:tcBorders>
              <w:top w:val="nil"/>
              <w:left w:val="nil"/>
              <w:bottom w:val="dotted" w:sz="4" w:space="0" w:color="auto"/>
              <w:right w:val="dotted" w:sz="4" w:space="0" w:color="auto"/>
            </w:tcBorders>
            <w:shd w:val="clear" w:color="000000" w:fill="FFFFFF"/>
            <w:vAlign w:val="center"/>
            <w:hideMark/>
          </w:tcPr>
          <w:p w14:paraId="09B42AB3" w14:textId="77777777" w:rsidR="009D6D4E" w:rsidRPr="00030958" w:rsidRDefault="009D6D4E" w:rsidP="00BF3B71">
            <w:pPr>
              <w:jc w:val="center"/>
              <w:rPr>
                <w:sz w:val="18"/>
                <w:szCs w:val="20"/>
                <w:lang w:val="en-US"/>
              </w:rPr>
            </w:pPr>
            <w:r w:rsidRPr="00030958">
              <w:rPr>
                <w:sz w:val="18"/>
                <w:szCs w:val="20"/>
                <w:lang w:val="en-US"/>
              </w:rPr>
              <w:t>:</w:t>
            </w:r>
          </w:p>
        </w:tc>
        <w:tc>
          <w:tcPr>
            <w:tcW w:w="462" w:type="pct"/>
            <w:tcBorders>
              <w:top w:val="nil"/>
              <w:left w:val="nil"/>
              <w:bottom w:val="dotted" w:sz="4" w:space="0" w:color="auto"/>
              <w:right w:val="dotted" w:sz="4" w:space="0" w:color="auto"/>
            </w:tcBorders>
            <w:shd w:val="clear" w:color="000000" w:fill="FFFFFF"/>
            <w:vAlign w:val="center"/>
            <w:hideMark/>
          </w:tcPr>
          <w:p w14:paraId="5FD6B89E" w14:textId="77777777" w:rsidR="009D6D4E" w:rsidRPr="00030958" w:rsidRDefault="009D6D4E" w:rsidP="00BF3B71">
            <w:pPr>
              <w:jc w:val="center"/>
              <w:rPr>
                <w:sz w:val="18"/>
                <w:szCs w:val="20"/>
                <w:lang w:val="en-US"/>
              </w:rPr>
            </w:pPr>
            <w:r w:rsidRPr="00030958">
              <w:rPr>
                <w:sz w:val="18"/>
                <w:szCs w:val="20"/>
                <w:lang w:val="en-US"/>
              </w:rPr>
              <w:t>:</w:t>
            </w:r>
          </w:p>
        </w:tc>
        <w:tc>
          <w:tcPr>
            <w:tcW w:w="462" w:type="pct"/>
            <w:tcBorders>
              <w:top w:val="nil"/>
              <w:left w:val="nil"/>
              <w:bottom w:val="dotted" w:sz="4" w:space="0" w:color="auto"/>
              <w:right w:val="dotted" w:sz="4" w:space="0" w:color="auto"/>
            </w:tcBorders>
            <w:shd w:val="clear" w:color="000000" w:fill="FFFFFF"/>
            <w:vAlign w:val="center"/>
            <w:hideMark/>
          </w:tcPr>
          <w:p w14:paraId="4B7569F4" w14:textId="77777777" w:rsidR="009D6D4E" w:rsidRPr="00030958" w:rsidRDefault="009D6D4E" w:rsidP="00BF3B71">
            <w:pPr>
              <w:jc w:val="center"/>
              <w:rPr>
                <w:sz w:val="18"/>
                <w:szCs w:val="20"/>
                <w:lang w:val="en-US"/>
              </w:rPr>
            </w:pPr>
            <w:r w:rsidRPr="00030958">
              <w:rPr>
                <w:sz w:val="18"/>
                <w:szCs w:val="20"/>
                <w:lang w:val="en-US"/>
              </w:rPr>
              <w:t>:</w:t>
            </w:r>
          </w:p>
        </w:tc>
        <w:tc>
          <w:tcPr>
            <w:tcW w:w="462" w:type="pct"/>
            <w:tcBorders>
              <w:top w:val="nil"/>
              <w:left w:val="nil"/>
              <w:bottom w:val="dotted" w:sz="4" w:space="0" w:color="auto"/>
              <w:right w:val="double" w:sz="6" w:space="0" w:color="auto"/>
            </w:tcBorders>
            <w:shd w:val="clear" w:color="000000" w:fill="FFFFFF"/>
            <w:vAlign w:val="center"/>
            <w:hideMark/>
          </w:tcPr>
          <w:p w14:paraId="726E8656" w14:textId="77777777" w:rsidR="009D6D4E" w:rsidRPr="00030958" w:rsidRDefault="009D6D4E" w:rsidP="00BF3B71">
            <w:pPr>
              <w:jc w:val="center"/>
              <w:rPr>
                <w:sz w:val="18"/>
                <w:szCs w:val="20"/>
                <w:lang w:val="en-US"/>
              </w:rPr>
            </w:pPr>
            <w:r w:rsidRPr="00030958">
              <w:rPr>
                <w:sz w:val="18"/>
                <w:szCs w:val="20"/>
                <w:lang w:val="en-US"/>
              </w:rPr>
              <w:t>:</w:t>
            </w:r>
          </w:p>
        </w:tc>
      </w:tr>
      <w:tr w:rsidR="009D6D4E" w:rsidRPr="00030958" w14:paraId="2DBD7A8A" w14:textId="77777777" w:rsidTr="00BF3B71">
        <w:trPr>
          <w:trHeight w:val="20"/>
        </w:trPr>
        <w:tc>
          <w:tcPr>
            <w:tcW w:w="2070" w:type="pct"/>
            <w:tcBorders>
              <w:top w:val="nil"/>
              <w:left w:val="double" w:sz="6" w:space="0" w:color="auto"/>
              <w:bottom w:val="dotted" w:sz="4" w:space="0" w:color="auto"/>
              <w:right w:val="nil"/>
            </w:tcBorders>
            <w:shd w:val="clear" w:color="000000" w:fill="FFFFFF"/>
            <w:vAlign w:val="center"/>
            <w:hideMark/>
          </w:tcPr>
          <w:p w14:paraId="34C78CCA" w14:textId="77777777" w:rsidR="009D6D4E" w:rsidRPr="00030958" w:rsidRDefault="009D6D4E" w:rsidP="00BF3B71">
            <w:pPr>
              <w:rPr>
                <w:sz w:val="18"/>
                <w:szCs w:val="20"/>
                <w:lang w:val="en-US"/>
              </w:rPr>
            </w:pPr>
            <w:r w:rsidRPr="00030958">
              <w:rPr>
                <w:sz w:val="18"/>
                <w:szCs w:val="20"/>
                <w:lang w:val="en-US"/>
              </w:rPr>
              <w:t>13. Kontributet Sociale</w:t>
            </w:r>
          </w:p>
        </w:tc>
        <w:tc>
          <w:tcPr>
            <w:tcW w:w="231" w:type="pct"/>
            <w:tcBorders>
              <w:top w:val="nil"/>
              <w:left w:val="nil"/>
              <w:bottom w:val="dotted" w:sz="4" w:space="0" w:color="auto"/>
              <w:right w:val="single" w:sz="8" w:space="0" w:color="auto"/>
            </w:tcBorders>
            <w:shd w:val="clear" w:color="000000" w:fill="FFFFFF"/>
            <w:vAlign w:val="center"/>
            <w:hideMark/>
          </w:tcPr>
          <w:p w14:paraId="6670E843" w14:textId="77777777" w:rsidR="009D6D4E" w:rsidRPr="00030958" w:rsidRDefault="009D6D4E" w:rsidP="00BF3B71">
            <w:pPr>
              <w:jc w:val="center"/>
              <w:rPr>
                <w:sz w:val="18"/>
                <w:szCs w:val="20"/>
                <w:lang w:val="en-US"/>
              </w:rPr>
            </w:pPr>
            <w:r w:rsidRPr="00030958">
              <w:rPr>
                <w:sz w:val="18"/>
                <w:szCs w:val="20"/>
                <w:lang w:val="en-US"/>
              </w:rPr>
              <w:t> </w:t>
            </w:r>
          </w:p>
        </w:tc>
        <w:tc>
          <w:tcPr>
            <w:tcW w:w="389" w:type="pct"/>
            <w:tcBorders>
              <w:top w:val="nil"/>
              <w:left w:val="nil"/>
              <w:bottom w:val="dotted" w:sz="4" w:space="0" w:color="auto"/>
              <w:right w:val="single" w:sz="8" w:space="0" w:color="auto"/>
            </w:tcBorders>
            <w:shd w:val="clear" w:color="000000" w:fill="FFFFFF"/>
            <w:vAlign w:val="center"/>
            <w:hideMark/>
          </w:tcPr>
          <w:p w14:paraId="148B4C1A" w14:textId="77777777" w:rsidR="009D6D4E" w:rsidRPr="00030958" w:rsidRDefault="009D6D4E" w:rsidP="00BF3B71">
            <w:pPr>
              <w:jc w:val="center"/>
              <w:rPr>
                <w:sz w:val="18"/>
                <w:szCs w:val="20"/>
                <w:lang w:val="en-US"/>
              </w:rPr>
            </w:pPr>
            <w:r w:rsidRPr="00030958">
              <w:rPr>
                <w:sz w:val="18"/>
                <w:szCs w:val="20"/>
                <w:lang w:val="en-US"/>
              </w:rPr>
              <w:t>D61</w:t>
            </w:r>
          </w:p>
        </w:tc>
        <w:tc>
          <w:tcPr>
            <w:tcW w:w="462" w:type="pct"/>
            <w:tcBorders>
              <w:top w:val="nil"/>
              <w:left w:val="nil"/>
              <w:bottom w:val="dotted" w:sz="4" w:space="0" w:color="auto"/>
              <w:right w:val="dotted" w:sz="4" w:space="0" w:color="auto"/>
            </w:tcBorders>
            <w:shd w:val="clear" w:color="000000" w:fill="FFFFFF"/>
            <w:vAlign w:val="center"/>
            <w:hideMark/>
          </w:tcPr>
          <w:p w14:paraId="3EF33B4A" w14:textId="77777777" w:rsidR="009D6D4E" w:rsidRPr="00030958" w:rsidRDefault="009D6D4E" w:rsidP="00BF3B71">
            <w:pPr>
              <w:jc w:val="center"/>
              <w:rPr>
                <w:sz w:val="18"/>
                <w:szCs w:val="20"/>
                <w:lang w:val="en-US"/>
              </w:rPr>
            </w:pPr>
            <w:r w:rsidRPr="00030958">
              <w:rPr>
                <w:sz w:val="18"/>
                <w:szCs w:val="20"/>
                <w:lang w:val="en-US"/>
              </w:rPr>
              <w:t>:</w:t>
            </w:r>
          </w:p>
        </w:tc>
        <w:tc>
          <w:tcPr>
            <w:tcW w:w="462" w:type="pct"/>
            <w:tcBorders>
              <w:top w:val="nil"/>
              <w:left w:val="nil"/>
              <w:bottom w:val="dotted" w:sz="4" w:space="0" w:color="auto"/>
              <w:right w:val="dotted" w:sz="4" w:space="0" w:color="auto"/>
            </w:tcBorders>
            <w:shd w:val="clear" w:color="000000" w:fill="FFFFFF"/>
            <w:vAlign w:val="center"/>
            <w:hideMark/>
          </w:tcPr>
          <w:p w14:paraId="1436686B" w14:textId="77777777" w:rsidR="009D6D4E" w:rsidRPr="00030958" w:rsidRDefault="009D6D4E" w:rsidP="00BF3B71">
            <w:pPr>
              <w:jc w:val="center"/>
              <w:rPr>
                <w:sz w:val="18"/>
                <w:szCs w:val="20"/>
                <w:lang w:val="en-US"/>
              </w:rPr>
            </w:pPr>
            <w:r w:rsidRPr="00030958">
              <w:rPr>
                <w:sz w:val="18"/>
                <w:szCs w:val="20"/>
                <w:lang w:val="en-US"/>
              </w:rPr>
              <w:t>:</w:t>
            </w:r>
          </w:p>
        </w:tc>
        <w:tc>
          <w:tcPr>
            <w:tcW w:w="462" w:type="pct"/>
            <w:tcBorders>
              <w:top w:val="nil"/>
              <w:left w:val="nil"/>
              <w:bottom w:val="dotted" w:sz="4" w:space="0" w:color="auto"/>
              <w:right w:val="dotted" w:sz="4" w:space="0" w:color="auto"/>
            </w:tcBorders>
            <w:shd w:val="clear" w:color="000000" w:fill="FFFFFF"/>
            <w:vAlign w:val="center"/>
            <w:hideMark/>
          </w:tcPr>
          <w:p w14:paraId="06507EE2" w14:textId="77777777" w:rsidR="009D6D4E" w:rsidRPr="00030958" w:rsidRDefault="009D6D4E" w:rsidP="00BF3B71">
            <w:pPr>
              <w:jc w:val="center"/>
              <w:rPr>
                <w:sz w:val="18"/>
                <w:szCs w:val="20"/>
                <w:lang w:val="en-US"/>
              </w:rPr>
            </w:pPr>
            <w:r w:rsidRPr="00030958">
              <w:rPr>
                <w:sz w:val="18"/>
                <w:szCs w:val="20"/>
                <w:lang w:val="en-US"/>
              </w:rPr>
              <w:t>:</w:t>
            </w:r>
          </w:p>
        </w:tc>
        <w:tc>
          <w:tcPr>
            <w:tcW w:w="462" w:type="pct"/>
            <w:tcBorders>
              <w:top w:val="nil"/>
              <w:left w:val="nil"/>
              <w:bottom w:val="dotted" w:sz="4" w:space="0" w:color="auto"/>
              <w:right w:val="dotted" w:sz="4" w:space="0" w:color="auto"/>
            </w:tcBorders>
            <w:shd w:val="clear" w:color="000000" w:fill="FFFFFF"/>
            <w:vAlign w:val="center"/>
            <w:hideMark/>
          </w:tcPr>
          <w:p w14:paraId="59204572" w14:textId="77777777" w:rsidR="009D6D4E" w:rsidRPr="00030958" w:rsidRDefault="009D6D4E" w:rsidP="00BF3B71">
            <w:pPr>
              <w:jc w:val="center"/>
              <w:rPr>
                <w:sz w:val="18"/>
                <w:szCs w:val="20"/>
                <w:lang w:val="en-US"/>
              </w:rPr>
            </w:pPr>
            <w:r w:rsidRPr="00030958">
              <w:rPr>
                <w:sz w:val="18"/>
                <w:szCs w:val="20"/>
                <w:lang w:val="en-US"/>
              </w:rPr>
              <w:t>:</w:t>
            </w:r>
          </w:p>
        </w:tc>
        <w:tc>
          <w:tcPr>
            <w:tcW w:w="462" w:type="pct"/>
            <w:tcBorders>
              <w:top w:val="nil"/>
              <w:left w:val="nil"/>
              <w:bottom w:val="dotted" w:sz="4" w:space="0" w:color="auto"/>
              <w:right w:val="double" w:sz="6" w:space="0" w:color="auto"/>
            </w:tcBorders>
            <w:shd w:val="clear" w:color="000000" w:fill="FFFFFF"/>
            <w:vAlign w:val="center"/>
            <w:hideMark/>
          </w:tcPr>
          <w:p w14:paraId="4614F9BC" w14:textId="77777777" w:rsidR="009D6D4E" w:rsidRPr="00030958" w:rsidRDefault="009D6D4E" w:rsidP="00BF3B71">
            <w:pPr>
              <w:jc w:val="center"/>
              <w:rPr>
                <w:sz w:val="18"/>
                <w:szCs w:val="20"/>
                <w:lang w:val="en-US"/>
              </w:rPr>
            </w:pPr>
            <w:r w:rsidRPr="00030958">
              <w:rPr>
                <w:sz w:val="18"/>
                <w:szCs w:val="20"/>
                <w:lang w:val="en-US"/>
              </w:rPr>
              <w:t>:</w:t>
            </w:r>
          </w:p>
        </w:tc>
      </w:tr>
      <w:tr w:rsidR="009D6D4E" w:rsidRPr="00030958" w14:paraId="55A2D8F6" w14:textId="77777777" w:rsidTr="00BF3B71">
        <w:trPr>
          <w:trHeight w:val="20"/>
        </w:trPr>
        <w:tc>
          <w:tcPr>
            <w:tcW w:w="2070" w:type="pct"/>
            <w:tcBorders>
              <w:top w:val="nil"/>
              <w:left w:val="double" w:sz="6" w:space="0" w:color="auto"/>
              <w:bottom w:val="dotted" w:sz="4" w:space="0" w:color="auto"/>
              <w:right w:val="nil"/>
            </w:tcBorders>
            <w:shd w:val="clear" w:color="000000" w:fill="FFFFFF"/>
            <w:vAlign w:val="center"/>
            <w:hideMark/>
          </w:tcPr>
          <w:p w14:paraId="5912C06C" w14:textId="77777777" w:rsidR="009D6D4E" w:rsidRPr="00030958" w:rsidRDefault="009D6D4E" w:rsidP="00BF3B71">
            <w:pPr>
              <w:rPr>
                <w:sz w:val="18"/>
                <w:szCs w:val="20"/>
                <w:lang w:val="en-US"/>
              </w:rPr>
            </w:pPr>
            <w:r w:rsidRPr="00030958">
              <w:rPr>
                <w:sz w:val="18"/>
                <w:szCs w:val="20"/>
                <w:lang w:val="en-US"/>
              </w:rPr>
              <w:t>14. Të ardhurat mbi Pronën</w:t>
            </w:r>
          </w:p>
        </w:tc>
        <w:tc>
          <w:tcPr>
            <w:tcW w:w="231" w:type="pct"/>
            <w:tcBorders>
              <w:top w:val="nil"/>
              <w:left w:val="nil"/>
              <w:bottom w:val="dotted" w:sz="4" w:space="0" w:color="auto"/>
              <w:right w:val="single" w:sz="8" w:space="0" w:color="auto"/>
            </w:tcBorders>
            <w:shd w:val="clear" w:color="000000" w:fill="FFFFFF"/>
            <w:vAlign w:val="center"/>
            <w:hideMark/>
          </w:tcPr>
          <w:p w14:paraId="3F6CC33B" w14:textId="77777777" w:rsidR="009D6D4E" w:rsidRPr="00030958" w:rsidRDefault="009D6D4E" w:rsidP="00BF3B71">
            <w:pPr>
              <w:jc w:val="center"/>
              <w:rPr>
                <w:sz w:val="18"/>
                <w:szCs w:val="20"/>
                <w:lang w:val="en-US"/>
              </w:rPr>
            </w:pPr>
            <w:r w:rsidRPr="00030958">
              <w:rPr>
                <w:sz w:val="18"/>
                <w:szCs w:val="20"/>
                <w:lang w:val="en-US"/>
              </w:rPr>
              <w:t> </w:t>
            </w:r>
          </w:p>
        </w:tc>
        <w:tc>
          <w:tcPr>
            <w:tcW w:w="389" w:type="pct"/>
            <w:tcBorders>
              <w:top w:val="nil"/>
              <w:left w:val="nil"/>
              <w:bottom w:val="dotted" w:sz="4" w:space="0" w:color="auto"/>
              <w:right w:val="single" w:sz="8" w:space="0" w:color="auto"/>
            </w:tcBorders>
            <w:shd w:val="clear" w:color="000000" w:fill="FFFFFF"/>
            <w:vAlign w:val="center"/>
            <w:hideMark/>
          </w:tcPr>
          <w:p w14:paraId="4A8A79A9" w14:textId="77777777" w:rsidR="009D6D4E" w:rsidRPr="00030958" w:rsidRDefault="009D6D4E" w:rsidP="00BF3B71">
            <w:pPr>
              <w:jc w:val="center"/>
              <w:rPr>
                <w:sz w:val="18"/>
                <w:szCs w:val="20"/>
                <w:lang w:val="en-US"/>
              </w:rPr>
            </w:pPr>
            <w:r w:rsidRPr="00030958">
              <w:rPr>
                <w:sz w:val="18"/>
                <w:szCs w:val="20"/>
                <w:lang w:val="en-US"/>
              </w:rPr>
              <w:t>D4</w:t>
            </w:r>
          </w:p>
        </w:tc>
        <w:tc>
          <w:tcPr>
            <w:tcW w:w="462" w:type="pct"/>
            <w:tcBorders>
              <w:top w:val="nil"/>
              <w:left w:val="nil"/>
              <w:bottom w:val="dotted" w:sz="4" w:space="0" w:color="auto"/>
              <w:right w:val="dotted" w:sz="4" w:space="0" w:color="auto"/>
            </w:tcBorders>
            <w:shd w:val="clear" w:color="000000" w:fill="FFFFFF"/>
            <w:vAlign w:val="center"/>
            <w:hideMark/>
          </w:tcPr>
          <w:p w14:paraId="3D6A3052" w14:textId="77777777" w:rsidR="009D6D4E" w:rsidRPr="00030958" w:rsidRDefault="009D6D4E" w:rsidP="00BF3B71">
            <w:pPr>
              <w:jc w:val="center"/>
              <w:rPr>
                <w:sz w:val="18"/>
                <w:szCs w:val="20"/>
                <w:lang w:val="en-US"/>
              </w:rPr>
            </w:pPr>
            <w:r w:rsidRPr="00030958">
              <w:rPr>
                <w:sz w:val="18"/>
                <w:szCs w:val="20"/>
                <w:lang w:val="en-US"/>
              </w:rPr>
              <w:t>:</w:t>
            </w:r>
          </w:p>
        </w:tc>
        <w:tc>
          <w:tcPr>
            <w:tcW w:w="462" w:type="pct"/>
            <w:tcBorders>
              <w:top w:val="nil"/>
              <w:left w:val="nil"/>
              <w:bottom w:val="dotted" w:sz="4" w:space="0" w:color="auto"/>
              <w:right w:val="dotted" w:sz="4" w:space="0" w:color="auto"/>
            </w:tcBorders>
            <w:shd w:val="clear" w:color="000000" w:fill="FFFFFF"/>
            <w:vAlign w:val="center"/>
            <w:hideMark/>
          </w:tcPr>
          <w:p w14:paraId="2DCC9128" w14:textId="77777777" w:rsidR="009D6D4E" w:rsidRPr="00030958" w:rsidRDefault="009D6D4E" w:rsidP="00BF3B71">
            <w:pPr>
              <w:jc w:val="center"/>
              <w:rPr>
                <w:sz w:val="18"/>
                <w:szCs w:val="20"/>
                <w:lang w:val="en-US"/>
              </w:rPr>
            </w:pPr>
            <w:r w:rsidRPr="00030958">
              <w:rPr>
                <w:sz w:val="18"/>
                <w:szCs w:val="20"/>
                <w:lang w:val="en-US"/>
              </w:rPr>
              <w:t>:</w:t>
            </w:r>
          </w:p>
        </w:tc>
        <w:tc>
          <w:tcPr>
            <w:tcW w:w="462" w:type="pct"/>
            <w:tcBorders>
              <w:top w:val="nil"/>
              <w:left w:val="nil"/>
              <w:bottom w:val="dotted" w:sz="4" w:space="0" w:color="auto"/>
              <w:right w:val="dotted" w:sz="4" w:space="0" w:color="auto"/>
            </w:tcBorders>
            <w:shd w:val="clear" w:color="000000" w:fill="FFFFFF"/>
            <w:vAlign w:val="center"/>
            <w:hideMark/>
          </w:tcPr>
          <w:p w14:paraId="1BE97D6E" w14:textId="77777777" w:rsidR="009D6D4E" w:rsidRPr="00030958" w:rsidRDefault="009D6D4E" w:rsidP="00BF3B71">
            <w:pPr>
              <w:jc w:val="center"/>
              <w:rPr>
                <w:sz w:val="18"/>
                <w:szCs w:val="20"/>
                <w:lang w:val="en-US"/>
              </w:rPr>
            </w:pPr>
            <w:r w:rsidRPr="00030958">
              <w:rPr>
                <w:sz w:val="18"/>
                <w:szCs w:val="20"/>
                <w:lang w:val="en-US"/>
              </w:rPr>
              <w:t>:</w:t>
            </w:r>
          </w:p>
        </w:tc>
        <w:tc>
          <w:tcPr>
            <w:tcW w:w="462" w:type="pct"/>
            <w:tcBorders>
              <w:top w:val="nil"/>
              <w:left w:val="nil"/>
              <w:bottom w:val="dotted" w:sz="4" w:space="0" w:color="auto"/>
              <w:right w:val="dotted" w:sz="4" w:space="0" w:color="auto"/>
            </w:tcBorders>
            <w:shd w:val="clear" w:color="000000" w:fill="FFFFFF"/>
            <w:vAlign w:val="center"/>
            <w:hideMark/>
          </w:tcPr>
          <w:p w14:paraId="677DACE4" w14:textId="77777777" w:rsidR="009D6D4E" w:rsidRPr="00030958" w:rsidRDefault="009D6D4E" w:rsidP="00BF3B71">
            <w:pPr>
              <w:jc w:val="center"/>
              <w:rPr>
                <w:sz w:val="18"/>
                <w:szCs w:val="20"/>
                <w:lang w:val="en-US"/>
              </w:rPr>
            </w:pPr>
            <w:r w:rsidRPr="00030958">
              <w:rPr>
                <w:sz w:val="18"/>
                <w:szCs w:val="20"/>
                <w:lang w:val="en-US"/>
              </w:rPr>
              <w:t>:</w:t>
            </w:r>
          </w:p>
        </w:tc>
        <w:tc>
          <w:tcPr>
            <w:tcW w:w="462" w:type="pct"/>
            <w:tcBorders>
              <w:top w:val="nil"/>
              <w:left w:val="nil"/>
              <w:bottom w:val="dotted" w:sz="4" w:space="0" w:color="auto"/>
              <w:right w:val="double" w:sz="6" w:space="0" w:color="auto"/>
            </w:tcBorders>
            <w:shd w:val="clear" w:color="000000" w:fill="FFFFFF"/>
            <w:vAlign w:val="center"/>
            <w:hideMark/>
          </w:tcPr>
          <w:p w14:paraId="5B5E8F0D" w14:textId="77777777" w:rsidR="009D6D4E" w:rsidRPr="00030958" w:rsidRDefault="009D6D4E" w:rsidP="00BF3B71">
            <w:pPr>
              <w:jc w:val="center"/>
              <w:rPr>
                <w:sz w:val="18"/>
                <w:szCs w:val="20"/>
                <w:lang w:val="en-US"/>
              </w:rPr>
            </w:pPr>
            <w:r w:rsidRPr="00030958">
              <w:rPr>
                <w:sz w:val="18"/>
                <w:szCs w:val="20"/>
                <w:lang w:val="en-US"/>
              </w:rPr>
              <w:t>:</w:t>
            </w:r>
          </w:p>
        </w:tc>
      </w:tr>
      <w:tr w:rsidR="009D6D4E" w:rsidRPr="00030958" w14:paraId="5BF9660F" w14:textId="77777777" w:rsidTr="00BF3B71">
        <w:trPr>
          <w:trHeight w:val="20"/>
        </w:trPr>
        <w:tc>
          <w:tcPr>
            <w:tcW w:w="2070" w:type="pct"/>
            <w:tcBorders>
              <w:top w:val="nil"/>
              <w:left w:val="double" w:sz="6" w:space="0" w:color="auto"/>
              <w:bottom w:val="dotted" w:sz="4" w:space="0" w:color="auto"/>
              <w:right w:val="nil"/>
            </w:tcBorders>
            <w:shd w:val="clear" w:color="000000" w:fill="FFFFFF"/>
            <w:vAlign w:val="center"/>
            <w:hideMark/>
          </w:tcPr>
          <w:p w14:paraId="636A3D24" w14:textId="77777777" w:rsidR="009D6D4E" w:rsidRPr="00030958" w:rsidRDefault="009D6D4E" w:rsidP="00BF3B71">
            <w:pPr>
              <w:rPr>
                <w:sz w:val="18"/>
                <w:szCs w:val="20"/>
                <w:lang w:val="en-US"/>
              </w:rPr>
            </w:pPr>
            <w:r w:rsidRPr="00030958">
              <w:rPr>
                <w:sz w:val="18"/>
                <w:szCs w:val="20"/>
                <w:lang w:val="en-US"/>
              </w:rPr>
              <w:t>15. Tjera (15 = 16-(12+13+14)) [4]</w:t>
            </w:r>
          </w:p>
        </w:tc>
        <w:tc>
          <w:tcPr>
            <w:tcW w:w="231" w:type="pct"/>
            <w:tcBorders>
              <w:top w:val="nil"/>
              <w:left w:val="nil"/>
              <w:bottom w:val="dotted" w:sz="4" w:space="0" w:color="auto"/>
              <w:right w:val="single" w:sz="8" w:space="0" w:color="auto"/>
            </w:tcBorders>
            <w:shd w:val="clear" w:color="000000" w:fill="FFFFFF"/>
            <w:vAlign w:val="center"/>
            <w:hideMark/>
          </w:tcPr>
          <w:p w14:paraId="7DB87DDE" w14:textId="77777777" w:rsidR="009D6D4E" w:rsidRPr="00030958" w:rsidRDefault="009D6D4E" w:rsidP="00BF3B71">
            <w:pPr>
              <w:jc w:val="center"/>
              <w:rPr>
                <w:sz w:val="18"/>
                <w:szCs w:val="20"/>
                <w:lang w:val="en-US"/>
              </w:rPr>
            </w:pPr>
            <w:r w:rsidRPr="00030958">
              <w:rPr>
                <w:sz w:val="18"/>
                <w:szCs w:val="20"/>
                <w:lang w:val="en-US"/>
              </w:rPr>
              <w:t> </w:t>
            </w:r>
          </w:p>
        </w:tc>
        <w:tc>
          <w:tcPr>
            <w:tcW w:w="389" w:type="pct"/>
            <w:tcBorders>
              <w:top w:val="nil"/>
              <w:left w:val="nil"/>
              <w:bottom w:val="dotted" w:sz="4" w:space="0" w:color="auto"/>
              <w:right w:val="single" w:sz="8" w:space="0" w:color="auto"/>
            </w:tcBorders>
            <w:shd w:val="clear" w:color="000000" w:fill="FFFFFF"/>
            <w:vAlign w:val="center"/>
            <w:hideMark/>
          </w:tcPr>
          <w:p w14:paraId="29C1AE27" w14:textId="77777777" w:rsidR="009D6D4E" w:rsidRPr="00030958" w:rsidRDefault="009D6D4E" w:rsidP="00BF3B71">
            <w:pPr>
              <w:jc w:val="center"/>
              <w:rPr>
                <w:sz w:val="18"/>
                <w:szCs w:val="20"/>
                <w:lang w:val="en-US"/>
              </w:rPr>
            </w:pPr>
            <w:r w:rsidRPr="00030958">
              <w:rPr>
                <w:sz w:val="18"/>
                <w:szCs w:val="20"/>
                <w:lang w:val="en-US"/>
              </w:rPr>
              <w:t> </w:t>
            </w:r>
          </w:p>
        </w:tc>
        <w:tc>
          <w:tcPr>
            <w:tcW w:w="462" w:type="pct"/>
            <w:tcBorders>
              <w:top w:val="nil"/>
              <w:left w:val="nil"/>
              <w:bottom w:val="dotted" w:sz="4" w:space="0" w:color="auto"/>
              <w:right w:val="dotted" w:sz="4" w:space="0" w:color="auto"/>
            </w:tcBorders>
            <w:shd w:val="clear" w:color="000000" w:fill="FFFFFF"/>
            <w:vAlign w:val="center"/>
            <w:hideMark/>
          </w:tcPr>
          <w:p w14:paraId="0642D56E" w14:textId="77777777" w:rsidR="009D6D4E" w:rsidRPr="00030958" w:rsidRDefault="009D6D4E" w:rsidP="00BF3B71">
            <w:pPr>
              <w:jc w:val="center"/>
              <w:rPr>
                <w:sz w:val="18"/>
                <w:szCs w:val="20"/>
                <w:lang w:val="en-US"/>
              </w:rPr>
            </w:pPr>
            <w:r w:rsidRPr="00030958">
              <w:rPr>
                <w:sz w:val="18"/>
                <w:szCs w:val="20"/>
                <w:lang w:val="en-US"/>
              </w:rPr>
              <w:t>193</w:t>
            </w:r>
          </w:p>
        </w:tc>
        <w:tc>
          <w:tcPr>
            <w:tcW w:w="462" w:type="pct"/>
            <w:tcBorders>
              <w:top w:val="nil"/>
              <w:left w:val="nil"/>
              <w:bottom w:val="dotted" w:sz="4" w:space="0" w:color="auto"/>
              <w:right w:val="dotted" w:sz="4" w:space="0" w:color="auto"/>
            </w:tcBorders>
            <w:shd w:val="clear" w:color="000000" w:fill="FFFFFF"/>
            <w:vAlign w:val="center"/>
            <w:hideMark/>
          </w:tcPr>
          <w:p w14:paraId="4D028679" w14:textId="77777777" w:rsidR="009D6D4E" w:rsidRPr="00030958" w:rsidRDefault="009D6D4E" w:rsidP="00BF3B71">
            <w:pPr>
              <w:jc w:val="center"/>
              <w:rPr>
                <w:sz w:val="18"/>
                <w:szCs w:val="20"/>
                <w:lang w:val="en-US"/>
              </w:rPr>
            </w:pPr>
            <w:r w:rsidRPr="00030958">
              <w:rPr>
                <w:sz w:val="18"/>
                <w:szCs w:val="20"/>
                <w:lang w:val="en-US"/>
              </w:rPr>
              <w:t>219</w:t>
            </w:r>
          </w:p>
        </w:tc>
        <w:tc>
          <w:tcPr>
            <w:tcW w:w="462" w:type="pct"/>
            <w:tcBorders>
              <w:top w:val="nil"/>
              <w:left w:val="nil"/>
              <w:bottom w:val="dotted" w:sz="4" w:space="0" w:color="auto"/>
              <w:right w:val="dotted" w:sz="4" w:space="0" w:color="auto"/>
            </w:tcBorders>
            <w:shd w:val="clear" w:color="000000" w:fill="FFFFFF"/>
            <w:vAlign w:val="center"/>
            <w:hideMark/>
          </w:tcPr>
          <w:p w14:paraId="74ED9B8F" w14:textId="77777777" w:rsidR="009D6D4E" w:rsidRPr="00030958" w:rsidRDefault="009D6D4E" w:rsidP="00BF3B71">
            <w:pPr>
              <w:jc w:val="center"/>
              <w:rPr>
                <w:sz w:val="18"/>
                <w:szCs w:val="20"/>
                <w:lang w:val="en-US"/>
              </w:rPr>
            </w:pPr>
            <w:r w:rsidRPr="00030958">
              <w:rPr>
                <w:sz w:val="18"/>
                <w:szCs w:val="20"/>
                <w:lang w:val="en-US"/>
              </w:rPr>
              <w:t>237</w:t>
            </w:r>
          </w:p>
        </w:tc>
        <w:tc>
          <w:tcPr>
            <w:tcW w:w="462" w:type="pct"/>
            <w:tcBorders>
              <w:top w:val="nil"/>
              <w:left w:val="nil"/>
              <w:bottom w:val="dotted" w:sz="4" w:space="0" w:color="auto"/>
              <w:right w:val="dotted" w:sz="4" w:space="0" w:color="auto"/>
            </w:tcBorders>
            <w:shd w:val="clear" w:color="000000" w:fill="FFFFFF"/>
            <w:vAlign w:val="center"/>
            <w:hideMark/>
          </w:tcPr>
          <w:p w14:paraId="5A75A15A" w14:textId="77777777" w:rsidR="009D6D4E" w:rsidRPr="00030958" w:rsidRDefault="009D6D4E" w:rsidP="00BF3B71">
            <w:pPr>
              <w:jc w:val="center"/>
              <w:rPr>
                <w:sz w:val="18"/>
                <w:szCs w:val="20"/>
                <w:lang w:val="en-US"/>
              </w:rPr>
            </w:pPr>
            <w:r w:rsidRPr="00030958">
              <w:rPr>
                <w:sz w:val="18"/>
                <w:szCs w:val="20"/>
                <w:lang w:val="en-US"/>
              </w:rPr>
              <w:t>235</w:t>
            </w:r>
          </w:p>
        </w:tc>
        <w:tc>
          <w:tcPr>
            <w:tcW w:w="462" w:type="pct"/>
            <w:tcBorders>
              <w:top w:val="nil"/>
              <w:left w:val="nil"/>
              <w:bottom w:val="dotted" w:sz="4" w:space="0" w:color="auto"/>
              <w:right w:val="double" w:sz="6" w:space="0" w:color="auto"/>
            </w:tcBorders>
            <w:shd w:val="clear" w:color="000000" w:fill="FFFFFF"/>
            <w:vAlign w:val="center"/>
            <w:hideMark/>
          </w:tcPr>
          <w:p w14:paraId="6DBBE2D1" w14:textId="77777777" w:rsidR="009D6D4E" w:rsidRPr="00030958" w:rsidRDefault="009D6D4E" w:rsidP="00BF3B71">
            <w:pPr>
              <w:jc w:val="center"/>
              <w:rPr>
                <w:sz w:val="18"/>
                <w:szCs w:val="20"/>
                <w:lang w:val="en-US"/>
              </w:rPr>
            </w:pPr>
            <w:r w:rsidRPr="00030958">
              <w:rPr>
                <w:sz w:val="18"/>
                <w:szCs w:val="20"/>
                <w:lang w:val="en-US"/>
              </w:rPr>
              <w:t>245</w:t>
            </w:r>
          </w:p>
        </w:tc>
      </w:tr>
      <w:tr w:rsidR="009D6D4E" w:rsidRPr="00030958" w14:paraId="1E74D1E1" w14:textId="77777777" w:rsidTr="00BF3B71">
        <w:trPr>
          <w:trHeight w:val="20"/>
        </w:trPr>
        <w:tc>
          <w:tcPr>
            <w:tcW w:w="2070" w:type="pct"/>
            <w:tcBorders>
              <w:top w:val="nil"/>
              <w:left w:val="double" w:sz="6" w:space="0" w:color="auto"/>
              <w:bottom w:val="dotted" w:sz="4" w:space="0" w:color="auto"/>
              <w:right w:val="nil"/>
            </w:tcBorders>
            <w:shd w:val="clear" w:color="000000" w:fill="FFFFFF"/>
            <w:vAlign w:val="center"/>
            <w:hideMark/>
          </w:tcPr>
          <w:p w14:paraId="09CD2A4A" w14:textId="77777777" w:rsidR="009D6D4E" w:rsidRPr="00030958" w:rsidRDefault="009D6D4E" w:rsidP="00BF3B71">
            <w:pPr>
              <w:rPr>
                <w:sz w:val="18"/>
                <w:szCs w:val="20"/>
                <w:lang w:val="en-US"/>
              </w:rPr>
            </w:pPr>
            <w:r w:rsidRPr="00030958">
              <w:rPr>
                <w:sz w:val="18"/>
                <w:szCs w:val="20"/>
                <w:lang w:val="en-US"/>
              </w:rPr>
              <w:t>16 = 6.TëHyrat Totale</w:t>
            </w:r>
          </w:p>
        </w:tc>
        <w:tc>
          <w:tcPr>
            <w:tcW w:w="231" w:type="pct"/>
            <w:tcBorders>
              <w:top w:val="nil"/>
              <w:left w:val="nil"/>
              <w:bottom w:val="nil"/>
              <w:right w:val="single" w:sz="8" w:space="0" w:color="auto"/>
            </w:tcBorders>
            <w:shd w:val="clear" w:color="000000" w:fill="FFFFFF"/>
            <w:vAlign w:val="center"/>
            <w:hideMark/>
          </w:tcPr>
          <w:p w14:paraId="1EDC0E62" w14:textId="77777777" w:rsidR="009D6D4E" w:rsidRPr="00030958" w:rsidRDefault="009D6D4E" w:rsidP="00BF3B71">
            <w:pPr>
              <w:jc w:val="center"/>
              <w:rPr>
                <w:sz w:val="18"/>
                <w:szCs w:val="20"/>
                <w:lang w:val="en-US"/>
              </w:rPr>
            </w:pPr>
            <w:r w:rsidRPr="00030958">
              <w:rPr>
                <w:sz w:val="18"/>
                <w:szCs w:val="20"/>
                <w:lang w:val="en-US"/>
              </w:rPr>
              <w:t> </w:t>
            </w:r>
          </w:p>
        </w:tc>
        <w:tc>
          <w:tcPr>
            <w:tcW w:w="389" w:type="pct"/>
            <w:tcBorders>
              <w:top w:val="nil"/>
              <w:left w:val="nil"/>
              <w:bottom w:val="dotted" w:sz="4" w:space="0" w:color="auto"/>
              <w:right w:val="single" w:sz="8" w:space="0" w:color="auto"/>
            </w:tcBorders>
            <w:shd w:val="clear" w:color="000000" w:fill="FFFFFF"/>
            <w:vAlign w:val="center"/>
            <w:hideMark/>
          </w:tcPr>
          <w:p w14:paraId="7B209399" w14:textId="77777777" w:rsidR="009D6D4E" w:rsidRPr="00030958" w:rsidRDefault="009D6D4E" w:rsidP="00BF3B71">
            <w:pPr>
              <w:jc w:val="center"/>
              <w:rPr>
                <w:sz w:val="18"/>
                <w:szCs w:val="20"/>
                <w:lang w:val="en-US"/>
              </w:rPr>
            </w:pPr>
            <w:r w:rsidRPr="00030958">
              <w:rPr>
                <w:sz w:val="18"/>
                <w:szCs w:val="20"/>
                <w:lang w:val="en-US"/>
              </w:rPr>
              <w:t>TR</w:t>
            </w:r>
          </w:p>
        </w:tc>
        <w:tc>
          <w:tcPr>
            <w:tcW w:w="462" w:type="pct"/>
            <w:tcBorders>
              <w:top w:val="nil"/>
              <w:left w:val="nil"/>
              <w:bottom w:val="dotted" w:sz="4" w:space="0" w:color="auto"/>
              <w:right w:val="dotted" w:sz="4" w:space="0" w:color="auto"/>
            </w:tcBorders>
            <w:shd w:val="clear" w:color="000000" w:fill="FFFFFF"/>
            <w:vAlign w:val="center"/>
            <w:hideMark/>
          </w:tcPr>
          <w:p w14:paraId="2BCB5828" w14:textId="77777777" w:rsidR="009D6D4E" w:rsidRPr="00030958" w:rsidRDefault="009D6D4E" w:rsidP="00BF3B71">
            <w:pPr>
              <w:jc w:val="center"/>
              <w:rPr>
                <w:sz w:val="18"/>
                <w:szCs w:val="20"/>
                <w:lang w:val="en-US"/>
              </w:rPr>
            </w:pPr>
            <w:r w:rsidRPr="00030958">
              <w:rPr>
                <w:sz w:val="18"/>
                <w:szCs w:val="20"/>
                <w:lang w:val="en-US"/>
              </w:rPr>
              <w:t>1,757</w:t>
            </w:r>
          </w:p>
        </w:tc>
        <w:tc>
          <w:tcPr>
            <w:tcW w:w="462" w:type="pct"/>
            <w:tcBorders>
              <w:top w:val="nil"/>
              <w:left w:val="nil"/>
              <w:bottom w:val="dotted" w:sz="4" w:space="0" w:color="auto"/>
              <w:right w:val="dotted" w:sz="4" w:space="0" w:color="auto"/>
            </w:tcBorders>
            <w:shd w:val="clear" w:color="000000" w:fill="FFFFFF"/>
            <w:vAlign w:val="center"/>
            <w:hideMark/>
          </w:tcPr>
          <w:p w14:paraId="3301CEDF" w14:textId="77777777" w:rsidR="009D6D4E" w:rsidRPr="00030958" w:rsidRDefault="009D6D4E" w:rsidP="00BF3B71">
            <w:pPr>
              <w:jc w:val="center"/>
              <w:rPr>
                <w:sz w:val="18"/>
                <w:szCs w:val="20"/>
                <w:lang w:val="en-US"/>
              </w:rPr>
            </w:pPr>
            <w:r w:rsidRPr="00030958">
              <w:rPr>
                <w:sz w:val="18"/>
                <w:szCs w:val="20"/>
                <w:lang w:val="en-US"/>
              </w:rPr>
              <w:t>1,949</w:t>
            </w:r>
          </w:p>
        </w:tc>
        <w:tc>
          <w:tcPr>
            <w:tcW w:w="462" w:type="pct"/>
            <w:tcBorders>
              <w:top w:val="nil"/>
              <w:left w:val="nil"/>
              <w:bottom w:val="dotted" w:sz="4" w:space="0" w:color="auto"/>
              <w:right w:val="dotted" w:sz="4" w:space="0" w:color="auto"/>
            </w:tcBorders>
            <w:shd w:val="clear" w:color="000000" w:fill="FFFFFF"/>
            <w:vAlign w:val="center"/>
            <w:hideMark/>
          </w:tcPr>
          <w:p w14:paraId="676A20C5" w14:textId="77777777" w:rsidR="009D6D4E" w:rsidRPr="00030958" w:rsidRDefault="009D6D4E" w:rsidP="00BF3B71">
            <w:pPr>
              <w:jc w:val="center"/>
              <w:rPr>
                <w:sz w:val="18"/>
                <w:szCs w:val="20"/>
                <w:lang w:val="en-US"/>
              </w:rPr>
            </w:pPr>
            <w:r w:rsidRPr="00030958">
              <w:rPr>
                <w:sz w:val="18"/>
                <w:szCs w:val="20"/>
                <w:lang w:val="en-US"/>
              </w:rPr>
              <w:t>2,047</w:t>
            </w:r>
          </w:p>
        </w:tc>
        <w:tc>
          <w:tcPr>
            <w:tcW w:w="462" w:type="pct"/>
            <w:tcBorders>
              <w:top w:val="nil"/>
              <w:left w:val="nil"/>
              <w:bottom w:val="dotted" w:sz="4" w:space="0" w:color="auto"/>
              <w:right w:val="dotted" w:sz="4" w:space="0" w:color="auto"/>
            </w:tcBorders>
            <w:shd w:val="clear" w:color="000000" w:fill="FFFFFF"/>
            <w:vAlign w:val="center"/>
            <w:hideMark/>
          </w:tcPr>
          <w:p w14:paraId="6D7804A6" w14:textId="77777777" w:rsidR="009D6D4E" w:rsidRPr="00030958" w:rsidRDefault="009D6D4E" w:rsidP="00BF3B71">
            <w:pPr>
              <w:jc w:val="center"/>
              <w:rPr>
                <w:sz w:val="18"/>
                <w:szCs w:val="20"/>
                <w:lang w:val="en-US"/>
              </w:rPr>
            </w:pPr>
            <w:r w:rsidRPr="00030958">
              <w:rPr>
                <w:sz w:val="18"/>
                <w:szCs w:val="20"/>
                <w:lang w:val="en-US"/>
              </w:rPr>
              <w:t>2,124</w:t>
            </w:r>
          </w:p>
        </w:tc>
        <w:tc>
          <w:tcPr>
            <w:tcW w:w="462" w:type="pct"/>
            <w:tcBorders>
              <w:top w:val="nil"/>
              <w:left w:val="nil"/>
              <w:bottom w:val="dotted" w:sz="4" w:space="0" w:color="auto"/>
              <w:right w:val="double" w:sz="6" w:space="0" w:color="auto"/>
            </w:tcBorders>
            <w:shd w:val="clear" w:color="000000" w:fill="FFFFFF"/>
            <w:vAlign w:val="center"/>
            <w:hideMark/>
          </w:tcPr>
          <w:p w14:paraId="30574167" w14:textId="77777777" w:rsidR="009D6D4E" w:rsidRPr="00030958" w:rsidRDefault="009D6D4E" w:rsidP="00BF3B71">
            <w:pPr>
              <w:jc w:val="center"/>
              <w:rPr>
                <w:sz w:val="18"/>
                <w:szCs w:val="20"/>
                <w:lang w:val="en-US"/>
              </w:rPr>
            </w:pPr>
            <w:r w:rsidRPr="00030958">
              <w:rPr>
                <w:sz w:val="18"/>
                <w:szCs w:val="20"/>
                <w:lang w:val="en-US"/>
              </w:rPr>
              <w:t>2,239</w:t>
            </w:r>
          </w:p>
        </w:tc>
      </w:tr>
      <w:tr w:rsidR="009D6D4E" w:rsidRPr="00030958" w14:paraId="3FBF30C6" w14:textId="77777777" w:rsidTr="00BF3B71">
        <w:trPr>
          <w:trHeight w:val="20"/>
        </w:trPr>
        <w:tc>
          <w:tcPr>
            <w:tcW w:w="2070" w:type="pct"/>
            <w:tcBorders>
              <w:top w:val="nil"/>
              <w:left w:val="double" w:sz="6" w:space="0" w:color="auto"/>
              <w:bottom w:val="single" w:sz="8" w:space="0" w:color="auto"/>
              <w:right w:val="nil"/>
            </w:tcBorders>
            <w:shd w:val="clear" w:color="auto" w:fill="auto"/>
            <w:noWrap/>
            <w:vAlign w:val="bottom"/>
            <w:hideMark/>
          </w:tcPr>
          <w:p w14:paraId="02A466D4" w14:textId="77777777" w:rsidR="009D6D4E" w:rsidRPr="00030958" w:rsidRDefault="009D6D4E" w:rsidP="00BF3B71">
            <w:pPr>
              <w:rPr>
                <w:sz w:val="18"/>
                <w:szCs w:val="20"/>
                <w:lang w:val="en-US"/>
              </w:rPr>
            </w:pPr>
            <w:r w:rsidRPr="00030958">
              <w:rPr>
                <w:sz w:val="18"/>
                <w:szCs w:val="20"/>
                <w:lang w:val="en-US"/>
              </w:rPr>
              <w:t>p.m.: Barra Tatimore  (D2+D5+D61+D91-D995) [5]</w:t>
            </w:r>
          </w:p>
        </w:tc>
        <w:tc>
          <w:tcPr>
            <w:tcW w:w="231" w:type="pct"/>
            <w:tcBorders>
              <w:top w:val="dotted" w:sz="4" w:space="0" w:color="auto"/>
              <w:left w:val="nil"/>
              <w:bottom w:val="single" w:sz="8" w:space="0" w:color="auto"/>
              <w:right w:val="single" w:sz="8" w:space="0" w:color="auto"/>
            </w:tcBorders>
            <w:shd w:val="clear" w:color="000000" w:fill="FFFFFF"/>
            <w:vAlign w:val="center"/>
            <w:hideMark/>
          </w:tcPr>
          <w:p w14:paraId="78098E6E" w14:textId="77777777" w:rsidR="009D6D4E" w:rsidRPr="00030958" w:rsidRDefault="009D6D4E" w:rsidP="00BF3B71">
            <w:pPr>
              <w:jc w:val="center"/>
              <w:rPr>
                <w:sz w:val="18"/>
                <w:szCs w:val="20"/>
                <w:lang w:val="en-US"/>
              </w:rPr>
            </w:pPr>
            <w:r w:rsidRPr="00030958">
              <w:rPr>
                <w:sz w:val="18"/>
                <w:szCs w:val="20"/>
                <w:lang w:val="en-US"/>
              </w:rPr>
              <w:t> </w:t>
            </w:r>
          </w:p>
        </w:tc>
        <w:tc>
          <w:tcPr>
            <w:tcW w:w="389" w:type="pct"/>
            <w:tcBorders>
              <w:top w:val="nil"/>
              <w:left w:val="nil"/>
              <w:bottom w:val="single" w:sz="8" w:space="0" w:color="000000"/>
              <w:right w:val="single" w:sz="8" w:space="0" w:color="auto"/>
            </w:tcBorders>
            <w:shd w:val="clear" w:color="000000" w:fill="FFFFFF"/>
            <w:vAlign w:val="center"/>
            <w:hideMark/>
          </w:tcPr>
          <w:p w14:paraId="21AA13BE" w14:textId="77777777" w:rsidR="009D6D4E" w:rsidRPr="00030958" w:rsidRDefault="009D6D4E" w:rsidP="00BF3B71">
            <w:pPr>
              <w:jc w:val="center"/>
              <w:rPr>
                <w:sz w:val="18"/>
                <w:szCs w:val="20"/>
                <w:lang w:val="en-US"/>
              </w:rPr>
            </w:pPr>
            <w:r w:rsidRPr="00030958">
              <w:rPr>
                <w:sz w:val="18"/>
                <w:szCs w:val="20"/>
                <w:lang w:val="en-US"/>
              </w:rPr>
              <w:t> </w:t>
            </w:r>
          </w:p>
        </w:tc>
        <w:tc>
          <w:tcPr>
            <w:tcW w:w="462" w:type="pct"/>
            <w:tcBorders>
              <w:top w:val="nil"/>
              <w:left w:val="nil"/>
              <w:bottom w:val="single" w:sz="8" w:space="0" w:color="000000"/>
              <w:right w:val="dotted" w:sz="4" w:space="0" w:color="auto"/>
            </w:tcBorders>
            <w:shd w:val="clear" w:color="000000" w:fill="FFFFFF"/>
            <w:vAlign w:val="center"/>
            <w:hideMark/>
          </w:tcPr>
          <w:p w14:paraId="14C41B4B" w14:textId="77777777" w:rsidR="009D6D4E" w:rsidRPr="00030958" w:rsidRDefault="009D6D4E" w:rsidP="00BF3B71">
            <w:pPr>
              <w:jc w:val="center"/>
              <w:rPr>
                <w:sz w:val="18"/>
                <w:szCs w:val="20"/>
                <w:lang w:val="en-US"/>
              </w:rPr>
            </w:pPr>
            <w:r w:rsidRPr="00030958">
              <w:rPr>
                <w:sz w:val="18"/>
                <w:szCs w:val="20"/>
                <w:lang w:val="en-US"/>
              </w:rPr>
              <w:t>1,564</w:t>
            </w:r>
          </w:p>
        </w:tc>
        <w:tc>
          <w:tcPr>
            <w:tcW w:w="462" w:type="pct"/>
            <w:tcBorders>
              <w:top w:val="nil"/>
              <w:left w:val="nil"/>
              <w:bottom w:val="single" w:sz="8" w:space="0" w:color="000000"/>
              <w:right w:val="dotted" w:sz="4" w:space="0" w:color="auto"/>
            </w:tcBorders>
            <w:shd w:val="clear" w:color="000000" w:fill="FFFFFF"/>
            <w:vAlign w:val="center"/>
            <w:hideMark/>
          </w:tcPr>
          <w:p w14:paraId="4257D9B9" w14:textId="77777777" w:rsidR="009D6D4E" w:rsidRPr="00030958" w:rsidRDefault="009D6D4E" w:rsidP="00BF3B71">
            <w:pPr>
              <w:jc w:val="center"/>
              <w:rPr>
                <w:sz w:val="18"/>
                <w:szCs w:val="20"/>
                <w:lang w:val="en-US"/>
              </w:rPr>
            </w:pPr>
            <w:r w:rsidRPr="00030958">
              <w:rPr>
                <w:sz w:val="18"/>
                <w:szCs w:val="20"/>
                <w:lang w:val="en-US"/>
              </w:rPr>
              <w:t>1,730</w:t>
            </w:r>
          </w:p>
        </w:tc>
        <w:tc>
          <w:tcPr>
            <w:tcW w:w="462" w:type="pct"/>
            <w:tcBorders>
              <w:top w:val="nil"/>
              <w:left w:val="nil"/>
              <w:bottom w:val="single" w:sz="8" w:space="0" w:color="000000"/>
              <w:right w:val="dotted" w:sz="4" w:space="0" w:color="auto"/>
            </w:tcBorders>
            <w:shd w:val="clear" w:color="000000" w:fill="FFFFFF"/>
            <w:vAlign w:val="center"/>
            <w:hideMark/>
          </w:tcPr>
          <w:p w14:paraId="3F486101" w14:textId="77777777" w:rsidR="009D6D4E" w:rsidRPr="00030958" w:rsidRDefault="009D6D4E" w:rsidP="00BF3B71">
            <w:pPr>
              <w:jc w:val="center"/>
              <w:rPr>
                <w:sz w:val="18"/>
                <w:szCs w:val="20"/>
                <w:lang w:val="en-US"/>
              </w:rPr>
            </w:pPr>
            <w:r w:rsidRPr="00030958">
              <w:rPr>
                <w:sz w:val="18"/>
                <w:szCs w:val="20"/>
                <w:lang w:val="en-US"/>
              </w:rPr>
              <w:t>1,810</w:t>
            </w:r>
          </w:p>
        </w:tc>
        <w:tc>
          <w:tcPr>
            <w:tcW w:w="462" w:type="pct"/>
            <w:tcBorders>
              <w:top w:val="nil"/>
              <w:left w:val="nil"/>
              <w:bottom w:val="single" w:sz="8" w:space="0" w:color="000000"/>
              <w:right w:val="dotted" w:sz="4" w:space="0" w:color="auto"/>
            </w:tcBorders>
            <w:shd w:val="clear" w:color="000000" w:fill="FFFFFF"/>
            <w:vAlign w:val="center"/>
            <w:hideMark/>
          </w:tcPr>
          <w:p w14:paraId="56BE3230" w14:textId="77777777" w:rsidR="009D6D4E" w:rsidRPr="00030958" w:rsidRDefault="009D6D4E" w:rsidP="00BF3B71">
            <w:pPr>
              <w:jc w:val="center"/>
              <w:rPr>
                <w:sz w:val="18"/>
                <w:szCs w:val="20"/>
                <w:lang w:val="en-US"/>
              </w:rPr>
            </w:pPr>
            <w:r w:rsidRPr="00030958">
              <w:rPr>
                <w:sz w:val="18"/>
                <w:szCs w:val="20"/>
                <w:lang w:val="en-US"/>
              </w:rPr>
              <w:t>1,888</w:t>
            </w:r>
          </w:p>
        </w:tc>
        <w:tc>
          <w:tcPr>
            <w:tcW w:w="462" w:type="pct"/>
            <w:tcBorders>
              <w:top w:val="nil"/>
              <w:left w:val="nil"/>
              <w:bottom w:val="single" w:sz="8" w:space="0" w:color="auto"/>
              <w:right w:val="double" w:sz="6" w:space="0" w:color="auto"/>
            </w:tcBorders>
            <w:shd w:val="clear" w:color="000000" w:fill="FFFFFF"/>
            <w:vAlign w:val="center"/>
            <w:hideMark/>
          </w:tcPr>
          <w:p w14:paraId="59983892" w14:textId="77777777" w:rsidR="009D6D4E" w:rsidRPr="00030958" w:rsidRDefault="009D6D4E" w:rsidP="00BF3B71">
            <w:pPr>
              <w:jc w:val="center"/>
              <w:rPr>
                <w:sz w:val="18"/>
                <w:szCs w:val="20"/>
                <w:lang w:val="en-US"/>
              </w:rPr>
            </w:pPr>
            <w:r w:rsidRPr="00030958">
              <w:rPr>
                <w:sz w:val="18"/>
                <w:szCs w:val="20"/>
                <w:lang w:val="en-US"/>
              </w:rPr>
              <w:t>1,995</w:t>
            </w:r>
          </w:p>
        </w:tc>
      </w:tr>
      <w:tr w:rsidR="009D6D4E" w:rsidRPr="00030958" w14:paraId="4E6886E8" w14:textId="77777777" w:rsidTr="00BF3B71">
        <w:trPr>
          <w:trHeight w:val="20"/>
        </w:trPr>
        <w:tc>
          <w:tcPr>
            <w:tcW w:w="5000" w:type="pct"/>
            <w:gridSpan w:val="8"/>
            <w:tcBorders>
              <w:top w:val="nil"/>
              <w:left w:val="double" w:sz="6" w:space="0" w:color="auto"/>
              <w:bottom w:val="single" w:sz="8" w:space="0" w:color="auto"/>
              <w:right w:val="double" w:sz="6" w:space="0" w:color="000000"/>
            </w:tcBorders>
            <w:shd w:val="clear" w:color="000000" w:fill="FFFFFF"/>
            <w:vAlign w:val="center"/>
            <w:hideMark/>
          </w:tcPr>
          <w:p w14:paraId="24BEFFD0" w14:textId="77777777" w:rsidR="009D6D4E" w:rsidRPr="00FC648F" w:rsidRDefault="009D6D4E" w:rsidP="00BF3B71">
            <w:pPr>
              <w:jc w:val="center"/>
              <w:rPr>
                <w:b/>
                <w:bCs/>
                <w:sz w:val="18"/>
                <w:szCs w:val="20"/>
              </w:rPr>
            </w:pPr>
            <w:r w:rsidRPr="00FC648F">
              <w:rPr>
                <w:b/>
                <w:bCs/>
                <w:sz w:val="18"/>
                <w:szCs w:val="20"/>
              </w:rPr>
              <w:t>Komponentë të përzgjedhura të shpenzimeve</w:t>
            </w:r>
          </w:p>
        </w:tc>
      </w:tr>
      <w:tr w:rsidR="009D6D4E" w:rsidRPr="00030958" w14:paraId="34CCE1E9" w14:textId="77777777" w:rsidTr="00BF3B71">
        <w:trPr>
          <w:trHeight w:val="20"/>
        </w:trPr>
        <w:tc>
          <w:tcPr>
            <w:tcW w:w="2070" w:type="pct"/>
            <w:tcBorders>
              <w:top w:val="nil"/>
              <w:left w:val="double" w:sz="6" w:space="0" w:color="auto"/>
              <w:bottom w:val="dotted" w:sz="4" w:space="0" w:color="auto"/>
              <w:right w:val="nil"/>
            </w:tcBorders>
            <w:shd w:val="clear" w:color="000000" w:fill="FFFFFF"/>
            <w:vAlign w:val="center"/>
            <w:hideMark/>
          </w:tcPr>
          <w:p w14:paraId="1B0C62E7" w14:textId="77777777" w:rsidR="009D6D4E" w:rsidRPr="00030958" w:rsidRDefault="009D6D4E" w:rsidP="00BF3B71">
            <w:pPr>
              <w:rPr>
                <w:sz w:val="18"/>
                <w:szCs w:val="20"/>
                <w:lang w:val="en-US"/>
              </w:rPr>
            </w:pPr>
            <w:r w:rsidRPr="00030958">
              <w:rPr>
                <w:sz w:val="18"/>
                <w:szCs w:val="20"/>
                <w:lang w:val="en-US"/>
              </w:rPr>
              <w:t xml:space="preserve">17. Konsumi i Përgjithshëm </w:t>
            </w:r>
          </w:p>
        </w:tc>
        <w:tc>
          <w:tcPr>
            <w:tcW w:w="231" w:type="pct"/>
            <w:tcBorders>
              <w:top w:val="nil"/>
              <w:left w:val="nil"/>
              <w:bottom w:val="dotted" w:sz="4" w:space="0" w:color="auto"/>
              <w:right w:val="single" w:sz="8" w:space="0" w:color="auto"/>
            </w:tcBorders>
            <w:shd w:val="clear" w:color="000000" w:fill="FFFFFF"/>
            <w:vAlign w:val="center"/>
            <w:hideMark/>
          </w:tcPr>
          <w:p w14:paraId="453AEB9E" w14:textId="77777777" w:rsidR="009D6D4E" w:rsidRPr="00030958" w:rsidRDefault="009D6D4E" w:rsidP="00BF3B71">
            <w:pPr>
              <w:jc w:val="center"/>
              <w:rPr>
                <w:sz w:val="18"/>
                <w:szCs w:val="20"/>
                <w:lang w:val="en-US"/>
              </w:rPr>
            </w:pPr>
            <w:r w:rsidRPr="00030958">
              <w:rPr>
                <w:sz w:val="18"/>
                <w:szCs w:val="20"/>
                <w:lang w:val="en-US"/>
              </w:rPr>
              <w:t> </w:t>
            </w:r>
          </w:p>
        </w:tc>
        <w:tc>
          <w:tcPr>
            <w:tcW w:w="389" w:type="pct"/>
            <w:tcBorders>
              <w:top w:val="nil"/>
              <w:left w:val="nil"/>
              <w:bottom w:val="dotted" w:sz="4" w:space="0" w:color="auto"/>
              <w:right w:val="single" w:sz="8" w:space="0" w:color="auto"/>
            </w:tcBorders>
            <w:shd w:val="clear" w:color="000000" w:fill="FFFFFF"/>
            <w:vAlign w:val="center"/>
            <w:hideMark/>
          </w:tcPr>
          <w:p w14:paraId="006DF2FB" w14:textId="77777777" w:rsidR="009D6D4E" w:rsidRPr="00030958" w:rsidRDefault="009D6D4E" w:rsidP="00BF3B71">
            <w:pPr>
              <w:jc w:val="center"/>
              <w:rPr>
                <w:sz w:val="18"/>
                <w:szCs w:val="20"/>
                <w:lang w:val="en-US"/>
              </w:rPr>
            </w:pPr>
            <w:r w:rsidRPr="00030958">
              <w:rPr>
                <w:sz w:val="18"/>
                <w:szCs w:val="20"/>
                <w:lang w:val="en-US"/>
              </w:rPr>
              <w:t>P32</w:t>
            </w:r>
          </w:p>
        </w:tc>
        <w:tc>
          <w:tcPr>
            <w:tcW w:w="462" w:type="pct"/>
            <w:tcBorders>
              <w:top w:val="nil"/>
              <w:left w:val="nil"/>
              <w:bottom w:val="dotted" w:sz="4" w:space="0" w:color="auto"/>
              <w:right w:val="dotted" w:sz="4" w:space="0" w:color="auto"/>
            </w:tcBorders>
            <w:shd w:val="clear" w:color="000000" w:fill="FFFFFF"/>
            <w:vAlign w:val="center"/>
            <w:hideMark/>
          </w:tcPr>
          <w:p w14:paraId="150F2DD9" w14:textId="77777777" w:rsidR="009D6D4E" w:rsidRPr="00030958" w:rsidRDefault="009D6D4E" w:rsidP="00BF3B71">
            <w:pPr>
              <w:jc w:val="center"/>
              <w:rPr>
                <w:sz w:val="18"/>
                <w:szCs w:val="20"/>
                <w:lang w:val="en-US"/>
              </w:rPr>
            </w:pPr>
            <w:r w:rsidRPr="00030958">
              <w:rPr>
                <w:sz w:val="18"/>
                <w:szCs w:val="20"/>
                <w:lang w:val="en-US"/>
              </w:rPr>
              <w:t>845</w:t>
            </w:r>
          </w:p>
        </w:tc>
        <w:tc>
          <w:tcPr>
            <w:tcW w:w="462" w:type="pct"/>
            <w:tcBorders>
              <w:top w:val="nil"/>
              <w:left w:val="nil"/>
              <w:bottom w:val="dotted" w:sz="4" w:space="0" w:color="auto"/>
              <w:right w:val="dotted" w:sz="4" w:space="0" w:color="auto"/>
            </w:tcBorders>
            <w:shd w:val="clear" w:color="000000" w:fill="FFFFFF"/>
            <w:vAlign w:val="center"/>
            <w:hideMark/>
          </w:tcPr>
          <w:p w14:paraId="025EAD30" w14:textId="77777777" w:rsidR="009D6D4E" w:rsidRPr="00030958" w:rsidRDefault="009D6D4E" w:rsidP="00BF3B71">
            <w:pPr>
              <w:jc w:val="center"/>
              <w:rPr>
                <w:sz w:val="18"/>
                <w:szCs w:val="20"/>
                <w:lang w:val="en-US"/>
              </w:rPr>
            </w:pPr>
            <w:r w:rsidRPr="00030958">
              <w:rPr>
                <w:sz w:val="18"/>
                <w:szCs w:val="20"/>
                <w:lang w:val="en-US"/>
              </w:rPr>
              <w:t>957</w:t>
            </w:r>
          </w:p>
        </w:tc>
        <w:tc>
          <w:tcPr>
            <w:tcW w:w="462" w:type="pct"/>
            <w:tcBorders>
              <w:top w:val="nil"/>
              <w:left w:val="nil"/>
              <w:bottom w:val="dotted" w:sz="4" w:space="0" w:color="auto"/>
              <w:right w:val="dotted" w:sz="4" w:space="0" w:color="auto"/>
            </w:tcBorders>
            <w:shd w:val="clear" w:color="000000" w:fill="FFFFFF"/>
            <w:vAlign w:val="center"/>
            <w:hideMark/>
          </w:tcPr>
          <w:p w14:paraId="0526B0C4" w14:textId="77777777" w:rsidR="009D6D4E" w:rsidRPr="00030958" w:rsidRDefault="009D6D4E" w:rsidP="00BF3B71">
            <w:pPr>
              <w:jc w:val="center"/>
              <w:rPr>
                <w:sz w:val="18"/>
                <w:szCs w:val="20"/>
                <w:lang w:val="en-US"/>
              </w:rPr>
            </w:pPr>
            <w:r w:rsidRPr="00030958">
              <w:rPr>
                <w:sz w:val="18"/>
                <w:szCs w:val="20"/>
                <w:lang w:val="en-US"/>
              </w:rPr>
              <w:t>1006</w:t>
            </w:r>
          </w:p>
        </w:tc>
        <w:tc>
          <w:tcPr>
            <w:tcW w:w="462" w:type="pct"/>
            <w:tcBorders>
              <w:top w:val="nil"/>
              <w:left w:val="nil"/>
              <w:bottom w:val="dotted" w:sz="4" w:space="0" w:color="auto"/>
              <w:right w:val="dotted" w:sz="4" w:space="0" w:color="auto"/>
            </w:tcBorders>
            <w:shd w:val="clear" w:color="000000" w:fill="FFFFFF"/>
            <w:vAlign w:val="center"/>
            <w:hideMark/>
          </w:tcPr>
          <w:p w14:paraId="38581261" w14:textId="77777777" w:rsidR="009D6D4E" w:rsidRPr="00030958" w:rsidRDefault="009D6D4E" w:rsidP="00BF3B71">
            <w:pPr>
              <w:jc w:val="center"/>
              <w:rPr>
                <w:sz w:val="18"/>
                <w:szCs w:val="20"/>
                <w:lang w:val="en-US"/>
              </w:rPr>
            </w:pPr>
            <w:r w:rsidRPr="00030958">
              <w:rPr>
                <w:sz w:val="18"/>
                <w:szCs w:val="20"/>
                <w:lang w:val="en-US"/>
              </w:rPr>
              <w:t>1047</w:t>
            </w:r>
          </w:p>
        </w:tc>
        <w:tc>
          <w:tcPr>
            <w:tcW w:w="462" w:type="pct"/>
            <w:tcBorders>
              <w:top w:val="nil"/>
              <w:left w:val="nil"/>
              <w:bottom w:val="dotted" w:sz="4" w:space="0" w:color="auto"/>
              <w:right w:val="double" w:sz="6" w:space="0" w:color="auto"/>
            </w:tcBorders>
            <w:shd w:val="clear" w:color="000000" w:fill="FFFFFF"/>
            <w:vAlign w:val="center"/>
            <w:hideMark/>
          </w:tcPr>
          <w:p w14:paraId="25C5EAC9" w14:textId="77777777" w:rsidR="009D6D4E" w:rsidRPr="00030958" w:rsidRDefault="009D6D4E" w:rsidP="00BF3B71">
            <w:pPr>
              <w:jc w:val="center"/>
              <w:rPr>
                <w:sz w:val="18"/>
                <w:szCs w:val="20"/>
                <w:lang w:val="en-US"/>
              </w:rPr>
            </w:pPr>
            <w:r w:rsidRPr="00030958">
              <w:rPr>
                <w:sz w:val="18"/>
                <w:szCs w:val="20"/>
                <w:lang w:val="en-US"/>
              </w:rPr>
              <w:t>1089</w:t>
            </w:r>
          </w:p>
        </w:tc>
      </w:tr>
      <w:tr w:rsidR="009D6D4E" w:rsidRPr="00030958" w14:paraId="604531E1" w14:textId="77777777" w:rsidTr="00BF3B71">
        <w:trPr>
          <w:trHeight w:val="20"/>
        </w:trPr>
        <w:tc>
          <w:tcPr>
            <w:tcW w:w="2070" w:type="pct"/>
            <w:tcBorders>
              <w:top w:val="nil"/>
              <w:left w:val="double" w:sz="6" w:space="0" w:color="auto"/>
              <w:bottom w:val="dotted" w:sz="4" w:space="0" w:color="auto"/>
              <w:right w:val="nil"/>
            </w:tcBorders>
            <w:shd w:val="clear" w:color="000000" w:fill="FFFFFF"/>
            <w:vAlign w:val="center"/>
            <w:hideMark/>
          </w:tcPr>
          <w:p w14:paraId="330366A9" w14:textId="77777777" w:rsidR="009D6D4E" w:rsidRPr="00030958" w:rsidRDefault="009D6D4E" w:rsidP="00BF3B71">
            <w:pPr>
              <w:rPr>
                <w:sz w:val="18"/>
                <w:szCs w:val="20"/>
                <w:lang w:val="en-US"/>
              </w:rPr>
            </w:pPr>
            <w:r w:rsidRPr="00030958">
              <w:rPr>
                <w:sz w:val="18"/>
                <w:szCs w:val="20"/>
                <w:lang w:val="en-US"/>
              </w:rPr>
              <w:t>18. Totali i Transfereve Sociale</w:t>
            </w:r>
          </w:p>
        </w:tc>
        <w:tc>
          <w:tcPr>
            <w:tcW w:w="231" w:type="pct"/>
            <w:tcBorders>
              <w:top w:val="nil"/>
              <w:left w:val="nil"/>
              <w:bottom w:val="dotted" w:sz="4" w:space="0" w:color="auto"/>
              <w:right w:val="single" w:sz="8" w:space="0" w:color="auto"/>
            </w:tcBorders>
            <w:shd w:val="clear" w:color="000000" w:fill="FFFFFF"/>
            <w:vAlign w:val="center"/>
            <w:hideMark/>
          </w:tcPr>
          <w:p w14:paraId="24863205" w14:textId="77777777" w:rsidR="009D6D4E" w:rsidRPr="00030958" w:rsidRDefault="009D6D4E" w:rsidP="00BF3B71">
            <w:pPr>
              <w:jc w:val="center"/>
              <w:rPr>
                <w:sz w:val="18"/>
                <w:szCs w:val="20"/>
                <w:lang w:val="en-US"/>
              </w:rPr>
            </w:pPr>
            <w:r w:rsidRPr="00030958">
              <w:rPr>
                <w:sz w:val="18"/>
                <w:szCs w:val="20"/>
                <w:lang w:val="en-US"/>
              </w:rPr>
              <w:t> </w:t>
            </w:r>
          </w:p>
        </w:tc>
        <w:tc>
          <w:tcPr>
            <w:tcW w:w="389" w:type="pct"/>
            <w:tcBorders>
              <w:top w:val="nil"/>
              <w:left w:val="nil"/>
              <w:bottom w:val="dotted" w:sz="4" w:space="0" w:color="auto"/>
              <w:right w:val="single" w:sz="8" w:space="0" w:color="auto"/>
            </w:tcBorders>
            <w:shd w:val="clear" w:color="000000" w:fill="FFFFFF"/>
            <w:vAlign w:val="center"/>
            <w:hideMark/>
          </w:tcPr>
          <w:p w14:paraId="4B39AE60" w14:textId="77777777" w:rsidR="009D6D4E" w:rsidRPr="00030958" w:rsidRDefault="009D6D4E" w:rsidP="00BF3B71">
            <w:pPr>
              <w:jc w:val="center"/>
              <w:rPr>
                <w:sz w:val="18"/>
                <w:szCs w:val="20"/>
                <w:lang w:val="en-US"/>
              </w:rPr>
            </w:pPr>
            <w:r w:rsidRPr="00030958">
              <w:rPr>
                <w:sz w:val="18"/>
                <w:szCs w:val="20"/>
                <w:lang w:val="en-US"/>
              </w:rPr>
              <w:t>D62 + D63</w:t>
            </w:r>
          </w:p>
        </w:tc>
        <w:tc>
          <w:tcPr>
            <w:tcW w:w="462" w:type="pct"/>
            <w:tcBorders>
              <w:top w:val="nil"/>
              <w:left w:val="nil"/>
              <w:bottom w:val="dotted" w:sz="4" w:space="0" w:color="auto"/>
              <w:right w:val="dotted" w:sz="4" w:space="0" w:color="auto"/>
            </w:tcBorders>
            <w:shd w:val="clear" w:color="000000" w:fill="FFFFFF"/>
            <w:vAlign w:val="center"/>
            <w:hideMark/>
          </w:tcPr>
          <w:p w14:paraId="7EE37A6E" w14:textId="77777777" w:rsidR="009D6D4E" w:rsidRPr="00030958" w:rsidRDefault="009D6D4E" w:rsidP="00BF3B71">
            <w:pPr>
              <w:jc w:val="center"/>
              <w:rPr>
                <w:sz w:val="18"/>
                <w:szCs w:val="20"/>
                <w:lang w:val="en-US"/>
              </w:rPr>
            </w:pPr>
            <w:r w:rsidRPr="00030958">
              <w:rPr>
                <w:sz w:val="18"/>
                <w:szCs w:val="20"/>
                <w:lang w:val="en-US"/>
              </w:rPr>
              <w:t>559</w:t>
            </w:r>
          </w:p>
        </w:tc>
        <w:tc>
          <w:tcPr>
            <w:tcW w:w="462" w:type="pct"/>
            <w:tcBorders>
              <w:top w:val="nil"/>
              <w:left w:val="nil"/>
              <w:bottom w:val="dotted" w:sz="4" w:space="0" w:color="auto"/>
              <w:right w:val="dotted" w:sz="4" w:space="0" w:color="auto"/>
            </w:tcBorders>
            <w:shd w:val="clear" w:color="000000" w:fill="FFFFFF"/>
            <w:vAlign w:val="center"/>
            <w:hideMark/>
          </w:tcPr>
          <w:p w14:paraId="77DCBAD4" w14:textId="77777777" w:rsidR="009D6D4E" w:rsidRPr="00030958" w:rsidRDefault="009D6D4E" w:rsidP="00BF3B71">
            <w:pPr>
              <w:jc w:val="center"/>
              <w:rPr>
                <w:sz w:val="18"/>
                <w:szCs w:val="20"/>
                <w:lang w:val="en-US"/>
              </w:rPr>
            </w:pPr>
            <w:r w:rsidRPr="00030958">
              <w:rPr>
                <w:sz w:val="18"/>
                <w:szCs w:val="20"/>
                <w:lang w:val="en-US"/>
              </w:rPr>
              <w:t>600</w:t>
            </w:r>
          </w:p>
        </w:tc>
        <w:tc>
          <w:tcPr>
            <w:tcW w:w="462" w:type="pct"/>
            <w:tcBorders>
              <w:top w:val="nil"/>
              <w:left w:val="nil"/>
              <w:bottom w:val="dotted" w:sz="4" w:space="0" w:color="auto"/>
              <w:right w:val="dotted" w:sz="4" w:space="0" w:color="auto"/>
            </w:tcBorders>
            <w:shd w:val="clear" w:color="000000" w:fill="FFFFFF"/>
            <w:vAlign w:val="center"/>
            <w:hideMark/>
          </w:tcPr>
          <w:p w14:paraId="69F8545E" w14:textId="77777777" w:rsidR="009D6D4E" w:rsidRPr="00030958" w:rsidRDefault="009D6D4E" w:rsidP="00BF3B71">
            <w:pPr>
              <w:jc w:val="center"/>
              <w:rPr>
                <w:sz w:val="18"/>
                <w:szCs w:val="20"/>
                <w:lang w:val="en-US"/>
              </w:rPr>
            </w:pPr>
            <w:r w:rsidRPr="00030958">
              <w:rPr>
                <w:sz w:val="18"/>
                <w:szCs w:val="20"/>
                <w:lang w:val="en-US"/>
              </w:rPr>
              <w:t>632</w:t>
            </w:r>
          </w:p>
        </w:tc>
        <w:tc>
          <w:tcPr>
            <w:tcW w:w="462" w:type="pct"/>
            <w:tcBorders>
              <w:top w:val="nil"/>
              <w:left w:val="nil"/>
              <w:bottom w:val="dotted" w:sz="4" w:space="0" w:color="auto"/>
              <w:right w:val="dotted" w:sz="4" w:space="0" w:color="auto"/>
            </w:tcBorders>
            <w:shd w:val="clear" w:color="000000" w:fill="FFFFFF"/>
            <w:vAlign w:val="center"/>
            <w:hideMark/>
          </w:tcPr>
          <w:p w14:paraId="76C99600" w14:textId="77777777" w:rsidR="009D6D4E" w:rsidRPr="00030958" w:rsidRDefault="009D6D4E" w:rsidP="00BF3B71">
            <w:pPr>
              <w:jc w:val="center"/>
              <w:rPr>
                <w:sz w:val="18"/>
                <w:szCs w:val="20"/>
                <w:lang w:val="en-US"/>
              </w:rPr>
            </w:pPr>
            <w:r w:rsidRPr="00030958">
              <w:rPr>
                <w:sz w:val="18"/>
                <w:szCs w:val="20"/>
                <w:lang w:val="en-US"/>
              </w:rPr>
              <w:t>630</w:t>
            </w:r>
          </w:p>
        </w:tc>
        <w:tc>
          <w:tcPr>
            <w:tcW w:w="462" w:type="pct"/>
            <w:tcBorders>
              <w:top w:val="nil"/>
              <w:left w:val="nil"/>
              <w:bottom w:val="dotted" w:sz="4" w:space="0" w:color="auto"/>
              <w:right w:val="double" w:sz="6" w:space="0" w:color="auto"/>
            </w:tcBorders>
            <w:shd w:val="clear" w:color="000000" w:fill="FFFFFF"/>
            <w:vAlign w:val="center"/>
            <w:hideMark/>
          </w:tcPr>
          <w:p w14:paraId="2E8C87DF" w14:textId="77777777" w:rsidR="009D6D4E" w:rsidRPr="00030958" w:rsidRDefault="009D6D4E" w:rsidP="00BF3B71">
            <w:pPr>
              <w:jc w:val="center"/>
              <w:rPr>
                <w:sz w:val="18"/>
                <w:szCs w:val="20"/>
                <w:lang w:val="en-US"/>
              </w:rPr>
            </w:pPr>
            <w:r w:rsidRPr="00030958">
              <w:rPr>
                <w:sz w:val="18"/>
                <w:szCs w:val="20"/>
                <w:lang w:val="en-US"/>
              </w:rPr>
              <w:t>634</w:t>
            </w:r>
          </w:p>
        </w:tc>
      </w:tr>
      <w:tr w:rsidR="009D6D4E" w:rsidRPr="00030958" w14:paraId="2BCE43F5" w14:textId="77777777" w:rsidTr="00BF3B71">
        <w:trPr>
          <w:trHeight w:val="20"/>
        </w:trPr>
        <w:tc>
          <w:tcPr>
            <w:tcW w:w="2070" w:type="pct"/>
            <w:tcBorders>
              <w:top w:val="nil"/>
              <w:left w:val="double" w:sz="6" w:space="0" w:color="auto"/>
              <w:bottom w:val="dotted" w:sz="4" w:space="0" w:color="auto"/>
              <w:right w:val="nil"/>
            </w:tcBorders>
            <w:shd w:val="clear" w:color="000000" w:fill="FFFFFF"/>
            <w:vAlign w:val="center"/>
            <w:hideMark/>
          </w:tcPr>
          <w:p w14:paraId="59976399" w14:textId="77777777" w:rsidR="009D6D4E" w:rsidRPr="00030958" w:rsidRDefault="009D6D4E" w:rsidP="00BF3B71">
            <w:pPr>
              <w:rPr>
                <w:sz w:val="18"/>
                <w:szCs w:val="20"/>
                <w:lang w:val="en-US"/>
              </w:rPr>
            </w:pPr>
            <w:r w:rsidRPr="00030958">
              <w:rPr>
                <w:sz w:val="18"/>
                <w:szCs w:val="20"/>
                <w:lang w:val="en-US"/>
              </w:rPr>
              <w:t xml:space="preserve">18a. Transferet Sociale në Mallra </w:t>
            </w:r>
          </w:p>
        </w:tc>
        <w:tc>
          <w:tcPr>
            <w:tcW w:w="231" w:type="pct"/>
            <w:tcBorders>
              <w:top w:val="nil"/>
              <w:left w:val="nil"/>
              <w:bottom w:val="dotted" w:sz="4" w:space="0" w:color="auto"/>
              <w:right w:val="single" w:sz="8" w:space="0" w:color="auto"/>
            </w:tcBorders>
            <w:shd w:val="clear" w:color="000000" w:fill="FFFFFF"/>
            <w:vAlign w:val="center"/>
            <w:hideMark/>
          </w:tcPr>
          <w:p w14:paraId="1FD4BCC6" w14:textId="77777777" w:rsidR="009D6D4E" w:rsidRPr="00030958" w:rsidRDefault="009D6D4E" w:rsidP="00BF3B71">
            <w:pPr>
              <w:jc w:val="center"/>
              <w:rPr>
                <w:sz w:val="18"/>
                <w:szCs w:val="20"/>
                <w:lang w:val="en-US"/>
              </w:rPr>
            </w:pPr>
            <w:r w:rsidRPr="00030958">
              <w:rPr>
                <w:sz w:val="18"/>
                <w:szCs w:val="20"/>
                <w:lang w:val="en-US"/>
              </w:rPr>
              <w:t> </w:t>
            </w:r>
          </w:p>
        </w:tc>
        <w:tc>
          <w:tcPr>
            <w:tcW w:w="389" w:type="pct"/>
            <w:tcBorders>
              <w:top w:val="nil"/>
              <w:left w:val="nil"/>
              <w:bottom w:val="dotted" w:sz="4" w:space="0" w:color="auto"/>
              <w:right w:val="single" w:sz="8" w:space="0" w:color="auto"/>
            </w:tcBorders>
            <w:shd w:val="clear" w:color="000000" w:fill="FFFFFF"/>
            <w:vAlign w:val="center"/>
            <w:hideMark/>
          </w:tcPr>
          <w:p w14:paraId="3F5AC9C0" w14:textId="77777777" w:rsidR="009D6D4E" w:rsidRPr="00030958" w:rsidRDefault="009D6D4E" w:rsidP="00BF3B71">
            <w:pPr>
              <w:jc w:val="center"/>
              <w:rPr>
                <w:sz w:val="18"/>
                <w:szCs w:val="20"/>
                <w:lang w:val="en-US"/>
              </w:rPr>
            </w:pPr>
            <w:r w:rsidRPr="00030958">
              <w:rPr>
                <w:sz w:val="18"/>
                <w:szCs w:val="20"/>
                <w:lang w:val="en-US"/>
              </w:rPr>
              <w:t>P31 = D63</w:t>
            </w:r>
          </w:p>
        </w:tc>
        <w:tc>
          <w:tcPr>
            <w:tcW w:w="462" w:type="pct"/>
            <w:tcBorders>
              <w:top w:val="nil"/>
              <w:left w:val="nil"/>
              <w:bottom w:val="dotted" w:sz="4" w:space="0" w:color="auto"/>
              <w:right w:val="dotted" w:sz="4" w:space="0" w:color="auto"/>
            </w:tcBorders>
            <w:shd w:val="clear" w:color="000000" w:fill="FFFFFF"/>
            <w:vAlign w:val="center"/>
            <w:hideMark/>
          </w:tcPr>
          <w:p w14:paraId="18FAB214" w14:textId="77777777" w:rsidR="009D6D4E" w:rsidRPr="00030958" w:rsidRDefault="009D6D4E" w:rsidP="00BF3B71">
            <w:pPr>
              <w:jc w:val="center"/>
              <w:rPr>
                <w:sz w:val="18"/>
                <w:szCs w:val="20"/>
                <w:lang w:val="en-US"/>
              </w:rPr>
            </w:pPr>
            <w:r w:rsidRPr="00030958">
              <w:rPr>
                <w:sz w:val="18"/>
                <w:szCs w:val="20"/>
                <w:lang w:val="en-US"/>
              </w:rPr>
              <w:t>:</w:t>
            </w:r>
          </w:p>
        </w:tc>
        <w:tc>
          <w:tcPr>
            <w:tcW w:w="462" w:type="pct"/>
            <w:tcBorders>
              <w:top w:val="nil"/>
              <w:left w:val="nil"/>
              <w:bottom w:val="dotted" w:sz="4" w:space="0" w:color="auto"/>
              <w:right w:val="dotted" w:sz="4" w:space="0" w:color="auto"/>
            </w:tcBorders>
            <w:shd w:val="clear" w:color="000000" w:fill="FFFFFF"/>
            <w:vAlign w:val="center"/>
            <w:hideMark/>
          </w:tcPr>
          <w:p w14:paraId="648E6F3F" w14:textId="77777777" w:rsidR="009D6D4E" w:rsidRPr="00030958" w:rsidRDefault="009D6D4E" w:rsidP="00BF3B71">
            <w:pPr>
              <w:jc w:val="center"/>
              <w:rPr>
                <w:sz w:val="18"/>
                <w:szCs w:val="20"/>
                <w:lang w:val="en-US"/>
              </w:rPr>
            </w:pPr>
            <w:r w:rsidRPr="00030958">
              <w:rPr>
                <w:sz w:val="18"/>
                <w:szCs w:val="20"/>
                <w:lang w:val="en-US"/>
              </w:rPr>
              <w:t>:</w:t>
            </w:r>
          </w:p>
        </w:tc>
        <w:tc>
          <w:tcPr>
            <w:tcW w:w="462" w:type="pct"/>
            <w:tcBorders>
              <w:top w:val="nil"/>
              <w:left w:val="nil"/>
              <w:bottom w:val="dotted" w:sz="4" w:space="0" w:color="auto"/>
              <w:right w:val="dotted" w:sz="4" w:space="0" w:color="auto"/>
            </w:tcBorders>
            <w:shd w:val="clear" w:color="000000" w:fill="FFFFFF"/>
            <w:vAlign w:val="center"/>
            <w:hideMark/>
          </w:tcPr>
          <w:p w14:paraId="474EB6C0" w14:textId="77777777" w:rsidR="009D6D4E" w:rsidRPr="00030958" w:rsidRDefault="009D6D4E" w:rsidP="00BF3B71">
            <w:pPr>
              <w:jc w:val="center"/>
              <w:rPr>
                <w:sz w:val="18"/>
                <w:szCs w:val="20"/>
                <w:lang w:val="en-US"/>
              </w:rPr>
            </w:pPr>
            <w:r w:rsidRPr="00030958">
              <w:rPr>
                <w:sz w:val="18"/>
                <w:szCs w:val="20"/>
                <w:lang w:val="en-US"/>
              </w:rPr>
              <w:t>:</w:t>
            </w:r>
          </w:p>
        </w:tc>
        <w:tc>
          <w:tcPr>
            <w:tcW w:w="462" w:type="pct"/>
            <w:tcBorders>
              <w:top w:val="nil"/>
              <w:left w:val="nil"/>
              <w:bottom w:val="dotted" w:sz="4" w:space="0" w:color="auto"/>
              <w:right w:val="dotted" w:sz="4" w:space="0" w:color="auto"/>
            </w:tcBorders>
            <w:shd w:val="clear" w:color="000000" w:fill="FFFFFF"/>
            <w:vAlign w:val="center"/>
            <w:hideMark/>
          </w:tcPr>
          <w:p w14:paraId="31C5CF0C" w14:textId="77777777" w:rsidR="009D6D4E" w:rsidRPr="00030958" w:rsidRDefault="009D6D4E" w:rsidP="00BF3B71">
            <w:pPr>
              <w:jc w:val="center"/>
              <w:rPr>
                <w:sz w:val="18"/>
                <w:szCs w:val="20"/>
                <w:lang w:val="en-US"/>
              </w:rPr>
            </w:pPr>
            <w:r w:rsidRPr="00030958">
              <w:rPr>
                <w:sz w:val="18"/>
                <w:szCs w:val="20"/>
                <w:lang w:val="en-US"/>
              </w:rPr>
              <w:t>:</w:t>
            </w:r>
          </w:p>
        </w:tc>
        <w:tc>
          <w:tcPr>
            <w:tcW w:w="462" w:type="pct"/>
            <w:tcBorders>
              <w:top w:val="nil"/>
              <w:left w:val="nil"/>
              <w:bottom w:val="dotted" w:sz="4" w:space="0" w:color="auto"/>
              <w:right w:val="double" w:sz="6" w:space="0" w:color="auto"/>
            </w:tcBorders>
            <w:shd w:val="clear" w:color="000000" w:fill="FFFFFF"/>
            <w:vAlign w:val="center"/>
            <w:hideMark/>
          </w:tcPr>
          <w:p w14:paraId="0CA4DD66" w14:textId="77777777" w:rsidR="009D6D4E" w:rsidRPr="00030958" w:rsidRDefault="009D6D4E" w:rsidP="00BF3B71">
            <w:pPr>
              <w:jc w:val="center"/>
              <w:rPr>
                <w:sz w:val="18"/>
                <w:szCs w:val="20"/>
                <w:lang w:val="en-US"/>
              </w:rPr>
            </w:pPr>
            <w:r w:rsidRPr="00030958">
              <w:rPr>
                <w:sz w:val="18"/>
                <w:szCs w:val="20"/>
                <w:lang w:val="en-US"/>
              </w:rPr>
              <w:t>:</w:t>
            </w:r>
          </w:p>
        </w:tc>
      </w:tr>
      <w:tr w:rsidR="009D6D4E" w:rsidRPr="00030958" w14:paraId="7B0FF98D" w14:textId="77777777" w:rsidTr="00BF3B71">
        <w:trPr>
          <w:trHeight w:val="20"/>
        </w:trPr>
        <w:tc>
          <w:tcPr>
            <w:tcW w:w="2070" w:type="pct"/>
            <w:tcBorders>
              <w:top w:val="nil"/>
              <w:left w:val="double" w:sz="6" w:space="0" w:color="auto"/>
              <w:bottom w:val="dotted" w:sz="4" w:space="0" w:color="auto"/>
              <w:right w:val="nil"/>
            </w:tcBorders>
            <w:shd w:val="clear" w:color="000000" w:fill="FFFFFF"/>
            <w:vAlign w:val="center"/>
            <w:hideMark/>
          </w:tcPr>
          <w:p w14:paraId="2311E6CC" w14:textId="77777777" w:rsidR="009D6D4E" w:rsidRPr="00030958" w:rsidRDefault="009D6D4E" w:rsidP="00BF3B71">
            <w:pPr>
              <w:rPr>
                <w:sz w:val="18"/>
                <w:szCs w:val="20"/>
                <w:lang w:val="en-US"/>
              </w:rPr>
            </w:pPr>
            <w:r w:rsidRPr="00030958">
              <w:rPr>
                <w:sz w:val="18"/>
                <w:szCs w:val="20"/>
                <w:lang w:val="en-US"/>
              </w:rPr>
              <w:t>18b. Transferet Sociale përvecç në Mallra/2</w:t>
            </w:r>
          </w:p>
        </w:tc>
        <w:tc>
          <w:tcPr>
            <w:tcW w:w="231" w:type="pct"/>
            <w:tcBorders>
              <w:top w:val="nil"/>
              <w:left w:val="nil"/>
              <w:bottom w:val="dotted" w:sz="4" w:space="0" w:color="auto"/>
              <w:right w:val="single" w:sz="8" w:space="0" w:color="auto"/>
            </w:tcBorders>
            <w:shd w:val="clear" w:color="000000" w:fill="FFFFFF"/>
            <w:vAlign w:val="center"/>
            <w:hideMark/>
          </w:tcPr>
          <w:p w14:paraId="00CFDCF5" w14:textId="77777777" w:rsidR="009D6D4E" w:rsidRPr="00030958" w:rsidRDefault="009D6D4E" w:rsidP="00BF3B71">
            <w:pPr>
              <w:jc w:val="center"/>
              <w:rPr>
                <w:sz w:val="18"/>
                <w:szCs w:val="20"/>
                <w:lang w:val="en-US"/>
              </w:rPr>
            </w:pPr>
            <w:r w:rsidRPr="00030958">
              <w:rPr>
                <w:sz w:val="18"/>
                <w:szCs w:val="20"/>
                <w:lang w:val="en-US"/>
              </w:rPr>
              <w:t> </w:t>
            </w:r>
          </w:p>
        </w:tc>
        <w:tc>
          <w:tcPr>
            <w:tcW w:w="389" w:type="pct"/>
            <w:tcBorders>
              <w:top w:val="nil"/>
              <w:left w:val="nil"/>
              <w:bottom w:val="dotted" w:sz="4" w:space="0" w:color="auto"/>
              <w:right w:val="single" w:sz="8" w:space="0" w:color="auto"/>
            </w:tcBorders>
            <w:shd w:val="clear" w:color="000000" w:fill="FFFFFF"/>
            <w:vAlign w:val="center"/>
            <w:hideMark/>
          </w:tcPr>
          <w:p w14:paraId="415C4300" w14:textId="77777777" w:rsidR="009D6D4E" w:rsidRPr="00030958" w:rsidRDefault="009D6D4E" w:rsidP="00BF3B71">
            <w:pPr>
              <w:jc w:val="center"/>
              <w:rPr>
                <w:sz w:val="18"/>
                <w:szCs w:val="20"/>
                <w:lang w:val="en-US"/>
              </w:rPr>
            </w:pPr>
            <w:r w:rsidRPr="00030958">
              <w:rPr>
                <w:sz w:val="18"/>
                <w:szCs w:val="20"/>
                <w:lang w:val="en-US"/>
              </w:rPr>
              <w:t>D62</w:t>
            </w:r>
          </w:p>
        </w:tc>
        <w:tc>
          <w:tcPr>
            <w:tcW w:w="462" w:type="pct"/>
            <w:tcBorders>
              <w:top w:val="nil"/>
              <w:left w:val="nil"/>
              <w:bottom w:val="dotted" w:sz="4" w:space="0" w:color="auto"/>
              <w:right w:val="dotted" w:sz="4" w:space="0" w:color="auto"/>
            </w:tcBorders>
            <w:shd w:val="clear" w:color="000000" w:fill="FFFFFF"/>
            <w:vAlign w:val="center"/>
            <w:hideMark/>
          </w:tcPr>
          <w:p w14:paraId="0B831FFC" w14:textId="77777777" w:rsidR="009D6D4E" w:rsidRPr="00030958" w:rsidRDefault="009D6D4E" w:rsidP="00BF3B71">
            <w:pPr>
              <w:jc w:val="center"/>
              <w:rPr>
                <w:sz w:val="18"/>
                <w:szCs w:val="20"/>
                <w:lang w:val="en-US"/>
              </w:rPr>
            </w:pPr>
            <w:r w:rsidRPr="00030958">
              <w:rPr>
                <w:sz w:val="18"/>
                <w:szCs w:val="20"/>
                <w:lang w:val="en-US"/>
              </w:rPr>
              <w:t>559</w:t>
            </w:r>
          </w:p>
        </w:tc>
        <w:tc>
          <w:tcPr>
            <w:tcW w:w="462" w:type="pct"/>
            <w:tcBorders>
              <w:top w:val="nil"/>
              <w:left w:val="nil"/>
              <w:bottom w:val="dotted" w:sz="4" w:space="0" w:color="auto"/>
              <w:right w:val="dotted" w:sz="4" w:space="0" w:color="auto"/>
            </w:tcBorders>
            <w:shd w:val="clear" w:color="000000" w:fill="FFFFFF"/>
            <w:vAlign w:val="center"/>
            <w:hideMark/>
          </w:tcPr>
          <w:p w14:paraId="406EC257" w14:textId="77777777" w:rsidR="009D6D4E" w:rsidRPr="00030958" w:rsidRDefault="009D6D4E" w:rsidP="00BF3B71">
            <w:pPr>
              <w:jc w:val="center"/>
              <w:rPr>
                <w:sz w:val="18"/>
                <w:szCs w:val="20"/>
                <w:lang w:val="en-US"/>
              </w:rPr>
            </w:pPr>
            <w:r w:rsidRPr="00030958">
              <w:rPr>
                <w:sz w:val="18"/>
                <w:szCs w:val="20"/>
                <w:lang w:val="en-US"/>
              </w:rPr>
              <w:t>600</w:t>
            </w:r>
          </w:p>
        </w:tc>
        <w:tc>
          <w:tcPr>
            <w:tcW w:w="462" w:type="pct"/>
            <w:tcBorders>
              <w:top w:val="nil"/>
              <w:left w:val="nil"/>
              <w:bottom w:val="dotted" w:sz="4" w:space="0" w:color="auto"/>
              <w:right w:val="dotted" w:sz="4" w:space="0" w:color="auto"/>
            </w:tcBorders>
            <w:shd w:val="clear" w:color="000000" w:fill="FFFFFF"/>
            <w:vAlign w:val="center"/>
            <w:hideMark/>
          </w:tcPr>
          <w:p w14:paraId="74225B7E" w14:textId="77777777" w:rsidR="009D6D4E" w:rsidRPr="00030958" w:rsidRDefault="009D6D4E" w:rsidP="00BF3B71">
            <w:pPr>
              <w:jc w:val="center"/>
              <w:rPr>
                <w:sz w:val="18"/>
                <w:szCs w:val="20"/>
                <w:lang w:val="en-US"/>
              </w:rPr>
            </w:pPr>
            <w:r w:rsidRPr="00030958">
              <w:rPr>
                <w:sz w:val="18"/>
                <w:szCs w:val="20"/>
                <w:lang w:val="en-US"/>
              </w:rPr>
              <w:t>632</w:t>
            </w:r>
          </w:p>
        </w:tc>
        <w:tc>
          <w:tcPr>
            <w:tcW w:w="462" w:type="pct"/>
            <w:tcBorders>
              <w:top w:val="nil"/>
              <w:left w:val="nil"/>
              <w:bottom w:val="dotted" w:sz="4" w:space="0" w:color="auto"/>
              <w:right w:val="dotted" w:sz="4" w:space="0" w:color="auto"/>
            </w:tcBorders>
            <w:shd w:val="clear" w:color="000000" w:fill="FFFFFF"/>
            <w:vAlign w:val="center"/>
            <w:hideMark/>
          </w:tcPr>
          <w:p w14:paraId="651CF372" w14:textId="77777777" w:rsidR="009D6D4E" w:rsidRPr="00030958" w:rsidRDefault="009D6D4E" w:rsidP="00BF3B71">
            <w:pPr>
              <w:jc w:val="center"/>
              <w:rPr>
                <w:sz w:val="18"/>
                <w:szCs w:val="20"/>
                <w:lang w:val="en-US"/>
              </w:rPr>
            </w:pPr>
            <w:r w:rsidRPr="00030958">
              <w:rPr>
                <w:sz w:val="18"/>
                <w:szCs w:val="20"/>
                <w:lang w:val="en-US"/>
              </w:rPr>
              <w:t>630</w:t>
            </w:r>
          </w:p>
        </w:tc>
        <w:tc>
          <w:tcPr>
            <w:tcW w:w="462" w:type="pct"/>
            <w:tcBorders>
              <w:top w:val="nil"/>
              <w:left w:val="nil"/>
              <w:bottom w:val="dotted" w:sz="4" w:space="0" w:color="auto"/>
              <w:right w:val="double" w:sz="6" w:space="0" w:color="auto"/>
            </w:tcBorders>
            <w:shd w:val="clear" w:color="000000" w:fill="FFFFFF"/>
            <w:vAlign w:val="center"/>
            <w:hideMark/>
          </w:tcPr>
          <w:p w14:paraId="22B4543A" w14:textId="77777777" w:rsidR="009D6D4E" w:rsidRPr="00030958" w:rsidRDefault="009D6D4E" w:rsidP="00BF3B71">
            <w:pPr>
              <w:jc w:val="center"/>
              <w:rPr>
                <w:sz w:val="18"/>
                <w:szCs w:val="20"/>
                <w:lang w:val="en-US"/>
              </w:rPr>
            </w:pPr>
            <w:r w:rsidRPr="00030958">
              <w:rPr>
                <w:sz w:val="18"/>
                <w:szCs w:val="20"/>
                <w:lang w:val="en-US"/>
              </w:rPr>
              <w:t>634</w:t>
            </w:r>
          </w:p>
        </w:tc>
      </w:tr>
      <w:tr w:rsidR="009D6D4E" w:rsidRPr="00030958" w14:paraId="60EFFDE0" w14:textId="77777777" w:rsidTr="00BF3B71">
        <w:trPr>
          <w:trHeight w:val="20"/>
        </w:trPr>
        <w:tc>
          <w:tcPr>
            <w:tcW w:w="2070" w:type="pct"/>
            <w:tcBorders>
              <w:top w:val="nil"/>
              <w:left w:val="double" w:sz="6" w:space="0" w:color="auto"/>
              <w:bottom w:val="dotted" w:sz="4" w:space="0" w:color="auto"/>
              <w:right w:val="nil"/>
            </w:tcBorders>
            <w:shd w:val="clear" w:color="000000" w:fill="FFFFFF"/>
            <w:vAlign w:val="center"/>
            <w:hideMark/>
          </w:tcPr>
          <w:p w14:paraId="2EE5972D" w14:textId="77777777" w:rsidR="009D6D4E" w:rsidRPr="00030958" w:rsidRDefault="009D6D4E" w:rsidP="00BF3B71">
            <w:pPr>
              <w:rPr>
                <w:sz w:val="18"/>
                <w:szCs w:val="20"/>
                <w:lang w:val="en-US"/>
              </w:rPr>
            </w:pPr>
            <w:r w:rsidRPr="00030958">
              <w:rPr>
                <w:sz w:val="18"/>
                <w:szCs w:val="20"/>
                <w:lang w:val="en-US"/>
              </w:rPr>
              <w:t xml:space="preserve">19 = 9. Shpenzimet e Interesit (përfshirë. FISIM) </w:t>
            </w:r>
          </w:p>
        </w:tc>
        <w:tc>
          <w:tcPr>
            <w:tcW w:w="231" w:type="pct"/>
            <w:tcBorders>
              <w:top w:val="nil"/>
              <w:left w:val="nil"/>
              <w:bottom w:val="dotted" w:sz="4" w:space="0" w:color="auto"/>
              <w:right w:val="single" w:sz="8" w:space="0" w:color="auto"/>
            </w:tcBorders>
            <w:shd w:val="clear" w:color="000000" w:fill="FFFFFF"/>
            <w:vAlign w:val="center"/>
            <w:hideMark/>
          </w:tcPr>
          <w:p w14:paraId="38E5640D" w14:textId="77777777" w:rsidR="009D6D4E" w:rsidRPr="00030958" w:rsidRDefault="009D6D4E" w:rsidP="00BF3B71">
            <w:pPr>
              <w:jc w:val="center"/>
              <w:rPr>
                <w:sz w:val="18"/>
                <w:szCs w:val="20"/>
                <w:lang w:val="en-US"/>
              </w:rPr>
            </w:pPr>
            <w:r w:rsidRPr="00030958">
              <w:rPr>
                <w:sz w:val="18"/>
                <w:szCs w:val="20"/>
                <w:lang w:val="en-US"/>
              </w:rPr>
              <w:t> </w:t>
            </w:r>
          </w:p>
        </w:tc>
        <w:tc>
          <w:tcPr>
            <w:tcW w:w="389" w:type="pct"/>
            <w:tcBorders>
              <w:top w:val="nil"/>
              <w:left w:val="nil"/>
              <w:bottom w:val="dotted" w:sz="4" w:space="0" w:color="auto"/>
              <w:right w:val="single" w:sz="8" w:space="0" w:color="auto"/>
            </w:tcBorders>
            <w:shd w:val="clear" w:color="000000" w:fill="FFFFFF"/>
            <w:vAlign w:val="center"/>
            <w:hideMark/>
          </w:tcPr>
          <w:p w14:paraId="533C243B" w14:textId="77777777" w:rsidR="009D6D4E" w:rsidRPr="00030958" w:rsidRDefault="009D6D4E" w:rsidP="00BF3B71">
            <w:pPr>
              <w:jc w:val="center"/>
              <w:rPr>
                <w:sz w:val="18"/>
                <w:szCs w:val="20"/>
                <w:lang w:val="en-US"/>
              </w:rPr>
            </w:pPr>
            <w:r w:rsidRPr="00030958">
              <w:rPr>
                <w:sz w:val="18"/>
                <w:szCs w:val="20"/>
                <w:lang w:val="en-US"/>
              </w:rPr>
              <w:t>EDP.D41 + FISIM</w:t>
            </w:r>
          </w:p>
        </w:tc>
        <w:tc>
          <w:tcPr>
            <w:tcW w:w="462" w:type="pct"/>
            <w:tcBorders>
              <w:top w:val="nil"/>
              <w:left w:val="nil"/>
              <w:bottom w:val="dotted" w:sz="4" w:space="0" w:color="auto"/>
              <w:right w:val="dotted" w:sz="4" w:space="0" w:color="auto"/>
            </w:tcBorders>
            <w:shd w:val="clear" w:color="000000" w:fill="FFFFFF"/>
            <w:vAlign w:val="center"/>
            <w:hideMark/>
          </w:tcPr>
          <w:p w14:paraId="4546DFA6" w14:textId="77777777" w:rsidR="009D6D4E" w:rsidRPr="00030958" w:rsidRDefault="009D6D4E" w:rsidP="00BF3B71">
            <w:pPr>
              <w:jc w:val="center"/>
              <w:rPr>
                <w:sz w:val="18"/>
                <w:szCs w:val="20"/>
                <w:lang w:val="en-US"/>
              </w:rPr>
            </w:pPr>
            <w:r w:rsidRPr="00030958">
              <w:rPr>
                <w:sz w:val="18"/>
                <w:szCs w:val="20"/>
                <w:lang w:val="en-US"/>
              </w:rPr>
              <w:t>19</w:t>
            </w:r>
          </w:p>
        </w:tc>
        <w:tc>
          <w:tcPr>
            <w:tcW w:w="462" w:type="pct"/>
            <w:tcBorders>
              <w:top w:val="nil"/>
              <w:left w:val="nil"/>
              <w:bottom w:val="dotted" w:sz="4" w:space="0" w:color="auto"/>
              <w:right w:val="dotted" w:sz="4" w:space="0" w:color="auto"/>
            </w:tcBorders>
            <w:shd w:val="clear" w:color="000000" w:fill="FFFFFF"/>
            <w:vAlign w:val="center"/>
            <w:hideMark/>
          </w:tcPr>
          <w:p w14:paraId="4AFEB294" w14:textId="77777777" w:rsidR="009D6D4E" w:rsidRPr="00030958" w:rsidRDefault="009D6D4E" w:rsidP="00BF3B71">
            <w:pPr>
              <w:jc w:val="center"/>
              <w:rPr>
                <w:sz w:val="18"/>
                <w:szCs w:val="20"/>
                <w:lang w:val="en-US"/>
              </w:rPr>
            </w:pPr>
            <w:r w:rsidRPr="00030958">
              <w:rPr>
                <w:sz w:val="18"/>
                <w:szCs w:val="20"/>
                <w:lang w:val="en-US"/>
              </w:rPr>
              <w:t>28</w:t>
            </w:r>
          </w:p>
        </w:tc>
        <w:tc>
          <w:tcPr>
            <w:tcW w:w="462" w:type="pct"/>
            <w:tcBorders>
              <w:top w:val="nil"/>
              <w:left w:val="nil"/>
              <w:bottom w:val="dotted" w:sz="4" w:space="0" w:color="auto"/>
              <w:right w:val="dotted" w:sz="4" w:space="0" w:color="auto"/>
            </w:tcBorders>
            <w:shd w:val="clear" w:color="000000" w:fill="FFFFFF"/>
            <w:vAlign w:val="center"/>
            <w:hideMark/>
          </w:tcPr>
          <w:p w14:paraId="2815B85A" w14:textId="77777777" w:rsidR="009D6D4E" w:rsidRPr="00030958" w:rsidRDefault="009D6D4E" w:rsidP="00BF3B71">
            <w:pPr>
              <w:jc w:val="center"/>
              <w:rPr>
                <w:sz w:val="18"/>
                <w:szCs w:val="20"/>
                <w:lang w:val="en-US"/>
              </w:rPr>
            </w:pPr>
            <w:r w:rsidRPr="00030958">
              <w:rPr>
                <w:sz w:val="18"/>
                <w:szCs w:val="20"/>
                <w:lang w:val="en-US"/>
              </w:rPr>
              <w:t>30</w:t>
            </w:r>
          </w:p>
        </w:tc>
        <w:tc>
          <w:tcPr>
            <w:tcW w:w="462" w:type="pct"/>
            <w:tcBorders>
              <w:top w:val="nil"/>
              <w:left w:val="nil"/>
              <w:bottom w:val="dotted" w:sz="4" w:space="0" w:color="auto"/>
              <w:right w:val="dotted" w:sz="4" w:space="0" w:color="auto"/>
            </w:tcBorders>
            <w:shd w:val="clear" w:color="000000" w:fill="FFFFFF"/>
            <w:vAlign w:val="center"/>
            <w:hideMark/>
          </w:tcPr>
          <w:p w14:paraId="644E0D57" w14:textId="77777777" w:rsidR="009D6D4E" w:rsidRPr="00030958" w:rsidRDefault="009D6D4E" w:rsidP="00BF3B71">
            <w:pPr>
              <w:jc w:val="center"/>
              <w:rPr>
                <w:sz w:val="18"/>
                <w:szCs w:val="20"/>
                <w:lang w:val="en-US"/>
              </w:rPr>
            </w:pPr>
            <w:r w:rsidRPr="00030958">
              <w:rPr>
                <w:sz w:val="18"/>
                <w:szCs w:val="20"/>
                <w:lang w:val="en-US"/>
              </w:rPr>
              <w:t>37</w:t>
            </w:r>
          </w:p>
        </w:tc>
        <w:tc>
          <w:tcPr>
            <w:tcW w:w="462" w:type="pct"/>
            <w:tcBorders>
              <w:top w:val="nil"/>
              <w:left w:val="nil"/>
              <w:bottom w:val="dotted" w:sz="4" w:space="0" w:color="auto"/>
              <w:right w:val="double" w:sz="6" w:space="0" w:color="auto"/>
            </w:tcBorders>
            <w:shd w:val="clear" w:color="000000" w:fill="FFFFFF"/>
            <w:vAlign w:val="center"/>
            <w:hideMark/>
          </w:tcPr>
          <w:p w14:paraId="2162A8BC" w14:textId="77777777" w:rsidR="009D6D4E" w:rsidRPr="00030958" w:rsidRDefault="009D6D4E" w:rsidP="00BF3B71">
            <w:pPr>
              <w:jc w:val="center"/>
              <w:rPr>
                <w:sz w:val="18"/>
                <w:szCs w:val="20"/>
                <w:lang w:val="en-US"/>
              </w:rPr>
            </w:pPr>
            <w:r w:rsidRPr="00030958">
              <w:rPr>
                <w:sz w:val="18"/>
                <w:szCs w:val="20"/>
                <w:lang w:val="en-US"/>
              </w:rPr>
              <w:t>42</w:t>
            </w:r>
          </w:p>
        </w:tc>
      </w:tr>
      <w:tr w:rsidR="009D6D4E" w:rsidRPr="00030958" w14:paraId="6F90F395" w14:textId="77777777" w:rsidTr="00BF3B71">
        <w:trPr>
          <w:trHeight w:val="20"/>
        </w:trPr>
        <w:tc>
          <w:tcPr>
            <w:tcW w:w="2070" w:type="pct"/>
            <w:tcBorders>
              <w:top w:val="nil"/>
              <w:left w:val="double" w:sz="6" w:space="0" w:color="auto"/>
              <w:bottom w:val="dotted" w:sz="4" w:space="0" w:color="auto"/>
              <w:right w:val="nil"/>
            </w:tcBorders>
            <w:shd w:val="clear" w:color="000000" w:fill="FFFFFF"/>
            <w:vAlign w:val="center"/>
            <w:hideMark/>
          </w:tcPr>
          <w:p w14:paraId="71EB6273" w14:textId="77777777" w:rsidR="009D6D4E" w:rsidRPr="00030958" w:rsidRDefault="009D6D4E" w:rsidP="00BF3B71">
            <w:pPr>
              <w:rPr>
                <w:sz w:val="18"/>
                <w:szCs w:val="20"/>
                <w:lang w:val="en-US"/>
              </w:rPr>
            </w:pPr>
            <w:r w:rsidRPr="00030958">
              <w:rPr>
                <w:sz w:val="18"/>
                <w:szCs w:val="20"/>
                <w:lang w:val="en-US"/>
              </w:rPr>
              <w:t>20. Subvencionet</w:t>
            </w:r>
          </w:p>
        </w:tc>
        <w:tc>
          <w:tcPr>
            <w:tcW w:w="231" w:type="pct"/>
            <w:tcBorders>
              <w:top w:val="nil"/>
              <w:left w:val="nil"/>
              <w:bottom w:val="dotted" w:sz="4" w:space="0" w:color="auto"/>
              <w:right w:val="single" w:sz="8" w:space="0" w:color="auto"/>
            </w:tcBorders>
            <w:shd w:val="clear" w:color="000000" w:fill="FFFFFF"/>
            <w:vAlign w:val="center"/>
            <w:hideMark/>
          </w:tcPr>
          <w:p w14:paraId="6E2CBB14" w14:textId="77777777" w:rsidR="009D6D4E" w:rsidRPr="00030958" w:rsidRDefault="009D6D4E" w:rsidP="00BF3B71">
            <w:pPr>
              <w:jc w:val="center"/>
              <w:rPr>
                <w:sz w:val="18"/>
                <w:szCs w:val="20"/>
                <w:lang w:val="en-US"/>
              </w:rPr>
            </w:pPr>
            <w:r w:rsidRPr="00030958">
              <w:rPr>
                <w:sz w:val="18"/>
                <w:szCs w:val="20"/>
                <w:lang w:val="en-US"/>
              </w:rPr>
              <w:t> </w:t>
            </w:r>
          </w:p>
        </w:tc>
        <w:tc>
          <w:tcPr>
            <w:tcW w:w="389" w:type="pct"/>
            <w:tcBorders>
              <w:top w:val="nil"/>
              <w:left w:val="nil"/>
              <w:bottom w:val="dotted" w:sz="4" w:space="0" w:color="auto"/>
              <w:right w:val="single" w:sz="8" w:space="0" w:color="auto"/>
            </w:tcBorders>
            <w:shd w:val="clear" w:color="000000" w:fill="FFFFFF"/>
            <w:vAlign w:val="center"/>
            <w:hideMark/>
          </w:tcPr>
          <w:p w14:paraId="4511DE49" w14:textId="77777777" w:rsidR="009D6D4E" w:rsidRPr="00030958" w:rsidRDefault="009D6D4E" w:rsidP="00BF3B71">
            <w:pPr>
              <w:jc w:val="center"/>
              <w:rPr>
                <w:sz w:val="18"/>
                <w:szCs w:val="20"/>
                <w:lang w:val="en-US"/>
              </w:rPr>
            </w:pPr>
            <w:r w:rsidRPr="00030958">
              <w:rPr>
                <w:sz w:val="18"/>
                <w:szCs w:val="20"/>
                <w:lang w:val="en-US"/>
              </w:rPr>
              <w:t>D3</w:t>
            </w:r>
          </w:p>
        </w:tc>
        <w:tc>
          <w:tcPr>
            <w:tcW w:w="462" w:type="pct"/>
            <w:tcBorders>
              <w:top w:val="nil"/>
              <w:left w:val="nil"/>
              <w:bottom w:val="dotted" w:sz="4" w:space="0" w:color="auto"/>
              <w:right w:val="dotted" w:sz="4" w:space="0" w:color="auto"/>
            </w:tcBorders>
            <w:shd w:val="clear" w:color="000000" w:fill="FFFFFF"/>
            <w:vAlign w:val="center"/>
            <w:hideMark/>
          </w:tcPr>
          <w:p w14:paraId="59895F46" w14:textId="77777777" w:rsidR="009D6D4E" w:rsidRPr="00030958" w:rsidRDefault="009D6D4E" w:rsidP="00BF3B71">
            <w:pPr>
              <w:jc w:val="center"/>
              <w:rPr>
                <w:sz w:val="18"/>
                <w:szCs w:val="20"/>
                <w:lang w:val="en-US"/>
              </w:rPr>
            </w:pPr>
            <w:r w:rsidRPr="00030958">
              <w:rPr>
                <w:sz w:val="18"/>
                <w:szCs w:val="20"/>
                <w:lang w:val="en-US"/>
              </w:rPr>
              <w:t>:</w:t>
            </w:r>
          </w:p>
        </w:tc>
        <w:tc>
          <w:tcPr>
            <w:tcW w:w="462" w:type="pct"/>
            <w:tcBorders>
              <w:top w:val="nil"/>
              <w:left w:val="nil"/>
              <w:bottom w:val="dotted" w:sz="4" w:space="0" w:color="auto"/>
              <w:right w:val="dotted" w:sz="4" w:space="0" w:color="auto"/>
            </w:tcBorders>
            <w:shd w:val="clear" w:color="000000" w:fill="FFFFFF"/>
            <w:vAlign w:val="center"/>
            <w:hideMark/>
          </w:tcPr>
          <w:p w14:paraId="0618E895" w14:textId="77777777" w:rsidR="009D6D4E" w:rsidRPr="00030958" w:rsidRDefault="009D6D4E" w:rsidP="00BF3B71">
            <w:pPr>
              <w:jc w:val="center"/>
              <w:rPr>
                <w:sz w:val="18"/>
                <w:szCs w:val="20"/>
                <w:lang w:val="en-US"/>
              </w:rPr>
            </w:pPr>
            <w:r w:rsidRPr="00030958">
              <w:rPr>
                <w:sz w:val="18"/>
                <w:szCs w:val="20"/>
                <w:lang w:val="en-US"/>
              </w:rPr>
              <w:t>:</w:t>
            </w:r>
          </w:p>
        </w:tc>
        <w:tc>
          <w:tcPr>
            <w:tcW w:w="462" w:type="pct"/>
            <w:tcBorders>
              <w:top w:val="nil"/>
              <w:left w:val="nil"/>
              <w:bottom w:val="dotted" w:sz="4" w:space="0" w:color="auto"/>
              <w:right w:val="dotted" w:sz="4" w:space="0" w:color="auto"/>
            </w:tcBorders>
            <w:shd w:val="clear" w:color="000000" w:fill="FFFFFF"/>
            <w:vAlign w:val="center"/>
            <w:hideMark/>
          </w:tcPr>
          <w:p w14:paraId="049F620A" w14:textId="77777777" w:rsidR="009D6D4E" w:rsidRPr="00030958" w:rsidRDefault="009D6D4E" w:rsidP="00BF3B71">
            <w:pPr>
              <w:jc w:val="center"/>
              <w:rPr>
                <w:sz w:val="18"/>
                <w:szCs w:val="20"/>
                <w:lang w:val="en-US"/>
              </w:rPr>
            </w:pPr>
            <w:r w:rsidRPr="00030958">
              <w:rPr>
                <w:sz w:val="18"/>
                <w:szCs w:val="20"/>
                <w:lang w:val="en-US"/>
              </w:rPr>
              <w:t>:</w:t>
            </w:r>
          </w:p>
        </w:tc>
        <w:tc>
          <w:tcPr>
            <w:tcW w:w="462" w:type="pct"/>
            <w:tcBorders>
              <w:top w:val="nil"/>
              <w:left w:val="nil"/>
              <w:bottom w:val="dotted" w:sz="4" w:space="0" w:color="auto"/>
              <w:right w:val="dotted" w:sz="4" w:space="0" w:color="auto"/>
            </w:tcBorders>
            <w:shd w:val="clear" w:color="000000" w:fill="FFFFFF"/>
            <w:vAlign w:val="center"/>
            <w:hideMark/>
          </w:tcPr>
          <w:p w14:paraId="7180DF2A" w14:textId="77777777" w:rsidR="009D6D4E" w:rsidRPr="00030958" w:rsidRDefault="009D6D4E" w:rsidP="00BF3B71">
            <w:pPr>
              <w:jc w:val="center"/>
              <w:rPr>
                <w:sz w:val="18"/>
                <w:szCs w:val="20"/>
                <w:lang w:val="en-US"/>
              </w:rPr>
            </w:pPr>
            <w:r w:rsidRPr="00030958">
              <w:rPr>
                <w:sz w:val="18"/>
                <w:szCs w:val="20"/>
                <w:lang w:val="en-US"/>
              </w:rPr>
              <w:t>:</w:t>
            </w:r>
          </w:p>
        </w:tc>
        <w:tc>
          <w:tcPr>
            <w:tcW w:w="462" w:type="pct"/>
            <w:tcBorders>
              <w:top w:val="nil"/>
              <w:left w:val="nil"/>
              <w:bottom w:val="dotted" w:sz="4" w:space="0" w:color="auto"/>
              <w:right w:val="double" w:sz="6" w:space="0" w:color="auto"/>
            </w:tcBorders>
            <w:shd w:val="clear" w:color="000000" w:fill="FFFFFF"/>
            <w:vAlign w:val="center"/>
            <w:hideMark/>
          </w:tcPr>
          <w:p w14:paraId="77FE3DAC" w14:textId="77777777" w:rsidR="009D6D4E" w:rsidRPr="00030958" w:rsidRDefault="009D6D4E" w:rsidP="00BF3B71">
            <w:pPr>
              <w:jc w:val="center"/>
              <w:rPr>
                <w:sz w:val="18"/>
                <w:szCs w:val="20"/>
                <w:lang w:val="en-US"/>
              </w:rPr>
            </w:pPr>
            <w:r w:rsidRPr="00030958">
              <w:rPr>
                <w:sz w:val="18"/>
                <w:szCs w:val="20"/>
                <w:lang w:val="en-US"/>
              </w:rPr>
              <w:t>:</w:t>
            </w:r>
          </w:p>
        </w:tc>
      </w:tr>
      <w:tr w:rsidR="009D6D4E" w:rsidRPr="00030958" w14:paraId="111C62F3" w14:textId="77777777" w:rsidTr="00BF3B71">
        <w:trPr>
          <w:trHeight w:val="20"/>
        </w:trPr>
        <w:tc>
          <w:tcPr>
            <w:tcW w:w="2070" w:type="pct"/>
            <w:tcBorders>
              <w:top w:val="nil"/>
              <w:left w:val="double" w:sz="6" w:space="0" w:color="auto"/>
              <w:bottom w:val="dotted" w:sz="4" w:space="0" w:color="auto"/>
              <w:right w:val="nil"/>
            </w:tcBorders>
            <w:shd w:val="clear" w:color="000000" w:fill="FFFFFF"/>
            <w:vAlign w:val="center"/>
            <w:hideMark/>
          </w:tcPr>
          <w:p w14:paraId="26DD7DF6" w14:textId="77777777" w:rsidR="009D6D4E" w:rsidRPr="00030958" w:rsidRDefault="009D6D4E" w:rsidP="00BF3B71">
            <w:pPr>
              <w:rPr>
                <w:sz w:val="18"/>
                <w:szCs w:val="20"/>
                <w:lang w:val="en-US"/>
              </w:rPr>
            </w:pPr>
            <w:r w:rsidRPr="00030958">
              <w:rPr>
                <w:sz w:val="18"/>
                <w:szCs w:val="20"/>
                <w:lang w:val="en-US"/>
              </w:rPr>
              <w:t xml:space="preserve">21. Formimi bruto I Kapitalit Fiks </w:t>
            </w:r>
          </w:p>
        </w:tc>
        <w:tc>
          <w:tcPr>
            <w:tcW w:w="231" w:type="pct"/>
            <w:tcBorders>
              <w:top w:val="nil"/>
              <w:left w:val="nil"/>
              <w:bottom w:val="dotted" w:sz="4" w:space="0" w:color="auto"/>
              <w:right w:val="single" w:sz="8" w:space="0" w:color="auto"/>
            </w:tcBorders>
            <w:shd w:val="clear" w:color="000000" w:fill="FFFFFF"/>
            <w:vAlign w:val="center"/>
            <w:hideMark/>
          </w:tcPr>
          <w:p w14:paraId="1A361053" w14:textId="77777777" w:rsidR="009D6D4E" w:rsidRPr="00030958" w:rsidRDefault="009D6D4E" w:rsidP="00BF3B71">
            <w:pPr>
              <w:jc w:val="center"/>
              <w:rPr>
                <w:sz w:val="18"/>
                <w:szCs w:val="20"/>
                <w:lang w:val="en-US"/>
              </w:rPr>
            </w:pPr>
            <w:r w:rsidRPr="00030958">
              <w:rPr>
                <w:sz w:val="18"/>
                <w:szCs w:val="20"/>
                <w:lang w:val="en-US"/>
              </w:rPr>
              <w:t> </w:t>
            </w:r>
          </w:p>
        </w:tc>
        <w:tc>
          <w:tcPr>
            <w:tcW w:w="389" w:type="pct"/>
            <w:tcBorders>
              <w:top w:val="nil"/>
              <w:left w:val="nil"/>
              <w:bottom w:val="dotted" w:sz="4" w:space="0" w:color="auto"/>
              <w:right w:val="single" w:sz="8" w:space="0" w:color="auto"/>
            </w:tcBorders>
            <w:shd w:val="clear" w:color="000000" w:fill="FFFFFF"/>
            <w:vAlign w:val="center"/>
            <w:hideMark/>
          </w:tcPr>
          <w:p w14:paraId="271CFE58" w14:textId="77777777" w:rsidR="009D6D4E" w:rsidRPr="00030958" w:rsidRDefault="009D6D4E" w:rsidP="00BF3B71">
            <w:pPr>
              <w:jc w:val="center"/>
              <w:rPr>
                <w:sz w:val="18"/>
                <w:szCs w:val="20"/>
                <w:lang w:val="en-US"/>
              </w:rPr>
            </w:pPr>
            <w:r w:rsidRPr="00030958">
              <w:rPr>
                <w:sz w:val="18"/>
                <w:szCs w:val="20"/>
                <w:lang w:val="en-US"/>
              </w:rPr>
              <w:t>P51</w:t>
            </w:r>
          </w:p>
        </w:tc>
        <w:tc>
          <w:tcPr>
            <w:tcW w:w="462" w:type="pct"/>
            <w:tcBorders>
              <w:top w:val="nil"/>
              <w:left w:val="nil"/>
              <w:bottom w:val="dotted" w:sz="4" w:space="0" w:color="auto"/>
              <w:right w:val="dotted" w:sz="4" w:space="0" w:color="auto"/>
            </w:tcBorders>
            <w:shd w:val="clear" w:color="000000" w:fill="FFFFFF"/>
            <w:vAlign w:val="center"/>
            <w:hideMark/>
          </w:tcPr>
          <w:p w14:paraId="1E5646AB" w14:textId="77777777" w:rsidR="009D6D4E" w:rsidRPr="00030958" w:rsidRDefault="009D6D4E" w:rsidP="00BF3B71">
            <w:pPr>
              <w:jc w:val="center"/>
              <w:rPr>
                <w:sz w:val="18"/>
                <w:szCs w:val="20"/>
                <w:lang w:val="en-US"/>
              </w:rPr>
            </w:pPr>
            <w:r w:rsidRPr="00030958">
              <w:rPr>
                <w:sz w:val="18"/>
                <w:szCs w:val="20"/>
                <w:lang w:val="en-US"/>
              </w:rPr>
              <w:t>533</w:t>
            </w:r>
          </w:p>
        </w:tc>
        <w:tc>
          <w:tcPr>
            <w:tcW w:w="462" w:type="pct"/>
            <w:tcBorders>
              <w:top w:val="nil"/>
              <w:left w:val="nil"/>
              <w:bottom w:val="dotted" w:sz="4" w:space="0" w:color="auto"/>
              <w:right w:val="dotted" w:sz="4" w:space="0" w:color="auto"/>
            </w:tcBorders>
            <w:shd w:val="clear" w:color="000000" w:fill="FFFFFF"/>
            <w:vAlign w:val="center"/>
            <w:hideMark/>
          </w:tcPr>
          <w:p w14:paraId="6EE1D9A5" w14:textId="77777777" w:rsidR="009D6D4E" w:rsidRPr="00030958" w:rsidRDefault="009D6D4E" w:rsidP="00BF3B71">
            <w:pPr>
              <w:jc w:val="center"/>
              <w:rPr>
                <w:sz w:val="18"/>
                <w:szCs w:val="20"/>
                <w:lang w:val="en-US"/>
              </w:rPr>
            </w:pPr>
            <w:r w:rsidRPr="00030958">
              <w:rPr>
                <w:sz w:val="18"/>
                <w:szCs w:val="20"/>
                <w:lang w:val="en-US"/>
              </w:rPr>
              <w:t>789</w:t>
            </w:r>
          </w:p>
        </w:tc>
        <w:tc>
          <w:tcPr>
            <w:tcW w:w="462" w:type="pct"/>
            <w:tcBorders>
              <w:top w:val="nil"/>
              <w:left w:val="nil"/>
              <w:bottom w:val="dotted" w:sz="4" w:space="0" w:color="auto"/>
              <w:right w:val="dotted" w:sz="4" w:space="0" w:color="auto"/>
            </w:tcBorders>
            <w:shd w:val="clear" w:color="000000" w:fill="FFFFFF"/>
            <w:vAlign w:val="center"/>
            <w:hideMark/>
          </w:tcPr>
          <w:p w14:paraId="696792BD" w14:textId="77777777" w:rsidR="009D6D4E" w:rsidRPr="00030958" w:rsidRDefault="009D6D4E" w:rsidP="00BF3B71">
            <w:pPr>
              <w:jc w:val="center"/>
              <w:rPr>
                <w:sz w:val="18"/>
                <w:szCs w:val="20"/>
                <w:lang w:val="en-US"/>
              </w:rPr>
            </w:pPr>
            <w:r w:rsidRPr="00030958">
              <w:rPr>
                <w:sz w:val="18"/>
                <w:szCs w:val="20"/>
                <w:lang w:val="en-US"/>
              </w:rPr>
              <w:t>793</w:t>
            </w:r>
          </w:p>
        </w:tc>
        <w:tc>
          <w:tcPr>
            <w:tcW w:w="462" w:type="pct"/>
            <w:tcBorders>
              <w:top w:val="nil"/>
              <w:left w:val="nil"/>
              <w:bottom w:val="dotted" w:sz="4" w:space="0" w:color="auto"/>
              <w:right w:val="dotted" w:sz="4" w:space="0" w:color="auto"/>
            </w:tcBorders>
            <w:shd w:val="clear" w:color="000000" w:fill="FFFFFF"/>
            <w:vAlign w:val="center"/>
            <w:hideMark/>
          </w:tcPr>
          <w:p w14:paraId="457549FB" w14:textId="77777777" w:rsidR="009D6D4E" w:rsidRPr="00030958" w:rsidRDefault="009D6D4E" w:rsidP="00BF3B71">
            <w:pPr>
              <w:jc w:val="center"/>
              <w:rPr>
                <w:sz w:val="18"/>
                <w:szCs w:val="20"/>
                <w:lang w:val="en-US"/>
              </w:rPr>
            </w:pPr>
            <w:r w:rsidRPr="00030958">
              <w:rPr>
                <w:sz w:val="18"/>
                <w:szCs w:val="20"/>
                <w:lang w:val="en-US"/>
              </w:rPr>
              <w:t>825</w:t>
            </w:r>
          </w:p>
        </w:tc>
        <w:tc>
          <w:tcPr>
            <w:tcW w:w="462" w:type="pct"/>
            <w:tcBorders>
              <w:top w:val="nil"/>
              <w:left w:val="nil"/>
              <w:bottom w:val="dotted" w:sz="4" w:space="0" w:color="auto"/>
              <w:right w:val="double" w:sz="6" w:space="0" w:color="auto"/>
            </w:tcBorders>
            <w:shd w:val="clear" w:color="000000" w:fill="FFFFFF"/>
            <w:vAlign w:val="center"/>
            <w:hideMark/>
          </w:tcPr>
          <w:p w14:paraId="3FA3FC8C" w14:textId="77777777" w:rsidR="009D6D4E" w:rsidRPr="00030958" w:rsidRDefault="009D6D4E" w:rsidP="00BF3B71">
            <w:pPr>
              <w:jc w:val="center"/>
              <w:rPr>
                <w:sz w:val="18"/>
                <w:szCs w:val="20"/>
                <w:lang w:val="en-US"/>
              </w:rPr>
            </w:pPr>
            <w:r w:rsidRPr="00030958">
              <w:rPr>
                <w:sz w:val="18"/>
                <w:szCs w:val="20"/>
                <w:lang w:val="en-US"/>
              </w:rPr>
              <w:t>846</w:t>
            </w:r>
          </w:p>
        </w:tc>
      </w:tr>
      <w:tr w:rsidR="009D6D4E" w:rsidRPr="00030958" w14:paraId="5D87C6C6" w14:textId="77777777" w:rsidTr="00BF3B71">
        <w:trPr>
          <w:trHeight w:val="20"/>
        </w:trPr>
        <w:tc>
          <w:tcPr>
            <w:tcW w:w="2070" w:type="pct"/>
            <w:tcBorders>
              <w:top w:val="nil"/>
              <w:left w:val="double" w:sz="6" w:space="0" w:color="auto"/>
              <w:bottom w:val="dotted" w:sz="4" w:space="0" w:color="auto"/>
              <w:right w:val="nil"/>
            </w:tcBorders>
            <w:shd w:val="clear" w:color="000000" w:fill="FFFFFF"/>
            <w:vAlign w:val="center"/>
            <w:hideMark/>
          </w:tcPr>
          <w:p w14:paraId="090CC0D3" w14:textId="77777777" w:rsidR="009D6D4E" w:rsidRPr="00030958" w:rsidRDefault="009D6D4E" w:rsidP="00BF3B71">
            <w:pPr>
              <w:rPr>
                <w:sz w:val="18"/>
                <w:szCs w:val="20"/>
                <w:lang w:val="en-US"/>
              </w:rPr>
            </w:pPr>
            <w:r w:rsidRPr="00030958">
              <w:rPr>
                <w:sz w:val="18"/>
                <w:szCs w:val="20"/>
                <w:lang w:val="en-US"/>
              </w:rPr>
              <w:t>22.Tjera (21 = 22-(16+17+18+19+20) [6]</w:t>
            </w:r>
          </w:p>
        </w:tc>
        <w:tc>
          <w:tcPr>
            <w:tcW w:w="231" w:type="pct"/>
            <w:tcBorders>
              <w:top w:val="nil"/>
              <w:left w:val="nil"/>
              <w:bottom w:val="dotted" w:sz="4" w:space="0" w:color="auto"/>
              <w:right w:val="single" w:sz="8" w:space="0" w:color="auto"/>
            </w:tcBorders>
            <w:shd w:val="clear" w:color="000000" w:fill="FFFFFF"/>
            <w:vAlign w:val="center"/>
            <w:hideMark/>
          </w:tcPr>
          <w:p w14:paraId="494E0923" w14:textId="77777777" w:rsidR="009D6D4E" w:rsidRPr="00030958" w:rsidRDefault="009D6D4E" w:rsidP="00BF3B71">
            <w:pPr>
              <w:jc w:val="center"/>
              <w:rPr>
                <w:sz w:val="18"/>
                <w:szCs w:val="20"/>
                <w:lang w:val="en-US"/>
              </w:rPr>
            </w:pPr>
            <w:r w:rsidRPr="00030958">
              <w:rPr>
                <w:sz w:val="18"/>
                <w:szCs w:val="20"/>
                <w:lang w:val="en-US"/>
              </w:rPr>
              <w:t> </w:t>
            </w:r>
          </w:p>
        </w:tc>
        <w:tc>
          <w:tcPr>
            <w:tcW w:w="389" w:type="pct"/>
            <w:tcBorders>
              <w:top w:val="nil"/>
              <w:left w:val="nil"/>
              <w:bottom w:val="dotted" w:sz="4" w:space="0" w:color="auto"/>
              <w:right w:val="single" w:sz="8" w:space="0" w:color="auto"/>
            </w:tcBorders>
            <w:shd w:val="clear" w:color="000000" w:fill="FFFFFF"/>
            <w:vAlign w:val="center"/>
            <w:hideMark/>
          </w:tcPr>
          <w:p w14:paraId="51C15D2E" w14:textId="77777777" w:rsidR="009D6D4E" w:rsidRPr="00030958" w:rsidRDefault="009D6D4E" w:rsidP="00BF3B71">
            <w:pPr>
              <w:jc w:val="center"/>
              <w:rPr>
                <w:sz w:val="18"/>
                <w:szCs w:val="20"/>
                <w:lang w:val="en-US"/>
              </w:rPr>
            </w:pPr>
            <w:r w:rsidRPr="00030958">
              <w:rPr>
                <w:sz w:val="18"/>
                <w:szCs w:val="20"/>
                <w:lang w:val="en-US"/>
              </w:rPr>
              <w:t> </w:t>
            </w:r>
          </w:p>
        </w:tc>
        <w:tc>
          <w:tcPr>
            <w:tcW w:w="462" w:type="pct"/>
            <w:tcBorders>
              <w:top w:val="nil"/>
              <w:left w:val="nil"/>
              <w:bottom w:val="dotted" w:sz="4" w:space="0" w:color="auto"/>
              <w:right w:val="dotted" w:sz="4" w:space="0" w:color="auto"/>
            </w:tcBorders>
            <w:shd w:val="clear" w:color="000000" w:fill="FFFFFF"/>
            <w:vAlign w:val="center"/>
            <w:hideMark/>
          </w:tcPr>
          <w:p w14:paraId="022082E9" w14:textId="77777777" w:rsidR="009D6D4E" w:rsidRPr="00030958" w:rsidRDefault="009D6D4E" w:rsidP="00BF3B71">
            <w:pPr>
              <w:jc w:val="center"/>
              <w:rPr>
                <w:sz w:val="18"/>
                <w:szCs w:val="20"/>
                <w:lang w:val="en-US"/>
              </w:rPr>
            </w:pPr>
            <w:r w:rsidRPr="00030958">
              <w:rPr>
                <w:sz w:val="18"/>
                <w:szCs w:val="20"/>
                <w:lang w:val="en-US"/>
              </w:rPr>
              <w:t>:</w:t>
            </w:r>
          </w:p>
        </w:tc>
        <w:tc>
          <w:tcPr>
            <w:tcW w:w="462" w:type="pct"/>
            <w:tcBorders>
              <w:top w:val="nil"/>
              <w:left w:val="nil"/>
              <w:bottom w:val="dotted" w:sz="4" w:space="0" w:color="auto"/>
              <w:right w:val="dotted" w:sz="4" w:space="0" w:color="auto"/>
            </w:tcBorders>
            <w:shd w:val="clear" w:color="000000" w:fill="FFFFFF"/>
            <w:vAlign w:val="center"/>
            <w:hideMark/>
          </w:tcPr>
          <w:p w14:paraId="344AC5EA" w14:textId="77777777" w:rsidR="009D6D4E" w:rsidRPr="00030958" w:rsidRDefault="009D6D4E" w:rsidP="00BF3B71">
            <w:pPr>
              <w:jc w:val="center"/>
              <w:rPr>
                <w:sz w:val="18"/>
                <w:szCs w:val="20"/>
                <w:lang w:val="en-US"/>
              </w:rPr>
            </w:pPr>
            <w:r w:rsidRPr="00030958">
              <w:rPr>
                <w:sz w:val="18"/>
                <w:szCs w:val="20"/>
                <w:lang w:val="en-US"/>
              </w:rPr>
              <w:t>5</w:t>
            </w:r>
          </w:p>
        </w:tc>
        <w:tc>
          <w:tcPr>
            <w:tcW w:w="462" w:type="pct"/>
            <w:tcBorders>
              <w:top w:val="nil"/>
              <w:left w:val="nil"/>
              <w:bottom w:val="dotted" w:sz="4" w:space="0" w:color="auto"/>
              <w:right w:val="dotted" w:sz="4" w:space="0" w:color="auto"/>
            </w:tcBorders>
            <w:shd w:val="clear" w:color="000000" w:fill="FFFFFF"/>
            <w:vAlign w:val="center"/>
            <w:hideMark/>
          </w:tcPr>
          <w:p w14:paraId="33976E5D" w14:textId="77777777" w:rsidR="009D6D4E" w:rsidRPr="00030958" w:rsidRDefault="009D6D4E" w:rsidP="00BF3B71">
            <w:pPr>
              <w:jc w:val="center"/>
              <w:rPr>
                <w:sz w:val="18"/>
                <w:szCs w:val="20"/>
                <w:lang w:val="en-US"/>
              </w:rPr>
            </w:pPr>
            <w:r w:rsidRPr="00030958">
              <w:rPr>
                <w:sz w:val="18"/>
                <w:szCs w:val="20"/>
                <w:lang w:val="en-US"/>
              </w:rPr>
              <w:t>5</w:t>
            </w:r>
          </w:p>
        </w:tc>
        <w:tc>
          <w:tcPr>
            <w:tcW w:w="462" w:type="pct"/>
            <w:tcBorders>
              <w:top w:val="nil"/>
              <w:left w:val="nil"/>
              <w:bottom w:val="dotted" w:sz="4" w:space="0" w:color="auto"/>
              <w:right w:val="dotted" w:sz="4" w:space="0" w:color="auto"/>
            </w:tcBorders>
            <w:shd w:val="clear" w:color="000000" w:fill="FFFFFF"/>
            <w:vAlign w:val="center"/>
            <w:hideMark/>
          </w:tcPr>
          <w:p w14:paraId="5371B3C9" w14:textId="77777777" w:rsidR="009D6D4E" w:rsidRPr="00030958" w:rsidRDefault="009D6D4E" w:rsidP="00BF3B71">
            <w:pPr>
              <w:jc w:val="center"/>
              <w:rPr>
                <w:sz w:val="18"/>
                <w:szCs w:val="20"/>
                <w:lang w:val="en-US"/>
              </w:rPr>
            </w:pPr>
            <w:r w:rsidRPr="00030958">
              <w:rPr>
                <w:sz w:val="18"/>
                <w:szCs w:val="20"/>
                <w:lang w:val="en-US"/>
              </w:rPr>
              <w:t>5</w:t>
            </w:r>
          </w:p>
        </w:tc>
        <w:tc>
          <w:tcPr>
            <w:tcW w:w="462" w:type="pct"/>
            <w:tcBorders>
              <w:top w:val="nil"/>
              <w:left w:val="nil"/>
              <w:bottom w:val="dotted" w:sz="4" w:space="0" w:color="auto"/>
              <w:right w:val="double" w:sz="6" w:space="0" w:color="auto"/>
            </w:tcBorders>
            <w:shd w:val="clear" w:color="000000" w:fill="FFFFFF"/>
            <w:vAlign w:val="center"/>
            <w:hideMark/>
          </w:tcPr>
          <w:p w14:paraId="4C0B033B" w14:textId="77777777" w:rsidR="009D6D4E" w:rsidRPr="00030958" w:rsidRDefault="009D6D4E" w:rsidP="00BF3B71">
            <w:pPr>
              <w:jc w:val="center"/>
              <w:rPr>
                <w:sz w:val="18"/>
                <w:szCs w:val="20"/>
                <w:lang w:val="en-US"/>
              </w:rPr>
            </w:pPr>
            <w:r w:rsidRPr="00030958">
              <w:rPr>
                <w:sz w:val="18"/>
                <w:szCs w:val="20"/>
                <w:lang w:val="en-US"/>
              </w:rPr>
              <w:t>5</w:t>
            </w:r>
          </w:p>
        </w:tc>
      </w:tr>
      <w:tr w:rsidR="009D6D4E" w:rsidRPr="00030958" w14:paraId="10AAB55A" w14:textId="77777777" w:rsidTr="00BF3B71">
        <w:trPr>
          <w:trHeight w:val="20"/>
        </w:trPr>
        <w:tc>
          <w:tcPr>
            <w:tcW w:w="2070" w:type="pct"/>
            <w:tcBorders>
              <w:top w:val="nil"/>
              <w:left w:val="double" w:sz="6" w:space="0" w:color="auto"/>
              <w:bottom w:val="dotted" w:sz="4" w:space="0" w:color="auto"/>
              <w:right w:val="nil"/>
            </w:tcBorders>
            <w:shd w:val="clear" w:color="000000" w:fill="FFFFFF"/>
            <w:vAlign w:val="center"/>
            <w:hideMark/>
          </w:tcPr>
          <w:p w14:paraId="3CE179B0" w14:textId="77777777" w:rsidR="009D6D4E" w:rsidRPr="00030958" w:rsidRDefault="009D6D4E" w:rsidP="00BF3B71">
            <w:pPr>
              <w:rPr>
                <w:sz w:val="18"/>
                <w:szCs w:val="20"/>
                <w:lang w:val="en-US"/>
              </w:rPr>
            </w:pPr>
            <w:r w:rsidRPr="00030958">
              <w:rPr>
                <w:sz w:val="18"/>
                <w:szCs w:val="20"/>
                <w:lang w:val="en-US"/>
              </w:rPr>
              <w:t xml:space="preserve">23. Shpenzimet Totale </w:t>
            </w:r>
          </w:p>
        </w:tc>
        <w:tc>
          <w:tcPr>
            <w:tcW w:w="231" w:type="pct"/>
            <w:tcBorders>
              <w:top w:val="nil"/>
              <w:left w:val="nil"/>
              <w:bottom w:val="dotted" w:sz="4" w:space="0" w:color="auto"/>
              <w:right w:val="single" w:sz="8" w:space="0" w:color="auto"/>
            </w:tcBorders>
            <w:shd w:val="clear" w:color="000000" w:fill="FFFFFF"/>
            <w:vAlign w:val="center"/>
            <w:hideMark/>
          </w:tcPr>
          <w:p w14:paraId="31063406" w14:textId="77777777" w:rsidR="009D6D4E" w:rsidRPr="00030958" w:rsidRDefault="009D6D4E" w:rsidP="00BF3B71">
            <w:pPr>
              <w:jc w:val="center"/>
              <w:rPr>
                <w:sz w:val="18"/>
                <w:szCs w:val="20"/>
                <w:lang w:val="en-US"/>
              </w:rPr>
            </w:pPr>
            <w:r w:rsidRPr="00030958">
              <w:rPr>
                <w:sz w:val="18"/>
                <w:szCs w:val="20"/>
                <w:lang w:val="en-US"/>
              </w:rPr>
              <w:t> </w:t>
            </w:r>
          </w:p>
        </w:tc>
        <w:tc>
          <w:tcPr>
            <w:tcW w:w="389" w:type="pct"/>
            <w:tcBorders>
              <w:top w:val="nil"/>
              <w:left w:val="nil"/>
              <w:bottom w:val="dotted" w:sz="4" w:space="0" w:color="auto"/>
              <w:right w:val="single" w:sz="8" w:space="0" w:color="auto"/>
            </w:tcBorders>
            <w:shd w:val="clear" w:color="000000" w:fill="FFFFFF"/>
            <w:vAlign w:val="center"/>
            <w:hideMark/>
          </w:tcPr>
          <w:p w14:paraId="560690E9" w14:textId="77777777" w:rsidR="009D6D4E" w:rsidRPr="00030958" w:rsidRDefault="009D6D4E" w:rsidP="00BF3B71">
            <w:pPr>
              <w:jc w:val="center"/>
              <w:rPr>
                <w:sz w:val="18"/>
                <w:szCs w:val="20"/>
                <w:lang w:val="en-US"/>
              </w:rPr>
            </w:pPr>
            <w:r w:rsidRPr="00030958">
              <w:rPr>
                <w:sz w:val="18"/>
                <w:szCs w:val="20"/>
                <w:lang w:val="en-US"/>
              </w:rPr>
              <w:t>TE [1]</w:t>
            </w:r>
          </w:p>
        </w:tc>
        <w:tc>
          <w:tcPr>
            <w:tcW w:w="462" w:type="pct"/>
            <w:tcBorders>
              <w:top w:val="nil"/>
              <w:left w:val="nil"/>
              <w:bottom w:val="dotted" w:sz="4" w:space="0" w:color="auto"/>
              <w:right w:val="dotted" w:sz="4" w:space="0" w:color="auto"/>
            </w:tcBorders>
            <w:shd w:val="clear" w:color="000000" w:fill="FFFFFF"/>
            <w:vAlign w:val="center"/>
            <w:hideMark/>
          </w:tcPr>
          <w:p w14:paraId="54F22677" w14:textId="77777777" w:rsidR="009D6D4E" w:rsidRPr="00030958" w:rsidRDefault="009D6D4E" w:rsidP="00BF3B71">
            <w:pPr>
              <w:jc w:val="center"/>
              <w:rPr>
                <w:sz w:val="18"/>
                <w:szCs w:val="20"/>
                <w:lang w:val="en-US"/>
              </w:rPr>
            </w:pPr>
            <w:r w:rsidRPr="00030958">
              <w:rPr>
                <w:sz w:val="18"/>
                <w:szCs w:val="20"/>
                <w:lang w:val="en-US"/>
              </w:rPr>
              <w:t>1956</w:t>
            </w:r>
          </w:p>
        </w:tc>
        <w:tc>
          <w:tcPr>
            <w:tcW w:w="462" w:type="pct"/>
            <w:tcBorders>
              <w:top w:val="nil"/>
              <w:left w:val="nil"/>
              <w:bottom w:val="dotted" w:sz="4" w:space="0" w:color="auto"/>
              <w:right w:val="dotted" w:sz="4" w:space="0" w:color="auto"/>
            </w:tcBorders>
            <w:shd w:val="clear" w:color="000000" w:fill="FFFFFF"/>
            <w:vAlign w:val="center"/>
            <w:hideMark/>
          </w:tcPr>
          <w:p w14:paraId="68BA8BAE" w14:textId="77777777" w:rsidR="009D6D4E" w:rsidRPr="00030958" w:rsidRDefault="009D6D4E" w:rsidP="00BF3B71">
            <w:pPr>
              <w:jc w:val="center"/>
              <w:rPr>
                <w:sz w:val="18"/>
                <w:szCs w:val="20"/>
                <w:lang w:val="en-US"/>
              </w:rPr>
            </w:pPr>
            <w:r w:rsidRPr="00030958">
              <w:rPr>
                <w:sz w:val="18"/>
                <w:szCs w:val="20"/>
                <w:lang w:val="en-US"/>
              </w:rPr>
              <w:t>2378</w:t>
            </w:r>
          </w:p>
        </w:tc>
        <w:tc>
          <w:tcPr>
            <w:tcW w:w="462" w:type="pct"/>
            <w:tcBorders>
              <w:top w:val="nil"/>
              <w:left w:val="nil"/>
              <w:bottom w:val="dotted" w:sz="4" w:space="0" w:color="auto"/>
              <w:right w:val="dotted" w:sz="4" w:space="0" w:color="auto"/>
            </w:tcBorders>
            <w:shd w:val="clear" w:color="000000" w:fill="FFFFFF"/>
            <w:vAlign w:val="center"/>
            <w:hideMark/>
          </w:tcPr>
          <w:p w14:paraId="578D73FE" w14:textId="77777777" w:rsidR="009D6D4E" w:rsidRPr="00030958" w:rsidRDefault="009D6D4E" w:rsidP="00BF3B71">
            <w:pPr>
              <w:jc w:val="center"/>
              <w:rPr>
                <w:sz w:val="18"/>
                <w:szCs w:val="20"/>
                <w:lang w:val="en-US"/>
              </w:rPr>
            </w:pPr>
            <w:r w:rsidRPr="00030958">
              <w:rPr>
                <w:sz w:val="18"/>
                <w:szCs w:val="20"/>
                <w:lang w:val="en-US"/>
              </w:rPr>
              <w:t>2467</w:t>
            </w:r>
          </w:p>
        </w:tc>
        <w:tc>
          <w:tcPr>
            <w:tcW w:w="462" w:type="pct"/>
            <w:tcBorders>
              <w:top w:val="nil"/>
              <w:left w:val="nil"/>
              <w:bottom w:val="dotted" w:sz="4" w:space="0" w:color="auto"/>
              <w:right w:val="dotted" w:sz="4" w:space="0" w:color="auto"/>
            </w:tcBorders>
            <w:shd w:val="clear" w:color="000000" w:fill="FFFFFF"/>
            <w:vAlign w:val="center"/>
            <w:hideMark/>
          </w:tcPr>
          <w:p w14:paraId="68A7B2AF" w14:textId="77777777" w:rsidR="009D6D4E" w:rsidRPr="00030958" w:rsidRDefault="009D6D4E" w:rsidP="00BF3B71">
            <w:pPr>
              <w:jc w:val="center"/>
              <w:rPr>
                <w:sz w:val="18"/>
                <w:szCs w:val="20"/>
                <w:lang w:val="en-US"/>
              </w:rPr>
            </w:pPr>
            <w:r w:rsidRPr="00030958">
              <w:rPr>
                <w:sz w:val="18"/>
                <w:szCs w:val="20"/>
                <w:lang w:val="en-US"/>
              </w:rPr>
              <w:t>2544</w:t>
            </w:r>
          </w:p>
        </w:tc>
        <w:tc>
          <w:tcPr>
            <w:tcW w:w="462" w:type="pct"/>
            <w:tcBorders>
              <w:top w:val="nil"/>
              <w:left w:val="nil"/>
              <w:bottom w:val="dotted" w:sz="4" w:space="0" w:color="auto"/>
              <w:right w:val="double" w:sz="6" w:space="0" w:color="auto"/>
            </w:tcBorders>
            <w:shd w:val="clear" w:color="000000" w:fill="FFFFFF"/>
            <w:vAlign w:val="center"/>
            <w:hideMark/>
          </w:tcPr>
          <w:p w14:paraId="047ED47F" w14:textId="77777777" w:rsidR="009D6D4E" w:rsidRPr="00030958" w:rsidRDefault="009D6D4E" w:rsidP="00BF3B71">
            <w:pPr>
              <w:jc w:val="center"/>
              <w:rPr>
                <w:sz w:val="18"/>
                <w:szCs w:val="20"/>
                <w:lang w:val="en-US"/>
              </w:rPr>
            </w:pPr>
            <w:r w:rsidRPr="00030958">
              <w:rPr>
                <w:sz w:val="18"/>
                <w:szCs w:val="20"/>
                <w:lang w:val="en-US"/>
              </w:rPr>
              <w:t>2616</w:t>
            </w:r>
          </w:p>
        </w:tc>
      </w:tr>
      <w:tr w:rsidR="009D6D4E" w:rsidRPr="00030958" w14:paraId="3187F21D" w14:textId="77777777" w:rsidTr="00BF3B71">
        <w:trPr>
          <w:trHeight w:val="20"/>
        </w:trPr>
        <w:tc>
          <w:tcPr>
            <w:tcW w:w="2070" w:type="pct"/>
            <w:tcBorders>
              <w:top w:val="nil"/>
              <w:left w:val="double" w:sz="6" w:space="0" w:color="auto"/>
              <w:bottom w:val="double" w:sz="6" w:space="0" w:color="auto"/>
              <w:right w:val="nil"/>
            </w:tcBorders>
            <w:shd w:val="clear" w:color="000000" w:fill="FFFFFF"/>
            <w:vAlign w:val="bottom"/>
            <w:hideMark/>
          </w:tcPr>
          <w:p w14:paraId="7FFBED6C" w14:textId="77777777" w:rsidR="009D6D4E" w:rsidRPr="00030958" w:rsidRDefault="009D6D4E" w:rsidP="00BF3B71">
            <w:pPr>
              <w:rPr>
                <w:sz w:val="18"/>
                <w:szCs w:val="20"/>
                <w:lang w:val="en-US"/>
              </w:rPr>
            </w:pPr>
            <w:r w:rsidRPr="00030958">
              <w:rPr>
                <w:sz w:val="18"/>
                <w:szCs w:val="20"/>
                <w:lang w:val="en-US"/>
              </w:rPr>
              <w:t>p.m.  Kompenzimi I punëtoreëve</w:t>
            </w:r>
          </w:p>
        </w:tc>
        <w:tc>
          <w:tcPr>
            <w:tcW w:w="231" w:type="pct"/>
            <w:tcBorders>
              <w:top w:val="nil"/>
              <w:left w:val="nil"/>
              <w:bottom w:val="double" w:sz="6" w:space="0" w:color="auto"/>
              <w:right w:val="single" w:sz="8" w:space="0" w:color="auto"/>
            </w:tcBorders>
            <w:shd w:val="clear" w:color="000000" w:fill="FFFFFF"/>
            <w:vAlign w:val="bottom"/>
            <w:hideMark/>
          </w:tcPr>
          <w:p w14:paraId="7ED03D1E" w14:textId="77777777" w:rsidR="009D6D4E" w:rsidRPr="00030958" w:rsidRDefault="009D6D4E" w:rsidP="00BF3B71">
            <w:pPr>
              <w:jc w:val="center"/>
              <w:rPr>
                <w:sz w:val="18"/>
                <w:szCs w:val="20"/>
                <w:lang w:val="en-US"/>
              </w:rPr>
            </w:pPr>
            <w:r w:rsidRPr="00030958">
              <w:rPr>
                <w:sz w:val="18"/>
                <w:szCs w:val="20"/>
                <w:lang w:val="en-US"/>
              </w:rPr>
              <w:t> </w:t>
            </w:r>
          </w:p>
        </w:tc>
        <w:tc>
          <w:tcPr>
            <w:tcW w:w="389" w:type="pct"/>
            <w:tcBorders>
              <w:top w:val="nil"/>
              <w:left w:val="nil"/>
              <w:bottom w:val="double" w:sz="6" w:space="0" w:color="auto"/>
              <w:right w:val="single" w:sz="8" w:space="0" w:color="auto"/>
            </w:tcBorders>
            <w:shd w:val="clear" w:color="000000" w:fill="FFFFFF"/>
            <w:vAlign w:val="bottom"/>
            <w:hideMark/>
          </w:tcPr>
          <w:p w14:paraId="15C5B5E4" w14:textId="77777777" w:rsidR="009D6D4E" w:rsidRPr="00030958" w:rsidRDefault="009D6D4E" w:rsidP="00BF3B71">
            <w:pPr>
              <w:jc w:val="center"/>
              <w:rPr>
                <w:sz w:val="18"/>
                <w:szCs w:val="20"/>
                <w:lang w:val="en-US"/>
              </w:rPr>
            </w:pPr>
            <w:r w:rsidRPr="00030958">
              <w:rPr>
                <w:sz w:val="18"/>
                <w:szCs w:val="20"/>
                <w:lang w:val="en-US"/>
              </w:rPr>
              <w:t>D1</w:t>
            </w:r>
          </w:p>
        </w:tc>
        <w:tc>
          <w:tcPr>
            <w:tcW w:w="462" w:type="pct"/>
            <w:tcBorders>
              <w:top w:val="nil"/>
              <w:left w:val="nil"/>
              <w:bottom w:val="double" w:sz="6" w:space="0" w:color="auto"/>
              <w:right w:val="dotted" w:sz="4" w:space="0" w:color="auto"/>
            </w:tcBorders>
            <w:shd w:val="clear" w:color="000000" w:fill="FFFFFF"/>
            <w:vAlign w:val="bottom"/>
            <w:hideMark/>
          </w:tcPr>
          <w:p w14:paraId="5CDFA765" w14:textId="77777777" w:rsidR="009D6D4E" w:rsidRPr="00030958" w:rsidRDefault="009D6D4E" w:rsidP="00BF3B71">
            <w:pPr>
              <w:jc w:val="center"/>
              <w:rPr>
                <w:sz w:val="18"/>
                <w:szCs w:val="20"/>
                <w:lang w:val="en-US"/>
              </w:rPr>
            </w:pPr>
            <w:r w:rsidRPr="00030958">
              <w:rPr>
                <w:sz w:val="18"/>
                <w:szCs w:val="20"/>
                <w:lang w:val="en-US"/>
              </w:rPr>
              <w:t>593</w:t>
            </w:r>
          </w:p>
        </w:tc>
        <w:tc>
          <w:tcPr>
            <w:tcW w:w="462" w:type="pct"/>
            <w:tcBorders>
              <w:top w:val="nil"/>
              <w:left w:val="nil"/>
              <w:bottom w:val="double" w:sz="6" w:space="0" w:color="auto"/>
              <w:right w:val="dotted" w:sz="4" w:space="0" w:color="auto"/>
            </w:tcBorders>
            <w:shd w:val="clear" w:color="000000" w:fill="FFFFFF"/>
            <w:vAlign w:val="bottom"/>
            <w:hideMark/>
          </w:tcPr>
          <w:p w14:paraId="0B25B70B" w14:textId="77777777" w:rsidR="009D6D4E" w:rsidRPr="00030958" w:rsidRDefault="009D6D4E" w:rsidP="00BF3B71">
            <w:pPr>
              <w:jc w:val="center"/>
              <w:rPr>
                <w:sz w:val="18"/>
                <w:szCs w:val="20"/>
                <w:lang w:val="en-US"/>
              </w:rPr>
            </w:pPr>
            <w:r w:rsidRPr="00030958">
              <w:rPr>
                <w:sz w:val="18"/>
                <w:szCs w:val="20"/>
                <w:lang w:val="en-US"/>
              </w:rPr>
              <w:t>620</w:t>
            </w:r>
          </w:p>
        </w:tc>
        <w:tc>
          <w:tcPr>
            <w:tcW w:w="462" w:type="pct"/>
            <w:tcBorders>
              <w:top w:val="nil"/>
              <w:left w:val="nil"/>
              <w:bottom w:val="double" w:sz="6" w:space="0" w:color="auto"/>
              <w:right w:val="dotted" w:sz="4" w:space="0" w:color="auto"/>
            </w:tcBorders>
            <w:shd w:val="clear" w:color="000000" w:fill="FFFFFF"/>
            <w:vAlign w:val="bottom"/>
            <w:hideMark/>
          </w:tcPr>
          <w:p w14:paraId="40EBE34F" w14:textId="77777777" w:rsidR="009D6D4E" w:rsidRPr="00030958" w:rsidRDefault="009D6D4E" w:rsidP="00BF3B71">
            <w:pPr>
              <w:jc w:val="center"/>
              <w:rPr>
                <w:sz w:val="18"/>
                <w:szCs w:val="20"/>
                <w:lang w:val="en-US"/>
              </w:rPr>
            </w:pPr>
            <w:r w:rsidRPr="00030958">
              <w:rPr>
                <w:sz w:val="18"/>
                <w:szCs w:val="20"/>
                <w:lang w:val="en-US"/>
              </w:rPr>
              <w:t>654</w:t>
            </w:r>
          </w:p>
        </w:tc>
        <w:tc>
          <w:tcPr>
            <w:tcW w:w="462" w:type="pct"/>
            <w:tcBorders>
              <w:top w:val="nil"/>
              <w:left w:val="nil"/>
              <w:bottom w:val="double" w:sz="6" w:space="0" w:color="auto"/>
              <w:right w:val="dotted" w:sz="4" w:space="0" w:color="auto"/>
            </w:tcBorders>
            <w:shd w:val="clear" w:color="000000" w:fill="FFFFFF"/>
            <w:vAlign w:val="bottom"/>
            <w:hideMark/>
          </w:tcPr>
          <w:p w14:paraId="347C1E06" w14:textId="77777777" w:rsidR="009D6D4E" w:rsidRPr="00030958" w:rsidRDefault="009D6D4E" w:rsidP="00BF3B71">
            <w:pPr>
              <w:jc w:val="center"/>
              <w:rPr>
                <w:sz w:val="18"/>
                <w:szCs w:val="20"/>
                <w:lang w:val="en-US"/>
              </w:rPr>
            </w:pPr>
            <w:r w:rsidRPr="00030958">
              <w:rPr>
                <w:sz w:val="18"/>
                <w:szCs w:val="20"/>
                <w:lang w:val="en-US"/>
              </w:rPr>
              <w:t>691</w:t>
            </w:r>
          </w:p>
        </w:tc>
        <w:tc>
          <w:tcPr>
            <w:tcW w:w="462" w:type="pct"/>
            <w:tcBorders>
              <w:top w:val="nil"/>
              <w:left w:val="nil"/>
              <w:bottom w:val="double" w:sz="6" w:space="0" w:color="auto"/>
              <w:right w:val="double" w:sz="6" w:space="0" w:color="auto"/>
            </w:tcBorders>
            <w:shd w:val="clear" w:color="000000" w:fill="FFFFFF"/>
            <w:vAlign w:val="bottom"/>
            <w:hideMark/>
          </w:tcPr>
          <w:p w14:paraId="18989B3B" w14:textId="77777777" w:rsidR="009D6D4E" w:rsidRPr="00030958" w:rsidRDefault="009D6D4E" w:rsidP="00BF3B71">
            <w:pPr>
              <w:jc w:val="center"/>
              <w:rPr>
                <w:sz w:val="18"/>
                <w:szCs w:val="20"/>
                <w:lang w:val="en-US"/>
              </w:rPr>
            </w:pPr>
            <w:r w:rsidRPr="00030958">
              <w:rPr>
                <w:sz w:val="18"/>
                <w:szCs w:val="20"/>
                <w:lang w:val="en-US"/>
              </w:rPr>
              <w:t>730</w:t>
            </w:r>
          </w:p>
        </w:tc>
      </w:tr>
    </w:tbl>
    <w:p w14:paraId="4760078B" w14:textId="77777777" w:rsidR="009D6D4E" w:rsidRDefault="009D6D4E" w:rsidP="009D6D4E"/>
    <w:p w14:paraId="4A0E4480" w14:textId="77777777" w:rsidR="009D6D4E" w:rsidRDefault="009D6D4E" w:rsidP="009D6D4E"/>
    <w:p w14:paraId="228CE82E" w14:textId="77777777" w:rsidR="009D6D4E" w:rsidRDefault="009D6D4E" w:rsidP="00085F16">
      <w:pPr>
        <w:spacing w:after="120"/>
        <w:rPr>
          <w:rFonts w:ascii="Times New Roman" w:hAnsi="Times New Roman" w:cs="Times New Roman"/>
          <w:sz w:val="24"/>
          <w:szCs w:val="24"/>
        </w:rPr>
      </w:pPr>
    </w:p>
    <w:p w14:paraId="169349B0" w14:textId="77777777" w:rsidR="009D6D4E" w:rsidRDefault="009D6D4E" w:rsidP="00085F16">
      <w:pPr>
        <w:spacing w:after="120"/>
        <w:rPr>
          <w:rFonts w:ascii="Times New Roman" w:hAnsi="Times New Roman" w:cs="Times New Roman"/>
          <w:sz w:val="24"/>
          <w:szCs w:val="24"/>
        </w:rPr>
      </w:pPr>
    </w:p>
    <w:p w14:paraId="2B7E915F" w14:textId="77777777" w:rsidR="009D6D4E" w:rsidRDefault="009D6D4E" w:rsidP="00085F16">
      <w:pPr>
        <w:spacing w:after="120"/>
        <w:rPr>
          <w:rFonts w:ascii="Times New Roman" w:hAnsi="Times New Roman" w:cs="Times New Roman"/>
          <w:sz w:val="24"/>
          <w:szCs w:val="24"/>
        </w:rPr>
      </w:pPr>
    </w:p>
    <w:p w14:paraId="319BB856" w14:textId="77777777" w:rsidR="009D6D4E" w:rsidRDefault="009D6D4E" w:rsidP="00085F16">
      <w:pPr>
        <w:spacing w:after="120"/>
        <w:rPr>
          <w:rFonts w:ascii="Times New Roman" w:hAnsi="Times New Roman" w:cs="Times New Roman"/>
          <w:sz w:val="24"/>
          <w:szCs w:val="24"/>
        </w:rPr>
      </w:pPr>
    </w:p>
    <w:p w14:paraId="3DFB9861" w14:textId="77777777" w:rsidR="009D6D4E" w:rsidRDefault="009D6D4E" w:rsidP="00085F16">
      <w:pPr>
        <w:spacing w:after="120"/>
        <w:rPr>
          <w:rFonts w:ascii="Times New Roman" w:hAnsi="Times New Roman" w:cs="Times New Roman"/>
          <w:sz w:val="24"/>
          <w:szCs w:val="24"/>
        </w:rPr>
      </w:pPr>
    </w:p>
    <w:p w14:paraId="7811929B" w14:textId="77777777" w:rsidR="009D6D4E" w:rsidRDefault="009D6D4E" w:rsidP="00085F16">
      <w:pPr>
        <w:spacing w:after="120"/>
        <w:rPr>
          <w:rFonts w:ascii="Times New Roman" w:hAnsi="Times New Roman" w:cs="Times New Roman"/>
          <w:sz w:val="24"/>
          <w:szCs w:val="24"/>
        </w:rPr>
      </w:pPr>
    </w:p>
    <w:p w14:paraId="55324E8D" w14:textId="77777777" w:rsidR="009D6D4E" w:rsidRDefault="009D6D4E" w:rsidP="00085F16">
      <w:pPr>
        <w:spacing w:after="120"/>
        <w:rPr>
          <w:rFonts w:ascii="Times New Roman" w:hAnsi="Times New Roman" w:cs="Times New Roman"/>
          <w:sz w:val="24"/>
          <w:szCs w:val="24"/>
        </w:rPr>
      </w:pPr>
    </w:p>
    <w:p w14:paraId="05FC5603" w14:textId="77777777" w:rsidR="009D6D4E" w:rsidRDefault="009D6D4E" w:rsidP="00085F16">
      <w:pPr>
        <w:spacing w:after="120"/>
        <w:rPr>
          <w:rFonts w:ascii="Times New Roman" w:hAnsi="Times New Roman" w:cs="Times New Roman"/>
          <w:sz w:val="24"/>
          <w:szCs w:val="24"/>
        </w:rPr>
      </w:pPr>
    </w:p>
    <w:p w14:paraId="3C7C5BF3" w14:textId="77777777" w:rsidR="009D6D4E" w:rsidRDefault="009D6D4E" w:rsidP="00085F16">
      <w:pPr>
        <w:spacing w:after="120"/>
        <w:rPr>
          <w:rFonts w:ascii="Times New Roman" w:hAnsi="Times New Roman" w:cs="Times New Roman"/>
          <w:sz w:val="24"/>
          <w:szCs w:val="24"/>
        </w:rPr>
      </w:pPr>
    </w:p>
    <w:p w14:paraId="09E04F39" w14:textId="77777777" w:rsidR="009D6D4E" w:rsidRDefault="009D6D4E" w:rsidP="00085F16">
      <w:pPr>
        <w:spacing w:after="120"/>
        <w:rPr>
          <w:rFonts w:ascii="Times New Roman" w:hAnsi="Times New Roman" w:cs="Times New Roman"/>
          <w:sz w:val="24"/>
          <w:szCs w:val="24"/>
        </w:rPr>
      </w:pPr>
    </w:p>
    <w:p w14:paraId="7D4BFE4B" w14:textId="77777777" w:rsidR="009D6D4E" w:rsidRDefault="009D6D4E" w:rsidP="00085F16">
      <w:pPr>
        <w:spacing w:after="120"/>
        <w:rPr>
          <w:rFonts w:ascii="Times New Roman" w:hAnsi="Times New Roman" w:cs="Times New Roman"/>
          <w:sz w:val="24"/>
          <w:szCs w:val="24"/>
        </w:rPr>
      </w:pPr>
    </w:p>
    <w:p w14:paraId="6767731D" w14:textId="77777777" w:rsidR="009D6D4E" w:rsidRDefault="009D6D4E" w:rsidP="00085F16">
      <w:pPr>
        <w:spacing w:after="120"/>
        <w:rPr>
          <w:rFonts w:ascii="Times New Roman" w:hAnsi="Times New Roman" w:cs="Times New Roman"/>
          <w:sz w:val="24"/>
          <w:szCs w:val="24"/>
        </w:rPr>
      </w:pPr>
    </w:p>
    <w:p w14:paraId="06B800B9" w14:textId="77777777" w:rsidR="009D6D4E" w:rsidRDefault="009D6D4E" w:rsidP="00085F16">
      <w:pPr>
        <w:spacing w:after="120"/>
        <w:rPr>
          <w:rFonts w:ascii="Times New Roman" w:hAnsi="Times New Roman" w:cs="Times New Roman"/>
          <w:sz w:val="24"/>
          <w:szCs w:val="24"/>
        </w:rPr>
      </w:pPr>
    </w:p>
    <w:p w14:paraId="5C005CDF" w14:textId="77777777" w:rsidR="009D6D4E" w:rsidRDefault="009D6D4E" w:rsidP="00085F16">
      <w:pPr>
        <w:spacing w:after="120"/>
        <w:rPr>
          <w:rFonts w:ascii="Times New Roman" w:hAnsi="Times New Roman" w:cs="Times New Roman"/>
          <w:sz w:val="24"/>
          <w:szCs w:val="24"/>
        </w:rPr>
      </w:pPr>
    </w:p>
    <w:p w14:paraId="14F7C289" w14:textId="77777777" w:rsidR="009D6D4E" w:rsidRDefault="009D6D4E" w:rsidP="00085F16">
      <w:pPr>
        <w:spacing w:after="120"/>
        <w:rPr>
          <w:rFonts w:ascii="Times New Roman" w:hAnsi="Times New Roman" w:cs="Times New Roman"/>
          <w:sz w:val="24"/>
          <w:szCs w:val="24"/>
        </w:rPr>
      </w:pPr>
    </w:p>
    <w:p w14:paraId="7FEECE58" w14:textId="77777777" w:rsidR="009D6D4E" w:rsidRDefault="009D6D4E" w:rsidP="00085F16">
      <w:pPr>
        <w:spacing w:after="120"/>
        <w:rPr>
          <w:rFonts w:ascii="Times New Roman" w:hAnsi="Times New Roman" w:cs="Times New Roman"/>
          <w:sz w:val="24"/>
          <w:szCs w:val="24"/>
        </w:rPr>
      </w:pPr>
    </w:p>
    <w:p w14:paraId="076EF83D" w14:textId="77777777" w:rsidR="009D6D4E" w:rsidRDefault="009D6D4E" w:rsidP="00085F16">
      <w:pPr>
        <w:spacing w:after="120"/>
        <w:rPr>
          <w:rFonts w:ascii="Times New Roman" w:hAnsi="Times New Roman" w:cs="Times New Roman"/>
          <w:sz w:val="24"/>
          <w:szCs w:val="24"/>
        </w:rPr>
      </w:pPr>
    </w:p>
    <w:p w14:paraId="4735EFC9" w14:textId="77777777" w:rsidR="009D6D4E" w:rsidRDefault="009D6D4E" w:rsidP="00085F16">
      <w:pPr>
        <w:spacing w:after="120"/>
        <w:rPr>
          <w:rFonts w:ascii="Times New Roman" w:hAnsi="Times New Roman" w:cs="Times New Roman"/>
          <w:sz w:val="24"/>
          <w:szCs w:val="24"/>
        </w:rPr>
      </w:pPr>
    </w:p>
    <w:p w14:paraId="7B3CD1A0" w14:textId="77777777" w:rsidR="009D6D4E" w:rsidRDefault="009D6D4E" w:rsidP="00085F16">
      <w:pPr>
        <w:spacing w:after="120"/>
        <w:rPr>
          <w:rFonts w:ascii="Times New Roman" w:hAnsi="Times New Roman" w:cs="Times New Roman"/>
          <w:sz w:val="24"/>
          <w:szCs w:val="24"/>
        </w:rPr>
      </w:pPr>
    </w:p>
    <w:p w14:paraId="6742DEA2" w14:textId="77777777" w:rsidR="009D6D4E" w:rsidRDefault="009D6D4E" w:rsidP="00085F16">
      <w:pPr>
        <w:spacing w:after="120"/>
        <w:rPr>
          <w:rFonts w:ascii="Times New Roman" w:hAnsi="Times New Roman" w:cs="Times New Roman"/>
          <w:sz w:val="24"/>
          <w:szCs w:val="24"/>
        </w:rPr>
      </w:pPr>
    </w:p>
    <w:p w14:paraId="0B63E245" w14:textId="77777777" w:rsidR="009D6D4E" w:rsidRDefault="009D6D4E" w:rsidP="00085F16">
      <w:pPr>
        <w:spacing w:after="120"/>
        <w:rPr>
          <w:rFonts w:ascii="Times New Roman" w:hAnsi="Times New Roman" w:cs="Times New Roman"/>
          <w:sz w:val="24"/>
          <w:szCs w:val="24"/>
        </w:rPr>
      </w:pPr>
    </w:p>
    <w:p w14:paraId="11EC1662" w14:textId="77777777" w:rsidR="009D6D4E" w:rsidRDefault="009D6D4E" w:rsidP="00085F16">
      <w:pPr>
        <w:spacing w:after="120"/>
        <w:rPr>
          <w:rFonts w:ascii="Times New Roman" w:hAnsi="Times New Roman" w:cs="Times New Roman"/>
          <w:sz w:val="24"/>
          <w:szCs w:val="24"/>
        </w:rPr>
      </w:pPr>
    </w:p>
    <w:p w14:paraId="2923729D" w14:textId="77777777" w:rsidR="009D6D4E" w:rsidRDefault="009D6D4E" w:rsidP="00085F16">
      <w:pPr>
        <w:spacing w:after="120"/>
        <w:rPr>
          <w:rFonts w:ascii="Times New Roman" w:hAnsi="Times New Roman" w:cs="Times New Roman"/>
          <w:sz w:val="24"/>
          <w:szCs w:val="24"/>
        </w:rPr>
      </w:pPr>
    </w:p>
    <w:p w14:paraId="4FF0AFAD" w14:textId="77777777" w:rsidR="009D6D4E" w:rsidRDefault="009D6D4E" w:rsidP="00085F16">
      <w:pPr>
        <w:spacing w:after="120"/>
        <w:rPr>
          <w:rFonts w:ascii="Times New Roman" w:hAnsi="Times New Roman" w:cs="Times New Roman"/>
          <w:sz w:val="24"/>
          <w:szCs w:val="24"/>
        </w:rPr>
      </w:pPr>
    </w:p>
    <w:p w14:paraId="5F9053FE" w14:textId="77777777" w:rsidR="009D6D4E" w:rsidRDefault="009D6D4E" w:rsidP="00085F16">
      <w:pPr>
        <w:spacing w:after="120"/>
        <w:rPr>
          <w:rFonts w:ascii="Times New Roman" w:hAnsi="Times New Roman" w:cs="Times New Roman"/>
          <w:sz w:val="24"/>
          <w:szCs w:val="24"/>
        </w:rPr>
      </w:pPr>
    </w:p>
    <w:p w14:paraId="4F836757" w14:textId="77777777" w:rsidR="009D6D4E" w:rsidRDefault="009D6D4E" w:rsidP="00085F16">
      <w:pPr>
        <w:spacing w:after="120"/>
        <w:rPr>
          <w:rFonts w:ascii="Times New Roman" w:hAnsi="Times New Roman" w:cs="Times New Roman"/>
          <w:sz w:val="24"/>
          <w:szCs w:val="24"/>
        </w:rPr>
      </w:pPr>
    </w:p>
    <w:p w14:paraId="7F20600D" w14:textId="3204E313" w:rsidR="009D6D4E" w:rsidRPr="009D6D4E" w:rsidRDefault="009D6D4E" w:rsidP="00085F16">
      <w:pPr>
        <w:spacing w:after="120"/>
        <w:rPr>
          <w:rFonts w:ascii="Times New Roman" w:hAnsi="Times New Roman" w:cs="Times New Roman"/>
          <w:b/>
          <w:sz w:val="24"/>
          <w:szCs w:val="24"/>
        </w:rPr>
      </w:pPr>
      <w:r w:rsidRPr="009D6D4E">
        <w:rPr>
          <w:rFonts w:ascii="Times New Roman" w:hAnsi="Times New Roman" w:cs="Times New Roman"/>
          <w:b/>
          <w:sz w:val="24"/>
          <w:szCs w:val="24"/>
        </w:rPr>
        <w:t>Tabelat 10a dhe 10b: Kostoja dhe financimi i masave te reformave strukturore 2020-2022</w:t>
      </w:r>
    </w:p>
    <w:tbl>
      <w:tblPr>
        <w:tblW w:w="9986" w:type="dxa"/>
        <w:tblLook w:val="04A0" w:firstRow="1" w:lastRow="0" w:firstColumn="1" w:lastColumn="0" w:noHBand="0" w:noVBand="1"/>
      </w:tblPr>
      <w:tblGrid>
        <w:gridCol w:w="613"/>
        <w:gridCol w:w="1237"/>
        <w:gridCol w:w="838"/>
        <w:gridCol w:w="849"/>
        <w:gridCol w:w="764"/>
        <w:gridCol w:w="1335"/>
        <w:gridCol w:w="1289"/>
        <w:gridCol w:w="391"/>
        <w:gridCol w:w="1334"/>
        <w:gridCol w:w="1336"/>
      </w:tblGrid>
      <w:tr w:rsidR="009D6D4E" w:rsidRPr="00775508" w14:paraId="7E552221" w14:textId="77777777" w:rsidTr="00BF3B71">
        <w:trPr>
          <w:trHeight w:val="364"/>
        </w:trPr>
        <w:tc>
          <w:tcPr>
            <w:tcW w:w="998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0880C86" w14:textId="77777777" w:rsidR="009D6D4E" w:rsidRPr="00775508" w:rsidRDefault="009D6D4E" w:rsidP="00BF3B71">
            <w:pPr>
              <w:jc w:val="both"/>
              <w:rPr>
                <w:b/>
                <w:bCs/>
                <w:color w:val="000000"/>
                <w:sz w:val="18"/>
                <w:szCs w:val="18"/>
              </w:rPr>
            </w:pPr>
            <w:r w:rsidRPr="00775508">
              <w:rPr>
                <w:b/>
                <w:bCs/>
                <w:color w:val="000000"/>
                <w:sz w:val="18"/>
                <w:szCs w:val="18"/>
              </w:rPr>
              <w:t xml:space="preserve">Tabela 10 a. </w:t>
            </w:r>
            <w:r w:rsidRPr="00775508">
              <w:rPr>
                <w:rFonts w:ascii="Calibri" w:hAnsi="Calibri" w:cs="Calibri"/>
                <w:b/>
                <w:bCs/>
                <w:color w:val="000000"/>
                <w:sz w:val="18"/>
                <w:szCs w:val="18"/>
              </w:rPr>
              <w:t xml:space="preserve">  Kostimi i masës së reformës strukturore : Masa #1: Ulja e konsumit te energjise me ane te masave te eficiences se energjise </w:t>
            </w:r>
          </w:p>
        </w:tc>
      </w:tr>
      <w:tr w:rsidR="009D6D4E" w:rsidRPr="00775508" w14:paraId="22CB9EA5" w14:textId="77777777" w:rsidTr="00BF3B71">
        <w:trPr>
          <w:trHeight w:val="425"/>
        </w:trPr>
        <w:tc>
          <w:tcPr>
            <w:tcW w:w="613" w:type="dxa"/>
            <w:tcBorders>
              <w:top w:val="nil"/>
              <w:left w:val="single" w:sz="4" w:space="0" w:color="auto"/>
              <w:bottom w:val="single" w:sz="4" w:space="0" w:color="auto"/>
              <w:right w:val="single" w:sz="4" w:space="0" w:color="auto"/>
            </w:tcBorders>
            <w:shd w:val="clear" w:color="000000" w:fill="FFFFFF"/>
            <w:vAlign w:val="center"/>
            <w:hideMark/>
          </w:tcPr>
          <w:p w14:paraId="230B47B3" w14:textId="77777777" w:rsidR="009D6D4E" w:rsidRPr="00775508" w:rsidRDefault="009D6D4E" w:rsidP="00BF3B71">
            <w:pPr>
              <w:jc w:val="both"/>
              <w:rPr>
                <w:color w:val="000000"/>
                <w:sz w:val="18"/>
                <w:szCs w:val="18"/>
              </w:rPr>
            </w:pPr>
            <w:r w:rsidRPr="00775508">
              <w:rPr>
                <w:color w:val="000000"/>
                <w:sz w:val="18"/>
                <w:szCs w:val="18"/>
              </w:rPr>
              <w:t xml:space="preserve">Viti </w:t>
            </w:r>
          </w:p>
        </w:tc>
        <w:tc>
          <w:tcPr>
            <w:tcW w:w="1237" w:type="dxa"/>
            <w:tcBorders>
              <w:top w:val="nil"/>
              <w:left w:val="nil"/>
              <w:bottom w:val="single" w:sz="4" w:space="0" w:color="auto"/>
              <w:right w:val="single" w:sz="4" w:space="0" w:color="auto"/>
            </w:tcBorders>
            <w:shd w:val="clear" w:color="auto" w:fill="auto"/>
            <w:vAlign w:val="center"/>
            <w:hideMark/>
          </w:tcPr>
          <w:p w14:paraId="02CA58DA" w14:textId="77777777" w:rsidR="009D6D4E" w:rsidRPr="00775508" w:rsidRDefault="009D6D4E" w:rsidP="00BF3B71">
            <w:pPr>
              <w:jc w:val="right"/>
              <w:rPr>
                <w:color w:val="000000"/>
                <w:sz w:val="18"/>
                <w:szCs w:val="18"/>
              </w:rPr>
            </w:pPr>
            <w:r w:rsidRPr="00775508">
              <w:rPr>
                <w:color w:val="000000"/>
                <w:sz w:val="18"/>
                <w:szCs w:val="18"/>
              </w:rPr>
              <w:t>Pagat</w:t>
            </w:r>
          </w:p>
        </w:tc>
        <w:tc>
          <w:tcPr>
            <w:tcW w:w="2451" w:type="dxa"/>
            <w:gridSpan w:val="3"/>
            <w:tcBorders>
              <w:top w:val="nil"/>
              <w:left w:val="nil"/>
              <w:bottom w:val="single" w:sz="4" w:space="0" w:color="auto"/>
              <w:right w:val="single" w:sz="4" w:space="0" w:color="auto"/>
            </w:tcBorders>
            <w:shd w:val="clear" w:color="auto" w:fill="auto"/>
            <w:vAlign w:val="center"/>
            <w:hideMark/>
          </w:tcPr>
          <w:p w14:paraId="27BF46DD" w14:textId="77777777" w:rsidR="009D6D4E" w:rsidRPr="00775508" w:rsidRDefault="009D6D4E" w:rsidP="00BF3B71">
            <w:pPr>
              <w:jc w:val="right"/>
              <w:rPr>
                <w:color w:val="000000"/>
                <w:sz w:val="18"/>
                <w:szCs w:val="18"/>
              </w:rPr>
            </w:pPr>
            <w:r w:rsidRPr="00775508">
              <w:rPr>
                <w:color w:val="000000"/>
                <w:sz w:val="18"/>
                <w:szCs w:val="18"/>
              </w:rPr>
              <w:t>Mallra dhe shërbime</w:t>
            </w:r>
          </w:p>
        </w:tc>
        <w:tc>
          <w:tcPr>
            <w:tcW w:w="2624" w:type="dxa"/>
            <w:gridSpan w:val="2"/>
            <w:tcBorders>
              <w:top w:val="nil"/>
              <w:left w:val="nil"/>
              <w:bottom w:val="single" w:sz="4" w:space="0" w:color="auto"/>
              <w:right w:val="single" w:sz="4" w:space="0" w:color="auto"/>
            </w:tcBorders>
            <w:shd w:val="clear" w:color="auto" w:fill="auto"/>
            <w:vAlign w:val="center"/>
            <w:hideMark/>
          </w:tcPr>
          <w:p w14:paraId="700E5172" w14:textId="77777777" w:rsidR="009D6D4E" w:rsidRPr="00775508" w:rsidRDefault="009D6D4E" w:rsidP="00BF3B71">
            <w:pPr>
              <w:jc w:val="right"/>
              <w:rPr>
                <w:color w:val="000000"/>
                <w:sz w:val="18"/>
                <w:szCs w:val="18"/>
              </w:rPr>
            </w:pPr>
            <w:r w:rsidRPr="00775508">
              <w:rPr>
                <w:color w:val="000000"/>
                <w:sz w:val="18"/>
                <w:szCs w:val="18"/>
              </w:rPr>
              <w:t>Subvencione dhe transfere</w:t>
            </w:r>
          </w:p>
        </w:tc>
        <w:tc>
          <w:tcPr>
            <w:tcW w:w="1725" w:type="dxa"/>
            <w:gridSpan w:val="2"/>
            <w:tcBorders>
              <w:top w:val="nil"/>
              <w:left w:val="nil"/>
              <w:bottom w:val="single" w:sz="4" w:space="0" w:color="auto"/>
              <w:right w:val="single" w:sz="4" w:space="0" w:color="auto"/>
            </w:tcBorders>
            <w:shd w:val="clear" w:color="auto" w:fill="auto"/>
            <w:vAlign w:val="center"/>
            <w:hideMark/>
          </w:tcPr>
          <w:p w14:paraId="705765FE" w14:textId="77777777" w:rsidR="009D6D4E" w:rsidRPr="00775508" w:rsidRDefault="009D6D4E" w:rsidP="00BF3B71">
            <w:pPr>
              <w:jc w:val="right"/>
              <w:rPr>
                <w:color w:val="000000"/>
                <w:sz w:val="18"/>
                <w:szCs w:val="18"/>
              </w:rPr>
            </w:pPr>
            <w:r w:rsidRPr="00775508">
              <w:rPr>
                <w:color w:val="000000"/>
                <w:sz w:val="18"/>
                <w:szCs w:val="18"/>
              </w:rPr>
              <w:t xml:space="preserve">Shpenzimet kapitale </w:t>
            </w:r>
          </w:p>
        </w:tc>
        <w:tc>
          <w:tcPr>
            <w:tcW w:w="1336" w:type="dxa"/>
            <w:tcBorders>
              <w:top w:val="nil"/>
              <w:left w:val="nil"/>
              <w:bottom w:val="single" w:sz="4" w:space="0" w:color="auto"/>
              <w:right w:val="single" w:sz="4" w:space="0" w:color="auto"/>
            </w:tcBorders>
            <w:shd w:val="clear" w:color="000000" w:fill="FFFFFF"/>
            <w:vAlign w:val="center"/>
            <w:hideMark/>
          </w:tcPr>
          <w:p w14:paraId="63F0AA8C" w14:textId="77777777" w:rsidR="009D6D4E" w:rsidRPr="00775508" w:rsidRDefault="009D6D4E" w:rsidP="00BF3B71">
            <w:pPr>
              <w:jc w:val="both"/>
              <w:rPr>
                <w:color w:val="000000"/>
                <w:sz w:val="18"/>
                <w:szCs w:val="18"/>
              </w:rPr>
            </w:pPr>
            <w:r w:rsidRPr="00775508">
              <w:rPr>
                <w:color w:val="000000"/>
                <w:sz w:val="18"/>
                <w:szCs w:val="18"/>
              </w:rPr>
              <w:t>Total</w:t>
            </w:r>
          </w:p>
        </w:tc>
      </w:tr>
      <w:tr w:rsidR="009D6D4E" w:rsidRPr="00775508" w14:paraId="27C3384F" w14:textId="77777777" w:rsidTr="00BF3B71">
        <w:trPr>
          <w:trHeight w:val="349"/>
        </w:trPr>
        <w:tc>
          <w:tcPr>
            <w:tcW w:w="613" w:type="dxa"/>
            <w:tcBorders>
              <w:top w:val="nil"/>
              <w:left w:val="single" w:sz="4" w:space="0" w:color="auto"/>
              <w:bottom w:val="single" w:sz="4" w:space="0" w:color="auto"/>
              <w:right w:val="single" w:sz="4" w:space="0" w:color="auto"/>
            </w:tcBorders>
            <w:shd w:val="clear" w:color="000000" w:fill="FFFFFF"/>
            <w:vAlign w:val="center"/>
            <w:hideMark/>
          </w:tcPr>
          <w:p w14:paraId="7891D4FD" w14:textId="77777777" w:rsidR="009D6D4E" w:rsidRPr="00775508" w:rsidRDefault="009D6D4E" w:rsidP="00BF3B71">
            <w:pPr>
              <w:jc w:val="both"/>
              <w:rPr>
                <w:color w:val="000000"/>
                <w:sz w:val="18"/>
                <w:szCs w:val="18"/>
              </w:rPr>
            </w:pPr>
            <w:r w:rsidRPr="00775508">
              <w:rPr>
                <w:color w:val="000000"/>
                <w:sz w:val="18"/>
                <w:szCs w:val="18"/>
              </w:rPr>
              <w:t>2020</w:t>
            </w:r>
          </w:p>
        </w:tc>
        <w:tc>
          <w:tcPr>
            <w:tcW w:w="1237" w:type="dxa"/>
            <w:tcBorders>
              <w:top w:val="nil"/>
              <w:left w:val="nil"/>
              <w:bottom w:val="single" w:sz="4" w:space="0" w:color="auto"/>
              <w:right w:val="single" w:sz="4" w:space="0" w:color="auto"/>
            </w:tcBorders>
            <w:shd w:val="clear" w:color="000000" w:fill="FFFFFF"/>
            <w:vAlign w:val="center"/>
            <w:hideMark/>
          </w:tcPr>
          <w:p w14:paraId="0DA4DED5" w14:textId="77777777" w:rsidR="009D6D4E" w:rsidRPr="00775508" w:rsidRDefault="009D6D4E" w:rsidP="00BF3B71">
            <w:pPr>
              <w:rPr>
                <w:color w:val="000000"/>
                <w:sz w:val="18"/>
                <w:szCs w:val="18"/>
              </w:rPr>
            </w:pPr>
            <w:r w:rsidRPr="00775508">
              <w:rPr>
                <w:color w:val="000000"/>
                <w:sz w:val="18"/>
                <w:szCs w:val="18"/>
              </w:rPr>
              <w:t xml:space="preserve">                                -   </w:t>
            </w:r>
          </w:p>
        </w:tc>
        <w:tc>
          <w:tcPr>
            <w:tcW w:w="2451" w:type="dxa"/>
            <w:gridSpan w:val="3"/>
            <w:tcBorders>
              <w:top w:val="nil"/>
              <w:left w:val="nil"/>
              <w:bottom w:val="single" w:sz="4" w:space="0" w:color="auto"/>
              <w:right w:val="single" w:sz="4" w:space="0" w:color="auto"/>
            </w:tcBorders>
            <w:shd w:val="clear" w:color="000000" w:fill="FFFFFF"/>
            <w:vAlign w:val="center"/>
            <w:hideMark/>
          </w:tcPr>
          <w:p w14:paraId="09053AAB" w14:textId="77777777" w:rsidR="009D6D4E" w:rsidRPr="00775508" w:rsidRDefault="009D6D4E" w:rsidP="00BF3B71">
            <w:pPr>
              <w:jc w:val="both"/>
              <w:rPr>
                <w:color w:val="000000"/>
                <w:sz w:val="18"/>
                <w:szCs w:val="18"/>
              </w:rPr>
            </w:pPr>
            <w:r w:rsidRPr="00775508">
              <w:rPr>
                <w:color w:val="000000"/>
                <w:sz w:val="18"/>
                <w:szCs w:val="18"/>
              </w:rPr>
              <w:t xml:space="preserve">                      4,247,650 </w:t>
            </w:r>
          </w:p>
        </w:tc>
        <w:tc>
          <w:tcPr>
            <w:tcW w:w="2624" w:type="dxa"/>
            <w:gridSpan w:val="2"/>
            <w:tcBorders>
              <w:top w:val="nil"/>
              <w:left w:val="nil"/>
              <w:bottom w:val="single" w:sz="4" w:space="0" w:color="auto"/>
              <w:right w:val="single" w:sz="4" w:space="0" w:color="auto"/>
            </w:tcBorders>
            <w:shd w:val="clear" w:color="000000" w:fill="FFFFFF"/>
            <w:vAlign w:val="center"/>
            <w:hideMark/>
          </w:tcPr>
          <w:p w14:paraId="28A868D2" w14:textId="77777777" w:rsidR="009D6D4E" w:rsidRPr="00775508" w:rsidRDefault="009D6D4E" w:rsidP="00BF3B71">
            <w:pPr>
              <w:jc w:val="both"/>
              <w:rPr>
                <w:color w:val="000000"/>
                <w:sz w:val="18"/>
                <w:szCs w:val="18"/>
              </w:rPr>
            </w:pPr>
            <w:r w:rsidRPr="00775508">
              <w:rPr>
                <w:color w:val="000000"/>
                <w:sz w:val="18"/>
                <w:szCs w:val="18"/>
              </w:rPr>
              <w:t xml:space="preserve">                   19,400,000 </w:t>
            </w:r>
          </w:p>
        </w:tc>
        <w:tc>
          <w:tcPr>
            <w:tcW w:w="1725" w:type="dxa"/>
            <w:gridSpan w:val="2"/>
            <w:tcBorders>
              <w:top w:val="nil"/>
              <w:left w:val="nil"/>
              <w:bottom w:val="single" w:sz="4" w:space="0" w:color="auto"/>
              <w:right w:val="single" w:sz="4" w:space="0" w:color="auto"/>
            </w:tcBorders>
            <w:shd w:val="clear" w:color="000000" w:fill="FFFFFF"/>
            <w:vAlign w:val="center"/>
            <w:hideMark/>
          </w:tcPr>
          <w:p w14:paraId="5FCA0AB1" w14:textId="77777777" w:rsidR="009D6D4E" w:rsidRPr="00775508" w:rsidRDefault="009D6D4E" w:rsidP="00BF3B71">
            <w:pPr>
              <w:jc w:val="both"/>
              <w:rPr>
                <w:color w:val="000000"/>
                <w:sz w:val="18"/>
                <w:szCs w:val="18"/>
              </w:rPr>
            </w:pPr>
            <w:r w:rsidRPr="00775508">
              <w:rPr>
                <w:color w:val="000000"/>
                <w:sz w:val="18"/>
                <w:szCs w:val="18"/>
              </w:rPr>
              <w:t xml:space="preserve">                 39,431,000 </w:t>
            </w:r>
          </w:p>
        </w:tc>
        <w:tc>
          <w:tcPr>
            <w:tcW w:w="1336" w:type="dxa"/>
            <w:tcBorders>
              <w:top w:val="nil"/>
              <w:left w:val="nil"/>
              <w:bottom w:val="single" w:sz="4" w:space="0" w:color="auto"/>
              <w:right w:val="single" w:sz="4" w:space="0" w:color="auto"/>
            </w:tcBorders>
            <w:shd w:val="clear" w:color="000000" w:fill="FFFFFF"/>
            <w:vAlign w:val="center"/>
            <w:hideMark/>
          </w:tcPr>
          <w:p w14:paraId="6509104D" w14:textId="77777777" w:rsidR="009D6D4E" w:rsidRPr="00534399" w:rsidRDefault="009D6D4E" w:rsidP="00BF3B71">
            <w:pPr>
              <w:jc w:val="both"/>
              <w:rPr>
                <w:b/>
                <w:color w:val="000000"/>
                <w:sz w:val="18"/>
                <w:szCs w:val="18"/>
              </w:rPr>
            </w:pPr>
            <w:r w:rsidRPr="00534399">
              <w:rPr>
                <w:b/>
                <w:color w:val="000000"/>
                <w:sz w:val="18"/>
                <w:szCs w:val="18"/>
              </w:rPr>
              <w:t xml:space="preserve">                    63,078,650 </w:t>
            </w:r>
          </w:p>
        </w:tc>
      </w:tr>
      <w:tr w:rsidR="009D6D4E" w:rsidRPr="00775508" w14:paraId="299D24DB" w14:textId="77777777" w:rsidTr="00BF3B71">
        <w:trPr>
          <w:trHeight w:val="243"/>
        </w:trPr>
        <w:tc>
          <w:tcPr>
            <w:tcW w:w="613" w:type="dxa"/>
            <w:tcBorders>
              <w:top w:val="nil"/>
              <w:left w:val="single" w:sz="4" w:space="0" w:color="auto"/>
              <w:bottom w:val="single" w:sz="4" w:space="0" w:color="auto"/>
              <w:right w:val="single" w:sz="4" w:space="0" w:color="auto"/>
            </w:tcBorders>
            <w:shd w:val="clear" w:color="000000" w:fill="FFFFFF"/>
            <w:vAlign w:val="center"/>
            <w:hideMark/>
          </w:tcPr>
          <w:p w14:paraId="0753FC7B" w14:textId="77777777" w:rsidR="009D6D4E" w:rsidRPr="00775508" w:rsidRDefault="009D6D4E" w:rsidP="00BF3B71">
            <w:pPr>
              <w:jc w:val="both"/>
              <w:rPr>
                <w:color w:val="000000"/>
                <w:sz w:val="18"/>
                <w:szCs w:val="18"/>
              </w:rPr>
            </w:pPr>
            <w:r w:rsidRPr="00775508">
              <w:rPr>
                <w:color w:val="000000"/>
                <w:sz w:val="18"/>
                <w:szCs w:val="18"/>
              </w:rPr>
              <w:t>2021</w:t>
            </w:r>
          </w:p>
        </w:tc>
        <w:tc>
          <w:tcPr>
            <w:tcW w:w="1237" w:type="dxa"/>
            <w:tcBorders>
              <w:top w:val="nil"/>
              <w:left w:val="nil"/>
              <w:bottom w:val="single" w:sz="4" w:space="0" w:color="auto"/>
              <w:right w:val="single" w:sz="4" w:space="0" w:color="auto"/>
            </w:tcBorders>
            <w:shd w:val="clear" w:color="000000" w:fill="FFFFFF"/>
            <w:vAlign w:val="center"/>
            <w:hideMark/>
          </w:tcPr>
          <w:p w14:paraId="3C099CA0" w14:textId="77777777" w:rsidR="009D6D4E" w:rsidRPr="00775508" w:rsidRDefault="009D6D4E" w:rsidP="00BF3B71">
            <w:pPr>
              <w:rPr>
                <w:color w:val="000000"/>
                <w:sz w:val="18"/>
                <w:szCs w:val="18"/>
              </w:rPr>
            </w:pPr>
            <w:r w:rsidRPr="00775508">
              <w:rPr>
                <w:color w:val="000000"/>
                <w:sz w:val="18"/>
                <w:szCs w:val="18"/>
              </w:rPr>
              <w:t xml:space="preserve">                                -   </w:t>
            </w:r>
          </w:p>
        </w:tc>
        <w:tc>
          <w:tcPr>
            <w:tcW w:w="2451" w:type="dxa"/>
            <w:gridSpan w:val="3"/>
            <w:tcBorders>
              <w:top w:val="nil"/>
              <w:left w:val="nil"/>
              <w:bottom w:val="single" w:sz="4" w:space="0" w:color="auto"/>
              <w:right w:val="single" w:sz="4" w:space="0" w:color="auto"/>
            </w:tcBorders>
            <w:shd w:val="clear" w:color="000000" w:fill="FFFFFF"/>
            <w:vAlign w:val="center"/>
            <w:hideMark/>
          </w:tcPr>
          <w:p w14:paraId="57CA8AD4" w14:textId="77777777" w:rsidR="009D6D4E" w:rsidRPr="00775508" w:rsidRDefault="009D6D4E" w:rsidP="00BF3B71">
            <w:pPr>
              <w:jc w:val="both"/>
              <w:rPr>
                <w:color w:val="000000"/>
                <w:sz w:val="18"/>
                <w:szCs w:val="18"/>
              </w:rPr>
            </w:pPr>
            <w:r w:rsidRPr="00775508">
              <w:rPr>
                <w:color w:val="000000"/>
                <w:sz w:val="18"/>
                <w:szCs w:val="18"/>
              </w:rPr>
              <w:t xml:space="preserve">                      2,409,747 </w:t>
            </w:r>
          </w:p>
        </w:tc>
        <w:tc>
          <w:tcPr>
            <w:tcW w:w="2624" w:type="dxa"/>
            <w:gridSpan w:val="2"/>
            <w:tcBorders>
              <w:top w:val="nil"/>
              <w:left w:val="nil"/>
              <w:bottom w:val="single" w:sz="4" w:space="0" w:color="auto"/>
              <w:right w:val="single" w:sz="4" w:space="0" w:color="auto"/>
            </w:tcBorders>
            <w:shd w:val="clear" w:color="000000" w:fill="FFFFFF"/>
            <w:vAlign w:val="center"/>
            <w:hideMark/>
          </w:tcPr>
          <w:p w14:paraId="103CC5A7" w14:textId="77777777" w:rsidR="009D6D4E" w:rsidRPr="00775508" w:rsidRDefault="009D6D4E" w:rsidP="00BF3B71">
            <w:pPr>
              <w:jc w:val="both"/>
              <w:rPr>
                <w:color w:val="000000"/>
                <w:sz w:val="18"/>
                <w:szCs w:val="18"/>
              </w:rPr>
            </w:pPr>
            <w:r w:rsidRPr="00775508">
              <w:rPr>
                <w:color w:val="000000"/>
                <w:sz w:val="18"/>
                <w:szCs w:val="18"/>
              </w:rPr>
              <w:t xml:space="preserve">                   11,700,000 </w:t>
            </w:r>
          </w:p>
        </w:tc>
        <w:tc>
          <w:tcPr>
            <w:tcW w:w="1725" w:type="dxa"/>
            <w:gridSpan w:val="2"/>
            <w:tcBorders>
              <w:top w:val="nil"/>
              <w:left w:val="nil"/>
              <w:bottom w:val="single" w:sz="4" w:space="0" w:color="auto"/>
              <w:right w:val="single" w:sz="4" w:space="0" w:color="auto"/>
            </w:tcBorders>
            <w:shd w:val="clear" w:color="000000" w:fill="FFFFFF"/>
            <w:vAlign w:val="center"/>
            <w:hideMark/>
          </w:tcPr>
          <w:p w14:paraId="06775AF5" w14:textId="77777777" w:rsidR="009D6D4E" w:rsidRPr="00775508" w:rsidRDefault="009D6D4E" w:rsidP="00BF3B71">
            <w:pPr>
              <w:jc w:val="both"/>
              <w:rPr>
                <w:color w:val="000000"/>
                <w:sz w:val="18"/>
                <w:szCs w:val="18"/>
              </w:rPr>
            </w:pPr>
            <w:r w:rsidRPr="00775508">
              <w:rPr>
                <w:color w:val="000000"/>
                <w:sz w:val="18"/>
                <w:szCs w:val="18"/>
              </w:rPr>
              <w:t xml:space="preserve">                 24,603,000 </w:t>
            </w:r>
          </w:p>
        </w:tc>
        <w:tc>
          <w:tcPr>
            <w:tcW w:w="1336" w:type="dxa"/>
            <w:tcBorders>
              <w:top w:val="nil"/>
              <w:left w:val="nil"/>
              <w:bottom w:val="single" w:sz="4" w:space="0" w:color="auto"/>
              <w:right w:val="single" w:sz="4" w:space="0" w:color="auto"/>
            </w:tcBorders>
            <w:shd w:val="clear" w:color="000000" w:fill="FFFFFF"/>
            <w:vAlign w:val="center"/>
            <w:hideMark/>
          </w:tcPr>
          <w:p w14:paraId="2BE920D4" w14:textId="77777777" w:rsidR="009D6D4E" w:rsidRPr="00534399" w:rsidRDefault="009D6D4E" w:rsidP="00BF3B71">
            <w:pPr>
              <w:jc w:val="both"/>
              <w:rPr>
                <w:b/>
                <w:color w:val="000000"/>
                <w:sz w:val="18"/>
                <w:szCs w:val="18"/>
              </w:rPr>
            </w:pPr>
            <w:r w:rsidRPr="00534399">
              <w:rPr>
                <w:b/>
                <w:color w:val="000000"/>
                <w:sz w:val="18"/>
                <w:szCs w:val="18"/>
              </w:rPr>
              <w:t xml:space="preserve">                    38,712,747 </w:t>
            </w:r>
          </w:p>
        </w:tc>
      </w:tr>
      <w:tr w:rsidR="009D6D4E" w:rsidRPr="00775508" w14:paraId="0C7C860F" w14:textId="77777777" w:rsidTr="00BF3B71">
        <w:trPr>
          <w:trHeight w:val="243"/>
        </w:trPr>
        <w:tc>
          <w:tcPr>
            <w:tcW w:w="613" w:type="dxa"/>
            <w:tcBorders>
              <w:top w:val="nil"/>
              <w:left w:val="single" w:sz="4" w:space="0" w:color="auto"/>
              <w:bottom w:val="single" w:sz="4" w:space="0" w:color="auto"/>
              <w:right w:val="single" w:sz="4" w:space="0" w:color="auto"/>
            </w:tcBorders>
            <w:shd w:val="clear" w:color="000000" w:fill="FFFFFF"/>
            <w:vAlign w:val="center"/>
            <w:hideMark/>
          </w:tcPr>
          <w:p w14:paraId="0C9BB61C" w14:textId="77777777" w:rsidR="009D6D4E" w:rsidRPr="00775508" w:rsidRDefault="009D6D4E" w:rsidP="00BF3B71">
            <w:pPr>
              <w:jc w:val="both"/>
              <w:rPr>
                <w:color w:val="000000"/>
                <w:sz w:val="18"/>
                <w:szCs w:val="18"/>
              </w:rPr>
            </w:pPr>
            <w:r w:rsidRPr="00775508">
              <w:rPr>
                <w:color w:val="000000"/>
                <w:sz w:val="18"/>
                <w:szCs w:val="18"/>
              </w:rPr>
              <w:t>2022</w:t>
            </w:r>
          </w:p>
        </w:tc>
        <w:tc>
          <w:tcPr>
            <w:tcW w:w="1237" w:type="dxa"/>
            <w:tcBorders>
              <w:top w:val="nil"/>
              <w:left w:val="nil"/>
              <w:bottom w:val="single" w:sz="4" w:space="0" w:color="auto"/>
              <w:right w:val="single" w:sz="4" w:space="0" w:color="auto"/>
            </w:tcBorders>
            <w:shd w:val="clear" w:color="000000" w:fill="FFFFFF"/>
            <w:vAlign w:val="center"/>
            <w:hideMark/>
          </w:tcPr>
          <w:p w14:paraId="4CA60DC3" w14:textId="77777777" w:rsidR="009D6D4E" w:rsidRPr="00775508" w:rsidRDefault="009D6D4E" w:rsidP="00BF3B71">
            <w:pPr>
              <w:rPr>
                <w:color w:val="000000"/>
                <w:sz w:val="18"/>
                <w:szCs w:val="18"/>
              </w:rPr>
            </w:pPr>
            <w:r w:rsidRPr="00775508">
              <w:rPr>
                <w:color w:val="000000"/>
                <w:sz w:val="18"/>
                <w:szCs w:val="18"/>
              </w:rPr>
              <w:t xml:space="preserve">                                -   </w:t>
            </w:r>
          </w:p>
        </w:tc>
        <w:tc>
          <w:tcPr>
            <w:tcW w:w="2451" w:type="dxa"/>
            <w:gridSpan w:val="3"/>
            <w:tcBorders>
              <w:top w:val="nil"/>
              <w:left w:val="nil"/>
              <w:bottom w:val="single" w:sz="4" w:space="0" w:color="auto"/>
              <w:right w:val="single" w:sz="4" w:space="0" w:color="auto"/>
            </w:tcBorders>
            <w:shd w:val="clear" w:color="000000" w:fill="FFFFFF"/>
            <w:vAlign w:val="center"/>
            <w:hideMark/>
          </w:tcPr>
          <w:p w14:paraId="196AD785" w14:textId="77777777" w:rsidR="009D6D4E" w:rsidRPr="00775508" w:rsidRDefault="009D6D4E" w:rsidP="00BF3B71">
            <w:pPr>
              <w:jc w:val="both"/>
              <w:rPr>
                <w:color w:val="000000"/>
                <w:sz w:val="18"/>
                <w:szCs w:val="18"/>
              </w:rPr>
            </w:pPr>
            <w:r w:rsidRPr="00775508">
              <w:rPr>
                <w:color w:val="000000"/>
                <w:sz w:val="18"/>
                <w:szCs w:val="18"/>
              </w:rPr>
              <w:t xml:space="preserve">                   10,000,000 </w:t>
            </w:r>
          </w:p>
        </w:tc>
        <w:tc>
          <w:tcPr>
            <w:tcW w:w="2624" w:type="dxa"/>
            <w:gridSpan w:val="2"/>
            <w:tcBorders>
              <w:top w:val="nil"/>
              <w:left w:val="nil"/>
              <w:bottom w:val="single" w:sz="4" w:space="0" w:color="auto"/>
              <w:right w:val="single" w:sz="4" w:space="0" w:color="auto"/>
            </w:tcBorders>
            <w:shd w:val="clear" w:color="000000" w:fill="FFFFFF"/>
            <w:vAlign w:val="center"/>
            <w:hideMark/>
          </w:tcPr>
          <w:p w14:paraId="32DACF73" w14:textId="77777777" w:rsidR="009D6D4E" w:rsidRPr="00775508" w:rsidRDefault="009D6D4E" w:rsidP="00BF3B71">
            <w:pPr>
              <w:jc w:val="both"/>
              <w:rPr>
                <w:color w:val="000000"/>
                <w:sz w:val="18"/>
                <w:szCs w:val="18"/>
              </w:rPr>
            </w:pPr>
            <w:r w:rsidRPr="00775508">
              <w:rPr>
                <w:color w:val="000000"/>
                <w:sz w:val="18"/>
                <w:szCs w:val="18"/>
              </w:rPr>
              <w:t xml:space="preserve">                                      -   </w:t>
            </w:r>
          </w:p>
        </w:tc>
        <w:tc>
          <w:tcPr>
            <w:tcW w:w="1725" w:type="dxa"/>
            <w:gridSpan w:val="2"/>
            <w:tcBorders>
              <w:top w:val="nil"/>
              <w:left w:val="nil"/>
              <w:bottom w:val="single" w:sz="4" w:space="0" w:color="auto"/>
              <w:right w:val="single" w:sz="4" w:space="0" w:color="auto"/>
            </w:tcBorders>
            <w:shd w:val="clear" w:color="000000" w:fill="FFFFFF"/>
            <w:vAlign w:val="center"/>
            <w:hideMark/>
          </w:tcPr>
          <w:p w14:paraId="0F554938" w14:textId="77777777" w:rsidR="009D6D4E" w:rsidRPr="00775508" w:rsidRDefault="009D6D4E" w:rsidP="00BF3B71">
            <w:pPr>
              <w:jc w:val="both"/>
              <w:rPr>
                <w:color w:val="000000"/>
                <w:sz w:val="18"/>
                <w:szCs w:val="18"/>
              </w:rPr>
            </w:pPr>
            <w:r w:rsidRPr="00775508">
              <w:rPr>
                <w:color w:val="000000"/>
                <w:sz w:val="18"/>
                <w:szCs w:val="18"/>
              </w:rPr>
              <w:t xml:space="preserve">                 20,000,960 </w:t>
            </w:r>
          </w:p>
        </w:tc>
        <w:tc>
          <w:tcPr>
            <w:tcW w:w="1336" w:type="dxa"/>
            <w:tcBorders>
              <w:top w:val="nil"/>
              <w:left w:val="nil"/>
              <w:bottom w:val="single" w:sz="4" w:space="0" w:color="auto"/>
              <w:right w:val="single" w:sz="4" w:space="0" w:color="auto"/>
            </w:tcBorders>
            <w:shd w:val="clear" w:color="000000" w:fill="FFFFFF"/>
            <w:vAlign w:val="center"/>
            <w:hideMark/>
          </w:tcPr>
          <w:p w14:paraId="55E6A609" w14:textId="77777777" w:rsidR="009D6D4E" w:rsidRPr="00534399" w:rsidRDefault="009D6D4E" w:rsidP="00BF3B71">
            <w:pPr>
              <w:jc w:val="both"/>
              <w:rPr>
                <w:b/>
                <w:color w:val="000000"/>
                <w:sz w:val="18"/>
                <w:szCs w:val="18"/>
              </w:rPr>
            </w:pPr>
            <w:r w:rsidRPr="00534399">
              <w:rPr>
                <w:b/>
                <w:color w:val="000000"/>
                <w:sz w:val="18"/>
                <w:szCs w:val="18"/>
              </w:rPr>
              <w:t xml:space="preserve">                    30,000,960 </w:t>
            </w:r>
          </w:p>
        </w:tc>
      </w:tr>
      <w:tr w:rsidR="009D6D4E" w:rsidRPr="00775508" w14:paraId="5CF2E4A4" w14:textId="77777777" w:rsidTr="00BF3B71">
        <w:trPr>
          <w:trHeight w:val="425"/>
        </w:trPr>
        <w:tc>
          <w:tcPr>
            <w:tcW w:w="998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02F984F" w14:textId="77777777" w:rsidR="009D6D4E" w:rsidRPr="00775508" w:rsidRDefault="009D6D4E" w:rsidP="00BF3B71">
            <w:pPr>
              <w:rPr>
                <w:b/>
                <w:bCs/>
                <w:color w:val="000000"/>
                <w:sz w:val="18"/>
                <w:szCs w:val="18"/>
              </w:rPr>
            </w:pPr>
            <w:r w:rsidRPr="00775508">
              <w:rPr>
                <w:b/>
                <w:bCs/>
                <w:color w:val="000000"/>
                <w:sz w:val="18"/>
                <w:szCs w:val="18"/>
              </w:rPr>
              <w:t xml:space="preserve">Tabela 10 b.   Financimi i masës së reformës strukturore: Masa #1: Ulja e konsumit te energjise me ane te masave te eficiences se energjise </w:t>
            </w:r>
          </w:p>
        </w:tc>
      </w:tr>
      <w:tr w:rsidR="009D6D4E" w:rsidRPr="00775508" w14:paraId="16A60233" w14:textId="77777777" w:rsidTr="00BF3B71">
        <w:trPr>
          <w:trHeight w:val="395"/>
        </w:trPr>
        <w:tc>
          <w:tcPr>
            <w:tcW w:w="613" w:type="dxa"/>
            <w:tcBorders>
              <w:top w:val="nil"/>
              <w:left w:val="single" w:sz="4" w:space="0" w:color="auto"/>
              <w:bottom w:val="single" w:sz="4" w:space="0" w:color="auto"/>
              <w:right w:val="single" w:sz="4" w:space="0" w:color="auto"/>
            </w:tcBorders>
            <w:shd w:val="clear" w:color="auto" w:fill="auto"/>
            <w:vAlign w:val="center"/>
            <w:hideMark/>
          </w:tcPr>
          <w:p w14:paraId="6D3A4E87" w14:textId="77777777" w:rsidR="009D6D4E" w:rsidRPr="00775508" w:rsidRDefault="009D6D4E" w:rsidP="00BF3B71">
            <w:pPr>
              <w:rPr>
                <w:color w:val="000000"/>
                <w:sz w:val="18"/>
                <w:szCs w:val="18"/>
              </w:rPr>
            </w:pPr>
            <w:r w:rsidRPr="00775508">
              <w:rPr>
                <w:color w:val="000000"/>
                <w:sz w:val="18"/>
                <w:szCs w:val="18"/>
              </w:rPr>
              <w:t>Year</w:t>
            </w:r>
          </w:p>
        </w:tc>
        <w:tc>
          <w:tcPr>
            <w:tcW w:w="1237" w:type="dxa"/>
            <w:tcBorders>
              <w:top w:val="nil"/>
              <w:left w:val="nil"/>
              <w:bottom w:val="single" w:sz="4" w:space="0" w:color="auto"/>
              <w:right w:val="single" w:sz="4" w:space="0" w:color="auto"/>
            </w:tcBorders>
            <w:shd w:val="clear" w:color="auto" w:fill="auto"/>
            <w:vAlign w:val="center"/>
            <w:hideMark/>
          </w:tcPr>
          <w:p w14:paraId="70E380E9" w14:textId="77777777" w:rsidR="009D6D4E" w:rsidRPr="00775508" w:rsidRDefault="009D6D4E" w:rsidP="00BF3B71">
            <w:pPr>
              <w:rPr>
                <w:color w:val="000000"/>
                <w:sz w:val="18"/>
                <w:szCs w:val="18"/>
              </w:rPr>
            </w:pPr>
            <w:r w:rsidRPr="00775508">
              <w:rPr>
                <w:color w:val="000000"/>
                <w:sz w:val="18"/>
                <w:szCs w:val="18"/>
              </w:rPr>
              <w:t>Buxheti Qendror</w:t>
            </w:r>
          </w:p>
        </w:tc>
        <w:tc>
          <w:tcPr>
            <w:tcW w:w="838" w:type="dxa"/>
            <w:tcBorders>
              <w:top w:val="nil"/>
              <w:left w:val="nil"/>
              <w:bottom w:val="single" w:sz="4" w:space="0" w:color="auto"/>
              <w:right w:val="single" w:sz="4" w:space="0" w:color="auto"/>
            </w:tcBorders>
            <w:shd w:val="clear" w:color="auto" w:fill="auto"/>
            <w:noWrap/>
            <w:vAlign w:val="center"/>
            <w:hideMark/>
          </w:tcPr>
          <w:p w14:paraId="62D54BD3" w14:textId="77777777" w:rsidR="009D6D4E" w:rsidRPr="00775508" w:rsidRDefault="009D6D4E" w:rsidP="00BF3B71">
            <w:pPr>
              <w:jc w:val="right"/>
              <w:rPr>
                <w:color w:val="000000"/>
                <w:sz w:val="18"/>
                <w:szCs w:val="18"/>
              </w:rPr>
            </w:pPr>
            <w:r w:rsidRPr="00775508">
              <w:rPr>
                <w:color w:val="000000"/>
                <w:sz w:val="18"/>
                <w:szCs w:val="18"/>
              </w:rPr>
              <w:t>Buxheti Lokal</w:t>
            </w:r>
          </w:p>
        </w:tc>
        <w:tc>
          <w:tcPr>
            <w:tcW w:w="849" w:type="dxa"/>
            <w:tcBorders>
              <w:top w:val="nil"/>
              <w:left w:val="nil"/>
              <w:bottom w:val="single" w:sz="4" w:space="0" w:color="auto"/>
              <w:right w:val="single" w:sz="4" w:space="0" w:color="auto"/>
            </w:tcBorders>
            <w:shd w:val="clear" w:color="auto" w:fill="auto"/>
            <w:vAlign w:val="center"/>
            <w:hideMark/>
          </w:tcPr>
          <w:p w14:paraId="2BCACE1F" w14:textId="77777777" w:rsidR="009D6D4E" w:rsidRPr="00775508" w:rsidRDefault="009D6D4E" w:rsidP="00BF3B71">
            <w:pPr>
              <w:rPr>
                <w:color w:val="000000"/>
                <w:sz w:val="18"/>
                <w:szCs w:val="18"/>
              </w:rPr>
            </w:pPr>
            <w:r w:rsidRPr="00775508">
              <w:rPr>
                <w:color w:val="000000"/>
                <w:sz w:val="18"/>
                <w:szCs w:val="18"/>
              </w:rPr>
              <w:t>Burime tjera nga financat publike te shtetit</w:t>
            </w:r>
          </w:p>
        </w:tc>
        <w:tc>
          <w:tcPr>
            <w:tcW w:w="764" w:type="dxa"/>
            <w:tcBorders>
              <w:top w:val="nil"/>
              <w:left w:val="nil"/>
              <w:bottom w:val="single" w:sz="4" w:space="0" w:color="auto"/>
              <w:right w:val="single" w:sz="4" w:space="0" w:color="auto"/>
            </w:tcBorders>
            <w:shd w:val="clear" w:color="auto" w:fill="auto"/>
            <w:noWrap/>
            <w:vAlign w:val="center"/>
            <w:hideMark/>
          </w:tcPr>
          <w:p w14:paraId="1E524764" w14:textId="77777777" w:rsidR="009D6D4E" w:rsidRPr="00775508" w:rsidRDefault="009D6D4E" w:rsidP="00BF3B71">
            <w:pPr>
              <w:jc w:val="right"/>
              <w:rPr>
                <w:color w:val="000000"/>
                <w:sz w:val="18"/>
                <w:szCs w:val="18"/>
              </w:rPr>
            </w:pPr>
            <w:r w:rsidRPr="00775508">
              <w:rPr>
                <w:color w:val="000000"/>
                <w:sz w:val="18"/>
                <w:szCs w:val="18"/>
              </w:rPr>
              <w:t>Fondet e IPA-sē</w:t>
            </w:r>
          </w:p>
        </w:tc>
        <w:tc>
          <w:tcPr>
            <w:tcW w:w="1335" w:type="dxa"/>
            <w:tcBorders>
              <w:top w:val="nil"/>
              <w:left w:val="nil"/>
              <w:bottom w:val="single" w:sz="4" w:space="0" w:color="auto"/>
              <w:right w:val="single" w:sz="4" w:space="0" w:color="auto"/>
            </w:tcBorders>
            <w:shd w:val="clear" w:color="auto" w:fill="auto"/>
            <w:noWrap/>
            <w:vAlign w:val="center"/>
            <w:hideMark/>
          </w:tcPr>
          <w:p w14:paraId="55898FC8" w14:textId="77777777" w:rsidR="009D6D4E" w:rsidRPr="00775508" w:rsidRDefault="009D6D4E" w:rsidP="00BF3B71">
            <w:pPr>
              <w:jc w:val="right"/>
              <w:rPr>
                <w:color w:val="000000"/>
                <w:sz w:val="18"/>
                <w:szCs w:val="18"/>
              </w:rPr>
            </w:pPr>
            <w:r w:rsidRPr="00775508">
              <w:rPr>
                <w:color w:val="000000"/>
                <w:sz w:val="18"/>
                <w:szCs w:val="18"/>
              </w:rPr>
              <w:t xml:space="preserve">Grantet tjera ( BB, MCC, EU) </w:t>
            </w:r>
          </w:p>
        </w:tc>
        <w:tc>
          <w:tcPr>
            <w:tcW w:w="1680" w:type="dxa"/>
            <w:gridSpan w:val="2"/>
            <w:tcBorders>
              <w:top w:val="nil"/>
              <w:left w:val="nil"/>
              <w:bottom w:val="single" w:sz="4" w:space="0" w:color="auto"/>
              <w:right w:val="single" w:sz="4" w:space="0" w:color="auto"/>
            </w:tcBorders>
            <w:shd w:val="clear" w:color="auto" w:fill="auto"/>
            <w:vAlign w:val="center"/>
            <w:hideMark/>
          </w:tcPr>
          <w:p w14:paraId="195DDE4D" w14:textId="77777777" w:rsidR="009D6D4E" w:rsidRPr="00775508" w:rsidRDefault="009D6D4E" w:rsidP="00BF3B71">
            <w:pPr>
              <w:rPr>
                <w:color w:val="000000"/>
                <w:sz w:val="18"/>
                <w:szCs w:val="18"/>
              </w:rPr>
            </w:pPr>
            <w:r w:rsidRPr="00775508">
              <w:rPr>
                <w:color w:val="000000"/>
                <w:sz w:val="18"/>
                <w:szCs w:val="18"/>
              </w:rPr>
              <w:t>Kreditë/Huamarrje</w:t>
            </w:r>
          </w:p>
        </w:tc>
        <w:tc>
          <w:tcPr>
            <w:tcW w:w="1334" w:type="dxa"/>
            <w:tcBorders>
              <w:top w:val="nil"/>
              <w:left w:val="nil"/>
              <w:bottom w:val="single" w:sz="4" w:space="0" w:color="auto"/>
              <w:right w:val="single" w:sz="4" w:space="0" w:color="auto"/>
            </w:tcBorders>
            <w:shd w:val="clear" w:color="auto" w:fill="auto"/>
            <w:noWrap/>
            <w:vAlign w:val="center"/>
            <w:hideMark/>
          </w:tcPr>
          <w:p w14:paraId="4125E000" w14:textId="77777777" w:rsidR="009D6D4E" w:rsidRPr="00775508" w:rsidRDefault="009D6D4E" w:rsidP="00BF3B71">
            <w:pPr>
              <w:jc w:val="right"/>
              <w:rPr>
                <w:color w:val="000000"/>
                <w:sz w:val="18"/>
                <w:szCs w:val="18"/>
              </w:rPr>
            </w:pPr>
            <w:r w:rsidRPr="00775508">
              <w:rPr>
                <w:color w:val="000000"/>
                <w:sz w:val="18"/>
                <w:szCs w:val="18"/>
              </w:rPr>
              <w:t>Të përcaktohen (KEDS)</w:t>
            </w:r>
          </w:p>
        </w:tc>
        <w:tc>
          <w:tcPr>
            <w:tcW w:w="1336" w:type="dxa"/>
            <w:tcBorders>
              <w:top w:val="nil"/>
              <w:left w:val="nil"/>
              <w:bottom w:val="single" w:sz="4" w:space="0" w:color="auto"/>
              <w:right w:val="single" w:sz="4" w:space="0" w:color="auto"/>
            </w:tcBorders>
            <w:shd w:val="clear" w:color="auto" w:fill="auto"/>
            <w:noWrap/>
            <w:vAlign w:val="center"/>
            <w:hideMark/>
          </w:tcPr>
          <w:p w14:paraId="650F4A65" w14:textId="77777777" w:rsidR="009D6D4E" w:rsidRPr="00775508" w:rsidRDefault="009D6D4E" w:rsidP="00BF3B71">
            <w:pPr>
              <w:jc w:val="right"/>
              <w:rPr>
                <w:b/>
                <w:color w:val="000000"/>
                <w:sz w:val="18"/>
                <w:szCs w:val="18"/>
              </w:rPr>
            </w:pPr>
            <w:r w:rsidRPr="00775508">
              <w:rPr>
                <w:b/>
                <w:color w:val="000000"/>
                <w:sz w:val="18"/>
                <w:szCs w:val="18"/>
              </w:rPr>
              <w:t>Totali</w:t>
            </w:r>
          </w:p>
        </w:tc>
      </w:tr>
      <w:tr w:rsidR="009D6D4E" w:rsidRPr="00775508" w14:paraId="19B98F11" w14:textId="77777777" w:rsidTr="00BF3B71">
        <w:trPr>
          <w:trHeight w:val="243"/>
        </w:trPr>
        <w:tc>
          <w:tcPr>
            <w:tcW w:w="613" w:type="dxa"/>
            <w:tcBorders>
              <w:top w:val="nil"/>
              <w:left w:val="single" w:sz="4" w:space="0" w:color="auto"/>
              <w:bottom w:val="single" w:sz="4" w:space="0" w:color="auto"/>
              <w:right w:val="single" w:sz="4" w:space="0" w:color="auto"/>
            </w:tcBorders>
            <w:shd w:val="clear" w:color="auto" w:fill="auto"/>
            <w:vAlign w:val="center"/>
            <w:hideMark/>
          </w:tcPr>
          <w:p w14:paraId="79AF1B84" w14:textId="77777777" w:rsidR="009D6D4E" w:rsidRPr="00775508" w:rsidRDefault="009D6D4E" w:rsidP="00BF3B71">
            <w:pPr>
              <w:jc w:val="both"/>
              <w:rPr>
                <w:color w:val="000000"/>
                <w:sz w:val="18"/>
                <w:szCs w:val="18"/>
              </w:rPr>
            </w:pPr>
            <w:r w:rsidRPr="00775508">
              <w:rPr>
                <w:color w:val="000000"/>
                <w:sz w:val="18"/>
                <w:szCs w:val="18"/>
              </w:rPr>
              <w:t>2020</w:t>
            </w:r>
          </w:p>
        </w:tc>
        <w:tc>
          <w:tcPr>
            <w:tcW w:w="1237" w:type="dxa"/>
            <w:tcBorders>
              <w:top w:val="nil"/>
              <w:left w:val="nil"/>
              <w:bottom w:val="single" w:sz="4" w:space="0" w:color="auto"/>
              <w:right w:val="single" w:sz="4" w:space="0" w:color="auto"/>
            </w:tcBorders>
            <w:shd w:val="clear" w:color="auto" w:fill="auto"/>
            <w:vAlign w:val="center"/>
            <w:hideMark/>
          </w:tcPr>
          <w:p w14:paraId="4DBF919C" w14:textId="77777777" w:rsidR="009D6D4E" w:rsidRPr="00775508" w:rsidRDefault="009D6D4E" w:rsidP="00BF3B71">
            <w:pPr>
              <w:jc w:val="right"/>
              <w:rPr>
                <w:color w:val="000000"/>
                <w:sz w:val="18"/>
                <w:szCs w:val="18"/>
              </w:rPr>
            </w:pPr>
            <w:r w:rsidRPr="00775508">
              <w:rPr>
                <w:color w:val="000000"/>
                <w:sz w:val="18"/>
                <w:szCs w:val="18"/>
              </w:rPr>
              <w:t>3,140,000.00</w:t>
            </w:r>
          </w:p>
        </w:tc>
        <w:tc>
          <w:tcPr>
            <w:tcW w:w="838" w:type="dxa"/>
            <w:tcBorders>
              <w:top w:val="nil"/>
              <w:left w:val="nil"/>
              <w:bottom w:val="single" w:sz="4" w:space="0" w:color="auto"/>
              <w:right w:val="single" w:sz="4" w:space="0" w:color="auto"/>
            </w:tcBorders>
            <w:shd w:val="clear" w:color="auto" w:fill="auto"/>
            <w:vAlign w:val="center"/>
            <w:hideMark/>
          </w:tcPr>
          <w:p w14:paraId="4941F4D9" w14:textId="77777777" w:rsidR="009D6D4E" w:rsidRPr="00775508" w:rsidRDefault="009D6D4E" w:rsidP="00BF3B71">
            <w:pPr>
              <w:jc w:val="right"/>
              <w:rPr>
                <w:color w:val="000000"/>
                <w:sz w:val="18"/>
                <w:szCs w:val="18"/>
              </w:rPr>
            </w:pPr>
            <w:r w:rsidRPr="00775508">
              <w:rPr>
                <w:color w:val="000000"/>
                <w:sz w:val="18"/>
                <w:szCs w:val="18"/>
              </w:rPr>
              <w:t>0.00</w:t>
            </w:r>
          </w:p>
        </w:tc>
        <w:tc>
          <w:tcPr>
            <w:tcW w:w="849" w:type="dxa"/>
            <w:tcBorders>
              <w:top w:val="nil"/>
              <w:left w:val="nil"/>
              <w:bottom w:val="single" w:sz="4" w:space="0" w:color="auto"/>
              <w:right w:val="single" w:sz="4" w:space="0" w:color="auto"/>
            </w:tcBorders>
            <w:shd w:val="clear" w:color="auto" w:fill="auto"/>
            <w:vAlign w:val="center"/>
            <w:hideMark/>
          </w:tcPr>
          <w:p w14:paraId="025B073F" w14:textId="77777777" w:rsidR="009D6D4E" w:rsidRPr="00775508" w:rsidRDefault="009D6D4E" w:rsidP="00BF3B71">
            <w:pPr>
              <w:rPr>
                <w:color w:val="FF0000"/>
                <w:sz w:val="18"/>
                <w:szCs w:val="18"/>
              </w:rPr>
            </w:pPr>
            <w:r w:rsidRPr="00775508">
              <w:rPr>
                <w:color w:val="FF0000"/>
                <w:sz w:val="18"/>
                <w:szCs w:val="18"/>
              </w:rPr>
              <w:t> </w:t>
            </w:r>
          </w:p>
        </w:tc>
        <w:tc>
          <w:tcPr>
            <w:tcW w:w="764" w:type="dxa"/>
            <w:tcBorders>
              <w:top w:val="nil"/>
              <w:left w:val="nil"/>
              <w:bottom w:val="single" w:sz="4" w:space="0" w:color="auto"/>
              <w:right w:val="single" w:sz="4" w:space="0" w:color="auto"/>
            </w:tcBorders>
            <w:shd w:val="clear" w:color="auto" w:fill="auto"/>
            <w:vAlign w:val="center"/>
            <w:hideMark/>
          </w:tcPr>
          <w:p w14:paraId="7931AA44" w14:textId="77777777" w:rsidR="009D6D4E" w:rsidRPr="00775508" w:rsidRDefault="009D6D4E" w:rsidP="00BF3B71">
            <w:pPr>
              <w:jc w:val="right"/>
              <w:rPr>
                <w:color w:val="000000"/>
                <w:sz w:val="18"/>
                <w:szCs w:val="18"/>
              </w:rPr>
            </w:pPr>
            <w:r w:rsidRPr="00775508">
              <w:rPr>
                <w:color w:val="000000"/>
                <w:sz w:val="18"/>
                <w:szCs w:val="18"/>
              </w:rPr>
              <w:t>0.00</w:t>
            </w:r>
          </w:p>
        </w:tc>
        <w:tc>
          <w:tcPr>
            <w:tcW w:w="1335" w:type="dxa"/>
            <w:tcBorders>
              <w:top w:val="nil"/>
              <w:left w:val="nil"/>
              <w:bottom w:val="single" w:sz="4" w:space="0" w:color="auto"/>
              <w:right w:val="single" w:sz="4" w:space="0" w:color="auto"/>
            </w:tcBorders>
            <w:shd w:val="clear" w:color="auto" w:fill="auto"/>
            <w:vAlign w:val="center"/>
            <w:hideMark/>
          </w:tcPr>
          <w:p w14:paraId="015DDD42" w14:textId="77777777" w:rsidR="009D6D4E" w:rsidRPr="00775508" w:rsidRDefault="009D6D4E" w:rsidP="00BF3B71">
            <w:pPr>
              <w:jc w:val="right"/>
              <w:rPr>
                <w:color w:val="000000"/>
                <w:sz w:val="18"/>
                <w:szCs w:val="18"/>
              </w:rPr>
            </w:pPr>
            <w:r w:rsidRPr="00775508">
              <w:rPr>
                <w:color w:val="000000"/>
                <w:sz w:val="18"/>
                <w:szCs w:val="18"/>
              </w:rPr>
              <w:t>16,147,650.00</w:t>
            </w:r>
          </w:p>
        </w:tc>
        <w:tc>
          <w:tcPr>
            <w:tcW w:w="1680" w:type="dxa"/>
            <w:gridSpan w:val="2"/>
            <w:tcBorders>
              <w:top w:val="nil"/>
              <w:left w:val="nil"/>
              <w:bottom w:val="single" w:sz="4" w:space="0" w:color="auto"/>
              <w:right w:val="single" w:sz="4" w:space="0" w:color="auto"/>
            </w:tcBorders>
            <w:shd w:val="clear" w:color="auto" w:fill="auto"/>
            <w:vAlign w:val="center"/>
            <w:hideMark/>
          </w:tcPr>
          <w:p w14:paraId="08FDDC69" w14:textId="77777777" w:rsidR="009D6D4E" w:rsidRPr="00775508" w:rsidRDefault="009D6D4E" w:rsidP="00BF3B71">
            <w:pPr>
              <w:jc w:val="right"/>
              <w:rPr>
                <w:color w:val="000000"/>
                <w:sz w:val="18"/>
                <w:szCs w:val="18"/>
              </w:rPr>
            </w:pPr>
            <w:r w:rsidRPr="00775508">
              <w:rPr>
                <w:color w:val="000000"/>
                <w:sz w:val="18"/>
                <w:szCs w:val="18"/>
              </w:rPr>
              <w:t>7,500,000.00</w:t>
            </w:r>
          </w:p>
        </w:tc>
        <w:tc>
          <w:tcPr>
            <w:tcW w:w="1334" w:type="dxa"/>
            <w:tcBorders>
              <w:top w:val="nil"/>
              <w:left w:val="nil"/>
              <w:bottom w:val="single" w:sz="4" w:space="0" w:color="auto"/>
              <w:right w:val="single" w:sz="4" w:space="0" w:color="auto"/>
            </w:tcBorders>
            <w:shd w:val="clear" w:color="auto" w:fill="auto"/>
            <w:vAlign w:val="center"/>
            <w:hideMark/>
          </w:tcPr>
          <w:p w14:paraId="0DFD5ACD" w14:textId="77777777" w:rsidR="009D6D4E" w:rsidRPr="00775508" w:rsidRDefault="009D6D4E" w:rsidP="00BF3B71">
            <w:pPr>
              <w:jc w:val="right"/>
              <w:rPr>
                <w:color w:val="000000"/>
                <w:sz w:val="18"/>
                <w:szCs w:val="18"/>
              </w:rPr>
            </w:pPr>
            <w:r w:rsidRPr="00775508">
              <w:rPr>
                <w:color w:val="000000"/>
                <w:sz w:val="18"/>
                <w:szCs w:val="18"/>
              </w:rPr>
              <w:t>36,291,000.00</w:t>
            </w:r>
          </w:p>
        </w:tc>
        <w:tc>
          <w:tcPr>
            <w:tcW w:w="1336" w:type="dxa"/>
            <w:tcBorders>
              <w:top w:val="nil"/>
              <w:left w:val="nil"/>
              <w:bottom w:val="single" w:sz="4" w:space="0" w:color="auto"/>
              <w:right w:val="single" w:sz="4" w:space="0" w:color="auto"/>
            </w:tcBorders>
            <w:shd w:val="clear" w:color="auto" w:fill="auto"/>
            <w:vAlign w:val="center"/>
            <w:hideMark/>
          </w:tcPr>
          <w:p w14:paraId="4B91215B" w14:textId="77777777" w:rsidR="009D6D4E" w:rsidRPr="00775508" w:rsidRDefault="009D6D4E" w:rsidP="00BF3B71">
            <w:pPr>
              <w:jc w:val="right"/>
              <w:rPr>
                <w:b/>
                <w:color w:val="000000"/>
                <w:sz w:val="18"/>
                <w:szCs w:val="18"/>
              </w:rPr>
            </w:pPr>
            <w:r w:rsidRPr="00775508">
              <w:rPr>
                <w:b/>
                <w:color w:val="000000"/>
                <w:sz w:val="18"/>
                <w:szCs w:val="18"/>
              </w:rPr>
              <w:t>63,078,650</w:t>
            </w:r>
          </w:p>
        </w:tc>
      </w:tr>
      <w:tr w:rsidR="009D6D4E" w:rsidRPr="00775508" w14:paraId="04DFBB81" w14:textId="77777777" w:rsidTr="00BF3B71">
        <w:trPr>
          <w:trHeight w:val="318"/>
        </w:trPr>
        <w:tc>
          <w:tcPr>
            <w:tcW w:w="613" w:type="dxa"/>
            <w:tcBorders>
              <w:top w:val="nil"/>
              <w:left w:val="single" w:sz="4" w:space="0" w:color="auto"/>
              <w:bottom w:val="single" w:sz="4" w:space="0" w:color="auto"/>
              <w:right w:val="single" w:sz="4" w:space="0" w:color="auto"/>
            </w:tcBorders>
            <w:shd w:val="clear" w:color="auto" w:fill="auto"/>
            <w:vAlign w:val="center"/>
            <w:hideMark/>
          </w:tcPr>
          <w:p w14:paraId="7EB249A7" w14:textId="77777777" w:rsidR="009D6D4E" w:rsidRPr="00775508" w:rsidRDefault="009D6D4E" w:rsidP="00BF3B71">
            <w:pPr>
              <w:jc w:val="both"/>
              <w:rPr>
                <w:color w:val="000000"/>
                <w:sz w:val="18"/>
                <w:szCs w:val="18"/>
              </w:rPr>
            </w:pPr>
            <w:r w:rsidRPr="00775508">
              <w:rPr>
                <w:color w:val="000000"/>
                <w:sz w:val="18"/>
                <w:szCs w:val="18"/>
              </w:rPr>
              <w:t>2021</w:t>
            </w:r>
          </w:p>
        </w:tc>
        <w:tc>
          <w:tcPr>
            <w:tcW w:w="1237" w:type="dxa"/>
            <w:tcBorders>
              <w:top w:val="nil"/>
              <w:left w:val="nil"/>
              <w:bottom w:val="single" w:sz="4" w:space="0" w:color="auto"/>
              <w:right w:val="single" w:sz="4" w:space="0" w:color="auto"/>
            </w:tcBorders>
            <w:shd w:val="clear" w:color="auto" w:fill="auto"/>
            <w:vAlign w:val="center"/>
            <w:hideMark/>
          </w:tcPr>
          <w:p w14:paraId="18C07AA4" w14:textId="77777777" w:rsidR="009D6D4E" w:rsidRPr="00775508" w:rsidRDefault="009D6D4E" w:rsidP="00BF3B71">
            <w:pPr>
              <w:jc w:val="right"/>
              <w:rPr>
                <w:color w:val="000000"/>
                <w:sz w:val="18"/>
                <w:szCs w:val="18"/>
              </w:rPr>
            </w:pPr>
            <w:r w:rsidRPr="00775508">
              <w:rPr>
                <w:color w:val="000000"/>
                <w:sz w:val="18"/>
                <w:szCs w:val="18"/>
              </w:rPr>
              <w:t>0.00</w:t>
            </w:r>
          </w:p>
        </w:tc>
        <w:tc>
          <w:tcPr>
            <w:tcW w:w="838" w:type="dxa"/>
            <w:tcBorders>
              <w:top w:val="nil"/>
              <w:left w:val="nil"/>
              <w:bottom w:val="single" w:sz="4" w:space="0" w:color="auto"/>
              <w:right w:val="single" w:sz="4" w:space="0" w:color="auto"/>
            </w:tcBorders>
            <w:shd w:val="clear" w:color="auto" w:fill="auto"/>
            <w:vAlign w:val="center"/>
            <w:hideMark/>
          </w:tcPr>
          <w:p w14:paraId="2B2D9981" w14:textId="77777777" w:rsidR="009D6D4E" w:rsidRPr="00775508" w:rsidRDefault="009D6D4E" w:rsidP="00BF3B71">
            <w:pPr>
              <w:jc w:val="right"/>
              <w:rPr>
                <w:color w:val="000000"/>
                <w:sz w:val="18"/>
                <w:szCs w:val="18"/>
              </w:rPr>
            </w:pPr>
            <w:r w:rsidRPr="00775508">
              <w:rPr>
                <w:color w:val="000000"/>
                <w:sz w:val="18"/>
                <w:szCs w:val="18"/>
              </w:rPr>
              <w:t>0.00</w:t>
            </w:r>
          </w:p>
        </w:tc>
        <w:tc>
          <w:tcPr>
            <w:tcW w:w="849" w:type="dxa"/>
            <w:tcBorders>
              <w:top w:val="nil"/>
              <w:left w:val="nil"/>
              <w:bottom w:val="single" w:sz="4" w:space="0" w:color="auto"/>
              <w:right w:val="single" w:sz="4" w:space="0" w:color="auto"/>
            </w:tcBorders>
            <w:shd w:val="clear" w:color="auto" w:fill="auto"/>
            <w:vAlign w:val="center"/>
            <w:hideMark/>
          </w:tcPr>
          <w:p w14:paraId="0F66BEFC" w14:textId="77777777" w:rsidR="009D6D4E" w:rsidRPr="00775508" w:rsidRDefault="009D6D4E" w:rsidP="00BF3B71">
            <w:pPr>
              <w:rPr>
                <w:color w:val="000000"/>
                <w:sz w:val="18"/>
                <w:szCs w:val="18"/>
              </w:rPr>
            </w:pPr>
            <w:r w:rsidRPr="00775508">
              <w:rPr>
                <w:color w:val="000000"/>
                <w:sz w:val="18"/>
                <w:szCs w:val="18"/>
              </w:rPr>
              <w:t> </w:t>
            </w:r>
          </w:p>
        </w:tc>
        <w:tc>
          <w:tcPr>
            <w:tcW w:w="764" w:type="dxa"/>
            <w:tcBorders>
              <w:top w:val="nil"/>
              <w:left w:val="nil"/>
              <w:bottom w:val="single" w:sz="4" w:space="0" w:color="auto"/>
              <w:right w:val="single" w:sz="4" w:space="0" w:color="auto"/>
            </w:tcBorders>
            <w:shd w:val="clear" w:color="auto" w:fill="auto"/>
            <w:vAlign w:val="center"/>
            <w:hideMark/>
          </w:tcPr>
          <w:p w14:paraId="73B98A35" w14:textId="77777777" w:rsidR="009D6D4E" w:rsidRPr="00775508" w:rsidRDefault="009D6D4E" w:rsidP="00BF3B71">
            <w:pPr>
              <w:jc w:val="right"/>
              <w:rPr>
                <w:color w:val="000000"/>
                <w:sz w:val="18"/>
                <w:szCs w:val="18"/>
              </w:rPr>
            </w:pPr>
            <w:r w:rsidRPr="00775508">
              <w:rPr>
                <w:color w:val="000000"/>
                <w:sz w:val="18"/>
                <w:szCs w:val="18"/>
              </w:rPr>
              <w:t>0.00</w:t>
            </w:r>
          </w:p>
        </w:tc>
        <w:tc>
          <w:tcPr>
            <w:tcW w:w="1335" w:type="dxa"/>
            <w:tcBorders>
              <w:top w:val="nil"/>
              <w:left w:val="nil"/>
              <w:bottom w:val="single" w:sz="4" w:space="0" w:color="auto"/>
              <w:right w:val="single" w:sz="4" w:space="0" w:color="auto"/>
            </w:tcBorders>
            <w:shd w:val="clear" w:color="auto" w:fill="auto"/>
            <w:vAlign w:val="center"/>
            <w:hideMark/>
          </w:tcPr>
          <w:p w14:paraId="2FF80A17" w14:textId="77777777" w:rsidR="009D6D4E" w:rsidRPr="00775508" w:rsidRDefault="009D6D4E" w:rsidP="00BF3B71">
            <w:pPr>
              <w:jc w:val="right"/>
              <w:rPr>
                <w:color w:val="000000"/>
                <w:sz w:val="18"/>
                <w:szCs w:val="18"/>
              </w:rPr>
            </w:pPr>
            <w:r w:rsidRPr="00775508">
              <w:rPr>
                <w:color w:val="000000"/>
                <w:sz w:val="18"/>
                <w:szCs w:val="18"/>
              </w:rPr>
              <w:t>14,109,747.00</w:t>
            </w:r>
          </w:p>
        </w:tc>
        <w:tc>
          <w:tcPr>
            <w:tcW w:w="1680" w:type="dxa"/>
            <w:gridSpan w:val="2"/>
            <w:tcBorders>
              <w:top w:val="nil"/>
              <w:left w:val="nil"/>
              <w:bottom w:val="single" w:sz="4" w:space="0" w:color="auto"/>
              <w:right w:val="single" w:sz="4" w:space="0" w:color="auto"/>
            </w:tcBorders>
            <w:shd w:val="clear" w:color="auto" w:fill="auto"/>
            <w:vAlign w:val="center"/>
            <w:hideMark/>
          </w:tcPr>
          <w:p w14:paraId="59A7F17D" w14:textId="77777777" w:rsidR="009D6D4E" w:rsidRPr="00775508" w:rsidRDefault="009D6D4E" w:rsidP="00BF3B71">
            <w:pPr>
              <w:jc w:val="right"/>
              <w:rPr>
                <w:color w:val="000000"/>
                <w:sz w:val="18"/>
                <w:szCs w:val="18"/>
              </w:rPr>
            </w:pPr>
            <w:r w:rsidRPr="00775508">
              <w:rPr>
                <w:color w:val="000000"/>
                <w:sz w:val="18"/>
                <w:szCs w:val="18"/>
              </w:rPr>
              <w:t>0.00</w:t>
            </w:r>
          </w:p>
        </w:tc>
        <w:tc>
          <w:tcPr>
            <w:tcW w:w="1334" w:type="dxa"/>
            <w:tcBorders>
              <w:top w:val="nil"/>
              <w:left w:val="nil"/>
              <w:bottom w:val="single" w:sz="4" w:space="0" w:color="auto"/>
              <w:right w:val="single" w:sz="4" w:space="0" w:color="auto"/>
            </w:tcBorders>
            <w:shd w:val="clear" w:color="auto" w:fill="auto"/>
            <w:vAlign w:val="center"/>
            <w:hideMark/>
          </w:tcPr>
          <w:p w14:paraId="1AE84026" w14:textId="77777777" w:rsidR="009D6D4E" w:rsidRPr="00775508" w:rsidRDefault="009D6D4E" w:rsidP="00BF3B71">
            <w:pPr>
              <w:jc w:val="right"/>
              <w:rPr>
                <w:color w:val="000000"/>
                <w:sz w:val="18"/>
                <w:szCs w:val="18"/>
              </w:rPr>
            </w:pPr>
            <w:r w:rsidRPr="00775508">
              <w:rPr>
                <w:color w:val="000000"/>
                <w:sz w:val="18"/>
                <w:szCs w:val="18"/>
              </w:rPr>
              <w:t>24,603,000.00</w:t>
            </w:r>
          </w:p>
        </w:tc>
        <w:tc>
          <w:tcPr>
            <w:tcW w:w="1336" w:type="dxa"/>
            <w:tcBorders>
              <w:top w:val="nil"/>
              <w:left w:val="nil"/>
              <w:bottom w:val="single" w:sz="4" w:space="0" w:color="auto"/>
              <w:right w:val="single" w:sz="4" w:space="0" w:color="auto"/>
            </w:tcBorders>
            <w:shd w:val="clear" w:color="auto" w:fill="auto"/>
            <w:vAlign w:val="center"/>
            <w:hideMark/>
          </w:tcPr>
          <w:p w14:paraId="5AF1AF52" w14:textId="77777777" w:rsidR="009D6D4E" w:rsidRPr="00775508" w:rsidRDefault="009D6D4E" w:rsidP="00BF3B71">
            <w:pPr>
              <w:jc w:val="right"/>
              <w:rPr>
                <w:b/>
                <w:color w:val="000000"/>
                <w:sz w:val="18"/>
                <w:szCs w:val="18"/>
              </w:rPr>
            </w:pPr>
            <w:r w:rsidRPr="00775508">
              <w:rPr>
                <w:b/>
                <w:color w:val="000000"/>
                <w:sz w:val="18"/>
                <w:szCs w:val="18"/>
              </w:rPr>
              <w:t>38,712,747</w:t>
            </w:r>
          </w:p>
        </w:tc>
      </w:tr>
      <w:tr w:rsidR="009D6D4E" w:rsidRPr="00775508" w14:paraId="31619F59" w14:textId="77777777" w:rsidTr="00BF3B71">
        <w:trPr>
          <w:trHeight w:val="243"/>
        </w:trPr>
        <w:tc>
          <w:tcPr>
            <w:tcW w:w="613" w:type="dxa"/>
            <w:tcBorders>
              <w:top w:val="nil"/>
              <w:left w:val="single" w:sz="4" w:space="0" w:color="auto"/>
              <w:bottom w:val="single" w:sz="4" w:space="0" w:color="auto"/>
              <w:right w:val="single" w:sz="4" w:space="0" w:color="auto"/>
            </w:tcBorders>
            <w:shd w:val="clear" w:color="auto" w:fill="auto"/>
            <w:vAlign w:val="center"/>
            <w:hideMark/>
          </w:tcPr>
          <w:p w14:paraId="1628E7C2" w14:textId="77777777" w:rsidR="009D6D4E" w:rsidRPr="00775508" w:rsidRDefault="009D6D4E" w:rsidP="00BF3B71">
            <w:pPr>
              <w:jc w:val="both"/>
              <w:rPr>
                <w:color w:val="000000"/>
                <w:sz w:val="18"/>
                <w:szCs w:val="18"/>
              </w:rPr>
            </w:pPr>
            <w:r w:rsidRPr="00775508">
              <w:rPr>
                <w:color w:val="000000"/>
                <w:sz w:val="18"/>
                <w:szCs w:val="18"/>
              </w:rPr>
              <w:t>2022</w:t>
            </w:r>
          </w:p>
        </w:tc>
        <w:tc>
          <w:tcPr>
            <w:tcW w:w="1237" w:type="dxa"/>
            <w:tcBorders>
              <w:top w:val="nil"/>
              <w:left w:val="nil"/>
              <w:bottom w:val="single" w:sz="4" w:space="0" w:color="auto"/>
              <w:right w:val="single" w:sz="4" w:space="0" w:color="auto"/>
            </w:tcBorders>
            <w:shd w:val="clear" w:color="auto" w:fill="auto"/>
            <w:vAlign w:val="center"/>
            <w:hideMark/>
          </w:tcPr>
          <w:p w14:paraId="3A4FB12E" w14:textId="77777777" w:rsidR="009D6D4E" w:rsidRPr="00775508" w:rsidRDefault="009D6D4E" w:rsidP="00BF3B71">
            <w:pPr>
              <w:jc w:val="right"/>
              <w:rPr>
                <w:color w:val="000000"/>
                <w:sz w:val="18"/>
                <w:szCs w:val="18"/>
              </w:rPr>
            </w:pPr>
            <w:r w:rsidRPr="00775508">
              <w:rPr>
                <w:color w:val="000000"/>
                <w:sz w:val="18"/>
                <w:szCs w:val="18"/>
              </w:rPr>
              <w:t>0.00</w:t>
            </w:r>
          </w:p>
        </w:tc>
        <w:tc>
          <w:tcPr>
            <w:tcW w:w="838" w:type="dxa"/>
            <w:tcBorders>
              <w:top w:val="nil"/>
              <w:left w:val="nil"/>
              <w:bottom w:val="single" w:sz="4" w:space="0" w:color="auto"/>
              <w:right w:val="single" w:sz="4" w:space="0" w:color="auto"/>
            </w:tcBorders>
            <w:shd w:val="clear" w:color="auto" w:fill="auto"/>
            <w:vAlign w:val="center"/>
            <w:hideMark/>
          </w:tcPr>
          <w:p w14:paraId="1E4CF1ED" w14:textId="77777777" w:rsidR="009D6D4E" w:rsidRPr="00775508" w:rsidRDefault="009D6D4E" w:rsidP="00BF3B71">
            <w:pPr>
              <w:jc w:val="right"/>
              <w:rPr>
                <w:color w:val="000000"/>
                <w:sz w:val="18"/>
                <w:szCs w:val="18"/>
              </w:rPr>
            </w:pPr>
            <w:r w:rsidRPr="00775508">
              <w:rPr>
                <w:color w:val="000000"/>
                <w:sz w:val="18"/>
                <w:szCs w:val="18"/>
              </w:rPr>
              <w:t>0.00</w:t>
            </w:r>
          </w:p>
        </w:tc>
        <w:tc>
          <w:tcPr>
            <w:tcW w:w="849" w:type="dxa"/>
            <w:tcBorders>
              <w:top w:val="nil"/>
              <w:left w:val="nil"/>
              <w:bottom w:val="single" w:sz="4" w:space="0" w:color="auto"/>
              <w:right w:val="single" w:sz="4" w:space="0" w:color="auto"/>
            </w:tcBorders>
            <w:shd w:val="clear" w:color="auto" w:fill="auto"/>
            <w:vAlign w:val="center"/>
            <w:hideMark/>
          </w:tcPr>
          <w:p w14:paraId="08E9DE21" w14:textId="77777777" w:rsidR="009D6D4E" w:rsidRPr="00775508" w:rsidRDefault="009D6D4E" w:rsidP="00BF3B71">
            <w:pPr>
              <w:rPr>
                <w:color w:val="000000"/>
                <w:sz w:val="18"/>
                <w:szCs w:val="18"/>
              </w:rPr>
            </w:pPr>
            <w:r w:rsidRPr="00775508">
              <w:rPr>
                <w:color w:val="000000"/>
                <w:sz w:val="18"/>
                <w:szCs w:val="18"/>
              </w:rPr>
              <w:t> </w:t>
            </w:r>
          </w:p>
        </w:tc>
        <w:tc>
          <w:tcPr>
            <w:tcW w:w="764" w:type="dxa"/>
            <w:tcBorders>
              <w:top w:val="nil"/>
              <w:left w:val="nil"/>
              <w:bottom w:val="single" w:sz="4" w:space="0" w:color="auto"/>
              <w:right w:val="single" w:sz="4" w:space="0" w:color="auto"/>
            </w:tcBorders>
            <w:shd w:val="clear" w:color="auto" w:fill="auto"/>
            <w:vAlign w:val="center"/>
            <w:hideMark/>
          </w:tcPr>
          <w:p w14:paraId="0EFB40FA" w14:textId="77777777" w:rsidR="009D6D4E" w:rsidRPr="00775508" w:rsidRDefault="009D6D4E" w:rsidP="00BF3B71">
            <w:pPr>
              <w:jc w:val="right"/>
              <w:rPr>
                <w:color w:val="000000"/>
                <w:sz w:val="18"/>
                <w:szCs w:val="18"/>
              </w:rPr>
            </w:pPr>
            <w:r w:rsidRPr="00775508">
              <w:rPr>
                <w:color w:val="000000"/>
                <w:sz w:val="18"/>
                <w:szCs w:val="18"/>
              </w:rPr>
              <w:t>0.00</w:t>
            </w:r>
          </w:p>
        </w:tc>
        <w:tc>
          <w:tcPr>
            <w:tcW w:w="1335" w:type="dxa"/>
            <w:tcBorders>
              <w:top w:val="nil"/>
              <w:left w:val="nil"/>
              <w:bottom w:val="single" w:sz="4" w:space="0" w:color="auto"/>
              <w:right w:val="single" w:sz="4" w:space="0" w:color="auto"/>
            </w:tcBorders>
            <w:shd w:val="clear" w:color="auto" w:fill="auto"/>
            <w:vAlign w:val="center"/>
            <w:hideMark/>
          </w:tcPr>
          <w:p w14:paraId="57F87802" w14:textId="77777777" w:rsidR="009D6D4E" w:rsidRPr="00775508" w:rsidRDefault="009D6D4E" w:rsidP="00BF3B71">
            <w:pPr>
              <w:jc w:val="right"/>
              <w:rPr>
                <w:color w:val="000000"/>
                <w:sz w:val="18"/>
                <w:szCs w:val="18"/>
              </w:rPr>
            </w:pPr>
            <w:r w:rsidRPr="00775508">
              <w:rPr>
                <w:color w:val="000000"/>
                <w:sz w:val="18"/>
                <w:szCs w:val="18"/>
              </w:rPr>
              <w:t>10,000,000.00</w:t>
            </w:r>
          </w:p>
        </w:tc>
        <w:tc>
          <w:tcPr>
            <w:tcW w:w="1680" w:type="dxa"/>
            <w:gridSpan w:val="2"/>
            <w:tcBorders>
              <w:top w:val="nil"/>
              <w:left w:val="nil"/>
              <w:bottom w:val="single" w:sz="4" w:space="0" w:color="auto"/>
              <w:right w:val="single" w:sz="4" w:space="0" w:color="auto"/>
            </w:tcBorders>
            <w:shd w:val="clear" w:color="auto" w:fill="auto"/>
            <w:vAlign w:val="center"/>
            <w:hideMark/>
          </w:tcPr>
          <w:p w14:paraId="7220BF9D" w14:textId="77777777" w:rsidR="009D6D4E" w:rsidRPr="00775508" w:rsidRDefault="009D6D4E" w:rsidP="00BF3B71">
            <w:pPr>
              <w:jc w:val="right"/>
              <w:rPr>
                <w:color w:val="000000"/>
                <w:sz w:val="18"/>
                <w:szCs w:val="18"/>
              </w:rPr>
            </w:pPr>
            <w:r w:rsidRPr="00775508">
              <w:rPr>
                <w:color w:val="000000"/>
                <w:sz w:val="18"/>
                <w:szCs w:val="18"/>
              </w:rPr>
              <w:t>0.00</w:t>
            </w:r>
          </w:p>
        </w:tc>
        <w:tc>
          <w:tcPr>
            <w:tcW w:w="1334" w:type="dxa"/>
            <w:tcBorders>
              <w:top w:val="nil"/>
              <w:left w:val="nil"/>
              <w:bottom w:val="single" w:sz="4" w:space="0" w:color="auto"/>
              <w:right w:val="single" w:sz="4" w:space="0" w:color="auto"/>
            </w:tcBorders>
            <w:shd w:val="clear" w:color="auto" w:fill="auto"/>
            <w:vAlign w:val="center"/>
            <w:hideMark/>
          </w:tcPr>
          <w:p w14:paraId="6D63D089" w14:textId="77777777" w:rsidR="009D6D4E" w:rsidRPr="00775508" w:rsidRDefault="009D6D4E" w:rsidP="00BF3B71">
            <w:pPr>
              <w:jc w:val="right"/>
              <w:rPr>
                <w:color w:val="000000"/>
                <w:sz w:val="18"/>
                <w:szCs w:val="18"/>
              </w:rPr>
            </w:pPr>
            <w:r w:rsidRPr="00775508">
              <w:rPr>
                <w:color w:val="000000"/>
                <w:sz w:val="18"/>
                <w:szCs w:val="18"/>
              </w:rPr>
              <w:t>20,000,960.00</w:t>
            </w:r>
          </w:p>
        </w:tc>
        <w:tc>
          <w:tcPr>
            <w:tcW w:w="1336" w:type="dxa"/>
            <w:tcBorders>
              <w:top w:val="nil"/>
              <w:left w:val="nil"/>
              <w:bottom w:val="single" w:sz="4" w:space="0" w:color="auto"/>
              <w:right w:val="single" w:sz="4" w:space="0" w:color="auto"/>
            </w:tcBorders>
            <w:shd w:val="clear" w:color="auto" w:fill="auto"/>
            <w:vAlign w:val="center"/>
            <w:hideMark/>
          </w:tcPr>
          <w:p w14:paraId="29440431" w14:textId="77777777" w:rsidR="009D6D4E" w:rsidRPr="00775508" w:rsidRDefault="009D6D4E" w:rsidP="00BF3B71">
            <w:pPr>
              <w:jc w:val="right"/>
              <w:rPr>
                <w:b/>
                <w:color w:val="000000"/>
                <w:sz w:val="18"/>
                <w:szCs w:val="18"/>
              </w:rPr>
            </w:pPr>
            <w:r w:rsidRPr="00775508">
              <w:rPr>
                <w:b/>
                <w:color w:val="000000"/>
                <w:sz w:val="18"/>
                <w:szCs w:val="18"/>
              </w:rPr>
              <w:t>30,000,960</w:t>
            </w:r>
          </w:p>
        </w:tc>
      </w:tr>
    </w:tbl>
    <w:p w14:paraId="092AE11E" w14:textId="77777777" w:rsidR="009D6D4E" w:rsidRDefault="009D6D4E" w:rsidP="009D6D4E"/>
    <w:p w14:paraId="4D0AEFD3" w14:textId="77777777" w:rsidR="009D6D4E" w:rsidRDefault="009D6D4E" w:rsidP="009D6D4E"/>
    <w:tbl>
      <w:tblPr>
        <w:tblW w:w="9989" w:type="dxa"/>
        <w:tblLayout w:type="fixed"/>
        <w:tblLook w:val="04A0" w:firstRow="1" w:lastRow="0" w:firstColumn="1" w:lastColumn="0" w:noHBand="0" w:noVBand="1"/>
      </w:tblPr>
      <w:tblGrid>
        <w:gridCol w:w="837"/>
        <w:gridCol w:w="840"/>
        <w:gridCol w:w="46"/>
        <w:gridCol w:w="748"/>
        <w:gridCol w:w="854"/>
        <w:gridCol w:w="388"/>
        <w:gridCol w:w="803"/>
        <w:gridCol w:w="1059"/>
        <w:gridCol w:w="124"/>
        <w:gridCol w:w="1576"/>
        <w:gridCol w:w="1361"/>
        <w:gridCol w:w="1353"/>
      </w:tblGrid>
      <w:tr w:rsidR="009D6D4E" w:rsidRPr="00775508" w14:paraId="746ADA97" w14:textId="77777777" w:rsidTr="00BF3B71">
        <w:trPr>
          <w:trHeight w:val="287"/>
        </w:trPr>
        <w:tc>
          <w:tcPr>
            <w:tcW w:w="9989"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379F46C6" w14:textId="77777777" w:rsidR="009D6D4E" w:rsidRPr="00775508" w:rsidRDefault="009D6D4E" w:rsidP="00BF3B71">
            <w:pPr>
              <w:jc w:val="center"/>
              <w:rPr>
                <w:b/>
                <w:bCs/>
                <w:color w:val="000000"/>
                <w:sz w:val="18"/>
                <w:szCs w:val="18"/>
              </w:rPr>
            </w:pPr>
            <w:r w:rsidRPr="00775508">
              <w:rPr>
                <w:b/>
                <w:bCs/>
                <w:color w:val="000000"/>
                <w:sz w:val="18"/>
                <w:szCs w:val="18"/>
              </w:rPr>
              <w:t xml:space="preserve">Tabela 10 a. </w:t>
            </w:r>
            <w:r w:rsidRPr="00775508">
              <w:rPr>
                <w:rFonts w:ascii="Calibri" w:hAnsi="Calibri" w:cs="Calibri"/>
                <w:b/>
                <w:bCs/>
                <w:color w:val="000000"/>
                <w:sz w:val="18"/>
                <w:szCs w:val="18"/>
              </w:rPr>
              <w:t xml:space="preserve"> Kostimi i masës së reformës strukturore : Masa#2  Rritja e diversitetit te burimeve te energjise </w:t>
            </w:r>
          </w:p>
        </w:tc>
      </w:tr>
      <w:tr w:rsidR="009D6D4E" w:rsidRPr="00775508" w14:paraId="51EFF11B" w14:textId="77777777" w:rsidTr="00BF3B71">
        <w:trPr>
          <w:trHeight w:val="323"/>
        </w:trPr>
        <w:tc>
          <w:tcPr>
            <w:tcW w:w="837" w:type="dxa"/>
            <w:tcBorders>
              <w:top w:val="nil"/>
              <w:left w:val="single" w:sz="4" w:space="0" w:color="auto"/>
              <w:bottom w:val="single" w:sz="4" w:space="0" w:color="auto"/>
              <w:right w:val="single" w:sz="4" w:space="0" w:color="auto"/>
            </w:tcBorders>
            <w:shd w:val="clear" w:color="000000" w:fill="FFFFFF"/>
            <w:vAlign w:val="center"/>
            <w:hideMark/>
          </w:tcPr>
          <w:p w14:paraId="4250C9B1" w14:textId="77777777" w:rsidR="009D6D4E" w:rsidRPr="00775508" w:rsidRDefault="009D6D4E" w:rsidP="00BF3B71">
            <w:pPr>
              <w:jc w:val="both"/>
              <w:rPr>
                <w:color w:val="000000"/>
                <w:sz w:val="18"/>
                <w:szCs w:val="18"/>
              </w:rPr>
            </w:pPr>
            <w:r w:rsidRPr="00775508">
              <w:rPr>
                <w:color w:val="000000"/>
                <w:sz w:val="18"/>
                <w:szCs w:val="18"/>
              </w:rPr>
              <w:t xml:space="preserve">Viti </w:t>
            </w:r>
          </w:p>
        </w:tc>
        <w:tc>
          <w:tcPr>
            <w:tcW w:w="886" w:type="dxa"/>
            <w:gridSpan w:val="2"/>
            <w:tcBorders>
              <w:top w:val="nil"/>
              <w:left w:val="nil"/>
              <w:bottom w:val="single" w:sz="4" w:space="0" w:color="auto"/>
              <w:right w:val="single" w:sz="4" w:space="0" w:color="auto"/>
            </w:tcBorders>
            <w:shd w:val="clear" w:color="auto" w:fill="auto"/>
            <w:vAlign w:val="center"/>
            <w:hideMark/>
          </w:tcPr>
          <w:p w14:paraId="30566870" w14:textId="77777777" w:rsidR="009D6D4E" w:rsidRPr="00775508" w:rsidRDefault="009D6D4E" w:rsidP="00BF3B71">
            <w:pPr>
              <w:jc w:val="right"/>
              <w:rPr>
                <w:color w:val="000000"/>
                <w:sz w:val="18"/>
                <w:szCs w:val="18"/>
              </w:rPr>
            </w:pPr>
            <w:r w:rsidRPr="00775508">
              <w:rPr>
                <w:color w:val="000000"/>
                <w:sz w:val="18"/>
                <w:szCs w:val="18"/>
              </w:rPr>
              <w:t>Pagat</w:t>
            </w:r>
          </w:p>
        </w:tc>
        <w:tc>
          <w:tcPr>
            <w:tcW w:w="1602" w:type="dxa"/>
            <w:gridSpan w:val="2"/>
            <w:tcBorders>
              <w:top w:val="nil"/>
              <w:left w:val="nil"/>
              <w:bottom w:val="single" w:sz="4" w:space="0" w:color="auto"/>
              <w:right w:val="single" w:sz="4" w:space="0" w:color="auto"/>
            </w:tcBorders>
            <w:shd w:val="clear" w:color="auto" w:fill="auto"/>
            <w:vAlign w:val="center"/>
            <w:hideMark/>
          </w:tcPr>
          <w:p w14:paraId="7DF1620E" w14:textId="77777777" w:rsidR="009D6D4E" w:rsidRPr="00775508" w:rsidRDefault="009D6D4E" w:rsidP="00BF3B71">
            <w:pPr>
              <w:jc w:val="right"/>
              <w:rPr>
                <w:color w:val="000000"/>
                <w:sz w:val="18"/>
                <w:szCs w:val="18"/>
              </w:rPr>
            </w:pPr>
            <w:r w:rsidRPr="00775508">
              <w:rPr>
                <w:color w:val="000000"/>
                <w:sz w:val="18"/>
                <w:szCs w:val="18"/>
              </w:rPr>
              <w:t>Mallra dhe shërbime</w:t>
            </w:r>
          </w:p>
        </w:tc>
        <w:tc>
          <w:tcPr>
            <w:tcW w:w="2250" w:type="dxa"/>
            <w:gridSpan w:val="3"/>
            <w:tcBorders>
              <w:top w:val="nil"/>
              <w:left w:val="nil"/>
              <w:bottom w:val="single" w:sz="4" w:space="0" w:color="auto"/>
              <w:right w:val="single" w:sz="4" w:space="0" w:color="auto"/>
            </w:tcBorders>
            <w:shd w:val="clear" w:color="auto" w:fill="auto"/>
            <w:vAlign w:val="center"/>
            <w:hideMark/>
          </w:tcPr>
          <w:p w14:paraId="304BBD54" w14:textId="77777777" w:rsidR="009D6D4E" w:rsidRPr="00775508" w:rsidRDefault="009D6D4E" w:rsidP="00BF3B71">
            <w:pPr>
              <w:jc w:val="right"/>
              <w:rPr>
                <w:color w:val="000000"/>
                <w:sz w:val="18"/>
                <w:szCs w:val="18"/>
              </w:rPr>
            </w:pPr>
            <w:r w:rsidRPr="00775508">
              <w:rPr>
                <w:color w:val="000000"/>
                <w:sz w:val="18"/>
                <w:szCs w:val="18"/>
              </w:rPr>
              <w:t>Subvencione dhe transfere</w:t>
            </w:r>
          </w:p>
        </w:tc>
        <w:tc>
          <w:tcPr>
            <w:tcW w:w="3061" w:type="dxa"/>
            <w:gridSpan w:val="3"/>
            <w:tcBorders>
              <w:top w:val="nil"/>
              <w:left w:val="nil"/>
              <w:bottom w:val="single" w:sz="4" w:space="0" w:color="auto"/>
              <w:right w:val="single" w:sz="4" w:space="0" w:color="auto"/>
            </w:tcBorders>
            <w:shd w:val="clear" w:color="auto" w:fill="auto"/>
            <w:vAlign w:val="center"/>
            <w:hideMark/>
          </w:tcPr>
          <w:p w14:paraId="64AB1E4C" w14:textId="77777777" w:rsidR="009D6D4E" w:rsidRPr="00775508" w:rsidRDefault="009D6D4E" w:rsidP="00BF3B71">
            <w:pPr>
              <w:jc w:val="right"/>
              <w:rPr>
                <w:color w:val="000000"/>
                <w:sz w:val="18"/>
                <w:szCs w:val="18"/>
              </w:rPr>
            </w:pPr>
            <w:r w:rsidRPr="00775508">
              <w:rPr>
                <w:color w:val="000000"/>
                <w:sz w:val="18"/>
                <w:szCs w:val="18"/>
              </w:rPr>
              <w:t xml:space="preserve">Shpenzimet kapitale </w:t>
            </w:r>
          </w:p>
        </w:tc>
        <w:tc>
          <w:tcPr>
            <w:tcW w:w="1353" w:type="dxa"/>
            <w:tcBorders>
              <w:top w:val="nil"/>
              <w:left w:val="nil"/>
              <w:bottom w:val="single" w:sz="4" w:space="0" w:color="auto"/>
              <w:right w:val="single" w:sz="4" w:space="0" w:color="auto"/>
            </w:tcBorders>
            <w:shd w:val="clear" w:color="auto" w:fill="auto"/>
            <w:vAlign w:val="center"/>
            <w:hideMark/>
          </w:tcPr>
          <w:p w14:paraId="13B64133" w14:textId="77777777" w:rsidR="009D6D4E" w:rsidRPr="00775508" w:rsidRDefault="009D6D4E" w:rsidP="00BF3B71">
            <w:pPr>
              <w:jc w:val="right"/>
              <w:rPr>
                <w:b/>
                <w:color w:val="000000"/>
                <w:sz w:val="18"/>
                <w:szCs w:val="18"/>
              </w:rPr>
            </w:pPr>
            <w:r w:rsidRPr="00775508">
              <w:rPr>
                <w:b/>
                <w:color w:val="000000"/>
                <w:sz w:val="18"/>
                <w:szCs w:val="18"/>
              </w:rPr>
              <w:t>Total</w:t>
            </w:r>
          </w:p>
        </w:tc>
      </w:tr>
      <w:tr w:rsidR="009D6D4E" w:rsidRPr="00775508" w14:paraId="102F2CCE" w14:textId="77777777" w:rsidTr="00BF3B71">
        <w:trPr>
          <w:trHeight w:val="191"/>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7D017FC2" w14:textId="77777777" w:rsidR="009D6D4E" w:rsidRPr="00775508" w:rsidRDefault="009D6D4E" w:rsidP="00BF3B71">
            <w:pPr>
              <w:jc w:val="both"/>
              <w:rPr>
                <w:color w:val="000000"/>
                <w:sz w:val="18"/>
                <w:szCs w:val="18"/>
              </w:rPr>
            </w:pPr>
            <w:r w:rsidRPr="00775508">
              <w:rPr>
                <w:color w:val="000000"/>
                <w:sz w:val="18"/>
                <w:szCs w:val="18"/>
              </w:rPr>
              <w:t>2020</w:t>
            </w:r>
          </w:p>
        </w:tc>
        <w:tc>
          <w:tcPr>
            <w:tcW w:w="886" w:type="dxa"/>
            <w:gridSpan w:val="2"/>
            <w:tcBorders>
              <w:top w:val="nil"/>
              <w:left w:val="nil"/>
              <w:bottom w:val="single" w:sz="4" w:space="0" w:color="auto"/>
              <w:right w:val="single" w:sz="4" w:space="0" w:color="auto"/>
            </w:tcBorders>
            <w:shd w:val="clear" w:color="auto" w:fill="auto"/>
            <w:hideMark/>
          </w:tcPr>
          <w:p w14:paraId="3D8F2558" w14:textId="77777777" w:rsidR="009D6D4E" w:rsidRPr="00775508" w:rsidRDefault="009D6D4E" w:rsidP="00BF3B71">
            <w:pPr>
              <w:rPr>
                <w:color w:val="000000"/>
                <w:sz w:val="18"/>
                <w:szCs w:val="18"/>
              </w:rPr>
            </w:pPr>
            <w:r w:rsidRPr="00775508">
              <w:rPr>
                <w:color w:val="000000"/>
                <w:sz w:val="18"/>
                <w:szCs w:val="18"/>
              </w:rPr>
              <w:t xml:space="preserve">                   750,000 </w:t>
            </w:r>
          </w:p>
        </w:tc>
        <w:tc>
          <w:tcPr>
            <w:tcW w:w="1602" w:type="dxa"/>
            <w:gridSpan w:val="2"/>
            <w:tcBorders>
              <w:top w:val="nil"/>
              <w:left w:val="nil"/>
              <w:bottom w:val="single" w:sz="4" w:space="0" w:color="auto"/>
              <w:right w:val="single" w:sz="4" w:space="0" w:color="auto"/>
            </w:tcBorders>
            <w:shd w:val="clear" w:color="auto" w:fill="auto"/>
            <w:vAlign w:val="center"/>
            <w:hideMark/>
          </w:tcPr>
          <w:p w14:paraId="37988227" w14:textId="77777777" w:rsidR="009D6D4E" w:rsidRPr="00775508" w:rsidRDefault="009D6D4E" w:rsidP="00BF3B71">
            <w:pPr>
              <w:jc w:val="right"/>
              <w:rPr>
                <w:color w:val="000000"/>
                <w:sz w:val="18"/>
                <w:szCs w:val="18"/>
              </w:rPr>
            </w:pPr>
            <w:r w:rsidRPr="00775508">
              <w:rPr>
                <w:color w:val="000000"/>
                <w:sz w:val="18"/>
                <w:szCs w:val="18"/>
              </w:rPr>
              <w:t> </w:t>
            </w:r>
          </w:p>
        </w:tc>
        <w:tc>
          <w:tcPr>
            <w:tcW w:w="2250" w:type="dxa"/>
            <w:gridSpan w:val="3"/>
            <w:tcBorders>
              <w:top w:val="nil"/>
              <w:left w:val="nil"/>
              <w:bottom w:val="single" w:sz="4" w:space="0" w:color="auto"/>
              <w:right w:val="single" w:sz="4" w:space="0" w:color="auto"/>
            </w:tcBorders>
            <w:shd w:val="clear" w:color="auto" w:fill="auto"/>
            <w:noWrap/>
            <w:vAlign w:val="center"/>
            <w:hideMark/>
          </w:tcPr>
          <w:p w14:paraId="70C5DC32" w14:textId="77777777" w:rsidR="009D6D4E" w:rsidRPr="00775508" w:rsidRDefault="009D6D4E" w:rsidP="00BF3B71">
            <w:pPr>
              <w:jc w:val="right"/>
              <w:rPr>
                <w:color w:val="000000"/>
                <w:sz w:val="18"/>
                <w:szCs w:val="18"/>
              </w:rPr>
            </w:pPr>
            <w:r w:rsidRPr="00775508">
              <w:rPr>
                <w:color w:val="000000"/>
                <w:sz w:val="18"/>
                <w:szCs w:val="18"/>
              </w:rPr>
              <w:t xml:space="preserve">                      2,000,000 </w:t>
            </w:r>
          </w:p>
        </w:tc>
        <w:tc>
          <w:tcPr>
            <w:tcW w:w="3061" w:type="dxa"/>
            <w:gridSpan w:val="3"/>
            <w:tcBorders>
              <w:top w:val="nil"/>
              <w:left w:val="nil"/>
              <w:bottom w:val="single" w:sz="4" w:space="0" w:color="auto"/>
              <w:right w:val="single" w:sz="4" w:space="0" w:color="auto"/>
            </w:tcBorders>
            <w:shd w:val="clear" w:color="auto" w:fill="auto"/>
            <w:vAlign w:val="center"/>
            <w:hideMark/>
          </w:tcPr>
          <w:p w14:paraId="719D55AF" w14:textId="77777777" w:rsidR="009D6D4E" w:rsidRPr="00775508" w:rsidRDefault="009D6D4E" w:rsidP="00BF3B71">
            <w:pPr>
              <w:jc w:val="right"/>
              <w:rPr>
                <w:color w:val="000000"/>
                <w:sz w:val="18"/>
                <w:szCs w:val="18"/>
              </w:rPr>
            </w:pPr>
            <w:r w:rsidRPr="00775508">
              <w:rPr>
                <w:color w:val="000000"/>
                <w:sz w:val="18"/>
                <w:szCs w:val="18"/>
              </w:rPr>
              <w:t xml:space="preserve">              167,280,000 </w:t>
            </w:r>
          </w:p>
        </w:tc>
        <w:tc>
          <w:tcPr>
            <w:tcW w:w="1353" w:type="dxa"/>
            <w:tcBorders>
              <w:top w:val="nil"/>
              <w:left w:val="nil"/>
              <w:bottom w:val="single" w:sz="4" w:space="0" w:color="auto"/>
              <w:right w:val="single" w:sz="4" w:space="0" w:color="auto"/>
            </w:tcBorders>
            <w:shd w:val="clear" w:color="000000" w:fill="FFFFFF"/>
            <w:vAlign w:val="center"/>
            <w:hideMark/>
          </w:tcPr>
          <w:p w14:paraId="3BED0D97" w14:textId="77777777" w:rsidR="009D6D4E" w:rsidRPr="00775508" w:rsidRDefault="009D6D4E" w:rsidP="00BF3B71">
            <w:pPr>
              <w:jc w:val="right"/>
              <w:rPr>
                <w:b/>
                <w:color w:val="000000"/>
                <w:sz w:val="18"/>
                <w:szCs w:val="18"/>
              </w:rPr>
            </w:pPr>
            <w:r w:rsidRPr="00775508">
              <w:rPr>
                <w:b/>
                <w:color w:val="000000"/>
                <w:sz w:val="18"/>
                <w:szCs w:val="18"/>
              </w:rPr>
              <w:t xml:space="preserve">                 170,030,000 </w:t>
            </w:r>
          </w:p>
        </w:tc>
      </w:tr>
      <w:tr w:rsidR="009D6D4E" w:rsidRPr="00775508" w14:paraId="26C4EB53" w14:textId="77777777" w:rsidTr="00BF3B71">
        <w:trPr>
          <w:trHeight w:val="251"/>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7CD6913B" w14:textId="77777777" w:rsidR="009D6D4E" w:rsidRPr="00775508" w:rsidRDefault="009D6D4E" w:rsidP="00BF3B71">
            <w:pPr>
              <w:jc w:val="both"/>
              <w:rPr>
                <w:color w:val="000000"/>
                <w:sz w:val="18"/>
                <w:szCs w:val="18"/>
              </w:rPr>
            </w:pPr>
            <w:r w:rsidRPr="00775508">
              <w:rPr>
                <w:color w:val="000000"/>
                <w:sz w:val="18"/>
                <w:szCs w:val="18"/>
              </w:rPr>
              <w:t>2021</w:t>
            </w:r>
          </w:p>
        </w:tc>
        <w:tc>
          <w:tcPr>
            <w:tcW w:w="886" w:type="dxa"/>
            <w:gridSpan w:val="2"/>
            <w:tcBorders>
              <w:top w:val="nil"/>
              <w:left w:val="nil"/>
              <w:bottom w:val="single" w:sz="4" w:space="0" w:color="auto"/>
              <w:right w:val="single" w:sz="4" w:space="0" w:color="auto"/>
            </w:tcBorders>
            <w:shd w:val="clear" w:color="auto" w:fill="auto"/>
            <w:hideMark/>
          </w:tcPr>
          <w:p w14:paraId="4E8E7FB1" w14:textId="77777777" w:rsidR="009D6D4E" w:rsidRPr="00775508" w:rsidRDefault="009D6D4E" w:rsidP="00BF3B71">
            <w:pPr>
              <w:rPr>
                <w:color w:val="000000"/>
                <w:sz w:val="18"/>
                <w:szCs w:val="18"/>
              </w:rPr>
            </w:pPr>
            <w:r w:rsidRPr="00775508">
              <w:rPr>
                <w:color w:val="000000"/>
                <w:sz w:val="18"/>
                <w:szCs w:val="18"/>
              </w:rPr>
              <w:t xml:space="preserve">                   750,000 </w:t>
            </w:r>
          </w:p>
        </w:tc>
        <w:tc>
          <w:tcPr>
            <w:tcW w:w="1602" w:type="dxa"/>
            <w:gridSpan w:val="2"/>
            <w:tcBorders>
              <w:top w:val="nil"/>
              <w:left w:val="nil"/>
              <w:bottom w:val="single" w:sz="4" w:space="0" w:color="auto"/>
              <w:right w:val="single" w:sz="4" w:space="0" w:color="auto"/>
            </w:tcBorders>
            <w:shd w:val="clear" w:color="auto" w:fill="auto"/>
            <w:vAlign w:val="center"/>
            <w:hideMark/>
          </w:tcPr>
          <w:p w14:paraId="4BC57B7F" w14:textId="77777777" w:rsidR="009D6D4E" w:rsidRPr="00775508" w:rsidRDefault="009D6D4E" w:rsidP="00BF3B71">
            <w:pPr>
              <w:jc w:val="right"/>
              <w:rPr>
                <w:color w:val="000000"/>
                <w:sz w:val="18"/>
                <w:szCs w:val="18"/>
              </w:rPr>
            </w:pPr>
            <w:r w:rsidRPr="00775508">
              <w:rPr>
                <w:color w:val="000000"/>
                <w:sz w:val="18"/>
                <w:szCs w:val="18"/>
              </w:rPr>
              <w:t> </w:t>
            </w:r>
          </w:p>
        </w:tc>
        <w:tc>
          <w:tcPr>
            <w:tcW w:w="2250" w:type="dxa"/>
            <w:gridSpan w:val="3"/>
            <w:tcBorders>
              <w:top w:val="nil"/>
              <w:left w:val="nil"/>
              <w:bottom w:val="single" w:sz="4" w:space="0" w:color="auto"/>
              <w:right w:val="single" w:sz="4" w:space="0" w:color="auto"/>
            </w:tcBorders>
            <w:shd w:val="clear" w:color="auto" w:fill="auto"/>
            <w:noWrap/>
            <w:vAlign w:val="center"/>
            <w:hideMark/>
          </w:tcPr>
          <w:p w14:paraId="721F9AF0" w14:textId="77777777" w:rsidR="009D6D4E" w:rsidRPr="00775508" w:rsidRDefault="009D6D4E" w:rsidP="00BF3B71">
            <w:pPr>
              <w:jc w:val="right"/>
              <w:rPr>
                <w:color w:val="000000"/>
                <w:sz w:val="18"/>
                <w:szCs w:val="18"/>
              </w:rPr>
            </w:pPr>
            <w:r w:rsidRPr="00775508">
              <w:rPr>
                <w:color w:val="000000"/>
                <w:sz w:val="18"/>
                <w:szCs w:val="18"/>
              </w:rPr>
              <w:t xml:space="preserve">                                      -   </w:t>
            </w:r>
          </w:p>
        </w:tc>
        <w:tc>
          <w:tcPr>
            <w:tcW w:w="3061" w:type="dxa"/>
            <w:gridSpan w:val="3"/>
            <w:tcBorders>
              <w:top w:val="nil"/>
              <w:left w:val="nil"/>
              <w:bottom w:val="single" w:sz="4" w:space="0" w:color="auto"/>
              <w:right w:val="single" w:sz="4" w:space="0" w:color="auto"/>
            </w:tcBorders>
            <w:shd w:val="clear" w:color="auto" w:fill="auto"/>
            <w:vAlign w:val="center"/>
            <w:hideMark/>
          </w:tcPr>
          <w:p w14:paraId="4187E74B" w14:textId="77777777" w:rsidR="009D6D4E" w:rsidRPr="00775508" w:rsidRDefault="009D6D4E" w:rsidP="00BF3B71">
            <w:pPr>
              <w:jc w:val="right"/>
              <w:rPr>
                <w:color w:val="000000"/>
                <w:sz w:val="18"/>
                <w:szCs w:val="18"/>
              </w:rPr>
            </w:pPr>
            <w:r w:rsidRPr="00775508">
              <w:rPr>
                <w:color w:val="000000"/>
                <w:sz w:val="18"/>
                <w:szCs w:val="18"/>
              </w:rPr>
              <w:t xml:space="preserve">                 65,150,000 </w:t>
            </w:r>
          </w:p>
        </w:tc>
        <w:tc>
          <w:tcPr>
            <w:tcW w:w="1353" w:type="dxa"/>
            <w:tcBorders>
              <w:top w:val="nil"/>
              <w:left w:val="nil"/>
              <w:bottom w:val="single" w:sz="4" w:space="0" w:color="auto"/>
              <w:right w:val="single" w:sz="4" w:space="0" w:color="auto"/>
            </w:tcBorders>
            <w:shd w:val="clear" w:color="000000" w:fill="FFFFFF"/>
            <w:vAlign w:val="center"/>
            <w:hideMark/>
          </w:tcPr>
          <w:p w14:paraId="15C0F6B3" w14:textId="77777777" w:rsidR="009D6D4E" w:rsidRPr="00775508" w:rsidRDefault="009D6D4E" w:rsidP="00BF3B71">
            <w:pPr>
              <w:jc w:val="right"/>
              <w:rPr>
                <w:b/>
                <w:color w:val="000000"/>
                <w:sz w:val="18"/>
                <w:szCs w:val="18"/>
              </w:rPr>
            </w:pPr>
            <w:r w:rsidRPr="00775508">
              <w:rPr>
                <w:b/>
                <w:color w:val="000000"/>
                <w:sz w:val="18"/>
                <w:szCs w:val="18"/>
              </w:rPr>
              <w:t xml:space="preserve">                    65,900,000 </w:t>
            </w:r>
          </w:p>
        </w:tc>
      </w:tr>
      <w:tr w:rsidR="009D6D4E" w:rsidRPr="00775508" w14:paraId="3F3A06C6" w14:textId="77777777" w:rsidTr="00BF3B71">
        <w:trPr>
          <w:trHeight w:val="168"/>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6B848EC4" w14:textId="77777777" w:rsidR="009D6D4E" w:rsidRPr="00775508" w:rsidRDefault="009D6D4E" w:rsidP="00BF3B71">
            <w:pPr>
              <w:jc w:val="both"/>
              <w:rPr>
                <w:color w:val="000000"/>
                <w:sz w:val="18"/>
                <w:szCs w:val="18"/>
              </w:rPr>
            </w:pPr>
            <w:r w:rsidRPr="00775508">
              <w:rPr>
                <w:color w:val="000000"/>
                <w:sz w:val="18"/>
                <w:szCs w:val="18"/>
              </w:rPr>
              <w:t>2022</w:t>
            </w:r>
          </w:p>
        </w:tc>
        <w:tc>
          <w:tcPr>
            <w:tcW w:w="886" w:type="dxa"/>
            <w:gridSpan w:val="2"/>
            <w:tcBorders>
              <w:top w:val="nil"/>
              <w:left w:val="nil"/>
              <w:bottom w:val="single" w:sz="4" w:space="0" w:color="auto"/>
              <w:right w:val="single" w:sz="4" w:space="0" w:color="auto"/>
            </w:tcBorders>
            <w:shd w:val="clear" w:color="auto" w:fill="auto"/>
            <w:noWrap/>
            <w:hideMark/>
          </w:tcPr>
          <w:p w14:paraId="5765D735" w14:textId="77777777" w:rsidR="009D6D4E" w:rsidRPr="00775508" w:rsidRDefault="009D6D4E" w:rsidP="00BF3B71">
            <w:pPr>
              <w:rPr>
                <w:color w:val="000000"/>
                <w:sz w:val="18"/>
                <w:szCs w:val="18"/>
              </w:rPr>
            </w:pPr>
            <w:r w:rsidRPr="00775508">
              <w:rPr>
                <w:color w:val="000000"/>
                <w:sz w:val="18"/>
                <w:szCs w:val="18"/>
              </w:rPr>
              <w:t xml:space="preserve">                                -   </w:t>
            </w:r>
          </w:p>
        </w:tc>
        <w:tc>
          <w:tcPr>
            <w:tcW w:w="1602" w:type="dxa"/>
            <w:gridSpan w:val="2"/>
            <w:tcBorders>
              <w:top w:val="nil"/>
              <w:left w:val="nil"/>
              <w:bottom w:val="single" w:sz="4" w:space="0" w:color="auto"/>
              <w:right w:val="single" w:sz="4" w:space="0" w:color="auto"/>
            </w:tcBorders>
            <w:shd w:val="clear" w:color="auto" w:fill="auto"/>
            <w:noWrap/>
            <w:vAlign w:val="center"/>
            <w:hideMark/>
          </w:tcPr>
          <w:p w14:paraId="78FDFC91" w14:textId="77777777" w:rsidR="009D6D4E" w:rsidRPr="00775508" w:rsidRDefault="009D6D4E" w:rsidP="00BF3B71">
            <w:pPr>
              <w:jc w:val="right"/>
              <w:rPr>
                <w:color w:val="000000"/>
                <w:sz w:val="18"/>
                <w:szCs w:val="18"/>
              </w:rPr>
            </w:pPr>
            <w:r w:rsidRPr="00775508">
              <w:rPr>
                <w:color w:val="000000"/>
                <w:sz w:val="18"/>
                <w:szCs w:val="18"/>
              </w:rPr>
              <w:t> </w:t>
            </w:r>
          </w:p>
        </w:tc>
        <w:tc>
          <w:tcPr>
            <w:tcW w:w="2250" w:type="dxa"/>
            <w:gridSpan w:val="3"/>
            <w:tcBorders>
              <w:top w:val="nil"/>
              <w:left w:val="nil"/>
              <w:bottom w:val="single" w:sz="4" w:space="0" w:color="auto"/>
              <w:right w:val="single" w:sz="4" w:space="0" w:color="auto"/>
            </w:tcBorders>
            <w:shd w:val="clear" w:color="auto" w:fill="auto"/>
            <w:noWrap/>
            <w:vAlign w:val="center"/>
            <w:hideMark/>
          </w:tcPr>
          <w:p w14:paraId="42CF5198" w14:textId="77777777" w:rsidR="009D6D4E" w:rsidRPr="00775508" w:rsidRDefault="009D6D4E" w:rsidP="00BF3B71">
            <w:pPr>
              <w:jc w:val="right"/>
              <w:rPr>
                <w:color w:val="000000"/>
                <w:sz w:val="18"/>
                <w:szCs w:val="18"/>
              </w:rPr>
            </w:pPr>
            <w:r w:rsidRPr="00775508">
              <w:rPr>
                <w:color w:val="000000"/>
                <w:sz w:val="18"/>
                <w:szCs w:val="18"/>
              </w:rPr>
              <w:t xml:space="preserve">                                      -   </w:t>
            </w:r>
          </w:p>
        </w:tc>
        <w:tc>
          <w:tcPr>
            <w:tcW w:w="3061" w:type="dxa"/>
            <w:gridSpan w:val="3"/>
            <w:tcBorders>
              <w:top w:val="nil"/>
              <w:left w:val="nil"/>
              <w:bottom w:val="single" w:sz="4" w:space="0" w:color="auto"/>
              <w:right w:val="single" w:sz="4" w:space="0" w:color="auto"/>
            </w:tcBorders>
            <w:shd w:val="clear" w:color="auto" w:fill="auto"/>
            <w:noWrap/>
            <w:hideMark/>
          </w:tcPr>
          <w:p w14:paraId="267A0511" w14:textId="77777777" w:rsidR="009D6D4E" w:rsidRPr="00775508" w:rsidRDefault="009D6D4E" w:rsidP="00BF3B71">
            <w:pPr>
              <w:jc w:val="right"/>
              <w:rPr>
                <w:color w:val="000000"/>
                <w:sz w:val="18"/>
                <w:szCs w:val="18"/>
              </w:rPr>
            </w:pPr>
            <w:r w:rsidRPr="00775508">
              <w:rPr>
                <w:color w:val="000000"/>
                <w:sz w:val="18"/>
                <w:szCs w:val="18"/>
              </w:rPr>
              <w:t xml:space="preserve">               </w:t>
            </w:r>
            <w:r>
              <w:rPr>
                <w:color w:val="000000"/>
                <w:sz w:val="18"/>
                <w:szCs w:val="18"/>
              </w:rPr>
              <w:t xml:space="preserve">                 </w:t>
            </w:r>
            <w:r w:rsidRPr="00775508">
              <w:rPr>
                <w:color w:val="000000"/>
                <w:sz w:val="18"/>
                <w:szCs w:val="18"/>
              </w:rPr>
              <w:t xml:space="preserve">  24,690,000 </w:t>
            </w:r>
          </w:p>
        </w:tc>
        <w:tc>
          <w:tcPr>
            <w:tcW w:w="1353" w:type="dxa"/>
            <w:tcBorders>
              <w:top w:val="nil"/>
              <w:left w:val="nil"/>
              <w:bottom w:val="single" w:sz="4" w:space="0" w:color="auto"/>
              <w:right w:val="single" w:sz="4" w:space="0" w:color="auto"/>
            </w:tcBorders>
            <w:shd w:val="clear" w:color="000000" w:fill="FFFFFF"/>
            <w:vAlign w:val="center"/>
            <w:hideMark/>
          </w:tcPr>
          <w:p w14:paraId="322136A4" w14:textId="77777777" w:rsidR="009D6D4E" w:rsidRPr="00775508" w:rsidRDefault="009D6D4E" w:rsidP="00BF3B71">
            <w:pPr>
              <w:jc w:val="right"/>
              <w:rPr>
                <w:b/>
                <w:color w:val="000000"/>
                <w:sz w:val="18"/>
                <w:szCs w:val="18"/>
              </w:rPr>
            </w:pPr>
            <w:r w:rsidRPr="00775508">
              <w:rPr>
                <w:b/>
                <w:color w:val="000000"/>
                <w:sz w:val="18"/>
                <w:szCs w:val="18"/>
              </w:rPr>
              <w:t xml:space="preserve">                    24,690,000 </w:t>
            </w:r>
          </w:p>
        </w:tc>
      </w:tr>
      <w:tr w:rsidR="009D6D4E" w:rsidRPr="00775508" w14:paraId="3B9CDDAA" w14:textId="77777777" w:rsidTr="00BF3B71">
        <w:trPr>
          <w:trHeight w:val="191"/>
        </w:trPr>
        <w:tc>
          <w:tcPr>
            <w:tcW w:w="9989"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3022A190" w14:textId="77777777" w:rsidR="009D6D4E" w:rsidRPr="00775508" w:rsidRDefault="009D6D4E" w:rsidP="00BF3B71">
            <w:pPr>
              <w:rPr>
                <w:b/>
                <w:bCs/>
                <w:color w:val="000000"/>
                <w:sz w:val="18"/>
                <w:szCs w:val="18"/>
              </w:rPr>
            </w:pPr>
            <w:r w:rsidRPr="00775508">
              <w:rPr>
                <w:b/>
                <w:bCs/>
                <w:color w:val="000000"/>
                <w:sz w:val="18"/>
                <w:szCs w:val="18"/>
              </w:rPr>
              <w:t>Table 10 b.     Financimi i masës së reformës strukturore</w:t>
            </w:r>
            <w:r>
              <w:rPr>
                <w:b/>
                <w:bCs/>
                <w:color w:val="000000"/>
                <w:sz w:val="18"/>
                <w:szCs w:val="18"/>
              </w:rPr>
              <w:t xml:space="preserve">: </w:t>
            </w:r>
            <w:r w:rsidRPr="00775508">
              <w:rPr>
                <w:rFonts w:ascii="Calibri" w:hAnsi="Calibri" w:cs="Calibri"/>
                <w:b/>
                <w:bCs/>
                <w:color w:val="000000"/>
                <w:sz w:val="18"/>
                <w:szCs w:val="18"/>
              </w:rPr>
              <w:t>Masa#2  Rritja e diversitetit te burimeve te energjise</w:t>
            </w:r>
          </w:p>
        </w:tc>
      </w:tr>
      <w:tr w:rsidR="009D6D4E" w:rsidRPr="00775508" w14:paraId="7BA970A1" w14:textId="77777777" w:rsidTr="00BF3B71">
        <w:trPr>
          <w:trHeight w:val="480"/>
        </w:trPr>
        <w:tc>
          <w:tcPr>
            <w:tcW w:w="837" w:type="dxa"/>
            <w:tcBorders>
              <w:top w:val="nil"/>
              <w:left w:val="single" w:sz="4" w:space="0" w:color="auto"/>
              <w:bottom w:val="single" w:sz="4" w:space="0" w:color="auto"/>
              <w:right w:val="single" w:sz="4" w:space="0" w:color="auto"/>
            </w:tcBorders>
            <w:shd w:val="clear" w:color="auto" w:fill="auto"/>
            <w:vAlign w:val="center"/>
            <w:hideMark/>
          </w:tcPr>
          <w:p w14:paraId="0BF0A01F" w14:textId="77777777" w:rsidR="009D6D4E" w:rsidRPr="00775508" w:rsidRDefault="009D6D4E" w:rsidP="00BF3B71">
            <w:pPr>
              <w:rPr>
                <w:color w:val="000000"/>
                <w:sz w:val="18"/>
                <w:szCs w:val="18"/>
              </w:rPr>
            </w:pPr>
            <w:r w:rsidRPr="00775508">
              <w:rPr>
                <w:color w:val="000000"/>
                <w:sz w:val="18"/>
                <w:szCs w:val="18"/>
              </w:rPr>
              <w:t>Year</w:t>
            </w:r>
          </w:p>
        </w:tc>
        <w:tc>
          <w:tcPr>
            <w:tcW w:w="840" w:type="dxa"/>
            <w:tcBorders>
              <w:top w:val="nil"/>
              <w:left w:val="nil"/>
              <w:bottom w:val="single" w:sz="4" w:space="0" w:color="auto"/>
              <w:right w:val="single" w:sz="4" w:space="0" w:color="auto"/>
            </w:tcBorders>
            <w:shd w:val="clear" w:color="auto" w:fill="auto"/>
            <w:vAlign w:val="center"/>
            <w:hideMark/>
          </w:tcPr>
          <w:p w14:paraId="293B852D" w14:textId="77777777" w:rsidR="009D6D4E" w:rsidRPr="00775508" w:rsidRDefault="009D6D4E" w:rsidP="00BF3B71">
            <w:pPr>
              <w:rPr>
                <w:color w:val="000000"/>
                <w:sz w:val="18"/>
                <w:szCs w:val="18"/>
              </w:rPr>
            </w:pPr>
            <w:r w:rsidRPr="00775508">
              <w:rPr>
                <w:color w:val="000000"/>
                <w:sz w:val="18"/>
                <w:szCs w:val="18"/>
              </w:rPr>
              <w:t>Buxheti Qendror</w:t>
            </w:r>
          </w:p>
        </w:tc>
        <w:tc>
          <w:tcPr>
            <w:tcW w:w="794" w:type="dxa"/>
            <w:gridSpan w:val="2"/>
            <w:tcBorders>
              <w:top w:val="nil"/>
              <w:left w:val="nil"/>
              <w:bottom w:val="single" w:sz="4" w:space="0" w:color="auto"/>
              <w:right w:val="single" w:sz="4" w:space="0" w:color="auto"/>
            </w:tcBorders>
            <w:shd w:val="clear" w:color="auto" w:fill="auto"/>
            <w:noWrap/>
            <w:vAlign w:val="center"/>
            <w:hideMark/>
          </w:tcPr>
          <w:p w14:paraId="6B70E6DD" w14:textId="77777777" w:rsidR="009D6D4E" w:rsidRPr="00775508" w:rsidRDefault="009D6D4E" w:rsidP="00BF3B71">
            <w:pPr>
              <w:jc w:val="right"/>
              <w:rPr>
                <w:color w:val="000000"/>
                <w:sz w:val="18"/>
                <w:szCs w:val="18"/>
              </w:rPr>
            </w:pPr>
            <w:r w:rsidRPr="00775508">
              <w:rPr>
                <w:color w:val="000000"/>
                <w:sz w:val="18"/>
                <w:szCs w:val="18"/>
              </w:rPr>
              <w:t>Buxheti Lokal</w:t>
            </w:r>
          </w:p>
        </w:tc>
        <w:tc>
          <w:tcPr>
            <w:tcW w:w="1242" w:type="dxa"/>
            <w:gridSpan w:val="2"/>
            <w:tcBorders>
              <w:top w:val="nil"/>
              <w:left w:val="nil"/>
              <w:bottom w:val="single" w:sz="4" w:space="0" w:color="auto"/>
              <w:right w:val="single" w:sz="4" w:space="0" w:color="auto"/>
            </w:tcBorders>
            <w:shd w:val="clear" w:color="auto" w:fill="auto"/>
            <w:vAlign w:val="center"/>
            <w:hideMark/>
          </w:tcPr>
          <w:p w14:paraId="65558C1E" w14:textId="77777777" w:rsidR="009D6D4E" w:rsidRPr="00775508" w:rsidRDefault="009D6D4E" w:rsidP="00BF3B71">
            <w:pPr>
              <w:rPr>
                <w:color w:val="000000"/>
                <w:sz w:val="18"/>
                <w:szCs w:val="18"/>
              </w:rPr>
            </w:pPr>
            <w:r w:rsidRPr="00775508">
              <w:rPr>
                <w:color w:val="000000"/>
                <w:sz w:val="18"/>
                <w:szCs w:val="18"/>
              </w:rPr>
              <w:t>Burime tjera nga financat publike te shtetit</w:t>
            </w:r>
          </w:p>
        </w:tc>
        <w:tc>
          <w:tcPr>
            <w:tcW w:w="803" w:type="dxa"/>
            <w:tcBorders>
              <w:top w:val="nil"/>
              <w:left w:val="nil"/>
              <w:bottom w:val="single" w:sz="4" w:space="0" w:color="auto"/>
              <w:right w:val="single" w:sz="4" w:space="0" w:color="auto"/>
            </w:tcBorders>
            <w:shd w:val="clear" w:color="auto" w:fill="auto"/>
            <w:noWrap/>
            <w:vAlign w:val="center"/>
            <w:hideMark/>
          </w:tcPr>
          <w:p w14:paraId="1DED4107" w14:textId="77777777" w:rsidR="009D6D4E" w:rsidRPr="00775508" w:rsidRDefault="009D6D4E" w:rsidP="00BF3B71">
            <w:pPr>
              <w:jc w:val="right"/>
              <w:rPr>
                <w:color w:val="000000"/>
                <w:sz w:val="18"/>
                <w:szCs w:val="18"/>
              </w:rPr>
            </w:pPr>
            <w:r w:rsidRPr="00775508">
              <w:rPr>
                <w:color w:val="000000"/>
                <w:sz w:val="18"/>
                <w:szCs w:val="18"/>
              </w:rPr>
              <w:t>Fondet e IPA-sē</w:t>
            </w:r>
          </w:p>
        </w:tc>
        <w:tc>
          <w:tcPr>
            <w:tcW w:w="1183" w:type="dxa"/>
            <w:gridSpan w:val="2"/>
            <w:tcBorders>
              <w:top w:val="nil"/>
              <w:left w:val="nil"/>
              <w:bottom w:val="single" w:sz="4" w:space="0" w:color="auto"/>
              <w:right w:val="single" w:sz="4" w:space="0" w:color="auto"/>
            </w:tcBorders>
            <w:shd w:val="clear" w:color="auto" w:fill="auto"/>
            <w:noWrap/>
            <w:vAlign w:val="center"/>
            <w:hideMark/>
          </w:tcPr>
          <w:p w14:paraId="31E47320" w14:textId="77777777" w:rsidR="009D6D4E" w:rsidRPr="00775508" w:rsidRDefault="009D6D4E" w:rsidP="00BF3B71">
            <w:pPr>
              <w:jc w:val="right"/>
              <w:rPr>
                <w:color w:val="000000"/>
                <w:sz w:val="18"/>
                <w:szCs w:val="18"/>
              </w:rPr>
            </w:pPr>
            <w:r w:rsidRPr="00775508">
              <w:rPr>
                <w:color w:val="000000"/>
                <w:sz w:val="18"/>
                <w:szCs w:val="18"/>
              </w:rPr>
              <w:t>Grantet tjera  ( WB, WBIF)</w:t>
            </w:r>
          </w:p>
        </w:tc>
        <w:tc>
          <w:tcPr>
            <w:tcW w:w="1576" w:type="dxa"/>
            <w:tcBorders>
              <w:top w:val="nil"/>
              <w:left w:val="nil"/>
              <w:bottom w:val="single" w:sz="4" w:space="0" w:color="auto"/>
              <w:right w:val="single" w:sz="4" w:space="0" w:color="auto"/>
            </w:tcBorders>
            <w:shd w:val="clear" w:color="auto" w:fill="auto"/>
            <w:vAlign w:val="center"/>
            <w:hideMark/>
          </w:tcPr>
          <w:p w14:paraId="24215457" w14:textId="77777777" w:rsidR="009D6D4E" w:rsidRPr="00775508" w:rsidRDefault="009D6D4E" w:rsidP="00BF3B71">
            <w:pPr>
              <w:rPr>
                <w:color w:val="000000"/>
                <w:sz w:val="18"/>
                <w:szCs w:val="18"/>
              </w:rPr>
            </w:pPr>
            <w:r w:rsidRPr="00775508">
              <w:rPr>
                <w:color w:val="000000"/>
                <w:sz w:val="18"/>
                <w:szCs w:val="18"/>
              </w:rPr>
              <w:t>Kreditë/Huamarrje</w:t>
            </w:r>
          </w:p>
        </w:tc>
        <w:tc>
          <w:tcPr>
            <w:tcW w:w="1361" w:type="dxa"/>
            <w:tcBorders>
              <w:top w:val="nil"/>
              <w:left w:val="nil"/>
              <w:bottom w:val="single" w:sz="4" w:space="0" w:color="auto"/>
              <w:right w:val="single" w:sz="4" w:space="0" w:color="auto"/>
            </w:tcBorders>
            <w:shd w:val="clear" w:color="auto" w:fill="auto"/>
            <w:noWrap/>
            <w:vAlign w:val="center"/>
            <w:hideMark/>
          </w:tcPr>
          <w:p w14:paraId="2DAD4C8C" w14:textId="77777777" w:rsidR="009D6D4E" w:rsidRPr="00775508" w:rsidRDefault="009D6D4E" w:rsidP="00BF3B71">
            <w:pPr>
              <w:jc w:val="right"/>
              <w:rPr>
                <w:color w:val="000000"/>
                <w:sz w:val="18"/>
                <w:szCs w:val="18"/>
              </w:rPr>
            </w:pPr>
            <w:r w:rsidRPr="00775508">
              <w:rPr>
                <w:color w:val="000000"/>
                <w:sz w:val="18"/>
                <w:szCs w:val="18"/>
              </w:rPr>
              <w:t>Të përcaktohen ( Sektori Privat)</w:t>
            </w:r>
          </w:p>
        </w:tc>
        <w:tc>
          <w:tcPr>
            <w:tcW w:w="1353" w:type="dxa"/>
            <w:tcBorders>
              <w:top w:val="nil"/>
              <w:left w:val="nil"/>
              <w:bottom w:val="single" w:sz="4" w:space="0" w:color="auto"/>
              <w:right w:val="single" w:sz="4" w:space="0" w:color="auto"/>
            </w:tcBorders>
            <w:shd w:val="clear" w:color="auto" w:fill="auto"/>
            <w:noWrap/>
            <w:vAlign w:val="center"/>
            <w:hideMark/>
          </w:tcPr>
          <w:p w14:paraId="6C5E6083" w14:textId="77777777" w:rsidR="009D6D4E" w:rsidRPr="00775508" w:rsidRDefault="009D6D4E" w:rsidP="00BF3B71">
            <w:pPr>
              <w:jc w:val="right"/>
              <w:rPr>
                <w:b/>
                <w:color w:val="000000"/>
                <w:sz w:val="18"/>
                <w:szCs w:val="18"/>
              </w:rPr>
            </w:pPr>
            <w:r w:rsidRPr="00775508">
              <w:rPr>
                <w:b/>
                <w:color w:val="000000"/>
                <w:sz w:val="18"/>
                <w:szCs w:val="18"/>
              </w:rPr>
              <w:t>Totali</w:t>
            </w:r>
          </w:p>
        </w:tc>
      </w:tr>
      <w:tr w:rsidR="009D6D4E" w:rsidRPr="00775508" w14:paraId="780B1870" w14:textId="77777777" w:rsidTr="00BF3B71">
        <w:trPr>
          <w:trHeight w:val="240"/>
        </w:trPr>
        <w:tc>
          <w:tcPr>
            <w:tcW w:w="837" w:type="dxa"/>
            <w:tcBorders>
              <w:top w:val="nil"/>
              <w:left w:val="single" w:sz="4" w:space="0" w:color="auto"/>
              <w:bottom w:val="single" w:sz="4" w:space="0" w:color="auto"/>
              <w:right w:val="single" w:sz="4" w:space="0" w:color="auto"/>
            </w:tcBorders>
            <w:shd w:val="clear" w:color="auto" w:fill="auto"/>
            <w:noWrap/>
            <w:vAlign w:val="center"/>
            <w:hideMark/>
          </w:tcPr>
          <w:p w14:paraId="2E52D82F" w14:textId="77777777" w:rsidR="009D6D4E" w:rsidRPr="00775508" w:rsidRDefault="009D6D4E" w:rsidP="00BF3B71">
            <w:pPr>
              <w:jc w:val="right"/>
              <w:rPr>
                <w:color w:val="000000"/>
                <w:sz w:val="18"/>
                <w:szCs w:val="18"/>
              </w:rPr>
            </w:pPr>
            <w:r w:rsidRPr="00775508">
              <w:rPr>
                <w:color w:val="000000"/>
                <w:sz w:val="18"/>
                <w:szCs w:val="18"/>
              </w:rPr>
              <w:t xml:space="preserve">                  2,020 </w:t>
            </w:r>
          </w:p>
        </w:tc>
        <w:tc>
          <w:tcPr>
            <w:tcW w:w="840" w:type="dxa"/>
            <w:tcBorders>
              <w:top w:val="nil"/>
              <w:left w:val="nil"/>
              <w:bottom w:val="single" w:sz="4" w:space="0" w:color="auto"/>
              <w:right w:val="single" w:sz="4" w:space="0" w:color="auto"/>
            </w:tcBorders>
            <w:shd w:val="clear" w:color="auto" w:fill="auto"/>
            <w:vAlign w:val="center"/>
            <w:hideMark/>
          </w:tcPr>
          <w:p w14:paraId="3B3C5B1E" w14:textId="77777777" w:rsidR="009D6D4E" w:rsidRPr="00775508" w:rsidRDefault="009D6D4E" w:rsidP="00BF3B71">
            <w:pPr>
              <w:jc w:val="right"/>
              <w:rPr>
                <w:color w:val="000000"/>
                <w:sz w:val="18"/>
                <w:szCs w:val="18"/>
              </w:rPr>
            </w:pPr>
            <w:r w:rsidRPr="00775508">
              <w:rPr>
                <w:color w:val="000000"/>
                <w:sz w:val="18"/>
                <w:szCs w:val="18"/>
              </w:rPr>
              <w:t>0.00</w:t>
            </w:r>
          </w:p>
        </w:tc>
        <w:tc>
          <w:tcPr>
            <w:tcW w:w="794" w:type="dxa"/>
            <w:gridSpan w:val="2"/>
            <w:tcBorders>
              <w:top w:val="nil"/>
              <w:left w:val="nil"/>
              <w:bottom w:val="single" w:sz="4" w:space="0" w:color="auto"/>
              <w:right w:val="single" w:sz="4" w:space="0" w:color="auto"/>
            </w:tcBorders>
            <w:shd w:val="clear" w:color="auto" w:fill="auto"/>
            <w:vAlign w:val="center"/>
            <w:hideMark/>
          </w:tcPr>
          <w:p w14:paraId="158051C9" w14:textId="77777777" w:rsidR="009D6D4E" w:rsidRPr="00775508" w:rsidRDefault="009D6D4E" w:rsidP="00BF3B71">
            <w:pPr>
              <w:jc w:val="right"/>
              <w:rPr>
                <w:color w:val="000000"/>
                <w:sz w:val="18"/>
                <w:szCs w:val="18"/>
              </w:rPr>
            </w:pPr>
            <w:r w:rsidRPr="00775508">
              <w:rPr>
                <w:color w:val="000000"/>
                <w:sz w:val="18"/>
                <w:szCs w:val="18"/>
              </w:rPr>
              <w:t>0.00</w:t>
            </w:r>
          </w:p>
        </w:tc>
        <w:tc>
          <w:tcPr>
            <w:tcW w:w="1242" w:type="dxa"/>
            <w:gridSpan w:val="2"/>
            <w:tcBorders>
              <w:top w:val="nil"/>
              <w:left w:val="nil"/>
              <w:bottom w:val="single" w:sz="4" w:space="0" w:color="auto"/>
              <w:right w:val="single" w:sz="4" w:space="0" w:color="auto"/>
            </w:tcBorders>
            <w:shd w:val="clear" w:color="auto" w:fill="auto"/>
            <w:vAlign w:val="center"/>
            <w:hideMark/>
          </w:tcPr>
          <w:p w14:paraId="76CE5539" w14:textId="77777777" w:rsidR="009D6D4E" w:rsidRPr="00775508" w:rsidRDefault="009D6D4E" w:rsidP="00BF3B71">
            <w:pPr>
              <w:jc w:val="right"/>
              <w:rPr>
                <w:color w:val="000000"/>
                <w:sz w:val="18"/>
                <w:szCs w:val="18"/>
              </w:rPr>
            </w:pPr>
            <w:r w:rsidRPr="00775508">
              <w:rPr>
                <w:color w:val="000000"/>
                <w:sz w:val="18"/>
                <w:szCs w:val="18"/>
              </w:rPr>
              <w:t>0.00</w:t>
            </w:r>
          </w:p>
        </w:tc>
        <w:tc>
          <w:tcPr>
            <w:tcW w:w="803" w:type="dxa"/>
            <w:tcBorders>
              <w:top w:val="nil"/>
              <w:left w:val="nil"/>
              <w:bottom w:val="single" w:sz="4" w:space="0" w:color="auto"/>
              <w:right w:val="single" w:sz="4" w:space="0" w:color="auto"/>
            </w:tcBorders>
            <w:shd w:val="clear" w:color="auto" w:fill="auto"/>
            <w:vAlign w:val="center"/>
            <w:hideMark/>
          </w:tcPr>
          <w:p w14:paraId="64A8574D" w14:textId="77777777" w:rsidR="009D6D4E" w:rsidRPr="00775508" w:rsidRDefault="009D6D4E" w:rsidP="00BF3B71">
            <w:pPr>
              <w:jc w:val="right"/>
              <w:rPr>
                <w:color w:val="000000"/>
                <w:sz w:val="18"/>
                <w:szCs w:val="18"/>
              </w:rPr>
            </w:pPr>
            <w:r w:rsidRPr="00775508">
              <w:rPr>
                <w:color w:val="000000"/>
                <w:sz w:val="18"/>
                <w:szCs w:val="18"/>
              </w:rPr>
              <w:t>0.00</w:t>
            </w:r>
          </w:p>
        </w:tc>
        <w:tc>
          <w:tcPr>
            <w:tcW w:w="1183" w:type="dxa"/>
            <w:gridSpan w:val="2"/>
            <w:tcBorders>
              <w:top w:val="nil"/>
              <w:left w:val="nil"/>
              <w:bottom w:val="single" w:sz="4" w:space="0" w:color="auto"/>
              <w:right w:val="single" w:sz="4" w:space="0" w:color="auto"/>
            </w:tcBorders>
            <w:shd w:val="clear" w:color="auto" w:fill="auto"/>
            <w:vAlign w:val="center"/>
            <w:hideMark/>
          </w:tcPr>
          <w:p w14:paraId="292A1EE2" w14:textId="77777777" w:rsidR="009D6D4E" w:rsidRPr="00775508" w:rsidRDefault="009D6D4E" w:rsidP="00BF3B71">
            <w:pPr>
              <w:jc w:val="right"/>
              <w:rPr>
                <w:color w:val="000000"/>
                <w:sz w:val="18"/>
                <w:szCs w:val="18"/>
              </w:rPr>
            </w:pPr>
            <w:r w:rsidRPr="00775508">
              <w:rPr>
                <w:color w:val="000000"/>
                <w:sz w:val="18"/>
                <w:szCs w:val="18"/>
              </w:rPr>
              <w:t>2,750,000.00</w:t>
            </w:r>
          </w:p>
        </w:tc>
        <w:tc>
          <w:tcPr>
            <w:tcW w:w="1576" w:type="dxa"/>
            <w:tcBorders>
              <w:top w:val="nil"/>
              <w:left w:val="nil"/>
              <w:bottom w:val="single" w:sz="4" w:space="0" w:color="auto"/>
              <w:right w:val="single" w:sz="4" w:space="0" w:color="auto"/>
            </w:tcBorders>
            <w:shd w:val="clear" w:color="auto" w:fill="auto"/>
            <w:vAlign w:val="center"/>
            <w:hideMark/>
          </w:tcPr>
          <w:p w14:paraId="4FEF8BE2" w14:textId="77777777" w:rsidR="009D6D4E" w:rsidRPr="00775508" w:rsidRDefault="009D6D4E" w:rsidP="00BF3B71">
            <w:pPr>
              <w:jc w:val="right"/>
              <w:rPr>
                <w:color w:val="000000"/>
                <w:sz w:val="18"/>
                <w:szCs w:val="18"/>
              </w:rPr>
            </w:pPr>
            <w:r w:rsidRPr="00775508">
              <w:rPr>
                <w:color w:val="000000"/>
                <w:sz w:val="18"/>
                <w:szCs w:val="18"/>
              </w:rPr>
              <w:t>0.00</w:t>
            </w:r>
          </w:p>
        </w:tc>
        <w:tc>
          <w:tcPr>
            <w:tcW w:w="1361" w:type="dxa"/>
            <w:tcBorders>
              <w:top w:val="nil"/>
              <w:left w:val="nil"/>
              <w:bottom w:val="single" w:sz="4" w:space="0" w:color="auto"/>
              <w:right w:val="single" w:sz="4" w:space="0" w:color="auto"/>
            </w:tcBorders>
            <w:shd w:val="clear" w:color="auto" w:fill="auto"/>
            <w:vAlign w:val="center"/>
            <w:hideMark/>
          </w:tcPr>
          <w:p w14:paraId="33D63764" w14:textId="77777777" w:rsidR="009D6D4E" w:rsidRPr="00775508" w:rsidRDefault="009D6D4E" w:rsidP="00BF3B71">
            <w:pPr>
              <w:jc w:val="right"/>
              <w:rPr>
                <w:color w:val="000000"/>
                <w:sz w:val="18"/>
                <w:szCs w:val="18"/>
              </w:rPr>
            </w:pPr>
            <w:r w:rsidRPr="00775508">
              <w:rPr>
                <w:color w:val="000000"/>
                <w:sz w:val="18"/>
                <w:szCs w:val="18"/>
              </w:rPr>
              <w:t>167,280,000.00</w:t>
            </w:r>
          </w:p>
        </w:tc>
        <w:tc>
          <w:tcPr>
            <w:tcW w:w="1353" w:type="dxa"/>
            <w:tcBorders>
              <w:top w:val="nil"/>
              <w:left w:val="nil"/>
              <w:bottom w:val="single" w:sz="4" w:space="0" w:color="auto"/>
              <w:right w:val="single" w:sz="4" w:space="0" w:color="auto"/>
            </w:tcBorders>
            <w:shd w:val="clear" w:color="auto" w:fill="auto"/>
            <w:vAlign w:val="center"/>
            <w:hideMark/>
          </w:tcPr>
          <w:p w14:paraId="3C17CC72" w14:textId="77777777" w:rsidR="009D6D4E" w:rsidRPr="00775508" w:rsidRDefault="009D6D4E" w:rsidP="00BF3B71">
            <w:pPr>
              <w:jc w:val="right"/>
              <w:rPr>
                <w:b/>
                <w:color w:val="000000"/>
                <w:sz w:val="18"/>
                <w:szCs w:val="18"/>
              </w:rPr>
            </w:pPr>
            <w:r w:rsidRPr="00775508">
              <w:rPr>
                <w:b/>
                <w:color w:val="000000"/>
                <w:sz w:val="18"/>
                <w:szCs w:val="18"/>
              </w:rPr>
              <w:t>170,030,000</w:t>
            </w:r>
          </w:p>
        </w:tc>
      </w:tr>
      <w:tr w:rsidR="009D6D4E" w:rsidRPr="00775508" w14:paraId="5E78982C" w14:textId="77777777" w:rsidTr="00BF3B71">
        <w:trPr>
          <w:trHeight w:val="263"/>
        </w:trPr>
        <w:tc>
          <w:tcPr>
            <w:tcW w:w="837" w:type="dxa"/>
            <w:tcBorders>
              <w:top w:val="nil"/>
              <w:left w:val="single" w:sz="4" w:space="0" w:color="auto"/>
              <w:bottom w:val="single" w:sz="4" w:space="0" w:color="auto"/>
              <w:right w:val="single" w:sz="4" w:space="0" w:color="auto"/>
            </w:tcBorders>
            <w:shd w:val="clear" w:color="auto" w:fill="auto"/>
            <w:noWrap/>
            <w:vAlign w:val="center"/>
            <w:hideMark/>
          </w:tcPr>
          <w:p w14:paraId="5CB57786" w14:textId="77777777" w:rsidR="009D6D4E" w:rsidRPr="00775508" w:rsidRDefault="009D6D4E" w:rsidP="00BF3B71">
            <w:pPr>
              <w:jc w:val="right"/>
              <w:rPr>
                <w:color w:val="000000"/>
                <w:sz w:val="18"/>
                <w:szCs w:val="18"/>
              </w:rPr>
            </w:pPr>
            <w:r w:rsidRPr="00775508">
              <w:rPr>
                <w:color w:val="000000"/>
                <w:sz w:val="18"/>
                <w:szCs w:val="18"/>
              </w:rPr>
              <w:t xml:space="preserve">                  2,021 </w:t>
            </w:r>
          </w:p>
        </w:tc>
        <w:tc>
          <w:tcPr>
            <w:tcW w:w="840" w:type="dxa"/>
            <w:tcBorders>
              <w:top w:val="nil"/>
              <w:left w:val="nil"/>
              <w:bottom w:val="single" w:sz="4" w:space="0" w:color="auto"/>
              <w:right w:val="single" w:sz="4" w:space="0" w:color="auto"/>
            </w:tcBorders>
            <w:shd w:val="clear" w:color="auto" w:fill="auto"/>
            <w:vAlign w:val="center"/>
            <w:hideMark/>
          </w:tcPr>
          <w:p w14:paraId="38B72CD1" w14:textId="77777777" w:rsidR="009D6D4E" w:rsidRPr="00775508" w:rsidRDefault="009D6D4E" w:rsidP="00BF3B71">
            <w:pPr>
              <w:jc w:val="right"/>
              <w:rPr>
                <w:color w:val="000000"/>
                <w:sz w:val="18"/>
                <w:szCs w:val="18"/>
              </w:rPr>
            </w:pPr>
            <w:r w:rsidRPr="00775508">
              <w:rPr>
                <w:color w:val="000000"/>
                <w:sz w:val="18"/>
                <w:szCs w:val="18"/>
              </w:rPr>
              <w:t>0.00</w:t>
            </w:r>
          </w:p>
        </w:tc>
        <w:tc>
          <w:tcPr>
            <w:tcW w:w="794" w:type="dxa"/>
            <w:gridSpan w:val="2"/>
            <w:tcBorders>
              <w:top w:val="nil"/>
              <w:left w:val="nil"/>
              <w:bottom w:val="single" w:sz="4" w:space="0" w:color="auto"/>
              <w:right w:val="single" w:sz="4" w:space="0" w:color="auto"/>
            </w:tcBorders>
            <w:shd w:val="clear" w:color="auto" w:fill="auto"/>
            <w:vAlign w:val="center"/>
            <w:hideMark/>
          </w:tcPr>
          <w:p w14:paraId="663F1F4C" w14:textId="77777777" w:rsidR="009D6D4E" w:rsidRPr="00775508" w:rsidRDefault="009D6D4E" w:rsidP="00BF3B71">
            <w:pPr>
              <w:jc w:val="right"/>
              <w:rPr>
                <w:color w:val="000000"/>
                <w:sz w:val="18"/>
                <w:szCs w:val="18"/>
              </w:rPr>
            </w:pPr>
            <w:r w:rsidRPr="00775508">
              <w:rPr>
                <w:color w:val="000000"/>
                <w:sz w:val="18"/>
                <w:szCs w:val="18"/>
              </w:rPr>
              <w:t>0.00</w:t>
            </w:r>
          </w:p>
        </w:tc>
        <w:tc>
          <w:tcPr>
            <w:tcW w:w="1242" w:type="dxa"/>
            <w:gridSpan w:val="2"/>
            <w:tcBorders>
              <w:top w:val="nil"/>
              <w:left w:val="nil"/>
              <w:bottom w:val="single" w:sz="4" w:space="0" w:color="auto"/>
              <w:right w:val="single" w:sz="4" w:space="0" w:color="auto"/>
            </w:tcBorders>
            <w:shd w:val="clear" w:color="auto" w:fill="auto"/>
            <w:vAlign w:val="center"/>
            <w:hideMark/>
          </w:tcPr>
          <w:p w14:paraId="1EA08A7E" w14:textId="77777777" w:rsidR="009D6D4E" w:rsidRPr="00775508" w:rsidRDefault="009D6D4E" w:rsidP="00BF3B71">
            <w:pPr>
              <w:jc w:val="right"/>
              <w:rPr>
                <w:color w:val="000000"/>
                <w:sz w:val="18"/>
                <w:szCs w:val="18"/>
              </w:rPr>
            </w:pPr>
            <w:r w:rsidRPr="00775508">
              <w:rPr>
                <w:color w:val="000000"/>
                <w:sz w:val="18"/>
                <w:szCs w:val="18"/>
              </w:rPr>
              <w:t>0.00</w:t>
            </w:r>
          </w:p>
        </w:tc>
        <w:tc>
          <w:tcPr>
            <w:tcW w:w="803" w:type="dxa"/>
            <w:tcBorders>
              <w:top w:val="nil"/>
              <w:left w:val="nil"/>
              <w:bottom w:val="single" w:sz="4" w:space="0" w:color="auto"/>
              <w:right w:val="single" w:sz="4" w:space="0" w:color="auto"/>
            </w:tcBorders>
            <w:shd w:val="clear" w:color="auto" w:fill="auto"/>
            <w:vAlign w:val="center"/>
            <w:hideMark/>
          </w:tcPr>
          <w:p w14:paraId="0FEDBC1F" w14:textId="77777777" w:rsidR="009D6D4E" w:rsidRPr="00775508" w:rsidRDefault="009D6D4E" w:rsidP="00BF3B71">
            <w:pPr>
              <w:jc w:val="right"/>
              <w:rPr>
                <w:color w:val="000000"/>
                <w:sz w:val="18"/>
                <w:szCs w:val="18"/>
              </w:rPr>
            </w:pPr>
            <w:r w:rsidRPr="00775508">
              <w:rPr>
                <w:color w:val="000000"/>
                <w:sz w:val="18"/>
                <w:szCs w:val="18"/>
              </w:rPr>
              <w:t>0.00</w:t>
            </w:r>
          </w:p>
        </w:tc>
        <w:tc>
          <w:tcPr>
            <w:tcW w:w="1183" w:type="dxa"/>
            <w:gridSpan w:val="2"/>
            <w:tcBorders>
              <w:top w:val="nil"/>
              <w:left w:val="nil"/>
              <w:bottom w:val="single" w:sz="4" w:space="0" w:color="auto"/>
              <w:right w:val="single" w:sz="4" w:space="0" w:color="auto"/>
            </w:tcBorders>
            <w:shd w:val="clear" w:color="auto" w:fill="auto"/>
            <w:vAlign w:val="center"/>
            <w:hideMark/>
          </w:tcPr>
          <w:p w14:paraId="2E56BB84" w14:textId="77777777" w:rsidR="009D6D4E" w:rsidRPr="00775508" w:rsidRDefault="009D6D4E" w:rsidP="00BF3B71">
            <w:pPr>
              <w:jc w:val="right"/>
              <w:rPr>
                <w:color w:val="000000"/>
                <w:sz w:val="18"/>
                <w:szCs w:val="18"/>
              </w:rPr>
            </w:pPr>
            <w:r w:rsidRPr="00775508">
              <w:rPr>
                <w:color w:val="000000"/>
                <w:sz w:val="18"/>
                <w:szCs w:val="18"/>
              </w:rPr>
              <w:t>750,000.00</w:t>
            </w:r>
          </w:p>
        </w:tc>
        <w:tc>
          <w:tcPr>
            <w:tcW w:w="1576" w:type="dxa"/>
            <w:tcBorders>
              <w:top w:val="nil"/>
              <w:left w:val="nil"/>
              <w:bottom w:val="single" w:sz="4" w:space="0" w:color="auto"/>
              <w:right w:val="single" w:sz="4" w:space="0" w:color="auto"/>
            </w:tcBorders>
            <w:shd w:val="clear" w:color="auto" w:fill="auto"/>
            <w:vAlign w:val="center"/>
            <w:hideMark/>
          </w:tcPr>
          <w:p w14:paraId="50649104" w14:textId="77777777" w:rsidR="009D6D4E" w:rsidRPr="00775508" w:rsidRDefault="009D6D4E" w:rsidP="00BF3B71">
            <w:pPr>
              <w:jc w:val="right"/>
              <w:rPr>
                <w:color w:val="000000"/>
                <w:sz w:val="18"/>
                <w:szCs w:val="18"/>
              </w:rPr>
            </w:pPr>
            <w:r w:rsidRPr="00775508">
              <w:rPr>
                <w:color w:val="000000"/>
                <w:sz w:val="18"/>
                <w:szCs w:val="18"/>
              </w:rPr>
              <w:t>0.00</w:t>
            </w:r>
          </w:p>
        </w:tc>
        <w:tc>
          <w:tcPr>
            <w:tcW w:w="1361" w:type="dxa"/>
            <w:tcBorders>
              <w:top w:val="nil"/>
              <w:left w:val="nil"/>
              <w:bottom w:val="single" w:sz="4" w:space="0" w:color="auto"/>
              <w:right w:val="single" w:sz="4" w:space="0" w:color="auto"/>
            </w:tcBorders>
            <w:shd w:val="clear" w:color="auto" w:fill="auto"/>
            <w:vAlign w:val="center"/>
            <w:hideMark/>
          </w:tcPr>
          <w:p w14:paraId="3D1C2D08" w14:textId="77777777" w:rsidR="009D6D4E" w:rsidRPr="00775508" w:rsidRDefault="009D6D4E" w:rsidP="00BF3B71">
            <w:pPr>
              <w:jc w:val="right"/>
              <w:rPr>
                <w:color w:val="000000"/>
                <w:sz w:val="18"/>
                <w:szCs w:val="18"/>
              </w:rPr>
            </w:pPr>
            <w:r w:rsidRPr="00775508">
              <w:rPr>
                <w:color w:val="000000"/>
                <w:sz w:val="18"/>
                <w:szCs w:val="18"/>
              </w:rPr>
              <w:t>65,150,000.00</w:t>
            </w:r>
          </w:p>
        </w:tc>
        <w:tc>
          <w:tcPr>
            <w:tcW w:w="1353" w:type="dxa"/>
            <w:tcBorders>
              <w:top w:val="nil"/>
              <w:left w:val="nil"/>
              <w:bottom w:val="single" w:sz="4" w:space="0" w:color="auto"/>
              <w:right w:val="single" w:sz="4" w:space="0" w:color="auto"/>
            </w:tcBorders>
            <w:shd w:val="clear" w:color="auto" w:fill="auto"/>
            <w:vAlign w:val="center"/>
            <w:hideMark/>
          </w:tcPr>
          <w:p w14:paraId="7CF858EE" w14:textId="77777777" w:rsidR="009D6D4E" w:rsidRPr="00775508" w:rsidRDefault="009D6D4E" w:rsidP="00BF3B71">
            <w:pPr>
              <w:jc w:val="right"/>
              <w:rPr>
                <w:b/>
                <w:color w:val="000000"/>
                <w:sz w:val="18"/>
                <w:szCs w:val="18"/>
              </w:rPr>
            </w:pPr>
            <w:r w:rsidRPr="00775508">
              <w:rPr>
                <w:b/>
                <w:color w:val="000000"/>
                <w:sz w:val="18"/>
                <w:szCs w:val="18"/>
              </w:rPr>
              <w:t>65,900,000</w:t>
            </w:r>
          </w:p>
        </w:tc>
      </w:tr>
      <w:tr w:rsidR="009D6D4E" w:rsidRPr="00775508" w14:paraId="68514055" w14:textId="77777777" w:rsidTr="00BF3B71">
        <w:trPr>
          <w:trHeight w:val="191"/>
        </w:trPr>
        <w:tc>
          <w:tcPr>
            <w:tcW w:w="837" w:type="dxa"/>
            <w:tcBorders>
              <w:top w:val="nil"/>
              <w:left w:val="single" w:sz="4" w:space="0" w:color="auto"/>
              <w:bottom w:val="single" w:sz="4" w:space="0" w:color="auto"/>
              <w:right w:val="single" w:sz="4" w:space="0" w:color="auto"/>
            </w:tcBorders>
            <w:shd w:val="clear" w:color="auto" w:fill="auto"/>
            <w:noWrap/>
            <w:vAlign w:val="center"/>
            <w:hideMark/>
          </w:tcPr>
          <w:p w14:paraId="5372B79C" w14:textId="77777777" w:rsidR="009D6D4E" w:rsidRPr="00775508" w:rsidRDefault="009D6D4E" w:rsidP="00BF3B71">
            <w:pPr>
              <w:jc w:val="right"/>
              <w:rPr>
                <w:color w:val="000000"/>
                <w:sz w:val="18"/>
                <w:szCs w:val="18"/>
              </w:rPr>
            </w:pPr>
            <w:r w:rsidRPr="00775508">
              <w:rPr>
                <w:color w:val="000000"/>
                <w:sz w:val="18"/>
                <w:szCs w:val="18"/>
              </w:rPr>
              <w:t xml:space="preserve">                  2,022 </w:t>
            </w:r>
          </w:p>
        </w:tc>
        <w:tc>
          <w:tcPr>
            <w:tcW w:w="840" w:type="dxa"/>
            <w:tcBorders>
              <w:top w:val="nil"/>
              <w:left w:val="nil"/>
              <w:bottom w:val="single" w:sz="4" w:space="0" w:color="auto"/>
              <w:right w:val="single" w:sz="4" w:space="0" w:color="auto"/>
            </w:tcBorders>
            <w:shd w:val="clear" w:color="auto" w:fill="auto"/>
            <w:vAlign w:val="center"/>
            <w:hideMark/>
          </w:tcPr>
          <w:p w14:paraId="72FABD87" w14:textId="77777777" w:rsidR="009D6D4E" w:rsidRPr="00775508" w:rsidRDefault="009D6D4E" w:rsidP="00BF3B71">
            <w:pPr>
              <w:jc w:val="right"/>
              <w:rPr>
                <w:color w:val="000000"/>
                <w:sz w:val="18"/>
                <w:szCs w:val="18"/>
              </w:rPr>
            </w:pPr>
            <w:r w:rsidRPr="00775508">
              <w:rPr>
                <w:color w:val="000000"/>
                <w:sz w:val="18"/>
                <w:szCs w:val="18"/>
              </w:rPr>
              <w:t>0.00</w:t>
            </w:r>
          </w:p>
        </w:tc>
        <w:tc>
          <w:tcPr>
            <w:tcW w:w="794" w:type="dxa"/>
            <w:gridSpan w:val="2"/>
            <w:tcBorders>
              <w:top w:val="nil"/>
              <w:left w:val="nil"/>
              <w:bottom w:val="single" w:sz="4" w:space="0" w:color="auto"/>
              <w:right w:val="single" w:sz="4" w:space="0" w:color="auto"/>
            </w:tcBorders>
            <w:shd w:val="clear" w:color="auto" w:fill="auto"/>
            <w:vAlign w:val="center"/>
            <w:hideMark/>
          </w:tcPr>
          <w:p w14:paraId="1845C66D" w14:textId="77777777" w:rsidR="009D6D4E" w:rsidRPr="00775508" w:rsidRDefault="009D6D4E" w:rsidP="00BF3B71">
            <w:pPr>
              <w:jc w:val="right"/>
              <w:rPr>
                <w:color w:val="000000"/>
                <w:sz w:val="18"/>
                <w:szCs w:val="18"/>
              </w:rPr>
            </w:pPr>
            <w:r w:rsidRPr="00775508">
              <w:rPr>
                <w:color w:val="000000"/>
                <w:sz w:val="18"/>
                <w:szCs w:val="18"/>
              </w:rPr>
              <w:t>0.00</w:t>
            </w:r>
          </w:p>
        </w:tc>
        <w:tc>
          <w:tcPr>
            <w:tcW w:w="1242" w:type="dxa"/>
            <w:gridSpan w:val="2"/>
            <w:tcBorders>
              <w:top w:val="nil"/>
              <w:left w:val="nil"/>
              <w:bottom w:val="single" w:sz="4" w:space="0" w:color="auto"/>
              <w:right w:val="single" w:sz="4" w:space="0" w:color="auto"/>
            </w:tcBorders>
            <w:shd w:val="clear" w:color="auto" w:fill="auto"/>
            <w:vAlign w:val="center"/>
            <w:hideMark/>
          </w:tcPr>
          <w:p w14:paraId="47DA0A1B" w14:textId="77777777" w:rsidR="009D6D4E" w:rsidRPr="00775508" w:rsidRDefault="009D6D4E" w:rsidP="00BF3B71">
            <w:pPr>
              <w:jc w:val="right"/>
              <w:rPr>
                <w:color w:val="000000"/>
                <w:sz w:val="18"/>
                <w:szCs w:val="18"/>
              </w:rPr>
            </w:pPr>
            <w:r w:rsidRPr="00775508">
              <w:rPr>
                <w:color w:val="000000"/>
                <w:sz w:val="18"/>
                <w:szCs w:val="18"/>
              </w:rPr>
              <w:t>0.00</w:t>
            </w:r>
          </w:p>
        </w:tc>
        <w:tc>
          <w:tcPr>
            <w:tcW w:w="803" w:type="dxa"/>
            <w:tcBorders>
              <w:top w:val="nil"/>
              <w:left w:val="nil"/>
              <w:bottom w:val="single" w:sz="4" w:space="0" w:color="auto"/>
              <w:right w:val="single" w:sz="4" w:space="0" w:color="auto"/>
            </w:tcBorders>
            <w:shd w:val="clear" w:color="auto" w:fill="auto"/>
            <w:vAlign w:val="center"/>
            <w:hideMark/>
          </w:tcPr>
          <w:p w14:paraId="12C284BA" w14:textId="77777777" w:rsidR="009D6D4E" w:rsidRPr="00775508" w:rsidRDefault="009D6D4E" w:rsidP="00BF3B71">
            <w:pPr>
              <w:jc w:val="right"/>
              <w:rPr>
                <w:color w:val="000000"/>
                <w:sz w:val="18"/>
                <w:szCs w:val="18"/>
              </w:rPr>
            </w:pPr>
            <w:r w:rsidRPr="00775508">
              <w:rPr>
                <w:color w:val="000000"/>
                <w:sz w:val="18"/>
                <w:szCs w:val="18"/>
              </w:rPr>
              <w:t>0.00</w:t>
            </w:r>
          </w:p>
        </w:tc>
        <w:tc>
          <w:tcPr>
            <w:tcW w:w="1183" w:type="dxa"/>
            <w:gridSpan w:val="2"/>
            <w:tcBorders>
              <w:top w:val="nil"/>
              <w:left w:val="nil"/>
              <w:bottom w:val="single" w:sz="4" w:space="0" w:color="auto"/>
              <w:right w:val="single" w:sz="4" w:space="0" w:color="auto"/>
            </w:tcBorders>
            <w:shd w:val="clear" w:color="auto" w:fill="auto"/>
            <w:vAlign w:val="center"/>
            <w:hideMark/>
          </w:tcPr>
          <w:p w14:paraId="4B6AA205" w14:textId="77777777" w:rsidR="009D6D4E" w:rsidRPr="00775508" w:rsidRDefault="009D6D4E" w:rsidP="00BF3B71">
            <w:pPr>
              <w:rPr>
                <w:color w:val="000000"/>
                <w:sz w:val="18"/>
                <w:szCs w:val="18"/>
              </w:rPr>
            </w:pPr>
            <w:r w:rsidRPr="00775508">
              <w:rPr>
                <w:color w:val="000000"/>
                <w:sz w:val="18"/>
                <w:szCs w:val="18"/>
              </w:rPr>
              <w:t> </w:t>
            </w:r>
          </w:p>
        </w:tc>
        <w:tc>
          <w:tcPr>
            <w:tcW w:w="1576" w:type="dxa"/>
            <w:tcBorders>
              <w:top w:val="nil"/>
              <w:left w:val="nil"/>
              <w:bottom w:val="single" w:sz="4" w:space="0" w:color="auto"/>
              <w:right w:val="single" w:sz="4" w:space="0" w:color="auto"/>
            </w:tcBorders>
            <w:shd w:val="clear" w:color="auto" w:fill="auto"/>
            <w:vAlign w:val="center"/>
            <w:hideMark/>
          </w:tcPr>
          <w:p w14:paraId="54D67A79" w14:textId="77777777" w:rsidR="009D6D4E" w:rsidRPr="00775508" w:rsidRDefault="009D6D4E" w:rsidP="00BF3B71">
            <w:pPr>
              <w:jc w:val="right"/>
              <w:rPr>
                <w:color w:val="000000"/>
                <w:sz w:val="18"/>
                <w:szCs w:val="18"/>
              </w:rPr>
            </w:pPr>
            <w:r w:rsidRPr="00775508">
              <w:rPr>
                <w:color w:val="000000"/>
                <w:sz w:val="18"/>
                <w:szCs w:val="18"/>
              </w:rPr>
              <w:t>0.00</w:t>
            </w:r>
          </w:p>
        </w:tc>
        <w:tc>
          <w:tcPr>
            <w:tcW w:w="1361" w:type="dxa"/>
            <w:tcBorders>
              <w:top w:val="nil"/>
              <w:left w:val="nil"/>
              <w:bottom w:val="single" w:sz="4" w:space="0" w:color="auto"/>
              <w:right w:val="single" w:sz="4" w:space="0" w:color="auto"/>
            </w:tcBorders>
            <w:shd w:val="clear" w:color="auto" w:fill="auto"/>
            <w:vAlign w:val="center"/>
            <w:hideMark/>
          </w:tcPr>
          <w:p w14:paraId="432559EF" w14:textId="77777777" w:rsidR="009D6D4E" w:rsidRPr="00775508" w:rsidRDefault="009D6D4E" w:rsidP="00BF3B71">
            <w:pPr>
              <w:jc w:val="right"/>
              <w:rPr>
                <w:color w:val="000000"/>
                <w:sz w:val="18"/>
                <w:szCs w:val="18"/>
              </w:rPr>
            </w:pPr>
            <w:r w:rsidRPr="00775508">
              <w:rPr>
                <w:color w:val="000000"/>
                <w:sz w:val="18"/>
                <w:szCs w:val="18"/>
              </w:rPr>
              <w:t>24,690,000.00</w:t>
            </w:r>
          </w:p>
        </w:tc>
        <w:tc>
          <w:tcPr>
            <w:tcW w:w="1353" w:type="dxa"/>
            <w:tcBorders>
              <w:top w:val="nil"/>
              <w:left w:val="nil"/>
              <w:bottom w:val="single" w:sz="4" w:space="0" w:color="auto"/>
              <w:right w:val="single" w:sz="4" w:space="0" w:color="auto"/>
            </w:tcBorders>
            <w:shd w:val="clear" w:color="auto" w:fill="auto"/>
            <w:vAlign w:val="center"/>
            <w:hideMark/>
          </w:tcPr>
          <w:p w14:paraId="0AF807D6" w14:textId="77777777" w:rsidR="009D6D4E" w:rsidRPr="00775508" w:rsidRDefault="009D6D4E" w:rsidP="00BF3B71">
            <w:pPr>
              <w:jc w:val="right"/>
              <w:rPr>
                <w:b/>
                <w:color w:val="000000"/>
                <w:sz w:val="18"/>
                <w:szCs w:val="18"/>
              </w:rPr>
            </w:pPr>
            <w:r w:rsidRPr="00775508">
              <w:rPr>
                <w:b/>
                <w:color w:val="000000"/>
                <w:sz w:val="18"/>
                <w:szCs w:val="18"/>
              </w:rPr>
              <w:t>24,690,000</w:t>
            </w:r>
          </w:p>
        </w:tc>
      </w:tr>
    </w:tbl>
    <w:p w14:paraId="101DE170" w14:textId="77777777" w:rsidR="009D6D4E" w:rsidRDefault="009D6D4E" w:rsidP="009D6D4E"/>
    <w:tbl>
      <w:tblPr>
        <w:tblW w:w="9958" w:type="dxa"/>
        <w:tblLook w:val="04A0" w:firstRow="1" w:lastRow="0" w:firstColumn="1" w:lastColumn="0" w:noHBand="0" w:noVBand="1"/>
      </w:tblPr>
      <w:tblGrid>
        <w:gridCol w:w="591"/>
        <w:gridCol w:w="229"/>
        <w:gridCol w:w="846"/>
        <w:gridCol w:w="229"/>
        <w:gridCol w:w="800"/>
        <w:gridCol w:w="1315"/>
        <w:gridCol w:w="230"/>
        <w:gridCol w:w="823"/>
        <w:gridCol w:w="880"/>
        <w:gridCol w:w="740"/>
        <w:gridCol w:w="864"/>
        <w:gridCol w:w="1141"/>
        <w:gridCol w:w="1270"/>
      </w:tblGrid>
      <w:tr w:rsidR="009D6D4E" w14:paraId="684F444A" w14:textId="77777777" w:rsidTr="009D6D4E">
        <w:trPr>
          <w:trHeight w:val="200"/>
        </w:trPr>
        <w:tc>
          <w:tcPr>
            <w:tcW w:w="9958"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4DE51479" w14:textId="77777777" w:rsidR="009D6D4E" w:rsidRDefault="009D6D4E" w:rsidP="00BF3B71">
            <w:pPr>
              <w:rPr>
                <w:b/>
                <w:bCs/>
                <w:color w:val="000000"/>
                <w:sz w:val="18"/>
                <w:szCs w:val="18"/>
              </w:rPr>
            </w:pPr>
            <w:r>
              <w:rPr>
                <w:b/>
                <w:bCs/>
                <w:color w:val="000000"/>
                <w:sz w:val="18"/>
                <w:szCs w:val="18"/>
              </w:rPr>
              <w:t>Tabela 10 a. Kostimi i masës së reformës strukturore : Masa#3:Ndryshimet strukturore në sektorin agropërpunues</w:t>
            </w:r>
          </w:p>
        </w:tc>
      </w:tr>
      <w:tr w:rsidR="009D6D4E" w14:paraId="06CCE488" w14:textId="77777777" w:rsidTr="009D6D4E">
        <w:trPr>
          <w:trHeight w:val="188"/>
        </w:trPr>
        <w:tc>
          <w:tcPr>
            <w:tcW w:w="820" w:type="dxa"/>
            <w:gridSpan w:val="2"/>
            <w:tcBorders>
              <w:top w:val="nil"/>
              <w:left w:val="single" w:sz="4" w:space="0" w:color="auto"/>
              <w:bottom w:val="single" w:sz="4" w:space="0" w:color="auto"/>
              <w:right w:val="single" w:sz="4" w:space="0" w:color="auto"/>
            </w:tcBorders>
            <w:shd w:val="clear" w:color="000000" w:fill="FFFFFF"/>
            <w:vAlign w:val="center"/>
            <w:hideMark/>
          </w:tcPr>
          <w:p w14:paraId="43FBBF06" w14:textId="77777777" w:rsidR="009D6D4E" w:rsidRDefault="009D6D4E" w:rsidP="00BF3B71">
            <w:pPr>
              <w:jc w:val="both"/>
              <w:rPr>
                <w:color w:val="000000"/>
                <w:sz w:val="18"/>
                <w:szCs w:val="18"/>
              </w:rPr>
            </w:pPr>
            <w:r>
              <w:rPr>
                <w:color w:val="000000"/>
                <w:sz w:val="18"/>
                <w:szCs w:val="18"/>
              </w:rPr>
              <w:t xml:space="preserve">Viti </w:t>
            </w:r>
          </w:p>
        </w:tc>
        <w:tc>
          <w:tcPr>
            <w:tcW w:w="846" w:type="dxa"/>
            <w:tcBorders>
              <w:top w:val="nil"/>
              <w:left w:val="nil"/>
              <w:bottom w:val="single" w:sz="4" w:space="0" w:color="auto"/>
              <w:right w:val="single" w:sz="4" w:space="0" w:color="auto"/>
            </w:tcBorders>
            <w:shd w:val="clear" w:color="auto" w:fill="auto"/>
            <w:vAlign w:val="center"/>
            <w:hideMark/>
          </w:tcPr>
          <w:p w14:paraId="2BDC117D" w14:textId="77777777" w:rsidR="009D6D4E" w:rsidRDefault="009D6D4E" w:rsidP="00BF3B71">
            <w:pPr>
              <w:jc w:val="right"/>
              <w:rPr>
                <w:color w:val="000000"/>
                <w:sz w:val="18"/>
                <w:szCs w:val="18"/>
              </w:rPr>
            </w:pPr>
            <w:r>
              <w:rPr>
                <w:color w:val="000000"/>
                <w:sz w:val="18"/>
                <w:szCs w:val="18"/>
              </w:rPr>
              <w:t>Pagat</w:t>
            </w:r>
          </w:p>
        </w:tc>
        <w:tc>
          <w:tcPr>
            <w:tcW w:w="2574" w:type="dxa"/>
            <w:gridSpan w:val="4"/>
            <w:tcBorders>
              <w:top w:val="nil"/>
              <w:left w:val="nil"/>
              <w:bottom w:val="single" w:sz="4" w:space="0" w:color="auto"/>
              <w:right w:val="single" w:sz="4" w:space="0" w:color="auto"/>
            </w:tcBorders>
            <w:shd w:val="clear" w:color="auto" w:fill="auto"/>
            <w:vAlign w:val="center"/>
            <w:hideMark/>
          </w:tcPr>
          <w:p w14:paraId="3497A6C0" w14:textId="77777777" w:rsidR="009D6D4E" w:rsidRDefault="009D6D4E" w:rsidP="00BF3B71">
            <w:pPr>
              <w:jc w:val="right"/>
              <w:rPr>
                <w:color w:val="000000"/>
                <w:sz w:val="18"/>
                <w:szCs w:val="18"/>
              </w:rPr>
            </w:pPr>
            <w:r>
              <w:rPr>
                <w:color w:val="000000"/>
                <w:sz w:val="18"/>
                <w:szCs w:val="18"/>
              </w:rPr>
              <w:t>Mallra dhe shërbime</w:t>
            </w:r>
          </w:p>
        </w:tc>
        <w:tc>
          <w:tcPr>
            <w:tcW w:w="2443" w:type="dxa"/>
            <w:gridSpan w:val="3"/>
            <w:tcBorders>
              <w:top w:val="nil"/>
              <w:left w:val="nil"/>
              <w:bottom w:val="single" w:sz="4" w:space="0" w:color="auto"/>
              <w:right w:val="single" w:sz="4" w:space="0" w:color="auto"/>
            </w:tcBorders>
            <w:shd w:val="clear" w:color="auto" w:fill="auto"/>
            <w:vAlign w:val="center"/>
            <w:hideMark/>
          </w:tcPr>
          <w:p w14:paraId="38E4F263" w14:textId="77777777" w:rsidR="009D6D4E" w:rsidRDefault="009D6D4E" w:rsidP="00BF3B71">
            <w:pPr>
              <w:jc w:val="right"/>
              <w:rPr>
                <w:color w:val="000000"/>
                <w:sz w:val="18"/>
                <w:szCs w:val="18"/>
              </w:rPr>
            </w:pPr>
            <w:r>
              <w:rPr>
                <w:color w:val="000000"/>
                <w:sz w:val="18"/>
                <w:szCs w:val="18"/>
              </w:rPr>
              <w:t>Subvencione dhe transfere</w:t>
            </w:r>
          </w:p>
        </w:tc>
        <w:tc>
          <w:tcPr>
            <w:tcW w:w="2005" w:type="dxa"/>
            <w:gridSpan w:val="2"/>
            <w:tcBorders>
              <w:top w:val="nil"/>
              <w:left w:val="nil"/>
              <w:bottom w:val="single" w:sz="4" w:space="0" w:color="auto"/>
              <w:right w:val="single" w:sz="4" w:space="0" w:color="auto"/>
            </w:tcBorders>
            <w:shd w:val="clear" w:color="auto" w:fill="auto"/>
            <w:vAlign w:val="center"/>
            <w:hideMark/>
          </w:tcPr>
          <w:p w14:paraId="42338340" w14:textId="77777777" w:rsidR="009D6D4E" w:rsidRDefault="009D6D4E" w:rsidP="00BF3B71">
            <w:pPr>
              <w:jc w:val="right"/>
              <w:rPr>
                <w:color w:val="000000"/>
                <w:sz w:val="18"/>
                <w:szCs w:val="18"/>
              </w:rPr>
            </w:pPr>
            <w:r>
              <w:rPr>
                <w:color w:val="000000"/>
                <w:sz w:val="18"/>
                <w:szCs w:val="18"/>
              </w:rPr>
              <w:t xml:space="preserve">Shpenzimet kapitale </w:t>
            </w:r>
          </w:p>
        </w:tc>
        <w:tc>
          <w:tcPr>
            <w:tcW w:w="1270" w:type="dxa"/>
            <w:tcBorders>
              <w:top w:val="nil"/>
              <w:left w:val="nil"/>
              <w:bottom w:val="single" w:sz="4" w:space="0" w:color="auto"/>
              <w:right w:val="single" w:sz="4" w:space="0" w:color="auto"/>
            </w:tcBorders>
            <w:shd w:val="clear" w:color="000000" w:fill="FFFFFF"/>
            <w:vAlign w:val="center"/>
            <w:hideMark/>
          </w:tcPr>
          <w:p w14:paraId="4D3F0C6F" w14:textId="77777777" w:rsidR="009D6D4E" w:rsidRPr="00534399" w:rsidRDefault="009D6D4E" w:rsidP="00BF3B71">
            <w:pPr>
              <w:jc w:val="both"/>
              <w:rPr>
                <w:b/>
                <w:color w:val="000000"/>
                <w:sz w:val="18"/>
                <w:szCs w:val="18"/>
              </w:rPr>
            </w:pPr>
            <w:r w:rsidRPr="00534399">
              <w:rPr>
                <w:b/>
                <w:color w:val="000000"/>
                <w:sz w:val="18"/>
                <w:szCs w:val="18"/>
              </w:rPr>
              <w:t>Total</w:t>
            </w:r>
          </w:p>
        </w:tc>
      </w:tr>
      <w:tr w:rsidR="009D6D4E" w14:paraId="5CCF01E6" w14:textId="77777777" w:rsidTr="009D6D4E">
        <w:trPr>
          <w:trHeight w:val="188"/>
        </w:trPr>
        <w:tc>
          <w:tcPr>
            <w:tcW w:w="820" w:type="dxa"/>
            <w:gridSpan w:val="2"/>
            <w:tcBorders>
              <w:top w:val="nil"/>
              <w:left w:val="single" w:sz="4" w:space="0" w:color="auto"/>
              <w:bottom w:val="single" w:sz="4" w:space="0" w:color="auto"/>
              <w:right w:val="single" w:sz="4" w:space="0" w:color="auto"/>
            </w:tcBorders>
            <w:shd w:val="clear" w:color="auto" w:fill="auto"/>
            <w:vAlign w:val="center"/>
            <w:hideMark/>
          </w:tcPr>
          <w:p w14:paraId="7D67DF96" w14:textId="77777777" w:rsidR="009D6D4E" w:rsidRDefault="009D6D4E" w:rsidP="00BF3B71">
            <w:pPr>
              <w:jc w:val="both"/>
              <w:rPr>
                <w:color w:val="000000"/>
                <w:sz w:val="18"/>
                <w:szCs w:val="18"/>
              </w:rPr>
            </w:pPr>
            <w:r>
              <w:rPr>
                <w:color w:val="000000"/>
                <w:sz w:val="18"/>
                <w:szCs w:val="18"/>
              </w:rPr>
              <w:t>2020</w:t>
            </w:r>
          </w:p>
        </w:tc>
        <w:tc>
          <w:tcPr>
            <w:tcW w:w="846" w:type="dxa"/>
            <w:tcBorders>
              <w:top w:val="nil"/>
              <w:left w:val="nil"/>
              <w:bottom w:val="single" w:sz="4" w:space="0" w:color="auto"/>
              <w:right w:val="single" w:sz="4" w:space="0" w:color="auto"/>
            </w:tcBorders>
            <w:shd w:val="clear" w:color="auto" w:fill="auto"/>
            <w:noWrap/>
            <w:vAlign w:val="center"/>
            <w:hideMark/>
          </w:tcPr>
          <w:p w14:paraId="14F987D0" w14:textId="77777777" w:rsidR="009D6D4E" w:rsidRDefault="009D6D4E" w:rsidP="00BF3B71">
            <w:pPr>
              <w:jc w:val="right"/>
              <w:rPr>
                <w:color w:val="000000"/>
                <w:sz w:val="18"/>
                <w:szCs w:val="18"/>
              </w:rPr>
            </w:pPr>
            <w:r>
              <w:rPr>
                <w:color w:val="000000"/>
                <w:sz w:val="18"/>
                <w:szCs w:val="18"/>
              </w:rPr>
              <w:t xml:space="preserve">                                -   </w:t>
            </w:r>
          </w:p>
        </w:tc>
        <w:tc>
          <w:tcPr>
            <w:tcW w:w="2574" w:type="dxa"/>
            <w:gridSpan w:val="4"/>
            <w:tcBorders>
              <w:top w:val="nil"/>
              <w:left w:val="nil"/>
              <w:bottom w:val="single" w:sz="4" w:space="0" w:color="auto"/>
              <w:right w:val="single" w:sz="4" w:space="0" w:color="auto"/>
            </w:tcBorders>
            <w:shd w:val="clear" w:color="auto" w:fill="auto"/>
            <w:noWrap/>
            <w:vAlign w:val="center"/>
            <w:hideMark/>
          </w:tcPr>
          <w:p w14:paraId="43DBF607" w14:textId="77777777" w:rsidR="009D6D4E" w:rsidRDefault="009D6D4E" w:rsidP="00BF3B71">
            <w:pPr>
              <w:jc w:val="right"/>
              <w:rPr>
                <w:color w:val="000000"/>
                <w:sz w:val="18"/>
                <w:szCs w:val="18"/>
              </w:rPr>
            </w:pPr>
            <w:r>
              <w:rPr>
                <w:color w:val="000000"/>
                <w:sz w:val="18"/>
                <w:szCs w:val="18"/>
              </w:rPr>
              <w:t xml:space="preserve">                      2,220,000 </w:t>
            </w:r>
          </w:p>
        </w:tc>
        <w:tc>
          <w:tcPr>
            <w:tcW w:w="2443" w:type="dxa"/>
            <w:gridSpan w:val="3"/>
            <w:tcBorders>
              <w:top w:val="nil"/>
              <w:left w:val="nil"/>
              <w:bottom w:val="single" w:sz="4" w:space="0" w:color="auto"/>
              <w:right w:val="single" w:sz="4" w:space="0" w:color="auto"/>
            </w:tcBorders>
            <w:shd w:val="clear" w:color="auto" w:fill="auto"/>
            <w:noWrap/>
            <w:vAlign w:val="center"/>
            <w:hideMark/>
          </w:tcPr>
          <w:p w14:paraId="687A3E9C" w14:textId="77777777" w:rsidR="009D6D4E" w:rsidRDefault="009D6D4E" w:rsidP="00BF3B71">
            <w:pPr>
              <w:jc w:val="right"/>
              <w:rPr>
                <w:color w:val="000000"/>
                <w:sz w:val="18"/>
                <w:szCs w:val="18"/>
              </w:rPr>
            </w:pPr>
            <w:r>
              <w:rPr>
                <w:color w:val="000000"/>
                <w:sz w:val="18"/>
                <w:szCs w:val="18"/>
              </w:rPr>
              <w:t xml:space="preserve">                   49,477,022 </w:t>
            </w:r>
          </w:p>
        </w:tc>
        <w:tc>
          <w:tcPr>
            <w:tcW w:w="2005" w:type="dxa"/>
            <w:gridSpan w:val="2"/>
            <w:tcBorders>
              <w:top w:val="nil"/>
              <w:left w:val="nil"/>
              <w:bottom w:val="single" w:sz="4" w:space="0" w:color="auto"/>
              <w:right w:val="single" w:sz="4" w:space="0" w:color="auto"/>
            </w:tcBorders>
            <w:shd w:val="clear" w:color="auto" w:fill="auto"/>
            <w:noWrap/>
            <w:vAlign w:val="center"/>
            <w:hideMark/>
          </w:tcPr>
          <w:p w14:paraId="34C0DF3C" w14:textId="77777777" w:rsidR="009D6D4E" w:rsidRDefault="009D6D4E" w:rsidP="00BF3B71">
            <w:pPr>
              <w:jc w:val="right"/>
              <w:rPr>
                <w:color w:val="000000"/>
                <w:sz w:val="18"/>
                <w:szCs w:val="18"/>
              </w:rPr>
            </w:pPr>
            <w:r>
              <w:rPr>
                <w:color w:val="000000"/>
                <w:sz w:val="18"/>
                <w:szCs w:val="18"/>
              </w:rPr>
              <w:t xml:space="preserve">                   3,500,000 </w:t>
            </w:r>
          </w:p>
        </w:tc>
        <w:tc>
          <w:tcPr>
            <w:tcW w:w="1270" w:type="dxa"/>
            <w:tcBorders>
              <w:top w:val="nil"/>
              <w:left w:val="nil"/>
              <w:bottom w:val="single" w:sz="4" w:space="0" w:color="auto"/>
              <w:right w:val="single" w:sz="4" w:space="0" w:color="auto"/>
            </w:tcBorders>
            <w:shd w:val="clear" w:color="000000" w:fill="FFFFFF"/>
            <w:vAlign w:val="center"/>
            <w:hideMark/>
          </w:tcPr>
          <w:p w14:paraId="6640BE3C" w14:textId="77777777" w:rsidR="009D6D4E" w:rsidRPr="00534399" w:rsidRDefault="009D6D4E" w:rsidP="00BF3B71">
            <w:pPr>
              <w:jc w:val="both"/>
              <w:rPr>
                <w:b/>
                <w:color w:val="000000"/>
                <w:sz w:val="18"/>
                <w:szCs w:val="18"/>
              </w:rPr>
            </w:pPr>
            <w:r w:rsidRPr="00534399">
              <w:rPr>
                <w:b/>
                <w:color w:val="000000"/>
                <w:sz w:val="18"/>
                <w:szCs w:val="18"/>
              </w:rPr>
              <w:t xml:space="preserve">                    55,197,022 </w:t>
            </w:r>
          </w:p>
        </w:tc>
      </w:tr>
      <w:tr w:rsidR="009D6D4E" w14:paraId="2376574D" w14:textId="77777777" w:rsidTr="009D6D4E">
        <w:trPr>
          <w:trHeight w:val="188"/>
        </w:trPr>
        <w:tc>
          <w:tcPr>
            <w:tcW w:w="820" w:type="dxa"/>
            <w:gridSpan w:val="2"/>
            <w:tcBorders>
              <w:top w:val="nil"/>
              <w:left w:val="single" w:sz="4" w:space="0" w:color="auto"/>
              <w:bottom w:val="single" w:sz="4" w:space="0" w:color="auto"/>
              <w:right w:val="single" w:sz="4" w:space="0" w:color="auto"/>
            </w:tcBorders>
            <w:shd w:val="clear" w:color="auto" w:fill="auto"/>
            <w:vAlign w:val="center"/>
            <w:hideMark/>
          </w:tcPr>
          <w:p w14:paraId="0C88C94C" w14:textId="77777777" w:rsidR="009D6D4E" w:rsidRDefault="009D6D4E" w:rsidP="00BF3B71">
            <w:pPr>
              <w:jc w:val="both"/>
              <w:rPr>
                <w:color w:val="000000"/>
                <w:sz w:val="18"/>
                <w:szCs w:val="18"/>
              </w:rPr>
            </w:pPr>
            <w:r>
              <w:rPr>
                <w:color w:val="000000"/>
                <w:sz w:val="18"/>
                <w:szCs w:val="18"/>
              </w:rPr>
              <w:t>2021</w:t>
            </w:r>
          </w:p>
        </w:tc>
        <w:tc>
          <w:tcPr>
            <w:tcW w:w="846" w:type="dxa"/>
            <w:tcBorders>
              <w:top w:val="nil"/>
              <w:left w:val="nil"/>
              <w:bottom w:val="single" w:sz="4" w:space="0" w:color="auto"/>
              <w:right w:val="single" w:sz="4" w:space="0" w:color="auto"/>
            </w:tcBorders>
            <w:shd w:val="clear" w:color="auto" w:fill="auto"/>
            <w:noWrap/>
            <w:vAlign w:val="center"/>
            <w:hideMark/>
          </w:tcPr>
          <w:p w14:paraId="769F1BEF" w14:textId="77777777" w:rsidR="009D6D4E" w:rsidRDefault="009D6D4E" w:rsidP="00BF3B71">
            <w:pPr>
              <w:jc w:val="right"/>
              <w:rPr>
                <w:color w:val="000000"/>
                <w:sz w:val="18"/>
                <w:szCs w:val="18"/>
              </w:rPr>
            </w:pPr>
            <w:r>
              <w:rPr>
                <w:color w:val="000000"/>
                <w:sz w:val="18"/>
                <w:szCs w:val="18"/>
              </w:rPr>
              <w:t xml:space="preserve">                                -   </w:t>
            </w:r>
          </w:p>
        </w:tc>
        <w:tc>
          <w:tcPr>
            <w:tcW w:w="2574" w:type="dxa"/>
            <w:gridSpan w:val="4"/>
            <w:tcBorders>
              <w:top w:val="nil"/>
              <w:left w:val="nil"/>
              <w:bottom w:val="single" w:sz="4" w:space="0" w:color="auto"/>
              <w:right w:val="single" w:sz="4" w:space="0" w:color="auto"/>
            </w:tcBorders>
            <w:shd w:val="clear" w:color="auto" w:fill="auto"/>
            <w:noWrap/>
            <w:vAlign w:val="center"/>
            <w:hideMark/>
          </w:tcPr>
          <w:p w14:paraId="50FF89EC" w14:textId="77777777" w:rsidR="009D6D4E" w:rsidRDefault="009D6D4E" w:rsidP="00BF3B71">
            <w:pPr>
              <w:jc w:val="right"/>
              <w:rPr>
                <w:color w:val="000000"/>
                <w:sz w:val="18"/>
                <w:szCs w:val="18"/>
              </w:rPr>
            </w:pPr>
            <w:r>
              <w:rPr>
                <w:color w:val="000000"/>
                <w:sz w:val="18"/>
                <w:szCs w:val="18"/>
              </w:rPr>
              <w:t xml:space="preserve">                         500,000 </w:t>
            </w:r>
          </w:p>
        </w:tc>
        <w:tc>
          <w:tcPr>
            <w:tcW w:w="2443" w:type="dxa"/>
            <w:gridSpan w:val="3"/>
            <w:tcBorders>
              <w:top w:val="nil"/>
              <w:left w:val="nil"/>
              <w:bottom w:val="single" w:sz="4" w:space="0" w:color="auto"/>
              <w:right w:val="single" w:sz="4" w:space="0" w:color="auto"/>
            </w:tcBorders>
            <w:shd w:val="clear" w:color="auto" w:fill="auto"/>
            <w:noWrap/>
            <w:vAlign w:val="center"/>
            <w:hideMark/>
          </w:tcPr>
          <w:p w14:paraId="765B045D" w14:textId="77777777" w:rsidR="009D6D4E" w:rsidRDefault="009D6D4E" w:rsidP="00BF3B71">
            <w:pPr>
              <w:jc w:val="right"/>
              <w:rPr>
                <w:color w:val="000000"/>
                <w:sz w:val="18"/>
                <w:szCs w:val="18"/>
              </w:rPr>
            </w:pPr>
            <w:r>
              <w:rPr>
                <w:color w:val="000000"/>
                <w:sz w:val="18"/>
                <w:szCs w:val="18"/>
              </w:rPr>
              <w:t xml:space="preserve">                   49,477,022 </w:t>
            </w:r>
          </w:p>
        </w:tc>
        <w:tc>
          <w:tcPr>
            <w:tcW w:w="2005" w:type="dxa"/>
            <w:gridSpan w:val="2"/>
            <w:tcBorders>
              <w:top w:val="nil"/>
              <w:left w:val="nil"/>
              <w:bottom w:val="single" w:sz="4" w:space="0" w:color="auto"/>
              <w:right w:val="single" w:sz="4" w:space="0" w:color="auto"/>
            </w:tcBorders>
            <w:shd w:val="clear" w:color="auto" w:fill="auto"/>
            <w:noWrap/>
            <w:vAlign w:val="center"/>
            <w:hideMark/>
          </w:tcPr>
          <w:p w14:paraId="1CC357A0" w14:textId="77777777" w:rsidR="009D6D4E" w:rsidRDefault="009D6D4E" w:rsidP="00BF3B71">
            <w:pPr>
              <w:jc w:val="right"/>
              <w:rPr>
                <w:color w:val="000000"/>
                <w:sz w:val="18"/>
                <w:szCs w:val="18"/>
              </w:rPr>
            </w:pPr>
            <w:r>
              <w:rPr>
                <w:color w:val="000000"/>
                <w:sz w:val="18"/>
                <w:szCs w:val="18"/>
              </w:rPr>
              <w:t xml:space="preserve">                   1,000,000 </w:t>
            </w:r>
          </w:p>
        </w:tc>
        <w:tc>
          <w:tcPr>
            <w:tcW w:w="1270" w:type="dxa"/>
            <w:tcBorders>
              <w:top w:val="nil"/>
              <w:left w:val="nil"/>
              <w:bottom w:val="single" w:sz="4" w:space="0" w:color="auto"/>
              <w:right w:val="single" w:sz="4" w:space="0" w:color="auto"/>
            </w:tcBorders>
            <w:shd w:val="clear" w:color="000000" w:fill="FFFFFF"/>
            <w:vAlign w:val="center"/>
            <w:hideMark/>
          </w:tcPr>
          <w:p w14:paraId="0D056813" w14:textId="77777777" w:rsidR="009D6D4E" w:rsidRPr="00534399" w:rsidRDefault="009D6D4E" w:rsidP="00BF3B71">
            <w:pPr>
              <w:jc w:val="both"/>
              <w:rPr>
                <w:b/>
                <w:color w:val="000000"/>
                <w:sz w:val="18"/>
                <w:szCs w:val="18"/>
              </w:rPr>
            </w:pPr>
            <w:r w:rsidRPr="00534399">
              <w:rPr>
                <w:b/>
                <w:color w:val="000000"/>
                <w:sz w:val="18"/>
                <w:szCs w:val="18"/>
              </w:rPr>
              <w:t xml:space="preserve">                    50,977,022 </w:t>
            </w:r>
          </w:p>
        </w:tc>
      </w:tr>
      <w:tr w:rsidR="009D6D4E" w14:paraId="6F92605C" w14:textId="77777777" w:rsidTr="009D6D4E">
        <w:trPr>
          <w:trHeight w:val="188"/>
        </w:trPr>
        <w:tc>
          <w:tcPr>
            <w:tcW w:w="820" w:type="dxa"/>
            <w:gridSpan w:val="2"/>
            <w:tcBorders>
              <w:top w:val="nil"/>
              <w:left w:val="single" w:sz="4" w:space="0" w:color="auto"/>
              <w:bottom w:val="single" w:sz="4" w:space="0" w:color="auto"/>
              <w:right w:val="single" w:sz="4" w:space="0" w:color="auto"/>
            </w:tcBorders>
            <w:shd w:val="clear" w:color="auto" w:fill="auto"/>
            <w:vAlign w:val="center"/>
            <w:hideMark/>
          </w:tcPr>
          <w:p w14:paraId="0DFFF9DF" w14:textId="77777777" w:rsidR="009D6D4E" w:rsidRDefault="009D6D4E" w:rsidP="00BF3B71">
            <w:pPr>
              <w:jc w:val="both"/>
              <w:rPr>
                <w:color w:val="000000"/>
                <w:sz w:val="18"/>
                <w:szCs w:val="18"/>
              </w:rPr>
            </w:pPr>
            <w:r>
              <w:rPr>
                <w:color w:val="000000"/>
                <w:sz w:val="18"/>
                <w:szCs w:val="18"/>
              </w:rPr>
              <w:t>2022</w:t>
            </w:r>
          </w:p>
        </w:tc>
        <w:tc>
          <w:tcPr>
            <w:tcW w:w="846" w:type="dxa"/>
            <w:tcBorders>
              <w:top w:val="nil"/>
              <w:left w:val="nil"/>
              <w:bottom w:val="single" w:sz="4" w:space="0" w:color="auto"/>
              <w:right w:val="single" w:sz="4" w:space="0" w:color="auto"/>
            </w:tcBorders>
            <w:shd w:val="clear" w:color="auto" w:fill="auto"/>
            <w:noWrap/>
            <w:vAlign w:val="center"/>
            <w:hideMark/>
          </w:tcPr>
          <w:p w14:paraId="30218BC5" w14:textId="77777777" w:rsidR="009D6D4E" w:rsidRDefault="009D6D4E" w:rsidP="00BF3B71">
            <w:pPr>
              <w:jc w:val="right"/>
              <w:rPr>
                <w:color w:val="000000"/>
                <w:sz w:val="18"/>
                <w:szCs w:val="18"/>
              </w:rPr>
            </w:pPr>
            <w:r>
              <w:rPr>
                <w:color w:val="000000"/>
                <w:sz w:val="18"/>
                <w:szCs w:val="18"/>
              </w:rPr>
              <w:t xml:space="preserve">                                -   </w:t>
            </w:r>
          </w:p>
        </w:tc>
        <w:tc>
          <w:tcPr>
            <w:tcW w:w="2574" w:type="dxa"/>
            <w:gridSpan w:val="4"/>
            <w:tcBorders>
              <w:top w:val="nil"/>
              <w:left w:val="nil"/>
              <w:bottom w:val="single" w:sz="4" w:space="0" w:color="auto"/>
              <w:right w:val="single" w:sz="4" w:space="0" w:color="auto"/>
            </w:tcBorders>
            <w:shd w:val="clear" w:color="auto" w:fill="auto"/>
            <w:noWrap/>
            <w:vAlign w:val="center"/>
            <w:hideMark/>
          </w:tcPr>
          <w:p w14:paraId="11FBE168" w14:textId="77777777" w:rsidR="009D6D4E" w:rsidRDefault="009D6D4E" w:rsidP="00BF3B71">
            <w:pPr>
              <w:jc w:val="right"/>
              <w:rPr>
                <w:color w:val="000000"/>
                <w:sz w:val="18"/>
                <w:szCs w:val="18"/>
              </w:rPr>
            </w:pPr>
            <w:r>
              <w:rPr>
                <w:color w:val="000000"/>
                <w:sz w:val="18"/>
                <w:szCs w:val="18"/>
              </w:rPr>
              <w:t xml:space="preserve">                         500,000 </w:t>
            </w:r>
          </w:p>
        </w:tc>
        <w:tc>
          <w:tcPr>
            <w:tcW w:w="2443" w:type="dxa"/>
            <w:gridSpan w:val="3"/>
            <w:tcBorders>
              <w:top w:val="nil"/>
              <w:left w:val="nil"/>
              <w:bottom w:val="single" w:sz="4" w:space="0" w:color="auto"/>
              <w:right w:val="single" w:sz="4" w:space="0" w:color="auto"/>
            </w:tcBorders>
            <w:shd w:val="clear" w:color="auto" w:fill="auto"/>
            <w:noWrap/>
            <w:vAlign w:val="center"/>
            <w:hideMark/>
          </w:tcPr>
          <w:p w14:paraId="07030849" w14:textId="77777777" w:rsidR="009D6D4E" w:rsidRDefault="009D6D4E" w:rsidP="00BF3B71">
            <w:pPr>
              <w:jc w:val="right"/>
              <w:rPr>
                <w:color w:val="000000"/>
                <w:sz w:val="18"/>
                <w:szCs w:val="18"/>
              </w:rPr>
            </w:pPr>
            <w:r>
              <w:rPr>
                <w:color w:val="000000"/>
                <w:sz w:val="18"/>
                <w:szCs w:val="18"/>
              </w:rPr>
              <w:t xml:space="preserve">                   49,477,022 </w:t>
            </w:r>
          </w:p>
        </w:tc>
        <w:tc>
          <w:tcPr>
            <w:tcW w:w="2005" w:type="dxa"/>
            <w:gridSpan w:val="2"/>
            <w:tcBorders>
              <w:top w:val="nil"/>
              <w:left w:val="nil"/>
              <w:bottom w:val="single" w:sz="4" w:space="0" w:color="auto"/>
              <w:right w:val="single" w:sz="4" w:space="0" w:color="auto"/>
            </w:tcBorders>
            <w:shd w:val="clear" w:color="auto" w:fill="auto"/>
            <w:noWrap/>
            <w:vAlign w:val="center"/>
            <w:hideMark/>
          </w:tcPr>
          <w:p w14:paraId="1A618029" w14:textId="77777777" w:rsidR="009D6D4E" w:rsidRDefault="009D6D4E" w:rsidP="00BF3B71">
            <w:pPr>
              <w:jc w:val="right"/>
              <w:rPr>
                <w:color w:val="000000"/>
                <w:sz w:val="18"/>
                <w:szCs w:val="18"/>
              </w:rPr>
            </w:pPr>
            <w:r>
              <w:rPr>
                <w:color w:val="000000"/>
                <w:sz w:val="18"/>
                <w:szCs w:val="18"/>
              </w:rPr>
              <w:t xml:space="preserve">                                   -   </w:t>
            </w:r>
          </w:p>
        </w:tc>
        <w:tc>
          <w:tcPr>
            <w:tcW w:w="1270" w:type="dxa"/>
            <w:tcBorders>
              <w:top w:val="nil"/>
              <w:left w:val="nil"/>
              <w:bottom w:val="single" w:sz="4" w:space="0" w:color="auto"/>
              <w:right w:val="single" w:sz="4" w:space="0" w:color="auto"/>
            </w:tcBorders>
            <w:shd w:val="clear" w:color="000000" w:fill="FFFFFF"/>
            <w:vAlign w:val="center"/>
            <w:hideMark/>
          </w:tcPr>
          <w:p w14:paraId="297E5BBE" w14:textId="77777777" w:rsidR="009D6D4E" w:rsidRPr="00534399" w:rsidRDefault="009D6D4E" w:rsidP="00BF3B71">
            <w:pPr>
              <w:jc w:val="both"/>
              <w:rPr>
                <w:b/>
                <w:color w:val="000000"/>
                <w:sz w:val="18"/>
                <w:szCs w:val="18"/>
              </w:rPr>
            </w:pPr>
            <w:r w:rsidRPr="00534399">
              <w:rPr>
                <w:b/>
                <w:color w:val="000000"/>
                <w:sz w:val="18"/>
                <w:szCs w:val="18"/>
              </w:rPr>
              <w:t xml:space="preserve">                    49,977,022 </w:t>
            </w:r>
          </w:p>
        </w:tc>
      </w:tr>
      <w:tr w:rsidR="009D6D4E" w14:paraId="396646BB" w14:textId="77777777" w:rsidTr="009D6D4E">
        <w:trPr>
          <w:trHeight w:val="342"/>
        </w:trPr>
        <w:tc>
          <w:tcPr>
            <w:tcW w:w="9958"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7AF8B" w14:textId="77777777" w:rsidR="009D6D4E" w:rsidRPr="00534399" w:rsidRDefault="009D6D4E" w:rsidP="00BF3B71">
            <w:pPr>
              <w:rPr>
                <w:b/>
                <w:bCs/>
                <w:color w:val="000000"/>
                <w:sz w:val="18"/>
                <w:szCs w:val="18"/>
              </w:rPr>
            </w:pPr>
            <w:r w:rsidRPr="00534399">
              <w:rPr>
                <w:b/>
                <w:bCs/>
                <w:color w:val="000000"/>
                <w:sz w:val="18"/>
                <w:szCs w:val="18"/>
              </w:rPr>
              <w:t>Tabela 10.b. Financimi i masës së reformës strukturore: Masa#3: Ndryshimet strukturore në sektorin agropërpunues</w:t>
            </w:r>
          </w:p>
        </w:tc>
      </w:tr>
      <w:tr w:rsidR="009D6D4E" w14:paraId="4319C18D" w14:textId="77777777" w:rsidTr="009D6D4E">
        <w:trPr>
          <w:trHeight w:val="306"/>
        </w:trPr>
        <w:tc>
          <w:tcPr>
            <w:tcW w:w="591" w:type="dxa"/>
            <w:tcBorders>
              <w:top w:val="nil"/>
              <w:left w:val="single" w:sz="4" w:space="0" w:color="auto"/>
              <w:bottom w:val="single" w:sz="4" w:space="0" w:color="auto"/>
              <w:right w:val="single" w:sz="4" w:space="0" w:color="auto"/>
            </w:tcBorders>
            <w:shd w:val="clear" w:color="auto" w:fill="auto"/>
            <w:noWrap/>
            <w:vAlign w:val="center"/>
            <w:hideMark/>
          </w:tcPr>
          <w:p w14:paraId="23B4489B" w14:textId="77777777" w:rsidR="009D6D4E" w:rsidRDefault="009D6D4E" w:rsidP="00BF3B71">
            <w:pPr>
              <w:jc w:val="right"/>
              <w:rPr>
                <w:color w:val="000000"/>
                <w:sz w:val="18"/>
                <w:szCs w:val="18"/>
              </w:rPr>
            </w:pPr>
            <w:r>
              <w:rPr>
                <w:color w:val="000000"/>
                <w:sz w:val="18"/>
                <w:szCs w:val="18"/>
              </w:rPr>
              <w:t>Viti</w:t>
            </w:r>
          </w:p>
        </w:tc>
        <w:tc>
          <w:tcPr>
            <w:tcW w:w="1304" w:type="dxa"/>
            <w:gridSpan w:val="3"/>
            <w:tcBorders>
              <w:top w:val="nil"/>
              <w:left w:val="nil"/>
              <w:bottom w:val="single" w:sz="4" w:space="0" w:color="auto"/>
              <w:right w:val="single" w:sz="4" w:space="0" w:color="auto"/>
            </w:tcBorders>
            <w:shd w:val="clear" w:color="auto" w:fill="auto"/>
            <w:vAlign w:val="center"/>
            <w:hideMark/>
          </w:tcPr>
          <w:p w14:paraId="56521F86" w14:textId="77777777" w:rsidR="009D6D4E" w:rsidRDefault="009D6D4E" w:rsidP="00BF3B71">
            <w:pPr>
              <w:rPr>
                <w:color w:val="000000"/>
                <w:sz w:val="18"/>
                <w:szCs w:val="18"/>
              </w:rPr>
            </w:pPr>
            <w:r>
              <w:rPr>
                <w:color w:val="000000"/>
                <w:sz w:val="18"/>
                <w:szCs w:val="18"/>
              </w:rPr>
              <w:t>Buxheti Qendror</w:t>
            </w:r>
          </w:p>
        </w:tc>
        <w:tc>
          <w:tcPr>
            <w:tcW w:w="800" w:type="dxa"/>
            <w:tcBorders>
              <w:top w:val="nil"/>
              <w:left w:val="nil"/>
              <w:bottom w:val="single" w:sz="4" w:space="0" w:color="auto"/>
              <w:right w:val="single" w:sz="4" w:space="0" w:color="auto"/>
            </w:tcBorders>
            <w:shd w:val="clear" w:color="auto" w:fill="auto"/>
            <w:noWrap/>
            <w:vAlign w:val="center"/>
            <w:hideMark/>
          </w:tcPr>
          <w:p w14:paraId="279040E1" w14:textId="77777777" w:rsidR="009D6D4E" w:rsidRDefault="009D6D4E" w:rsidP="00BF3B71">
            <w:pPr>
              <w:jc w:val="right"/>
              <w:rPr>
                <w:color w:val="000000"/>
                <w:sz w:val="18"/>
                <w:szCs w:val="18"/>
              </w:rPr>
            </w:pPr>
            <w:r>
              <w:rPr>
                <w:color w:val="000000"/>
                <w:sz w:val="18"/>
                <w:szCs w:val="18"/>
              </w:rPr>
              <w:t>Buxheti Lokal</w:t>
            </w:r>
          </w:p>
        </w:tc>
        <w:tc>
          <w:tcPr>
            <w:tcW w:w="1315" w:type="dxa"/>
            <w:tcBorders>
              <w:top w:val="nil"/>
              <w:left w:val="nil"/>
              <w:bottom w:val="single" w:sz="4" w:space="0" w:color="auto"/>
              <w:right w:val="single" w:sz="4" w:space="0" w:color="auto"/>
            </w:tcBorders>
            <w:shd w:val="clear" w:color="auto" w:fill="auto"/>
            <w:vAlign w:val="center"/>
            <w:hideMark/>
          </w:tcPr>
          <w:p w14:paraId="6415D279" w14:textId="77777777" w:rsidR="009D6D4E" w:rsidRDefault="009D6D4E" w:rsidP="00BF3B71">
            <w:pPr>
              <w:rPr>
                <w:color w:val="000000"/>
                <w:sz w:val="18"/>
                <w:szCs w:val="18"/>
              </w:rPr>
            </w:pPr>
            <w:r>
              <w:rPr>
                <w:color w:val="000000"/>
                <w:sz w:val="18"/>
                <w:szCs w:val="18"/>
              </w:rPr>
              <w:t>Burime tjera nga financat publike te shtetit</w:t>
            </w:r>
          </w:p>
        </w:tc>
        <w:tc>
          <w:tcPr>
            <w:tcW w:w="1053" w:type="dxa"/>
            <w:gridSpan w:val="2"/>
            <w:tcBorders>
              <w:top w:val="nil"/>
              <w:left w:val="nil"/>
              <w:bottom w:val="single" w:sz="4" w:space="0" w:color="auto"/>
              <w:right w:val="single" w:sz="4" w:space="0" w:color="auto"/>
            </w:tcBorders>
            <w:shd w:val="clear" w:color="auto" w:fill="auto"/>
            <w:noWrap/>
            <w:vAlign w:val="center"/>
            <w:hideMark/>
          </w:tcPr>
          <w:p w14:paraId="34386AE3" w14:textId="77777777" w:rsidR="009D6D4E" w:rsidRDefault="009D6D4E" w:rsidP="00BF3B71">
            <w:pPr>
              <w:jc w:val="right"/>
              <w:rPr>
                <w:color w:val="000000"/>
                <w:sz w:val="18"/>
                <w:szCs w:val="18"/>
              </w:rPr>
            </w:pPr>
            <w:r>
              <w:rPr>
                <w:color w:val="000000"/>
                <w:sz w:val="18"/>
                <w:szCs w:val="18"/>
              </w:rPr>
              <w:t>Fondet e IPA-sē</w:t>
            </w:r>
          </w:p>
        </w:tc>
        <w:tc>
          <w:tcPr>
            <w:tcW w:w="880" w:type="dxa"/>
            <w:tcBorders>
              <w:top w:val="nil"/>
              <w:left w:val="nil"/>
              <w:bottom w:val="single" w:sz="4" w:space="0" w:color="auto"/>
              <w:right w:val="single" w:sz="4" w:space="0" w:color="auto"/>
            </w:tcBorders>
            <w:shd w:val="clear" w:color="auto" w:fill="auto"/>
            <w:noWrap/>
            <w:vAlign w:val="center"/>
            <w:hideMark/>
          </w:tcPr>
          <w:p w14:paraId="736954C3" w14:textId="77777777" w:rsidR="009D6D4E" w:rsidRDefault="009D6D4E" w:rsidP="00BF3B71">
            <w:pPr>
              <w:jc w:val="right"/>
              <w:rPr>
                <w:color w:val="000000"/>
                <w:sz w:val="18"/>
                <w:szCs w:val="18"/>
              </w:rPr>
            </w:pPr>
            <w:r>
              <w:rPr>
                <w:color w:val="000000"/>
                <w:sz w:val="18"/>
                <w:szCs w:val="18"/>
              </w:rPr>
              <w:t>Grantet tjera ( Banka Boterore dhe EU)</w:t>
            </w:r>
          </w:p>
        </w:tc>
        <w:tc>
          <w:tcPr>
            <w:tcW w:w="1604" w:type="dxa"/>
            <w:gridSpan w:val="2"/>
            <w:tcBorders>
              <w:top w:val="nil"/>
              <w:left w:val="nil"/>
              <w:bottom w:val="single" w:sz="4" w:space="0" w:color="auto"/>
              <w:right w:val="single" w:sz="4" w:space="0" w:color="auto"/>
            </w:tcBorders>
            <w:shd w:val="clear" w:color="auto" w:fill="auto"/>
            <w:vAlign w:val="center"/>
            <w:hideMark/>
          </w:tcPr>
          <w:p w14:paraId="2AE5B5ED" w14:textId="77777777" w:rsidR="009D6D4E" w:rsidRDefault="009D6D4E" w:rsidP="00BF3B71">
            <w:pPr>
              <w:rPr>
                <w:color w:val="000000"/>
                <w:sz w:val="18"/>
                <w:szCs w:val="18"/>
              </w:rPr>
            </w:pPr>
            <w:r>
              <w:rPr>
                <w:color w:val="000000"/>
                <w:sz w:val="18"/>
                <w:szCs w:val="18"/>
              </w:rPr>
              <w:t>Kreditë/Huamarrje</w:t>
            </w:r>
          </w:p>
        </w:tc>
        <w:tc>
          <w:tcPr>
            <w:tcW w:w="1141" w:type="dxa"/>
            <w:tcBorders>
              <w:top w:val="nil"/>
              <w:left w:val="nil"/>
              <w:bottom w:val="single" w:sz="4" w:space="0" w:color="auto"/>
              <w:right w:val="single" w:sz="4" w:space="0" w:color="auto"/>
            </w:tcBorders>
            <w:shd w:val="clear" w:color="auto" w:fill="auto"/>
            <w:noWrap/>
            <w:vAlign w:val="center"/>
            <w:hideMark/>
          </w:tcPr>
          <w:p w14:paraId="49810CF4" w14:textId="77777777" w:rsidR="009D6D4E" w:rsidRDefault="009D6D4E" w:rsidP="00BF3B71">
            <w:pPr>
              <w:jc w:val="right"/>
              <w:rPr>
                <w:color w:val="000000"/>
                <w:sz w:val="18"/>
                <w:szCs w:val="18"/>
              </w:rPr>
            </w:pPr>
            <w:r>
              <w:rPr>
                <w:color w:val="000000"/>
                <w:sz w:val="18"/>
                <w:szCs w:val="18"/>
              </w:rPr>
              <w:t>Të përcaktohen</w:t>
            </w:r>
          </w:p>
        </w:tc>
        <w:tc>
          <w:tcPr>
            <w:tcW w:w="1270" w:type="dxa"/>
            <w:tcBorders>
              <w:top w:val="nil"/>
              <w:left w:val="nil"/>
              <w:bottom w:val="single" w:sz="4" w:space="0" w:color="auto"/>
              <w:right w:val="single" w:sz="4" w:space="0" w:color="auto"/>
            </w:tcBorders>
            <w:shd w:val="clear" w:color="auto" w:fill="auto"/>
            <w:noWrap/>
            <w:vAlign w:val="center"/>
            <w:hideMark/>
          </w:tcPr>
          <w:p w14:paraId="76DACDE5" w14:textId="77777777" w:rsidR="009D6D4E" w:rsidRPr="00534399" w:rsidRDefault="009D6D4E" w:rsidP="00BF3B71">
            <w:pPr>
              <w:jc w:val="right"/>
              <w:rPr>
                <w:b/>
                <w:color w:val="000000"/>
                <w:sz w:val="18"/>
                <w:szCs w:val="18"/>
              </w:rPr>
            </w:pPr>
            <w:r w:rsidRPr="00534399">
              <w:rPr>
                <w:b/>
                <w:color w:val="000000"/>
                <w:sz w:val="18"/>
                <w:szCs w:val="18"/>
              </w:rPr>
              <w:t>Totali</w:t>
            </w:r>
          </w:p>
        </w:tc>
      </w:tr>
      <w:tr w:rsidR="009D6D4E" w14:paraId="4E7DF303" w14:textId="77777777" w:rsidTr="009D6D4E">
        <w:trPr>
          <w:trHeight w:val="188"/>
        </w:trPr>
        <w:tc>
          <w:tcPr>
            <w:tcW w:w="591" w:type="dxa"/>
            <w:tcBorders>
              <w:top w:val="nil"/>
              <w:left w:val="single" w:sz="4" w:space="0" w:color="auto"/>
              <w:bottom w:val="single" w:sz="4" w:space="0" w:color="auto"/>
              <w:right w:val="single" w:sz="4" w:space="0" w:color="auto"/>
            </w:tcBorders>
            <w:shd w:val="clear" w:color="auto" w:fill="auto"/>
            <w:noWrap/>
            <w:vAlign w:val="center"/>
            <w:hideMark/>
          </w:tcPr>
          <w:p w14:paraId="4E2325B3" w14:textId="77777777" w:rsidR="009D6D4E" w:rsidRDefault="009D6D4E" w:rsidP="00BF3B71">
            <w:pPr>
              <w:jc w:val="right"/>
              <w:rPr>
                <w:color w:val="000000"/>
                <w:sz w:val="18"/>
                <w:szCs w:val="18"/>
              </w:rPr>
            </w:pPr>
            <w:r>
              <w:rPr>
                <w:color w:val="000000"/>
                <w:sz w:val="18"/>
                <w:szCs w:val="18"/>
              </w:rPr>
              <w:t>2020</w:t>
            </w:r>
          </w:p>
        </w:tc>
        <w:tc>
          <w:tcPr>
            <w:tcW w:w="1304" w:type="dxa"/>
            <w:gridSpan w:val="3"/>
            <w:tcBorders>
              <w:top w:val="nil"/>
              <w:left w:val="nil"/>
              <w:bottom w:val="single" w:sz="4" w:space="0" w:color="auto"/>
              <w:right w:val="single" w:sz="4" w:space="0" w:color="auto"/>
            </w:tcBorders>
            <w:shd w:val="clear" w:color="auto" w:fill="auto"/>
            <w:noWrap/>
            <w:vAlign w:val="center"/>
            <w:hideMark/>
          </w:tcPr>
          <w:p w14:paraId="356A17F3" w14:textId="77777777" w:rsidR="009D6D4E" w:rsidRDefault="009D6D4E" w:rsidP="00BF3B71">
            <w:pPr>
              <w:jc w:val="right"/>
              <w:rPr>
                <w:color w:val="000000"/>
                <w:sz w:val="18"/>
                <w:szCs w:val="18"/>
              </w:rPr>
            </w:pPr>
            <w:r>
              <w:rPr>
                <w:color w:val="000000"/>
                <w:sz w:val="18"/>
                <w:szCs w:val="18"/>
              </w:rPr>
              <w:t xml:space="preserve">           49,477,022.00 </w:t>
            </w:r>
          </w:p>
        </w:tc>
        <w:tc>
          <w:tcPr>
            <w:tcW w:w="800" w:type="dxa"/>
            <w:tcBorders>
              <w:top w:val="nil"/>
              <w:left w:val="nil"/>
              <w:bottom w:val="single" w:sz="4" w:space="0" w:color="auto"/>
              <w:right w:val="single" w:sz="4" w:space="0" w:color="auto"/>
            </w:tcBorders>
            <w:shd w:val="clear" w:color="auto" w:fill="auto"/>
            <w:noWrap/>
            <w:vAlign w:val="center"/>
            <w:hideMark/>
          </w:tcPr>
          <w:p w14:paraId="4225898A" w14:textId="77777777" w:rsidR="009D6D4E" w:rsidRDefault="009D6D4E" w:rsidP="00BF3B71">
            <w:pPr>
              <w:jc w:val="right"/>
              <w:rPr>
                <w:color w:val="000000"/>
                <w:sz w:val="18"/>
                <w:szCs w:val="18"/>
              </w:rPr>
            </w:pPr>
            <w:r>
              <w:rPr>
                <w:color w:val="000000"/>
                <w:sz w:val="18"/>
                <w:szCs w:val="18"/>
              </w:rPr>
              <w:t>0.00</w:t>
            </w:r>
          </w:p>
        </w:tc>
        <w:tc>
          <w:tcPr>
            <w:tcW w:w="1315" w:type="dxa"/>
            <w:tcBorders>
              <w:top w:val="nil"/>
              <w:left w:val="nil"/>
              <w:bottom w:val="single" w:sz="4" w:space="0" w:color="auto"/>
              <w:right w:val="single" w:sz="4" w:space="0" w:color="auto"/>
            </w:tcBorders>
            <w:shd w:val="clear" w:color="auto" w:fill="auto"/>
            <w:noWrap/>
            <w:vAlign w:val="center"/>
            <w:hideMark/>
          </w:tcPr>
          <w:p w14:paraId="351A38D1" w14:textId="77777777" w:rsidR="009D6D4E" w:rsidRDefault="009D6D4E" w:rsidP="00BF3B71">
            <w:pPr>
              <w:jc w:val="right"/>
              <w:rPr>
                <w:color w:val="000000"/>
                <w:sz w:val="18"/>
                <w:szCs w:val="18"/>
              </w:rPr>
            </w:pPr>
            <w:r>
              <w:rPr>
                <w:color w:val="000000"/>
                <w:sz w:val="18"/>
                <w:szCs w:val="18"/>
              </w:rPr>
              <w:t>0.00</w:t>
            </w:r>
          </w:p>
        </w:tc>
        <w:tc>
          <w:tcPr>
            <w:tcW w:w="1053" w:type="dxa"/>
            <w:gridSpan w:val="2"/>
            <w:tcBorders>
              <w:top w:val="nil"/>
              <w:left w:val="nil"/>
              <w:bottom w:val="single" w:sz="4" w:space="0" w:color="auto"/>
              <w:right w:val="single" w:sz="4" w:space="0" w:color="auto"/>
            </w:tcBorders>
            <w:shd w:val="clear" w:color="auto" w:fill="auto"/>
            <w:noWrap/>
            <w:vAlign w:val="center"/>
            <w:hideMark/>
          </w:tcPr>
          <w:p w14:paraId="4A0280EB" w14:textId="77777777" w:rsidR="009D6D4E" w:rsidRDefault="009D6D4E" w:rsidP="00BF3B71">
            <w:pPr>
              <w:jc w:val="right"/>
              <w:rPr>
                <w:color w:val="000000"/>
                <w:sz w:val="18"/>
                <w:szCs w:val="18"/>
              </w:rPr>
            </w:pPr>
            <w:r>
              <w:rPr>
                <w:color w:val="000000"/>
                <w:sz w:val="18"/>
                <w:szCs w:val="18"/>
              </w:rPr>
              <w:t>700,000.00</w:t>
            </w:r>
          </w:p>
        </w:tc>
        <w:tc>
          <w:tcPr>
            <w:tcW w:w="880" w:type="dxa"/>
            <w:tcBorders>
              <w:top w:val="nil"/>
              <w:left w:val="nil"/>
              <w:bottom w:val="single" w:sz="4" w:space="0" w:color="auto"/>
              <w:right w:val="single" w:sz="4" w:space="0" w:color="auto"/>
            </w:tcBorders>
            <w:shd w:val="clear" w:color="auto" w:fill="auto"/>
            <w:noWrap/>
            <w:vAlign w:val="center"/>
            <w:hideMark/>
          </w:tcPr>
          <w:p w14:paraId="5D188CCA" w14:textId="77777777" w:rsidR="009D6D4E" w:rsidRDefault="009D6D4E" w:rsidP="00BF3B71">
            <w:pPr>
              <w:jc w:val="right"/>
              <w:rPr>
                <w:color w:val="000000"/>
                <w:sz w:val="18"/>
                <w:szCs w:val="18"/>
              </w:rPr>
            </w:pPr>
            <w:r>
              <w:rPr>
                <w:color w:val="000000"/>
                <w:sz w:val="18"/>
                <w:szCs w:val="18"/>
              </w:rPr>
              <w:t>0.00</w:t>
            </w:r>
          </w:p>
        </w:tc>
        <w:tc>
          <w:tcPr>
            <w:tcW w:w="1604" w:type="dxa"/>
            <w:gridSpan w:val="2"/>
            <w:tcBorders>
              <w:top w:val="nil"/>
              <w:left w:val="nil"/>
              <w:bottom w:val="single" w:sz="4" w:space="0" w:color="auto"/>
              <w:right w:val="single" w:sz="4" w:space="0" w:color="auto"/>
            </w:tcBorders>
            <w:shd w:val="clear" w:color="auto" w:fill="auto"/>
            <w:noWrap/>
            <w:vAlign w:val="center"/>
            <w:hideMark/>
          </w:tcPr>
          <w:p w14:paraId="11DDFDEC" w14:textId="77777777" w:rsidR="009D6D4E" w:rsidRDefault="009D6D4E" w:rsidP="00BF3B71">
            <w:pPr>
              <w:jc w:val="right"/>
              <w:rPr>
                <w:color w:val="000000"/>
                <w:sz w:val="18"/>
                <w:szCs w:val="18"/>
              </w:rPr>
            </w:pPr>
            <w:r>
              <w:rPr>
                <w:color w:val="000000"/>
                <w:sz w:val="18"/>
                <w:szCs w:val="18"/>
              </w:rPr>
              <w:t>6,370,333.00</w:t>
            </w:r>
          </w:p>
        </w:tc>
        <w:tc>
          <w:tcPr>
            <w:tcW w:w="1141" w:type="dxa"/>
            <w:tcBorders>
              <w:top w:val="nil"/>
              <w:left w:val="nil"/>
              <w:bottom w:val="single" w:sz="4" w:space="0" w:color="auto"/>
              <w:right w:val="single" w:sz="4" w:space="0" w:color="auto"/>
            </w:tcBorders>
            <w:shd w:val="clear" w:color="auto" w:fill="auto"/>
            <w:noWrap/>
            <w:vAlign w:val="center"/>
            <w:hideMark/>
          </w:tcPr>
          <w:p w14:paraId="0C6306BA" w14:textId="77777777" w:rsidR="009D6D4E" w:rsidRDefault="009D6D4E" w:rsidP="00BF3B71">
            <w:pPr>
              <w:jc w:val="right"/>
              <w:rPr>
                <w:color w:val="000000"/>
                <w:sz w:val="18"/>
                <w:szCs w:val="18"/>
              </w:rPr>
            </w:pPr>
            <w:r>
              <w:rPr>
                <w:color w:val="000000"/>
                <w:sz w:val="18"/>
                <w:szCs w:val="18"/>
              </w:rPr>
              <w:t>0.00</w:t>
            </w:r>
          </w:p>
        </w:tc>
        <w:tc>
          <w:tcPr>
            <w:tcW w:w="1270" w:type="dxa"/>
            <w:tcBorders>
              <w:top w:val="nil"/>
              <w:left w:val="nil"/>
              <w:bottom w:val="single" w:sz="4" w:space="0" w:color="auto"/>
              <w:right w:val="single" w:sz="4" w:space="0" w:color="auto"/>
            </w:tcBorders>
            <w:shd w:val="clear" w:color="auto" w:fill="auto"/>
            <w:noWrap/>
            <w:vAlign w:val="center"/>
            <w:hideMark/>
          </w:tcPr>
          <w:p w14:paraId="4E05C5B1" w14:textId="77777777" w:rsidR="009D6D4E" w:rsidRPr="00534399" w:rsidRDefault="009D6D4E" w:rsidP="00BF3B71">
            <w:pPr>
              <w:jc w:val="right"/>
              <w:rPr>
                <w:b/>
                <w:color w:val="000000"/>
                <w:sz w:val="18"/>
                <w:szCs w:val="18"/>
              </w:rPr>
            </w:pPr>
            <w:r w:rsidRPr="00534399">
              <w:rPr>
                <w:b/>
                <w:color w:val="000000"/>
                <w:sz w:val="18"/>
                <w:szCs w:val="18"/>
              </w:rPr>
              <w:t>55,197,022.00</w:t>
            </w:r>
          </w:p>
        </w:tc>
      </w:tr>
      <w:tr w:rsidR="009D6D4E" w14:paraId="57940FC1" w14:textId="77777777" w:rsidTr="009D6D4E">
        <w:trPr>
          <w:trHeight w:val="188"/>
        </w:trPr>
        <w:tc>
          <w:tcPr>
            <w:tcW w:w="591" w:type="dxa"/>
            <w:tcBorders>
              <w:top w:val="nil"/>
              <w:left w:val="single" w:sz="4" w:space="0" w:color="auto"/>
              <w:bottom w:val="single" w:sz="4" w:space="0" w:color="auto"/>
              <w:right w:val="single" w:sz="4" w:space="0" w:color="auto"/>
            </w:tcBorders>
            <w:shd w:val="clear" w:color="auto" w:fill="auto"/>
            <w:noWrap/>
            <w:vAlign w:val="center"/>
            <w:hideMark/>
          </w:tcPr>
          <w:p w14:paraId="50E0A084" w14:textId="77777777" w:rsidR="009D6D4E" w:rsidRDefault="009D6D4E" w:rsidP="00BF3B71">
            <w:pPr>
              <w:jc w:val="right"/>
              <w:rPr>
                <w:color w:val="000000"/>
                <w:sz w:val="18"/>
                <w:szCs w:val="18"/>
              </w:rPr>
            </w:pPr>
            <w:r>
              <w:rPr>
                <w:color w:val="000000"/>
                <w:sz w:val="18"/>
                <w:szCs w:val="18"/>
              </w:rPr>
              <w:t>2021</w:t>
            </w:r>
          </w:p>
        </w:tc>
        <w:tc>
          <w:tcPr>
            <w:tcW w:w="1304" w:type="dxa"/>
            <w:gridSpan w:val="3"/>
            <w:tcBorders>
              <w:top w:val="nil"/>
              <w:left w:val="nil"/>
              <w:bottom w:val="single" w:sz="4" w:space="0" w:color="auto"/>
              <w:right w:val="single" w:sz="4" w:space="0" w:color="auto"/>
            </w:tcBorders>
            <w:shd w:val="clear" w:color="auto" w:fill="auto"/>
            <w:noWrap/>
            <w:vAlign w:val="center"/>
            <w:hideMark/>
          </w:tcPr>
          <w:p w14:paraId="547ACD68" w14:textId="77777777" w:rsidR="009D6D4E" w:rsidRDefault="009D6D4E" w:rsidP="00BF3B71">
            <w:pPr>
              <w:jc w:val="right"/>
              <w:rPr>
                <w:color w:val="000000"/>
                <w:sz w:val="18"/>
                <w:szCs w:val="18"/>
              </w:rPr>
            </w:pPr>
            <w:r>
              <w:rPr>
                <w:color w:val="000000"/>
                <w:sz w:val="18"/>
                <w:szCs w:val="18"/>
              </w:rPr>
              <w:t xml:space="preserve">           47,101,826.00 </w:t>
            </w:r>
          </w:p>
        </w:tc>
        <w:tc>
          <w:tcPr>
            <w:tcW w:w="800" w:type="dxa"/>
            <w:tcBorders>
              <w:top w:val="nil"/>
              <w:left w:val="nil"/>
              <w:bottom w:val="single" w:sz="4" w:space="0" w:color="auto"/>
              <w:right w:val="single" w:sz="4" w:space="0" w:color="auto"/>
            </w:tcBorders>
            <w:shd w:val="clear" w:color="auto" w:fill="auto"/>
            <w:noWrap/>
            <w:vAlign w:val="center"/>
            <w:hideMark/>
          </w:tcPr>
          <w:p w14:paraId="0626E660" w14:textId="77777777" w:rsidR="009D6D4E" w:rsidRDefault="009D6D4E" w:rsidP="00BF3B71">
            <w:pPr>
              <w:jc w:val="right"/>
              <w:rPr>
                <w:color w:val="000000"/>
                <w:sz w:val="18"/>
                <w:szCs w:val="18"/>
              </w:rPr>
            </w:pPr>
            <w:r>
              <w:rPr>
                <w:color w:val="000000"/>
                <w:sz w:val="18"/>
                <w:szCs w:val="18"/>
              </w:rPr>
              <w:t>0.00</w:t>
            </w:r>
          </w:p>
        </w:tc>
        <w:tc>
          <w:tcPr>
            <w:tcW w:w="1315" w:type="dxa"/>
            <w:tcBorders>
              <w:top w:val="nil"/>
              <w:left w:val="nil"/>
              <w:bottom w:val="single" w:sz="4" w:space="0" w:color="auto"/>
              <w:right w:val="single" w:sz="4" w:space="0" w:color="auto"/>
            </w:tcBorders>
            <w:shd w:val="clear" w:color="auto" w:fill="auto"/>
            <w:noWrap/>
            <w:vAlign w:val="center"/>
            <w:hideMark/>
          </w:tcPr>
          <w:p w14:paraId="1D60B151" w14:textId="77777777" w:rsidR="009D6D4E" w:rsidRDefault="009D6D4E" w:rsidP="00BF3B71">
            <w:pPr>
              <w:jc w:val="right"/>
              <w:rPr>
                <w:color w:val="000000"/>
                <w:sz w:val="18"/>
                <w:szCs w:val="18"/>
              </w:rPr>
            </w:pPr>
            <w:r>
              <w:rPr>
                <w:color w:val="000000"/>
                <w:sz w:val="18"/>
                <w:szCs w:val="18"/>
              </w:rPr>
              <w:t>0.00</w:t>
            </w:r>
          </w:p>
        </w:tc>
        <w:tc>
          <w:tcPr>
            <w:tcW w:w="1053" w:type="dxa"/>
            <w:gridSpan w:val="2"/>
            <w:tcBorders>
              <w:top w:val="nil"/>
              <w:left w:val="nil"/>
              <w:bottom w:val="single" w:sz="4" w:space="0" w:color="auto"/>
              <w:right w:val="single" w:sz="4" w:space="0" w:color="auto"/>
            </w:tcBorders>
            <w:shd w:val="clear" w:color="auto" w:fill="auto"/>
            <w:noWrap/>
            <w:vAlign w:val="center"/>
            <w:hideMark/>
          </w:tcPr>
          <w:p w14:paraId="217F2BFF" w14:textId="77777777" w:rsidR="009D6D4E" w:rsidRDefault="009D6D4E" w:rsidP="00BF3B71">
            <w:pPr>
              <w:jc w:val="right"/>
              <w:rPr>
                <w:color w:val="000000"/>
                <w:sz w:val="18"/>
                <w:szCs w:val="18"/>
              </w:rPr>
            </w:pPr>
            <w:r>
              <w:rPr>
                <w:color w:val="000000"/>
                <w:sz w:val="18"/>
                <w:szCs w:val="18"/>
              </w:rPr>
              <w:t>0.00</w:t>
            </w:r>
          </w:p>
        </w:tc>
        <w:tc>
          <w:tcPr>
            <w:tcW w:w="880" w:type="dxa"/>
            <w:tcBorders>
              <w:top w:val="nil"/>
              <w:left w:val="nil"/>
              <w:bottom w:val="single" w:sz="4" w:space="0" w:color="auto"/>
              <w:right w:val="single" w:sz="4" w:space="0" w:color="auto"/>
            </w:tcBorders>
            <w:shd w:val="clear" w:color="auto" w:fill="auto"/>
            <w:noWrap/>
            <w:vAlign w:val="center"/>
            <w:hideMark/>
          </w:tcPr>
          <w:p w14:paraId="26C798A0" w14:textId="77777777" w:rsidR="009D6D4E" w:rsidRDefault="009D6D4E" w:rsidP="00BF3B71">
            <w:pPr>
              <w:jc w:val="right"/>
              <w:rPr>
                <w:color w:val="000000"/>
                <w:sz w:val="18"/>
                <w:szCs w:val="18"/>
              </w:rPr>
            </w:pPr>
            <w:r>
              <w:rPr>
                <w:color w:val="000000"/>
                <w:sz w:val="18"/>
                <w:szCs w:val="18"/>
              </w:rPr>
              <w:t>0.00</w:t>
            </w:r>
          </w:p>
        </w:tc>
        <w:tc>
          <w:tcPr>
            <w:tcW w:w="1604" w:type="dxa"/>
            <w:gridSpan w:val="2"/>
            <w:tcBorders>
              <w:top w:val="nil"/>
              <w:left w:val="nil"/>
              <w:bottom w:val="single" w:sz="4" w:space="0" w:color="auto"/>
              <w:right w:val="single" w:sz="4" w:space="0" w:color="auto"/>
            </w:tcBorders>
            <w:shd w:val="clear" w:color="auto" w:fill="auto"/>
            <w:noWrap/>
            <w:vAlign w:val="center"/>
            <w:hideMark/>
          </w:tcPr>
          <w:p w14:paraId="5236F470" w14:textId="77777777" w:rsidR="009D6D4E" w:rsidRDefault="009D6D4E" w:rsidP="00BF3B71">
            <w:pPr>
              <w:jc w:val="right"/>
              <w:rPr>
                <w:color w:val="000000"/>
                <w:sz w:val="18"/>
                <w:szCs w:val="18"/>
              </w:rPr>
            </w:pPr>
            <w:r>
              <w:rPr>
                <w:color w:val="000000"/>
                <w:sz w:val="18"/>
                <w:szCs w:val="18"/>
              </w:rPr>
              <w:t>3,875,196.00</w:t>
            </w:r>
          </w:p>
        </w:tc>
        <w:tc>
          <w:tcPr>
            <w:tcW w:w="1141" w:type="dxa"/>
            <w:tcBorders>
              <w:top w:val="nil"/>
              <w:left w:val="nil"/>
              <w:bottom w:val="single" w:sz="4" w:space="0" w:color="auto"/>
              <w:right w:val="single" w:sz="4" w:space="0" w:color="auto"/>
            </w:tcBorders>
            <w:shd w:val="clear" w:color="auto" w:fill="auto"/>
            <w:noWrap/>
            <w:vAlign w:val="center"/>
            <w:hideMark/>
          </w:tcPr>
          <w:p w14:paraId="214C3D03" w14:textId="77777777" w:rsidR="009D6D4E" w:rsidRDefault="009D6D4E" w:rsidP="00BF3B71">
            <w:pPr>
              <w:jc w:val="right"/>
              <w:rPr>
                <w:color w:val="000000"/>
                <w:sz w:val="18"/>
                <w:szCs w:val="18"/>
              </w:rPr>
            </w:pPr>
            <w:r>
              <w:rPr>
                <w:color w:val="000000"/>
                <w:sz w:val="18"/>
                <w:szCs w:val="18"/>
              </w:rPr>
              <w:t>0.00</w:t>
            </w:r>
          </w:p>
        </w:tc>
        <w:tc>
          <w:tcPr>
            <w:tcW w:w="1270" w:type="dxa"/>
            <w:tcBorders>
              <w:top w:val="nil"/>
              <w:left w:val="nil"/>
              <w:bottom w:val="single" w:sz="4" w:space="0" w:color="auto"/>
              <w:right w:val="single" w:sz="4" w:space="0" w:color="auto"/>
            </w:tcBorders>
            <w:shd w:val="clear" w:color="auto" w:fill="auto"/>
            <w:noWrap/>
            <w:vAlign w:val="center"/>
            <w:hideMark/>
          </w:tcPr>
          <w:p w14:paraId="04CD6B25" w14:textId="77777777" w:rsidR="009D6D4E" w:rsidRPr="00534399" w:rsidRDefault="009D6D4E" w:rsidP="00BF3B71">
            <w:pPr>
              <w:jc w:val="right"/>
              <w:rPr>
                <w:b/>
                <w:color w:val="000000"/>
                <w:sz w:val="18"/>
                <w:szCs w:val="18"/>
              </w:rPr>
            </w:pPr>
            <w:r w:rsidRPr="00534399">
              <w:rPr>
                <w:b/>
                <w:color w:val="000000"/>
                <w:sz w:val="18"/>
                <w:szCs w:val="18"/>
              </w:rPr>
              <w:t>50,977,022.00</w:t>
            </w:r>
          </w:p>
        </w:tc>
      </w:tr>
      <w:tr w:rsidR="009D6D4E" w14:paraId="6697D654" w14:textId="77777777" w:rsidTr="009D6D4E">
        <w:trPr>
          <w:trHeight w:val="188"/>
        </w:trPr>
        <w:tc>
          <w:tcPr>
            <w:tcW w:w="591" w:type="dxa"/>
            <w:tcBorders>
              <w:top w:val="nil"/>
              <w:left w:val="single" w:sz="4" w:space="0" w:color="auto"/>
              <w:bottom w:val="single" w:sz="4" w:space="0" w:color="auto"/>
              <w:right w:val="single" w:sz="4" w:space="0" w:color="auto"/>
            </w:tcBorders>
            <w:shd w:val="clear" w:color="auto" w:fill="auto"/>
            <w:noWrap/>
            <w:vAlign w:val="center"/>
            <w:hideMark/>
          </w:tcPr>
          <w:p w14:paraId="662D4A7C" w14:textId="77777777" w:rsidR="009D6D4E" w:rsidRDefault="009D6D4E" w:rsidP="00BF3B71">
            <w:pPr>
              <w:jc w:val="right"/>
              <w:rPr>
                <w:color w:val="000000"/>
                <w:sz w:val="18"/>
                <w:szCs w:val="18"/>
              </w:rPr>
            </w:pPr>
            <w:r>
              <w:rPr>
                <w:color w:val="000000"/>
                <w:sz w:val="18"/>
                <w:szCs w:val="18"/>
              </w:rPr>
              <w:t>2022</w:t>
            </w:r>
          </w:p>
        </w:tc>
        <w:tc>
          <w:tcPr>
            <w:tcW w:w="1304" w:type="dxa"/>
            <w:gridSpan w:val="3"/>
            <w:tcBorders>
              <w:top w:val="nil"/>
              <w:left w:val="nil"/>
              <w:bottom w:val="single" w:sz="4" w:space="0" w:color="auto"/>
              <w:right w:val="single" w:sz="4" w:space="0" w:color="auto"/>
            </w:tcBorders>
            <w:shd w:val="clear" w:color="auto" w:fill="auto"/>
            <w:noWrap/>
            <w:vAlign w:val="center"/>
            <w:hideMark/>
          </w:tcPr>
          <w:p w14:paraId="728F5C0C" w14:textId="77777777" w:rsidR="009D6D4E" w:rsidRDefault="009D6D4E" w:rsidP="00BF3B71">
            <w:pPr>
              <w:jc w:val="right"/>
              <w:rPr>
                <w:color w:val="000000"/>
                <w:sz w:val="18"/>
                <w:szCs w:val="18"/>
              </w:rPr>
            </w:pPr>
            <w:r>
              <w:rPr>
                <w:color w:val="000000"/>
                <w:sz w:val="18"/>
                <w:szCs w:val="18"/>
              </w:rPr>
              <w:t xml:space="preserve">           49,977,022.00 </w:t>
            </w:r>
          </w:p>
        </w:tc>
        <w:tc>
          <w:tcPr>
            <w:tcW w:w="800" w:type="dxa"/>
            <w:tcBorders>
              <w:top w:val="nil"/>
              <w:left w:val="nil"/>
              <w:bottom w:val="single" w:sz="4" w:space="0" w:color="auto"/>
              <w:right w:val="single" w:sz="4" w:space="0" w:color="auto"/>
            </w:tcBorders>
            <w:shd w:val="clear" w:color="auto" w:fill="auto"/>
            <w:noWrap/>
            <w:vAlign w:val="center"/>
            <w:hideMark/>
          </w:tcPr>
          <w:p w14:paraId="00CB32DF" w14:textId="77777777" w:rsidR="009D6D4E" w:rsidRDefault="009D6D4E" w:rsidP="00BF3B71">
            <w:pPr>
              <w:jc w:val="right"/>
              <w:rPr>
                <w:color w:val="000000"/>
                <w:sz w:val="18"/>
                <w:szCs w:val="18"/>
              </w:rPr>
            </w:pPr>
            <w:r>
              <w:rPr>
                <w:color w:val="000000"/>
                <w:sz w:val="18"/>
                <w:szCs w:val="18"/>
              </w:rPr>
              <w:t>0.00</w:t>
            </w:r>
          </w:p>
        </w:tc>
        <w:tc>
          <w:tcPr>
            <w:tcW w:w="1315" w:type="dxa"/>
            <w:tcBorders>
              <w:top w:val="nil"/>
              <w:left w:val="nil"/>
              <w:bottom w:val="single" w:sz="4" w:space="0" w:color="auto"/>
              <w:right w:val="single" w:sz="4" w:space="0" w:color="auto"/>
            </w:tcBorders>
            <w:shd w:val="clear" w:color="auto" w:fill="auto"/>
            <w:noWrap/>
            <w:vAlign w:val="center"/>
            <w:hideMark/>
          </w:tcPr>
          <w:p w14:paraId="0E6B47E4" w14:textId="77777777" w:rsidR="009D6D4E" w:rsidRDefault="009D6D4E" w:rsidP="00BF3B71">
            <w:pPr>
              <w:jc w:val="right"/>
              <w:rPr>
                <w:color w:val="000000"/>
                <w:sz w:val="18"/>
                <w:szCs w:val="18"/>
              </w:rPr>
            </w:pPr>
            <w:r>
              <w:rPr>
                <w:color w:val="000000"/>
                <w:sz w:val="18"/>
                <w:szCs w:val="18"/>
              </w:rPr>
              <w:t>0.00</w:t>
            </w:r>
          </w:p>
        </w:tc>
        <w:tc>
          <w:tcPr>
            <w:tcW w:w="1053" w:type="dxa"/>
            <w:gridSpan w:val="2"/>
            <w:tcBorders>
              <w:top w:val="nil"/>
              <w:left w:val="nil"/>
              <w:bottom w:val="single" w:sz="4" w:space="0" w:color="auto"/>
              <w:right w:val="single" w:sz="4" w:space="0" w:color="auto"/>
            </w:tcBorders>
            <w:shd w:val="clear" w:color="auto" w:fill="auto"/>
            <w:noWrap/>
            <w:vAlign w:val="center"/>
            <w:hideMark/>
          </w:tcPr>
          <w:p w14:paraId="44B1B61E" w14:textId="77777777" w:rsidR="009D6D4E" w:rsidRDefault="009D6D4E" w:rsidP="00BF3B71">
            <w:pPr>
              <w:jc w:val="right"/>
              <w:rPr>
                <w:color w:val="000000"/>
                <w:sz w:val="18"/>
                <w:szCs w:val="18"/>
              </w:rPr>
            </w:pPr>
            <w:r>
              <w:rPr>
                <w:color w:val="000000"/>
                <w:sz w:val="18"/>
                <w:szCs w:val="18"/>
              </w:rPr>
              <w:t>0.00</w:t>
            </w:r>
          </w:p>
        </w:tc>
        <w:tc>
          <w:tcPr>
            <w:tcW w:w="880" w:type="dxa"/>
            <w:tcBorders>
              <w:top w:val="nil"/>
              <w:left w:val="nil"/>
              <w:bottom w:val="single" w:sz="4" w:space="0" w:color="auto"/>
              <w:right w:val="single" w:sz="4" w:space="0" w:color="auto"/>
            </w:tcBorders>
            <w:shd w:val="clear" w:color="auto" w:fill="auto"/>
            <w:noWrap/>
            <w:vAlign w:val="center"/>
            <w:hideMark/>
          </w:tcPr>
          <w:p w14:paraId="70A47C64" w14:textId="77777777" w:rsidR="009D6D4E" w:rsidRDefault="009D6D4E" w:rsidP="00BF3B71">
            <w:pPr>
              <w:jc w:val="right"/>
              <w:rPr>
                <w:color w:val="000000"/>
                <w:sz w:val="18"/>
                <w:szCs w:val="18"/>
              </w:rPr>
            </w:pPr>
            <w:r>
              <w:rPr>
                <w:color w:val="000000"/>
                <w:sz w:val="18"/>
                <w:szCs w:val="18"/>
              </w:rPr>
              <w:t>0.00</w:t>
            </w:r>
          </w:p>
        </w:tc>
        <w:tc>
          <w:tcPr>
            <w:tcW w:w="1604" w:type="dxa"/>
            <w:gridSpan w:val="2"/>
            <w:tcBorders>
              <w:top w:val="nil"/>
              <w:left w:val="nil"/>
              <w:bottom w:val="single" w:sz="4" w:space="0" w:color="auto"/>
              <w:right w:val="single" w:sz="4" w:space="0" w:color="auto"/>
            </w:tcBorders>
            <w:shd w:val="clear" w:color="auto" w:fill="auto"/>
            <w:noWrap/>
            <w:vAlign w:val="center"/>
            <w:hideMark/>
          </w:tcPr>
          <w:p w14:paraId="7145089A" w14:textId="77777777" w:rsidR="009D6D4E" w:rsidRDefault="009D6D4E" w:rsidP="00BF3B71">
            <w:pPr>
              <w:jc w:val="right"/>
              <w:rPr>
                <w:color w:val="000000"/>
                <w:sz w:val="18"/>
                <w:szCs w:val="18"/>
              </w:rPr>
            </w:pPr>
            <w:r>
              <w:rPr>
                <w:color w:val="000000"/>
                <w:sz w:val="18"/>
                <w:szCs w:val="18"/>
              </w:rPr>
              <w:t>0.00</w:t>
            </w:r>
          </w:p>
        </w:tc>
        <w:tc>
          <w:tcPr>
            <w:tcW w:w="1141" w:type="dxa"/>
            <w:tcBorders>
              <w:top w:val="nil"/>
              <w:left w:val="nil"/>
              <w:bottom w:val="single" w:sz="4" w:space="0" w:color="auto"/>
              <w:right w:val="single" w:sz="4" w:space="0" w:color="auto"/>
            </w:tcBorders>
            <w:shd w:val="clear" w:color="auto" w:fill="auto"/>
            <w:noWrap/>
            <w:vAlign w:val="center"/>
            <w:hideMark/>
          </w:tcPr>
          <w:p w14:paraId="0067FAF4" w14:textId="77777777" w:rsidR="009D6D4E" w:rsidRDefault="009D6D4E" w:rsidP="00BF3B71">
            <w:pPr>
              <w:jc w:val="right"/>
              <w:rPr>
                <w:color w:val="000000"/>
                <w:sz w:val="18"/>
                <w:szCs w:val="18"/>
              </w:rPr>
            </w:pPr>
            <w:r>
              <w:rPr>
                <w:color w:val="000000"/>
                <w:sz w:val="18"/>
                <w:szCs w:val="18"/>
              </w:rPr>
              <w:t>0.00</w:t>
            </w:r>
          </w:p>
        </w:tc>
        <w:tc>
          <w:tcPr>
            <w:tcW w:w="1270" w:type="dxa"/>
            <w:tcBorders>
              <w:top w:val="nil"/>
              <w:left w:val="nil"/>
              <w:bottom w:val="single" w:sz="4" w:space="0" w:color="auto"/>
              <w:right w:val="single" w:sz="4" w:space="0" w:color="auto"/>
            </w:tcBorders>
            <w:shd w:val="clear" w:color="auto" w:fill="auto"/>
            <w:noWrap/>
            <w:vAlign w:val="center"/>
            <w:hideMark/>
          </w:tcPr>
          <w:p w14:paraId="3013119F" w14:textId="77777777" w:rsidR="009D6D4E" w:rsidRPr="00534399" w:rsidRDefault="009D6D4E" w:rsidP="00BF3B71">
            <w:pPr>
              <w:jc w:val="right"/>
              <w:rPr>
                <w:b/>
                <w:color w:val="000000"/>
                <w:sz w:val="18"/>
                <w:szCs w:val="18"/>
              </w:rPr>
            </w:pPr>
            <w:r w:rsidRPr="00534399">
              <w:rPr>
                <w:b/>
                <w:color w:val="000000"/>
                <w:sz w:val="18"/>
                <w:szCs w:val="18"/>
              </w:rPr>
              <w:t>49,977,022.00</w:t>
            </w:r>
          </w:p>
        </w:tc>
      </w:tr>
    </w:tbl>
    <w:p w14:paraId="6A064D5F" w14:textId="77777777" w:rsidR="009D6D4E" w:rsidRDefault="009D6D4E" w:rsidP="009D6D4E"/>
    <w:p w14:paraId="0ED33531" w14:textId="77777777" w:rsidR="009D6D4E" w:rsidRDefault="009D6D4E" w:rsidP="009D6D4E"/>
    <w:tbl>
      <w:tblPr>
        <w:tblW w:w="9985" w:type="dxa"/>
        <w:tblLook w:val="04A0" w:firstRow="1" w:lastRow="0" w:firstColumn="1" w:lastColumn="0" w:noHBand="0" w:noVBand="1"/>
      </w:tblPr>
      <w:tblGrid>
        <w:gridCol w:w="644"/>
        <w:gridCol w:w="86"/>
        <w:gridCol w:w="738"/>
        <w:gridCol w:w="214"/>
        <w:gridCol w:w="1283"/>
        <w:gridCol w:w="1406"/>
        <w:gridCol w:w="733"/>
        <w:gridCol w:w="1704"/>
        <w:gridCol w:w="874"/>
        <w:gridCol w:w="1332"/>
        <w:gridCol w:w="87"/>
        <w:gridCol w:w="948"/>
      </w:tblGrid>
      <w:tr w:rsidR="009D6D4E" w14:paraId="0AEDEF54" w14:textId="77777777" w:rsidTr="00BF3B71">
        <w:trPr>
          <w:trHeight w:val="404"/>
        </w:trPr>
        <w:tc>
          <w:tcPr>
            <w:tcW w:w="9985"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57AC600E" w14:textId="77777777" w:rsidR="009D6D4E" w:rsidRDefault="009D6D4E" w:rsidP="00BF3B71">
            <w:pPr>
              <w:jc w:val="both"/>
              <w:rPr>
                <w:b/>
                <w:bCs/>
                <w:color w:val="000000"/>
                <w:sz w:val="18"/>
                <w:szCs w:val="18"/>
              </w:rPr>
            </w:pPr>
            <w:r>
              <w:rPr>
                <w:b/>
                <w:bCs/>
                <w:color w:val="000000"/>
                <w:sz w:val="18"/>
                <w:szCs w:val="18"/>
              </w:rPr>
              <w:t>Tabela 10 a.: Kostimi i masës së reformës strukturore : Masa#4:Rritja e konkurrueshmwrisw nw indurstrinw prodhuese</w:t>
            </w:r>
          </w:p>
        </w:tc>
      </w:tr>
      <w:tr w:rsidR="009D6D4E" w14:paraId="2F3E9FB4" w14:textId="77777777" w:rsidTr="00BF3B71">
        <w:trPr>
          <w:trHeight w:val="437"/>
        </w:trPr>
        <w:tc>
          <w:tcPr>
            <w:tcW w:w="644" w:type="dxa"/>
            <w:tcBorders>
              <w:top w:val="nil"/>
              <w:left w:val="single" w:sz="4" w:space="0" w:color="auto"/>
              <w:bottom w:val="single" w:sz="4" w:space="0" w:color="auto"/>
              <w:right w:val="single" w:sz="4" w:space="0" w:color="auto"/>
            </w:tcBorders>
            <w:shd w:val="clear" w:color="000000" w:fill="FFFFFF"/>
            <w:vAlign w:val="center"/>
            <w:hideMark/>
          </w:tcPr>
          <w:p w14:paraId="65030EC1" w14:textId="77777777" w:rsidR="009D6D4E" w:rsidRDefault="009D6D4E" w:rsidP="00BF3B71">
            <w:pPr>
              <w:jc w:val="both"/>
              <w:rPr>
                <w:color w:val="000000"/>
                <w:sz w:val="18"/>
                <w:szCs w:val="18"/>
              </w:rPr>
            </w:pPr>
            <w:r>
              <w:rPr>
                <w:color w:val="000000"/>
                <w:sz w:val="18"/>
                <w:szCs w:val="18"/>
              </w:rPr>
              <w:t xml:space="preserve">Viti </w:t>
            </w:r>
          </w:p>
        </w:tc>
        <w:tc>
          <w:tcPr>
            <w:tcW w:w="824" w:type="dxa"/>
            <w:gridSpan w:val="2"/>
            <w:tcBorders>
              <w:top w:val="nil"/>
              <w:left w:val="nil"/>
              <w:bottom w:val="single" w:sz="4" w:space="0" w:color="auto"/>
              <w:right w:val="single" w:sz="4" w:space="0" w:color="auto"/>
            </w:tcBorders>
            <w:shd w:val="clear" w:color="auto" w:fill="auto"/>
            <w:vAlign w:val="center"/>
            <w:hideMark/>
          </w:tcPr>
          <w:p w14:paraId="4159E684" w14:textId="77777777" w:rsidR="009D6D4E" w:rsidRDefault="009D6D4E" w:rsidP="00BF3B71">
            <w:pPr>
              <w:jc w:val="right"/>
              <w:rPr>
                <w:color w:val="000000"/>
                <w:sz w:val="18"/>
                <w:szCs w:val="18"/>
              </w:rPr>
            </w:pPr>
            <w:r>
              <w:rPr>
                <w:color w:val="000000"/>
                <w:sz w:val="18"/>
                <w:szCs w:val="18"/>
              </w:rPr>
              <w:t>Pagat</w:t>
            </w:r>
          </w:p>
        </w:tc>
        <w:tc>
          <w:tcPr>
            <w:tcW w:w="1497" w:type="dxa"/>
            <w:gridSpan w:val="2"/>
            <w:tcBorders>
              <w:top w:val="nil"/>
              <w:left w:val="nil"/>
              <w:bottom w:val="single" w:sz="4" w:space="0" w:color="auto"/>
              <w:right w:val="single" w:sz="4" w:space="0" w:color="auto"/>
            </w:tcBorders>
            <w:shd w:val="clear" w:color="auto" w:fill="auto"/>
            <w:vAlign w:val="center"/>
            <w:hideMark/>
          </w:tcPr>
          <w:p w14:paraId="30ED3F14" w14:textId="77777777" w:rsidR="009D6D4E" w:rsidRDefault="009D6D4E" w:rsidP="00BF3B71">
            <w:pPr>
              <w:jc w:val="right"/>
              <w:rPr>
                <w:color w:val="000000"/>
                <w:sz w:val="18"/>
                <w:szCs w:val="18"/>
              </w:rPr>
            </w:pPr>
            <w:r>
              <w:rPr>
                <w:color w:val="000000"/>
                <w:sz w:val="18"/>
                <w:szCs w:val="18"/>
              </w:rPr>
              <w:t>Mallra dhe shërbime</w:t>
            </w:r>
          </w:p>
        </w:tc>
        <w:tc>
          <w:tcPr>
            <w:tcW w:w="3827" w:type="dxa"/>
            <w:gridSpan w:val="3"/>
            <w:tcBorders>
              <w:top w:val="nil"/>
              <w:left w:val="nil"/>
              <w:bottom w:val="single" w:sz="4" w:space="0" w:color="auto"/>
              <w:right w:val="single" w:sz="4" w:space="0" w:color="auto"/>
            </w:tcBorders>
            <w:shd w:val="clear" w:color="auto" w:fill="auto"/>
            <w:vAlign w:val="center"/>
            <w:hideMark/>
          </w:tcPr>
          <w:p w14:paraId="1899B60A" w14:textId="77777777" w:rsidR="009D6D4E" w:rsidRDefault="009D6D4E" w:rsidP="00BF3B71">
            <w:pPr>
              <w:jc w:val="right"/>
              <w:rPr>
                <w:color w:val="000000"/>
                <w:sz w:val="18"/>
                <w:szCs w:val="18"/>
              </w:rPr>
            </w:pPr>
            <w:r>
              <w:rPr>
                <w:color w:val="000000"/>
                <w:sz w:val="18"/>
                <w:szCs w:val="18"/>
              </w:rPr>
              <w:t>Subvencione dhe transfere</w:t>
            </w:r>
          </w:p>
        </w:tc>
        <w:tc>
          <w:tcPr>
            <w:tcW w:w="2206" w:type="dxa"/>
            <w:gridSpan w:val="2"/>
            <w:tcBorders>
              <w:top w:val="nil"/>
              <w:left w:val="nil"/>
              <w:bottom w:val="single" w:sz="4" w:space="0" w:color="auto"/>
              <w:right w:val="single" w:sz="4" w:space="0" w:color="auto"/>
            </w:tcBorders>
            <w:shd w:val="clear" w:color="auto" w:fill="auto"/>
            <w:vAlign w:val="center"/>
            <w:hideMark/>
          </w:tcPr>
          <w:p w14:paraId="5BE953F4" w14:textId="77777777" w:rsidR="009D6D4E" w:rsidRDefault="009D6D4E" w:rsidP="00BF3B71">
            <w:pPr>
              <w:jc w:val="right"/>
              <w:rPr>
                <w:color w:val="000000"/>
                <w:sz w:val="18"/>
                <w:szCs w:val="18"/>
              </w:rPr>
            </w:pPr>
            <w:r>
              <w:rPr>
                <w:color w:val="000000"/>
                <w:sz w:val="18"/>
                <w:szCs w:val="18"/>
              </w:rPr>
              <w:t xml:space="preserve">Shpenzimet kapitale </w:t>
            </w:r>
          </w:p>
        </w:tc>
        <w:tc>
          <w:tcPr>
            <w:tcW w:w="987" w:type="dxa"/>
            <w:gridSpan w:val="2"/>
            <w:tcBorders>
              <w:top w:val="nil"/>
              <w:left w:val="nil"/>
              <w:bottom w:val="single" w:sz="4" w:space="0" w:color="auto"/>
              <w:right w:val="single" w:sz="4" w:space="0" w:color="auto"/>
            </w:tcBorders>
            <w:shd w:val="clear" w:color="auto" w:fill="auto"/>
            <w:vAlign w:val="center"/>
            <w:hideMark/>
          </w:tcPr>
          <w:p w14:paraId="2146ABEE" w14:textId="77777777" w:rsidR="009D6D4E" w:rsidRPr="00534399" w:rsidRDefault="009D6D4E" w:rsidP="00BF3B71">
            <w:pPr>
              <w:jc w:val="both"/>
              <w:rPr>
                <w:b/>
                <w:color w:val="000000"/>
                <w:sz w:val="18"/>
                <w:szCs w:val="18"/>
              </w:rPr>
            </w:pPr>
            <w:r w:rsidRPr="00534399">
              <w:rPr>
                <w:b/>
                <w:color w:val="000000"/>
                <w:sz w:val="18"/>
                <w:szCs w:val="18"/>
              </w:rPr>
              <w:t xml:space="preserve">Totali </w:t>
            </w:r>
          </w:p>
        </w:tc>
      </w:tr>
      <w:tr w:rsidR="009D6D4E" w14:paraId="770DA927" w14:textId="77777777" w:rsidTr="00BF3B71">
        <w:trPr>
          <w:trHeight w:val="269"/>
        </w:trPr>
        <w:tc>
          <w:tcPr>
            <w:tcW w:w="644" w:type="dxa"/>
            <w:tcBorders>
              <w:top w:val="nil"/>
              <w:left w:val="single" w:sz="4" w:space="0" w:color="auto"/>
              <w:bottom w:val="single" w:sz="4" w:space="0" w:color="auto"/>
              <w:right w:val="single" w:sz="4" w:space="0" w:color="auto"/>
            </w:tcBorders>
            <w:shd w:val="clear" w:color="auto" w:fill="auto"/>
            <w:vAlign w:val="center"/>
            <w:hideMark/>
          </w:tcPr>
          <w:p w14:paraId="108198DB" w14:textId="77777777" w:rsidR="009D6D4E" w:rsidRDefault="009D6D4E" w:rsidP="00BF3B71">
            <w:pPr>
              <w:jc w:val="both"/>
              <w:rPr>
                <w:color w:val="000000"/>
                <w:sz w:val="18"/>
                <w:szCs w:val="18"/>
              </w:rPr>
            </w:pPr>
            <w:r>
              <w:rPr>
                <w:color w:val="000000"/>
                <w:sz w:val="18"/>
                <w:szCs w:val="18"/>
              </w:rPr>
              <w:t>2020</w:t>
            </w:r>
          </w:p>
        </w:tc>
        <w:tc>
          <w:tcPr>
            <w:tcW w:w="824" w:type="dxa"/>
            <w:gridSpan w:val="2"/>
            <w:tcBorders>
              <w:top w:val="nil"/>
              <w:left w:val="nil"/>
              <w:bottom w:val="single" w:sz="4" w:space="0" w:color="auto"/>
              <w:right w:val="single" w:sz="4" w:space="0" w:color="auto"/>
            </w:tcBorders>
            <w:shd w:val="clear" w:color="auto" w:fill="auto"/>
            <w:vAlign w:val="center"/>
            <w:hideMark/>
          </w:tcPr>
          <w:p w14:paraId="56D1C294" w14:textId="77777777" w:rsidR="009D6D4E" w:rsidRDefault="009D6D4E" w:rsidP="00BF3B71">
            <w:pPr>
              <w:jc w:val="right"/>
              <w:rPr>
                <w:color w:val="000000"/>
                <w:sz w:val="18"/>
                <w:szCs w:val="18"/>
              </w:rPr>
            </w:pPr>
            <w:r>
              <w:rPr>
                <w:color w:val="000000"/>
                <w:sz w:val="18"/>
                <w:szCs w:val="18"/>
              </w:rPr>
              <w:t>0.00</w:t>
            </w:r>
          </w:p>
        </w:tc>
        <w:tc>
          <w:tcPr>
            <w:tcW w:w="1497" w:type="dxa"/>
            <w:gridSpan w:val="2"/>
            <w:tcBorders>
              <w:top w:val="nil"/>
              <w:left w:val="nil"/>
              <w:bottom w:val="single" w:sz="4" w:space="0" w:color="auto"/>
              <w:right w:val="single" w:sz="4" w:space="0" w:color="auto"/>
            </w:tcBorders>
            <w:shd w:val="clear" w:color="auto" w:fill="auto"/>
            <w:vAlign w:val="center"/>
            <w:hideMark/>
          </w:tcPr>
          <w:p w14:paraId="48228A5F" w14:textId="77777777" w:rsidR="009D6D4E" w:rsidRDefault="009D6D4E" w:rsidP="00BF3B71">
            <w:pPr>
              <w:jc w:val="right"/>
              <w:rPr>
                <w:color w:val="000000"/>
                <w:sz w:val="18"/>
                <w:szCs w:val="18"/>
              </w:rPr>
            </w:pPr>
            <w:r>
              <w:rPr>
                <w:color w:val="000000"/>
                <w:sz w:val="18"/>
                <w:szCs w:val="18"/>
              </w:rPr>
              <w:t>83890.00</w:t>
            </w:r>
          </w:p>
        </w:tc>
        <w:tc>
          <w:tcPr>
            <w:tcW w:w="3827" w:type="dxa"/>
            <w:gridSpan w:val="3"/>
            <w:tcBorders>
              <w:top w:val="nil"/>
              <w:left w:val="nil"/>
              <w:bottom w:val="single" w:sz="4" w:space="0" w:color="auto"/>
              <w:right w:val="single" w:sz="4" w:space="0" w:color="auto"/>
            </w:tcBorders>
            <w:shd w:val="clear" w:color="auto" w:fill="auto"/>
            <w:vAlign w:val="center"/>
            <w:hideMark/>
          </w:tcPr>
          <w:p w14:paraId="702339D9" w14:textId="77777777" w:rsidR="009D6D4E" w:rsidRDefault="009D6D4E" w:rsidP="00BF3B71">
            <w:pPr>
              <w:jc w:val="right"/>
              <w:rPr>
                <w:color w:val="000000"/>
                <w:sz w:val="18"/>
                <w:szCs w:val="18"/>
              </w:rPr>
            </w:pPr>
            <w:r>
              <w:rPr>
                <w:color w:val="000000"/>
                <w:sz w:val="18"/>
                <w:szCs w:val="18"/>
              </w:rPr>
              <w:t>1150000.00</w:t>
            </w:r>
          </w:p>
        </w:tc>
        <w:tc>
          <w:tcPr>
            <w:tcW w:w="2206" w:type="dxa"/>
            <w:gridSpan w:val="2"/>
            <w:tcBorders>
              <w:top w:val="nil"/>
              <w:left w:val="nil"/>
              <w:bottom w:val="single" w:sz="4" w:space="0" w:color="auto"/>
              <w:right w:val="single" w:sz="4" w:space="0" w:color="auto"/>
            </w:tcBorders>
            <w:shd w:val="clear" w:color="auto" w:fill="auto"/>
            <w:vAlign w:val="center"/>
            <w:hideMark/>
          </w:tcPr>
          <w:p w14:paraId="126F23C9" w14:textId="77777777" w:rsidR="009D6D4E" w:rsidRDefault="009D6D4E" w:rsidP="00BF3B71">
            <w:pPr>
              <w:jc w:val="right"/>
              <w:rPr>
                <w:color w:val="000000"/>
                <w:sz w:val="18"/>
                <w:szCs w:val="18"/>
              </w:rPr>
            </w:pPr>
            <w:r>
              <w:rPr>
                <w:color w:val="000000"/>
                <w:sz w:val="18"/>
                <w:szCs w:val="18"/>
              </w:rPr>
              <w:t>1700000.00</w:t>
            </w:r>
          </w:p>
        </w:tc>
        <w:tc>
          <w:tcPr>
            <w:tcW w:w="987" w:type="dxa"/>
            <w:gridSpan w:val="2"/>
            <w:tcBorders>
              <w:top w:val="nil"/>
              <w:left w:val="nil"/>
              <w:bottom w:val="single" w:sz="4" w:space="0" w:color="auto"/>
              <w:right w:val="single" w:sz="4" w:space="0" w:color="auto"/>
            </w:tcBorders>
            <w:shd w:val="clear" w:color="000000" w:fill="FFFFFF"/>
            <w:vAlign w:val="center"/>
            <w:hideMark/>
          </w:tcPr>
          <w:p w14:paraId="4CBC8380" w14:textId="77777777" w:rsidR="009D6D4E" w:rsidRPr="00374F22" w:rsidRDefault="009D6D4E" w:rsidP="00BF3B71">
            <w:pPr>
              <w:jc w:val="both"/>
              <w:rPr>
                <w:b/>
                <w:color w:val="000000"/>
                <w:sz w:val="18"/>
                <w:szCs w:val="18"/>
              </w:rPr>
            </w:pPr>
            <w:r w:rsidRPr="00374F22">
              <w:rPr>
                <w:b/>
                <w:color w:val="000000"/>
                <w:sz w:val="18"/>
                <w:szCs w:val="18"/>
              </w:rPr>
              <w:t xml:space="preserve">                      2,933,890 </w:t>
            </w:r>
          </w:p>
        </w:tc>
      </w:tr>
      <w:tr w:rsidR="009D6D4E" w14:paraId="1E25D861" w14:textId="77777777" w:rsidTr="00BF3B71">
        <w:trPr>
          <w:trHeight w:val="269"/>
        </w:trPr>
        <w:tc>
          <w:tcPr>
            <w:tcW w:w="644" w:type="dxa"/>
            <w:tcBorders>
              <w:top w:val="nil"/>
              <w:left w:val="single" w:sz="4" w:space="0" w:color="auto"/>
              <w:bottom w:val="single" w:sz="4" w:space="0" w:color="auto"/>
              <w:right w:val="single" w:sz="4" w:space="0" w:color="auto"/>
            </w:tcBorders>
            <w:shd w:val="clear" w:color="auto" w:fill="auto"/>
            <w:vAlign w:val="center"/>
            <w:hideMark/>
          </w:tcPr>
          <w:p w14:paraId="621F2D55" w14:textId="77777777" w:rsidR="009D6D4E" w:rsidRDefault="009D6D4E" w:rsidP="00BF3B71">
            <w:pPr>
              <w:jc w:val="both"/>
              <w:rPr>
                <w:color w:val="000000"/>
                <w:sz w:val="18"/>
                <w:szCs w:val="18"/>
              </w:rPr>
            </w:pPr>
            <w:r>
              <w:rPr>
                <w:color w:val="000000"/>
                <w:sz w:val="18"/>
                <w:szCs w:val="18"/>
              </w:rPr>
              <w:t>2021</w:t>
            </w:r>
          </w:p>
        </w:tc>
        <w:tc>
          <w:tcPr>
            <w:tcW w:w="824" w:type="dxa"/>
            <w:gridSpan w:val="2"/>
            <w:tcBorders>
              <w:top w:val="nil"/>
              <w:left w:val="nil"/>
              <w:bottom w:val="single" w:sz="4" w:space="0" w:color="auto"/>
              <w:right w:val="single" w:sz="4" w:space="0" w:color="auto"/>
            </w:tcBorders>
            <w:shd w:val="clear" w:color="auto" w:fill="auto"/>
            <w:vAlign w:val="center"/>
            <w:hideMark/>
          </w:tcPr>
          <w:p w14:paraId="611B12EF" w14:textId="77777777" w:rsidR="009D6D4E" w:rsidRDefault="009D6D4E" w:rsidP="00BF3B71">
            <w:pPr>
              <w:jc w:val="right"/>
              <w:rPr>
                <w:color w:val="000000"/>
                <w:sz w:val="18"/>
                <w:szCs w:val="18"/>
              </w:rPr>
            </w:pPr>
            <w:r>
              <w:rPr>
                <w:color w:val="000000"/>
                <w:sz w:val="18"/>
                <w:szCs w:val="18"/>
              </w:rPr>
              <w:t>0.00</w:t>
            </w:r>
          </w:p>
        </w:tc>
        <w:tc>
          <w:tcPr>
            <w:tcW w:w="1497" w:type="dxa"/>
            <w:gridSpan w:val="2"/>
            <w:tcBorders>
              <w:top w:val="nil"/>
              <w:left w:val="nil"/>
              <w:bottom w:val="single" w:sz="4" w:space="0" w:color="auto"/>
              <w:right w:val="single" w:sz="4" w:space="0" w:color="auto"/>
            </w:tcBorders>
            <w:shd w:val="clear" w:color="auto" w:fill="auto"/>
            <w:vAlign w:val="center"/>
            <w:hideMark/>
          </w:tcPr>
          <w:p w14:paraId="66B23ABB" w14:textId="77777777" w:rsidR="009D6D4E" w:rsidRDefault="009D6D4E" w:rsidP="00BF3B71">
            <w:pPr>
              <w:jc w:val="right"/>
              <w:rPr>
                <w:color w:val="000000"/>
                <w:sz w:val="18"/>
                <w:szCs w:val="18"/>
              </w:rPr>
            </w:pPr>
            <w:r>
              <w:rPr>
                <w:color w:val="000000"/>
                <w:sz w:val="18"/>
                <w:szCs w:val="18"/>
              </w:rPr>
              <w:t>55000.00</w:t>
            </w:r>
          </w:p>
        </w:tc>
        <w:tc>
          <w:tcPr>
            <w:tcW w:w="3827" w:type="dxa"/>
            <w:gridSpan w:val="3"/>
            <w:tcBorders>
              <w:top w:val="nil"/>
              <w:left w:val="nil"/>
              <w:bottom w:val="single" w:sz="4" w:space="0" w:color="auto"/>
              <w:right w:val="single" w:sz="4" w:space="0" w:color="auto"/>
            </w:tcBorders>
            <w:shd w:val="clear" w:color="auto" w:fill="auto"/>
            <w:vAlign w:val="center"/>
            <w:hideMark/>
          </w:tcPr>
          <w:p w14:paraId="5E8404F4" w14:textId="77777777" w:rsidR="009D6D4E" w:rsidRDefault="009D6D4E" w:rsidP="00BF3B71">
            <w:pPr>
              <w:jc w:val="right"/>
              <w:rPr>
                <w:color w:val="000000"/>
                <w:sz w:val="18"/>
                <w:szCs w:val="18"/>
              </w:rPr>
            </w:pPr>
            <w:r>
              <w:rPr>
                <w:color w:val="000000"/>
                <w:sz w:val="18"/>
                <w:szCs w:val="18"/>
              </w:rPr>
              <w:t>1150000.00</w:t>
            </w:r>
          </w:p>
        </w:tc>
        <w:tc>
          <w:tcPr>
            <w:tcW w:w="2206" w:type="dxa"/>
            <w:gridSpan w:val="2"/>
            <w:tcBorders>
              <w:top w:val="nil"/>
              <w:left w:val="nil"/>
              <w:bottom w:val="single" w:sz="4" w:space="0" w:color="auto"/>
              <w:right w:val="single" w:sz="4" w:space="0" w:color="auto"/>
            </w:tcBorders>
            <w:shd w:val="clear" w:color="auto" w:fill="auto"/>
            <w:vAlign w:val="center"/>
            <w:hideMark/>
          </w:tcPr>
          <w:p w14:paraId="09BEE97F" w14:textId="77777777" w:rsidR="009D6D4E" w:rsidRDefault="009D6D4E" w:rsidP="00BF3B71">
            <w:pPr>
              <w:jc w:val="right"/>
              <w:rPr>
                <w:color w:val="000000"/>
                <w:sz w:val="18"/>
                <w:szCs w:val="18"/>
              </w:rPr>
            </w:pPr>
            <w:r>
              <w:rPr>
                <w:color w:val="000000"/>
                <w:sz w:val="18"/>
                <w:szCs w:val="18"/>
              </w:rPr>
              <w:t>0.00</w:t>
            </w:r>
          </w:p>
        </w:tc>
        <w:tc>
          <w:tcPr>
            <w:tcW w:w="987" w:type="dxa"/>
            <w:gridSpan w:val="2"/>
            <w:tcBorders>
              <w:top w:val="nil"/>
              <w:left w:val="nil"/>
              <w:bottom w:val="single" w:sz="4" w:space="0" w:color="auto"/>
              <w:right w:val="single" w:sz="4" w:space="0" w:color="auto"/>
            </w:tcBorders>
            <w:shd w:val="clear" w:color="000000" w:fill="FFFFFF"/>
            <w:vAlign w:val="center"/>
            <w:hideMark/>
          </w:tcPr>
          <w:p w14:paraId="7C107357" w14:textId="77777777" w:rsidR="009D6D4E" w:rsidRPr="00374F22" w:rsidRDefault="009D6D4E" w:rsidP="00BF3B71">
            <w:pPr>
              <w:jc w:val="both"/>
              <w:rPr>
                <w:b/>
                <w:color w:val="000000"/>
                <w:sz w:val="18"/>
                <w:szCs w:val="18"/>
              </w:rPr>
            </w:pPr>
            <w:r w:rsidRPr="00374F22">
              <w:rPr>
                <w:b/>
                <w:color w:val="000000"/>
                <w:sz w:val="18"/>
                <w:szCs w:val="18"/>
              </w:rPr>
              <w:t xml:space="preserve">                      1,205,000 </w:t>
            </w:r>
          </w:p>
        </w:tc>
      </w:tr>
      <w:tr w:rsidR="009D6D4E" w14:paraId="43E7195C" w14:textId="77777777" w:rsidTr="00BF3B71">
        <w:trPr>
          <w:trHeight w:val="286"/>
        </w:trPr>
        <w:tc>
          <w:tcPr>
            <w:tcW w:w="9985" w:type="dxa"/>
            <w:gridSpan w:val="12"/>
            <w:tcBorders>
              <w:top w:val="single" w:sz="8" w:space="0" w:color="auto"/>
              <w:left w:val="single" w:sz="8" w:space="0" w:color="auto"/>
              <w:bottom w:val="single" w:sz="8" w:space="0" w:color="auto"/>
              <w:right w:val="single" w:sz="8" w:space="0" w:color="000000"/>
            </w:tcBorders>
            <w:shd w:val="clear" w:color="auto" w:fill="auto"/>
            <w:vAlign w:val="center"/>
            <w:hideMark/>
          </w:tcPr>
          <w:p w14:paraId="2CEAB9D0" w14:textId="77777777" w:rsidR="009D6D4E" w:rsidRDefault="009D6D4E" w:rsidP="00BF3B71">
            <w:pPr>
              <w:rPr>
                <w:b/>
                <w:bCs/>
                <w:color w:val="000000"/>
                <w:sz w:val="18"/>
                <w:szCs w:val="18"/>
              </w:rPr>
            </w:pPr>
            <w:r>
              <w:rPr>
                <w:b/>
                <w:bCs/>
                <w:color w:val="000000"/>
                <w:sz w:val="18"/>
                <w:szCs w:val="18"/>
              </w:rPr>
              <w:t>Tabela 10.b:Financimi i masës së reformës strukturore: Masa#4:Rritja e konkurrueshmwrisw nw indurstrinw prodhuese</w:t>
            </w:r>
          </w:p>
        </w:tc>
      </w:tr>
      <w:tr w:rsidR="009D6D4E" w14:paraId="74B27087" w14:textId="77777777" w:rsidTr="00BF3B71">
        <w:trPr>
          <w:trHeight w:val="454"/>
        </w:trPr>
        <w:tc>
          <w:tcPr>
            <w:tcW w:w="730" w:type="dxa"/>
            <w:gridSpan w:val="2"/>
            <w:tcBorders>
              <w:top w:val="nil"/>
              <w:left w:val="single" w:sz="8" w:space="0" w:color="auto"/>
              <w:bottom w:val="single" w:sz="8" w:space="0" w:color="auto"/>
              <w:right w:val="single" w:sz="8" w:space="0" w:color="auto"/>
            </w:tcBorders>
            <w:shd w:val="clear" w:color="auto" w:fill="auto"/>
            <w:vAlign w:val="center"/>
            <w:hideMark/>
          </w:tcPr>
          <w:p w14:paraId="13C4AC20" w14:textId="77777777" w:rsidR="009D6D4E" w:rsidRDefault="009D6D4E" w:rsidP="00BF3B71">
            <w:pPr>
              <w:rPr>
                <w:color w:val="000000"/>
                <w:sz w:val="18"/>
                <w:szCs w:val="18"/>
              </w:rPr>
            </w:pPr>
            <w:r>
              <w:rPr>
                <w:color w:val="000000"/>
                <w:sz w:val="18"/>
                <w:szCs w:val="18"/>
              </w:rPr>
              <w:t xml:space="preserve">Viti </w:t>
            </w:r>
          </w:p>
        </w:tc>
        <w:tc>
          <w:tcPr>
            <w:tcW w:w="952" w:type="dxa"/>
            <w:gridSpan w:val="2"/>
            <w:tcBorders>
              <w:top w:val="nil"/>
              <w:left w:val="nil"/>
              <w:bottom w:val="single" w:sz="8" w:space="0" w:color="auto"/>
              <w:right w:val="single" w:sz="8" w:space="0" w:color="auto"/>
            </w:tcBorders>
            <w:shd w:val="clear" w:color="auto" w:fill="auto"/>
            <w:vAlign w:val="center"/>
            <w:hideMark/>
          </w:tcPr>
          <w:p w14:paraId="7B0C08F6" w14:textId="77777777" w:rsidR="009D6D4E" w:rsidRDefault="009D6D4E" w:rsidP="00BF3B71">
            <w:pPr>
              <w:rPr>
                <w:color w:val="000000"/>
                <w:sz w:val="18"/>
                <w:szCs w:val="18"/>
              </w:rPr>
            </w:pPr>
            <w:r>
              <w:rPr>
                <w:color w:val="000000"/>
                <w:sz w:val="18"/>
                <w:szCs w:val="18"/>
              </w:rPr>
              <w:t>Buxheti qendror</w:t>
            </w:r>
          </w:p>
        </w:tc>
        <w:tc>
          <w:tcPr>
            <w:tcW w:w="1283" w:type="dxa"/>
            <w:tcBorders>
              <w:top w:val="nil"/>
              <w:left w:val="nil"/>
              <w:bottom w:val="single" w:sz="8" w:space="0" w:color="auto"/>
              <w:right w:val="single" w:sz="8" w:space="0" w:color="auto"/>
            </w:tcBorders>
            <w:shd w:val="clear" w:color="auto" w:fill="auto"/>
            <w:vAlign w:val="center"/>
            <w:hideMark/>
          </w:tcPr>
          <w:p w14:paraId="17C0AE32" w14:textId="77777777" w:rsidR="009D6D4E" w:rsidRDefault="009D6D4E" w:rsidP="00BF3B71">
            <w:pPr>
              <w:rPr>
                <w:color w:val="000000"/>
                <w:sz w:val="18"/>
                <w:szCs w:val="18"/>
              </w:rPr>
            </w:pPr>
            <w:r>
              <w:rPr>
                <w:color w:val="000000"/>
                <w:sz w:val="18"/>
                <w:szCs w:val="18"/>
              </w:rPr>
              <w:t>Buxheti Komunal</w:t>
            </w:r>
          </w:p>
        </w:tc>
        <w:tc>
          <w:tcPr>
            <w:tcW w:w="1406" w:type="dxa"/>
            <w:tcBorders>
              <w:top w:val="nil"/>
              <w:left w:val="nil"/>
              <w:bottom w:val="single" w:sz="8" w:space="0" w:color="auto"/>
              <w:right w:val="single" w:sz="8" w:space="0" w:color="auto"/>
            </w:tcBorders>
            <w:shd w:val="clear" w:color="auto" w:fill="auto"/>
            <w:noWrap/>
            <w:vAlign w:val="center"/>
            <w:hideMark/>
          </w:tcPr>
          <w:p w14:paraId="55E76C22" w14:textId="77777777" w:rsidR="009D6D4E" w:rsidRDefault="009D6D4E" w:rsidP="00BF3B71">
            <w:pPr>
              <w:jc w:val="center"/>
              <w:rPr>
                <w:color w:val="000000"/>
                <w:sz w:val="18"/>
                <w:szCs w:val="18"/>
              </w:rPr>
            </w:pPr>
            <w:r>
              <w:rPr>
                <w:color w:val="000000"/>
                <w:sz w:val="18"/>
                <w:szCs w:val="18"/>
              </w:rPr>
              <w:t xml:space="preserve">Burimet e tjera të financimit publik </w:t>
            </w:r>
          </w:p>
        </w:tc>
        <w:tc>
          <w:tcPr>
            <w:tcW w:w="717" w:type="dxa"/>
            <w:tcBorders>
              <w:top w:val="nil"/>
              <w:left w:val="nil"/>
              <w:bottom w:val="single" w:sz="8" w:space="0" w:color="auto"/>
              <w:right w:val="single" w:sz="8" w:space="0" w:color="auto"/>
            </w:tcBorders>
            <w:shd w:val="clear" w:color="auto" w:fill="auto"/>
            <w:noWrap/>
            <w:vAlign w:val="center"/>
            <w:hideMark/>
          </w:tcPr>
          <w:p w14:paraId="2A2C487E" w14:textId="77777777" w:rsidR="009D6D4E" w:rsidRDefault="009D6D4E" w:rsidP="00BF3B71">
            <w:pPr>
              <w:jc w:val="center"/>
              <w:rPr>
                <w:color w:val="000000"/>
                <w:sz w:val="18"/>
                <w:szCs w:val="18"/>
              </w:rPr>
            </w:pPr>
            <w:r>
              <w:rPr>
                <w:color w:val="000000"/>
                <w:sz w:val="18"/>
                <w:szCs w:val="18"/>
              </w:rPr>
              <w:t xml:space="preserve">Fondet e IPA </w:t>
            </w:r>
          </w:p>
        </w:tc>
        <w:tc>
          <w:tcPr>
            <w:tcW w:w="1704" w:type="dxa"/>
            <w:tcBorders>
              <w:top w:val="nil"/>
              <w:left w:val="nil"/>
              <w:bottom w:val="single" w:sz="8" w:space="0" w:color="auto"/>
              <w:right w:val="single" w:sz="8" w:space="0" w:color="auto"/>
            </w:tcBorders>
            <w:shd w:val="clear" w:color="auto" w:fill="auto"/>
            <w:vAlign w:val="center"/>
            <w:hideMark/>
          </w:tcPr>
          <w:p w14:paraId="7FE5D213" w14:textId="77777777" w:rsidR="009D6D4E" w:rsidRDefault="009D6D4E" w:rsidP="00BF3B71">
            <w:pPr>
              <w:rPr>
                <w:color w:val="000000"/>
                <w:sz w:val="18"/>
                <w:szCs w:val="18"/>
              </w:rPr>
            </w:pPr>
            <w:r>
              <w:rPr>
                <w:color w:val="000000"/>
                <w:sz w:val="18"/>
                <w:szCs w:val="18"/>
              </w:rPr>
              <w:t>Grante të tjera</w:t>
            </w:r>
          </w:p>
        </w:tc>
        <w:tc>
          <w:tcPr>
            <w:tcW w:w="874" w:type="dxa"/>
            <w:tcBorders>
              <w:top w:val="nil"/>
              <w:left w:val="nil"/>
              <w:bottom w:val="single" w:sz="8" w:space="0" w:color="auto"/>
              <w:right w:val="single" w:sz="8" w:space="0" w:color="auto"/>
            </w:tcBorders>
            <w:shd w:val="clear" w:color="auto" w:fill="auto"/>
            <w:vAlign w:val="center"/>
            <w:hideMark/>
          </w:tcPr>
          <w:p w14:paraId="2EB92DF8" w14:textId="77777777" w:rsidR="009D6D4E" w:rsidRDefault="009D6D4E" w:rsidP="00BF3B71">
            <w:pPr>
              <w:rPr>
                <w:color w:val="000000"/>
                <w:sz w:val="18"/>
                <w:szCs w:val="18"/>
              </w:rPr>
            </w:pPr>
            <w:r>
              <w:rPr>
                <w:color w:val="000000"/>
                <w:sz w:val="18"/>
                <w:szCs w:val="18"/>
              </w:rPr>
              <w:t>Kredi për projekte</w:t>
            </w:r>
          </w:p>
        </w:tc>
        <w:tc>
          <w:tcPr>
            <w:tcW w:w="1419" w:type="dxa"/>
            <w:gridSpan w:val="2"/>
            <w:tcBorders>
              <w:top w:val="nil"/>
              <w:left w:val="nil"/>
              <w:bottom w:val="single" w:sz="8" w:space="0" w:color="auto"/>
              <w:right w:val="single" w:sz="8" w:space="0" w:color="auto"/>
            </w:tcBorders>
            <w:shd w:val="clear" w:color="auto" w:fill="auto"/>
            <w:vAlign w:val="center"/>
            <w:hideMark/>
          </w:tcPr>
          <w:p w14:paraId="112561BB" w14:textId="77777777" w:rsidR="009D6D4E" w:rsidRDefault="009D6D4E" w:rsidP="00BF3B71">
            <w:pPr>
              <w:rPr>
                <w:color w:val="000000"/>
                <w:sz w:val="18"/>
                <w:szCs w:val="18"/>
              </w:rPr>
            </w:pPr>
            <w:r>
              <w:rPr>
                <w:color w:val="000000"/>
                <w:sz w:val="18"/>
                <w:szCs w:val="18"/>
              </w:rPr>
              <w:t xml:space="preserve">Të përcaktohet </w:t>
            </w:r>
          </w:p>
        </w:tc>
        <w:tc>
          <w:tcPr>
            <w:tcW w:w="900" w:type="dxa"/>
            <w:tcBorders>
              <w:top w:val="nil"/>
              <w:left w:val="nil"/>
              <w:bottom w:val="single" w:sz="8" w:space="0" w:color="auto"/>
              <w:right w:val="single" w:sz="8" w:space="0" w:color="auto"/>
            </w:tcBorders>
            <w:shd w:val="clear" w:color="auto" w:fill="auto"/>
            <w:vAlign w:val="center"/>
            <w:hideMark/>
          </w:tcPr>
          <w:p w14:paraId="62230638" w14:textId="77777777" w:rsidR="009D6D4E" w:rsidRPr="00534399" w:rsidRDefault="009D6D4E" w:rsidP="00BF3B71">
            <w:pPr>
              <w:rPr>
                <w:b/>
                <w:color w:val="000000"/>
                <w:sz w:val="18"/>
                <w:szCs w:val="18"/>
              </w:rPr>
            </w:pPr>
            <w:r w:rsidRPr="00534399">
              <w:rPr>
                <w:b/>
                <w:color w:val="000000"/>
                <w:sz w:val="18"/>
                <w:szCs w:val="18"/>
              </w:rPr>
              <w:t xml:space="preserve">Totali </w:t>
            </w:r>
          </w:p>
        </w:tc>
      </w:tr>
      <w:tr w:rsidR="009D6D4E" w14:paraId="181C1E79" w14:textId="77777777" w:rsidTr="00BF3B71">
        <w:trPr>
          <w:trHeight w:val="286"/>
        </w:trPr>
        <w:tc>
          <w:tcPr>
            <w:tcW w:w="730" w:type="dxa"/>
            <w:gridSpan w:val="2"/>
            <w:tcBorders>
              <w:top w:val="nil"/>
              <w:left w:val="single" w:sz="8" w:space="0" w:color="auto"/>
              <w:bottom w:val="single" w:sz="8" w:space="0" w:color="auto"/>
              <w:right w:val="single" w:sz="8" w:space="0" w:color="auto"/>
            </w:tcBorders>
            <w:shd w:val="clear" w:color="auto" w:fill="auto"/>
            <w:noWrap/>
            <w:vAlign w:val="center"/>
            <w:hideMark/>
          </w:tcPr>
          <w:p w14:paraId="7C93D13E" w14:textId="77777777" w:rsidR="009D6D4E" w:rsidRDefault="009D6D4E" w:rsidP="00BF3B71">
            <w:pPr>
              <w:jc w:val="right"/>
              <w:rPr>
                <w:color w:val="000000"/>
                <w:sz w:val="18"/>
                <w:szCs w:val="18"/>
              </w:rPr>
            </w:pPr>
            <w:r>
              <w:rPr>
                <w:color w:val="000000"/>
                <w:sz w:val="18"/>
                <w:szCs w:val="18"/>
              </w:rPr>
              <w:t>2020</w:t>
            </w:r>
          </w:p>
        </w:tc>
        <w:tc>
          <w:tcPr>
            <w:tcW w:w="952" w:type="dxa"/>
            <w:gridSpan w:val="2"/>
            <w:tcBorders>
              <w:top w:val="nil"/>
              <w:left w:val="nil"/>
              <w:bottom w:val="single" w:sz="8" w:space="0" w:color="auto"/>
              <w:right w:val="single" w:sz="8" w:space="0" w:color="auto"/>
            </w:tcBorders>
            <w:shd w:val="clear" w:color="auto" w:fill="auto"/>
            <w:noWrap/>
            <w:vAlign w:val="center"/>
            <w:hideMark/>
          </w:tcPr>
          <w:p w14:paraId="4DCF2E6F" w14:textId="77777777" w:rsidR="009D6D4E" w:rsidRDefault="009D6D4E" w:rsidP="00BF3B71">
            <w:pPr>
              <w:jc w:val="center"/>
              <w:rPr>
                <w:color w:val="000000"/>
                <w:sz w:val="18"/>
                <w:szCs w:val="18"/>
              </w:rPr>
            </w:pPr>
            <w:r>
              <w:rPr>
                <w:color w:val="000000"/>
                <w:sz w:val="18"/>
                <w:szCs w:val="18"/>
              </w:rPr>
              <w:t xml:space="preserve">2,740,000 </w:t>
            </w:r>
          </w:p>
        </w:tc>
        <w:tc>
          <w:tcPr>
            <w:tcW w:w="1283" w:type="dxa"/>
            <w:tcBorders>
              <w:top w:val="nil"/>
              <w:left w:val="nil"/>
              <w:bottom w:val="single" w:sz="8" w:space="0" w:color="auto"/>
              <w:right w:val="single" w:sz="8" w:space="0" w:color="auto"/>
            </w:tcBorders>
            <w:shd w:val="clear" w:color="auto" w:fill="auto"/>
            <w:noWrap/>
            <w:vAlign w:val="center"/>
            <w:hideMark/>
          </w:tcPr>
          <w:p w14:paraId="20353C5B" w14:textId="77777777" w:rsidR="009D6D4E" w:rsidRDefault="009D6D4E" w:rsidP="00BF3B71">
            <w:pPr>
              <w:jc w:val="center"/>
              <w:rPr>
                <w:color w:val="000000"/>
                <w:sz w:val="18"/>
                <w:szCs w:val="18"/>
              </w:rPr>
            </w:pPr>
            <w:r>
              <w:rPr>
                <w:color w:val="000000"/>
                <w:sz w:val="18"/>
                <w:szCs w:val="18"/>
              </w:rPr>
              <w:t xml:space="preserve">0 </w:t>
            </w:r>
          </w:p>
        </w:tc>
        <w:tc>
          <w:tcPr>
            <w:tcW w:w="1406" w:type="dxa"/>
            <w:tcBorders>
              <w:top w:val="nil"/>
              <w:left w:val="nil"/>
              <w:bottom w:val="single" w:sz="8" w:space="0" w:color="auto"/>
              <w:right w:val="single" w:sz="8" w:space="0" w:color="auto"/>
            </w:tcBorders>
            <w:shd w:val="clear" w:color="auto" w:fill="auto"/>
            <w:noWrap/>
            <w:vAlign w:val="center"/>
            <w:hideMark/>
          </w:tcPr>
          <w:p w14:paraId="35593558" w14:textId="77777777" w:rsidR="009D6D4E" w:rsidRDefault="009D6D4E" w:rsidP="00BF3B71">
            <w:pPr>
              <w:jc w:val="center"/>
              <w:rPr>
                <w:color w:val="000000"/>
                <w:sz w:val="18"/>
                <w:szCs w:val="18"/>
              </w:rPr>
            </w:pPr>
            <w:r>
              <w:rPr>
                <w:color w:val="000000"/>
                <w:sz w:val="18"/>
                <w:szCs w:val="18"/>
              </w:rPr>
              <w:t xml:space="preserve">0 </w:t>
            </w:r>
          </w:p>
        </w:tc>
        <w:tc>
          <w:tcPr>
            <w:tcW w:w="717" w:type="dxa"/>
            <w:tcBorders>
              <w:top w:val="nil"/>
              <w:left w:val="nil"/>
              <w:bottom w:val="single" w:sz="8" w:space="0" w:color="auto"/>
              <w:right w:val="single" w:sz="8" w:space="0" w:color="auto"/>
            </w:tcBorders>
            <w:shd w:val="clear" w:color="auto" w:fill="auto"/>
            <w:noWrap/>
            <w:vAlign w:val="center"/>
            <w:hideMark/>
          </w:tcPr>
          <w:p w14:paraId="3A6032FB" w14:textId="77777777" w:rsidR="009D6D4E" w:rsidRDefault="009D6D4E" w:rsidP="00BF3B71">
            <w:pPr>
              <w:jc w:val="center"/>
              <w:rPr>
                <w:color w:val="000000"/>
                <w:sz w:val="18"/>
                <w:szCs w:val="18"/>
              </w:rPr>
            </w:pPr>
            <w:r>
              <w:rPr>
                <w:color w:val="000000"/>
                <w:sz w:val="18"/>
                <w:szCs w:val="18"/>
              </w:rPr>
              <w:t xml:space="preserve">0 </w:t>
            </w:r>
          </w:p>
        </w:tc>
        <w:tc>
          <w:tcPr>
            <w:tcW w:w="1704" w:type="dxa"/>
            <w:tcBorders>
              <w:top w:val="nil"/>
              <w:left w:val="nil"/>
              <w:bottom w:val="single" w:sz="8" w:space="0" w:color="auto"/>
              <w:right w:val="single" w:sz="8" w:space="0" w:color="auto"/>
            </w:tcBorders>
            <w:shd w:val="clear" w:color="auto" w:fill="auto"/>
            <w:noWrap/>
            <w:vAlign w:val="center"/>
            <w:hideMark/>
          </w:tcPr>
          <w:p w14:paraId="1790A200" w14:textId="77777777" w:rsidR="009D6D4E" w:rsidRDefault="009D6D4E" w:rsidP="00BF3B71">
            <w:pPr>
              <w:jc w:val="center"/>
              <w:rPr>
                <w:color w:val="000000"/>
                <w:sz w:val="18"/>
                <w:szCs w:val="18"/>
              </w:rPr>
            </w:pPr>
            <w:r>
              <w:rPr>
                <w:color w:val="000000"/>
                <w:sz w:val="18"/>
                <w:szCs w:val="18"/>
              </w:rPr>
              <w:t xml:space="preserve">43,890 </w:t>
            </w:r>
          </w:p>
        </w:tc>
        <w:tc>
          <w:tcPr>
            <w:tcW w:w="874" w:type="dxa"/>
            <w:tcBorders>
              <w:top w:val="nil"/>
              <w:left w:val="nil"/>
              <w:bottom w:val="single" w:sz="8" w:space="0" w:color="auto"/>
              <w:right w:val="single" w:sz="8" w:space="0" w:color="auto"/>
            </w:tcBorders>
            <w:shd w:val="clear" w:color="auto" w:fill="auto"/>
            <w:noWrap/>
            <w:vAlign w:val="center"/>
            <w:hideMark/>
          </w:tcPr>
          <w:p w14:paraId="22A3932C" w14:textId="77777777" w:rsidR="009D6D4E" w:rsidRDefault="009D6D4E" w:rsidP="00BF3B71">
            <w:pPr>
              <w:jc w:val="center"/>
              <w:rPr>
                <w:color w:val="000000"/>
                <w:sz w:val="18"/>
                <w:szCs w:val="18"/>
              </w:rPr>
            </w:pPr>
            <w:r>
              <w:rPr>
                <w:color w:val="000000"/>
                <w:sz w:val="18"/>
                <w:szCs w:val="18"/>
              </w:rPr>
              <w:t xml:space="preserve">150,000 </w:t>
            </w:r>
          </w:p>
        </w:tc>
        <w:tc>
          <w:tcPr>
            <w:tcW w:w="1419" w:type="dxa"/>
            <w:gridSpan w:val="2"/>
            <w:tcBorders>
              <w:top w:val="nil"/>
              <w:left w:val="nil"/>
              <w:bottom w:val="single" w:sz="8" w:space="0" w:color="auto"/>
              <w:right w:val="single" w:sz="8" w:space="0" w:color="auto"/>
            </w:tcBorders>
            <w:shd w:val="clear" w:color="auto" w:fill="auto"/>
            <w:noWrap/>
            <w:vAlign w:val="center"/>
            <w:hideMark/>
          </w:tcPr>
          <w:p w14:paraId="7851C929" w14:textId="77777777" w:rsidR="009D6D4E" w:rsidRDefault="009D6D4E" w:rsidP="00BF3B71">
            <w:pPr>
              <w:jc w:val="center"/>
              <w:rPr>
                <w:color w:val="000000"/>
                <w:sz w:val="18"/>
                <w:szCs w:val="18"/>
              </w:rPr>
            </w:pPr>
            <w:r>
              <w:rPr>
                <w:color w:val="000000"/>
                <w:sz w:val="18"/>
                <w:szCs w:val="18"/>
              </w:rPr>
              <w:t xml:space="preserve">0 </w:t>
            </w:r>
          </w:p>
        </w:tc>
        <w:tc>
          <w:tcPr>
            <w:tcW w:w="900" w:type="dxa"/>
            <w:tcBorders>
              <w:top w:val="nil"/>
              <w:left w:val="nil"/>
              <w:bottom w:val="single" w:sz="8" w:space="0" w:color="auto"/>
              <w:right w:val="single" w:sz="8" w:space="0" w:color="auto"/>
            </w:tcBorders>
            <w:shd w:val="clear" w:color="auto" w:fill="auto"/>
            <w:noWrap/>
            <w:vAlign w:val="center"/>
            <w:hideMark/>
          </w:tcPr>
          <w:p w14:paraId="749F235A" w14:textId="77777777" w:rsidR="009D6D4E" w:rsidRDefault="009D6D4E" w:rsidP="00BF3B71">
            <w:pPr>
              <w:jc w:val="center"/>
              <w:rPr>
                <w:b/>
                <w:bCs/>
                <w:color w:val="000000"/>
                <w:sz w:val="18"/>
                <w:szCs w:val="18"/>
              </w:rPr>
            </w:pPr>
            <w:r>
              <w:rPr>
                <w:b/>
                <w:bCs/>
                <w:color w:val="000000"/>
                <w:sz w:val="18"/>
                <w:szCs w:val="18"/>
              </w:rPr>
              <w:t xml:space="preserve">2,933,890 </w:t>
            </w:r>
          </w:p>
        </w:tc>
      </w:tr>
      <w:tr w:rsidR="009D6D4E" w14:paraId="06CF8CA8" w14:textId="77777777" w:rsidTr="00BF3B71">
        <w:trPr>
          <w:trHeight w:val="286"/>
        </w:trPr>
        <w:tc>
          <w:tcPr>
            <w:tcW w:w="730" w:type="dxa"/>
            <w:gridSpan w:val="2"/>
            <w:tcBorders>
              <w:top w:val="nil"/>
              <w:left w:val="single" w:sz="8" w:space="0" w:color="auto"/>
              <w:bottom w:val="single" w:sz="8" w:space="0" w:color="auto"/>
              <w:right w:val="single" w:sz="8" w:space="0" w:color="auto"/>
            </w:tcBorders>
            <w:shd w:val="clear" w:color="auto" w:fill="auto"/>
            <w:noWrap/>
            <w:vAlign w:val="center"/>
            <w:hideMark/>
          </w:tcPr>
          <w:p w14:paraId="09C9B54B" w14:textId="77777777" w:rsidR="009D6D4E" w:rsidRDefault="009D6D4E" w:rsidP="00BF3B71">
            <w:pPr>
              <w:jc w:val="right"/>
              <w:rPr>
                <w:color w:val="000000"/>
                <w:sz w:val="18"/>
                <w:szCs w:val="18"/>
              </w:rPr>
            </w:pPr>
            <w:r>
              <w:rPr>
                <w:color w:val="000000"/>
                <w:sz w:val="18"/>
                <w:szCs w:val="18"/>
              </w:rPr>
              <w:t>2021</w:t>
            </w:r>
          </w:p>
        </w:tc>
        <w:tc>
          <w:tcPr>
            <w:tcW w:w="952" w:type="dxa"/>
            <w:gridSpan w:val="2"/>
            <w:tcBorders>
              <w:top w:val="nil"/>
              <w:left w:val="nil"/>
              <w:bottom w:val="single" w:sz="8" w:space="0" w:color="auto"/>
              <w:right w:val="single" w:sz="8" w:space="0" w:color="auto"/>
            </w:tcBorders>
            <w:shd w:val="clear" w:color="auto" w:fill="auto"/>
            <w:noWrap/>
            <w:vAlign w:val="center"/>
            <w:hideMark/>
          </w:tcPr>
          <w:p w14:paraId="1A3CAD9A" w14:textId="77777777" w:rsidR="009D6D4E" w:rsidRDefault="009D6D4E" w:rsidP="00BF3B71">
            <w:pPr>
              <w:jc w:val="center"/>
              <w:rPr>
                <w:color w:val="000000"/>
                <w:sz w:val="18"/>
                <w:szCs w:val="18"/>
              </w:rPr>
            </w:pPr>
            <w:r>
              <w:rPr>
                <w:color w:val="000000"/>
                <w:sz w:val="18"/>
                <w:szCs w:val="18"/>
              </w:rPr>
              <w:t xml:space="preserve">1,040,000 </w:t>
            </w:r>
          </w:p>
        </w:tc>
        <w:tc>
          <w:tcPr>
            <w:tcW w:w="1283" w:type="dxa"/>
            <w:tcBorders>
              <w:top w:val="nil"/>
              <w:left w:val="nil"/>
              <w:bottom w:val="single" w:sz="8" w:space="0" w:color="auto"/>
              <w:right w:val="single" w:sz="8" w:space="0" w:color="auto"/>
            </w:tcBorders>
            <w:shd w:val="clear" w:color="auto" w:fill="auto"/>
            <w:noWrap/>
            <w:vAlign w:val="center"/>
            <w:hideMark/>
          </w:tcPr>
          <w:p w14:paraId="24DCBEFE" w14:textId="77777777" w:rsidR="009D6D4E" w:rsidRDefault="009D6D4E" w:rsidP="00BF3B71">
            <w:pPr>
              <w:jc w:val="center"/>
              <w:rPr>
                <w:color w:val="000000"/>
                <w:sz w:val="18"/>
                <w:szCs w:val="18"/>
              </w:rPr>
            </w:pPr>
            <w:r>
              <w:rPr>
                <w:color w:val="000000"/>
                <w:sz w:val="18"/>
                <w:szCs w:val="18"/>
              </w:rPr>
              <w:t xml:space="preserve">0 </w:t>
            </w:r>
          </w:p>
        </w:tc>
        <w:tc>
          <w:tcPr>
            <w:tcW w:w="1406" w:type="dxa"/>
            <w:tcBorders>
              <w:top w:val="nil"/>
              <w:left w:val="nil"/>
              <w:bottom w:val="single" w:sz="8" w:space="0" w:color="auto"/>
              <w:right w:val="single" w:sz="8" w:space="0" w:color="auto"/>
            </w:tcBorders>
            <w:shd w:val="clear" w:color="auto" w:fill="auto"/>
            <w:noWrap/>
            <w:vAlign w:val="center"/>
            <w:hideMark/>
          </w:tcPr>
          <w:p w14:paraId="4397EC24" w14:textId="77777777" w:rsidR="009D6D4E" w:rsidRDefault="009D6D4E" w:rsidP="00BF3B71">
            <w:pPr>
              <w:jc w:val="center"/>
              <w:rPr>
                <w:color w:val="000000"/>
                <w:sz w:val="18"/>
                <w:szCs w:val="18"/>
              </w:rPr>
            </w:pPr>
            <w:r>
              <w:rPr>
                <w:color w:val="000000"/>
                <w:sz w:val="18"/>
                <w:szCs w:val="18"/>
              </w:rPr>
              <w:t xml:space="preserve">0 </w:t>
            </w:r>
          </w:p>
        </w:tc>
        <w:tc>
          <w:tcPr>
            <w:tcW w:w="717" w:type="dxa"/>
            <w:tcBorders>
              <w:top w:val="nil"/>
              <w:left w:val="nil"/>
              <w:bottom w:val="single" w:sz="8" w:space="0" w:color="auto"/>
              <w:right w:val="single" w:sz="8" w:space="0" w:color="auto"/>
            </w:tcBorders>
            <w:shd w:val="clear" w:color="auto" w:fill="auto"/>
            <w:noWrap/>
            <w:vAlign w:val="center"/>
            <w:hideMark/>
          </w:tcPr>
          <w:p w14:paraId="364B0110" w14:textId="77777777" w:rsidR="009D6D4E" w:rsidRDefault="009D6D4E" w:rsidP="00BF3B71">
            <w:pPr>
              <w:jc w:val="center"/>
              <w:rPr>
                <w:color w:val="000000"/>
                <w:sz w:val="18"/>
                <w:szCs w:val="18"/>
              </w:rPr>
            </w:pPr>
            <w:r>
              <w:rPr>
                <w:color w:val="000000"/>
                <w:sz w:val="18"/>
                <w:szCs w:val="18"/>
              </w:rPr>
              <w:t xml:space="preserve">0 </w:t>
            </w:r>
          </w:p>
        </w:tc>
        <w:tc>
          <w:tcPr>
            <w:tcW w:w="1704" w:type="dxa"/>
            <w:tcBorders>
              <w:top w:val="nil"/>
              <w:left w:val="nil"/>
              <w:bottom w:val="single" w:sz="8" w:space="0" w:color="auto"/>
              <w:right w:val="single" w:sz="8" w:space="0" w:color="auto"/>
            </w:tcBorders>
            <w:shd w:val="clear" w:color="auto" w:fill="auto"/>
            <w:noWrap/>
            <w:vAlign w:val="center"/>
            <w:hideMark/>
          </w:tcPr>
          <w:p w14:paraId="7674906F" w14:textId="77777777" w:rsidR="009D6D4E" w:rsidRDefault="009D6D4E" w:rsidP="00BF3B71">
            <w:pPr>
              <w:jc w:val="center"/>
              <w:rPr>
                <w:color w:val="000000"/>
                <w:sz w:val="18"/>
                <w:szCs w:val="18"/>
              </w:rPr>
            </w:pPr>
            <w:r>
              <w:rPr>
                <w:color w:val="000000"/>
                <w:sz w:val="18"/>
                <w:szCs w:val="18"/>
              </w:rPr>
              <w:t xml:space="preserve">15,000 </w:t>
            </w:r>
          </w:p>
        </w:tc>
        <w:tc>
          <w:tcPr>
            <w:tcW w:w="874" w:type="dxa"/>
            <w:tcBorders>
              <w:top w:val="nil"/>
              <w:left w:val="nil"/>
              <w:bottom w:val="single" w:sz="8" w:space="0" w:color="auto"/>
              <w:right w:val="single" w:sz="8" w:space="0" w:color="auto"/>
            </w:tcBorders>
            <w:shd w:val="clear" w:color="auto" w:fill="auto"/>
            <w:noWrap/>
            <w:vAlign w:val="center"/>
            <w:hideMark/>
          </w:tcPr>
          <w:p w14:paraId="70D5F96B" w14:textId="77777777" w:rsidR="009D6D4E" w:rsidRDefault="009D6D4E" w:rsidP="00BF3B71">
            <w:pPr>
              <w:jc w:val="center"/>
              <w:rPr>
                <w:color w:val="000000"/>
                <w:sz w:val="18"/>
                <w:szCs w:val="18"/>
              </w:rPr>
            </w:pPr>
            <w:r>
              <w:rPr>
                <w:color w:val="000000"/>
                <w:sz w:val="18"/>
                <w:szCs w:val="18"/>
              </w:rPr>
              <w:t xml:space="preserve">150,000 </w:t>
            </w:r>
          </w:p>
        </w:tc>
        <w:tc>
          <w:tcPr>
            <w:tcW w:w="1419" w:type="dxa"/>
            <w:gridSpan w:val="2"/>
            <w:tcBorders>
              <w:top w:val="nil"/>
              <w:left w:val="nil"/>
              <w:bottom w:val="single" w:sz="8" w:space="0" w:color="auto"/>
              <w:right w:val="single" w:sz="8" w:space="0" w:color="auto"/>
            </w:tcBorders>
            <w:shd w:val="clear" w:color="auto" w:fill="auto"/>
            <w:noWrap/>
            <w:vAlign w:val="center"/>
            <w:hideMark/>
          </w:tcPr>
          <w:p w14:paraId="5BCE6AE4" w14:textId="77777777" w:rsidR="009D6D4E" w:rsidRDefault="009D6D4E" w:rsidP="00BF3B71">
            <w:pPr>
              <w:jc w:val="center"/>
              <w:rPr>
                <w:color w:val="000000"/>
                <w:sz w:val="18"/>
                <w:szCs w:val="18"/>
              </w:rPr>
            </w:pPr>
            <w:r>
              <w:rPr>
                <w:color w:val="000000"/>
                <w:sz w:val="18"/>
                <w:szCs w:val="18"/>
              </w:rPr>
              <w:t xml:space="preserve">0 </w:t>
            </w:r>
          </w:p>
        </w:tc>
        <w:tc>
          <w:tcPr>
            <w:tcW w:w="900" w:type="dxa"/>
            <w:tcBorders>
              <w:top w:val="nil"/>
              <w:left w:val="nil"/>
              <w:bottom w:val="single" w:sz="8" w:space="0" w:color="auto"/>
              <w:right w:val="single" w:sz="8" w:space="0" w:color="auto"/>
            </w:tcBorders>
            <w:shd w:val="clear" w:color="auto" w:fill="auto"/>
            <w:noWrap/>
            <w:vAlign w:val="center"/>
            <w:hideMark/>
          </w:tcPr>
          <w:p w14:paraId="18E791C2" w14:textId="77777777" w:rsidR="009D6D4E" w:rsidRDefault="009D6D4E" w:rsidP="00BF3B71">
            <w:pPr>
              <w:jc w:val="center"/>
              <w:rPr>
                <w:b/>
                <w:bCs/>
                <w:color w:val="000000"/>
                <w:sz w:val="18"/>
                <w:szCs w:val="18"/>
              </w:rPr>
            </w:pPr>
            <w:r>
              <w:rPr>
                <w:b/>
                <w:bCs/>
                <w:color w:val="000000"/>
                <w:sz w:val="18"/>
                <w:szCs w:val="18"/>
              </w:rPr>
              <w:t xml:space="preserve">1,205,000 </w:t>
            </w:r>
          </w:p>
        </w:tc>
      </w:tr>
    </w:tbl>
    <w:p w14:paraId="6353BFF4" w14:textId="77777777" w:rsidR="009D6D4E" w:rsidRDefault="009D6D4E" w:rsidP="009D6D4E"/>
    <w:tbl>
      <w:tblPr>
        <w:tblW w:w="10075" w:type="dxa"/>
        <w:tblLook w:val="04A0" w:firstRow="1" w:lastRow="0" w:firstColumn="1" w:lastColumn="0" w:noHBand="0" w:noVBand="1"/>
      </w:tblPr>
      <w:tblGrid>
        <w:gridCol w:w="688"/>
        <w:gridCol w:w="81"/>
        <w:gridCol w:w="971"/>
        <w:gridCol w:w="854"/>
        <w:gridCol w:w="155"/>
        <w:gridCol w:w="1556"/>
        <w:gridCol w:w="1037"/>
        <w:gridCol w:w="301"/>
        <w:gridCol w:w="1103"/>
        <w:gridCol w:w="710"/>
        <w:gridCol w:w="152"/>
        <w:gridCol w:w="1444"/>
        <w:gridCol w:w="1023"/>
      </w:tblGrid>
      <w:tr w:rsidR="009D6D4E" w14:paraId="24648FEB" w14:textId="77777777" w:rsidTr="00BF3B71">
        <w:trPr>
          <w:trHeight w:val="465"/>
        </w:trPr>
        <w:tc>
          <w:tcPr>
            <w:tcW w:w="10075"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1EF7D2F4" w14:textId="77777777" w:rsidR="009D6D4E" w:rsidRDefault="009D6D4E" w:rsidP="00BF3B71">
            <w:pPr>
              <w:jc w:val="both"/>
              <w:rPr>
                <w:b/>
                <w:bCs/>
                <w:color w:val="000000"/>
                <w:sz w:val="18"/>
                <w:szCs w:val="18"/>
              </w:rPr>
            </w:pPr>
            <w:r>
              <w:rPr>
                <w:b/>
                <w:bCs/>
                <w:color w:val="000000"/>
                <w:sz w:val="18"/>
                <w:szCs w:val="18"/>
              </w:rPr>
              <w:t>Tabela 10.a:Kostimi i masës së reformës strukturore: Masa#5 Ngritja e konkurrueshmwrisw nw Sektorin e Turizimit dhe hotelierisw</w:t>
            </w:r>
          </w:p>
        </w:tc>
      </w:tr>
      <w:tr w:rsidR="009D6D4E" w14:paraId="32C9B7EA" w14:textId="77777777" w:rsidTr="00BF3B71">
        <w:trPr>
          <w:trHeight w:val="523"/>
        </w:trPr>
        <w:tc>
          <w:tcPr>
            <w:tcW w:w="771" w:type="dxa"/>
            <w:gridSpan w:val="2"/>
            <w:tcBorders>
              <w:top w:val="nil"/>
              <w:left w:val="single" w:sz="4" w:space="0" w:color="auto"/>
              <w:bottom w:val="single" w:sz="4" w:space="0" w:color="auto"/>
              <w:right w:val="single" w:sz="4" w:space="0" w:color="auto"/>
            </w:tcBorders>
            <w:shd w:val="clear" w:color="000000" w:fill="FFFFFF"/>
            <w:vAlign w:val="center"/>
            <w:hideMark/>
          </w:tcPr>
          <w:p w14:paraId="40F1E377" w14:textId="77777777" w:rsidR="009D6D4E" w:rsidRDefault="009D6D4E" w:rsidP="00BF3B71">
            <w:pPr>
              <w:jc w:val="both"/>
              <w:rPr>
                <w:color w:val="000000"/>
                <w:sz w:val="18"/>
                <w:szCs w:val="18"/>
              </w:rPr>
            </w:pPr>
            <w:r>
              <w:rPr>
                <w:color w:val="000000"/>
                <w:sz w:val="18"/>
                <w:szCs w:val="18"/>
              </w:rPr>
              <w:t xml:space="preserve">Viti </w:t>
            </w:r>
          </w:p>
        </w:tc>
        <w:tc>
          <w:tcPr>
            <w:tcW w:w="1972" w:type="dxa"/>
            <w:gridSpan w:val="3"/>
            <w:tcBorders>
              <w:top w:val="nil"/>
              <w:left w:val="nil"/>
              <w:bottom w:val="single" w:sz="4" w:space="0" w:color="auto"/>
              <w:right w:val="single" w:sz="4" w:space="0" w:color="auto"/>
            </w:tcBorders>
            <w:shd w:val="clear" w:color="auto" w:fill="auto"/>
            <w:vAlign w:val="center"/>
            <w:hideMark/>
          </w:tcPr>
          <w:p w14:paraId="1AB035CF" w14:textId="77777777" w:rsidR="009D6D4E" w:rsidRDefault="009D6D4E" w:rsidP="00BF3B71">
            <w:pPr>
              <w:jc w:val="right"/>
              <w:rPr>
                <w:color w:val="000000"/>
                <w:sz w:val="18"/>
                <w:szCs w:val="18"/>
              </w:rPr>
            </w:pPr>
            <w:r>
              <w:rPr>
                <w:color w:val="000000"/>
                <w:sz w:val="18"/>
                <w:szCs w:val="18"/>
              </w:rPr>
              <w:t>Pagat</w:t>
            </w:r>
          </w:p>
        </w:tc>
        <w:tc>
          <w:tcPr>
            <w:tcW w:w="2888" w:type="dxa"/>
            <w:gridSpan w:val="3"/>
            <w:tcBorders>
              <w:top w:val="nil"/>
              <w:left w:val="nil"/>
              <w:bottom w:val="single" w:sz="4" w:space="0" w:color="auto"/>
              <w:right w:val="single" w:sz="4" w:space="0" w:color="auto"/>
            </w:tcBorders>
            <w:shd w:val="clear" w:color="auto" w:fill="auto"/>
            <w:vAlign w:val="center"/>
            <w:hideMark/>
          </w:tcPr>
          <w:p w14:paraId="750CF70D" w14:textId="77777777" w:rsidR="009D6D4E" w:rsidRDefault="009D6D4E" w:rsidP="00BF3B71">
            <w:pPr>
              <w:jc w:val="right"/>
              <w:rPr>
                <w:color w:val="000000"/>
                <w:sz w:val="18"/>
                <w:szCs w:val="18"/>
              </w:rPr>
            </w:pPr>
            <w:r>
              <w:rPr>
                <w:color w:val="000000"/>
                <w:sz w:val="18"/>
                <w:szCs w:val="18"/>
              </w:rPr>
              <w:t>Mallra dhe shërbime</w:t>
            </w:r>
          </w:p>
        </w:tc>
        <w:tc>
          <w:tcPr>
            <w:tcW w:w="1816" w:type="dxa"/>
            <w:gridSpan w:val="2"/>
            <w:tcBorders>
              <w:top w:val="nil"/>
              <w:left w:val="nil"/>
              <w:bottom w:val="single" w:sz="4" w:space="0" w:color="auto"/>
              <w:right w:val="single" w:sz="4" w:space="0" w:color="auto"/>
            </w:tcBorders>
            <w:shd w:val="clear" w:color="auto" w:fill="auto"/>
            <w:vAlign w:val="center"/>
            <w:hideMark/>
          </w:tcPr>
          <w:p w14:paraId="0D6E980D" w14:textId="77777777" w:rsidR="009D6D4E" w:rsidRDefault="009D6D4E" w:rsidP="00BF3B71">
            <w:pPr>
              <w:jc w:val="right"/>
              <w:rPr>
                <w:color w:val="000000"/>
                <w:sz w:val="18"/>
                <w:szCs w:val="18"/>
              </w:rPr>
            </w:pPr>
            <w:r>
              <w:rPr>
                <w:color w:val="000000"/>
                <w:sz w:val="18"/>
                <w:szCs w:val="18"/>
              </w:rPr>
              <w:t>Subvencione dhe transfere</w:t>
            </w:r>
          </w:p>
        </w:tc>
        <w:tc>
          <w:tcPr>
            <w:tcW w:w="1602" w:type="dxa"/>
            <w:gridSpan w:val="2"/>
            <w:tcBorders>
              <w:top w:val="nil"/>
              <w:left w:val="nil"/>
              <w:bottom w:val="single" w:sz="4" w:space="0" w:color="auto"/>
              <w:right w:val="single" w:sz="4" w:space="0" w:color="auto"/>
            </w:tcBorders>
            <w:shd w:val="clear" w:color="auto" w:fill="auto"/>
            <w:vAlign w:val="center"/>
            <w:hideMark/>
          </w:tcPr>
          <w:p w14:paraId="66CBD49B" w14:textId="77777777" w:rsidR="009D6D4E" w:rsidRDefault="009D6D4E" w:rsidP="00BF3B71">
            <w:pPr>
              <w:jc w:val="right"/>
              <w:rPr>
                <w:color w:val="000000"/>
                <w:sz w:val="18"/>
                <w:szCs w:val="18"/>
              </w:rPr>
            </w:pPr>
            <w:r>
              <w:rPr>
                <w:color w:val="000000"/>
                <w:sz w:val="18"/>
                <w:szCs w:val="18"/>
              </w:rPr>
              <w:t xml:space="preserve">Shpenzimet kapitale </w:t>
            </w:r>
          </w:p>
        </w:tc>
        <w:tc>
          <w:tcPr>
            <w:tcW w:w="1026" w:type="dxa"/>
            <w:tcBorders>
              <w:top w:val="nil"/>
              <w:left w:val="nil"/>
              <w:bottom w:val="single" w:sz="4" w:space="0" w:color="auto"/>
              <w:right w:val="single" w:sz="4" w:space="0" w:color="auto"/>
            </w:tcBorders>
            <w:shd w:val="clear" w:color="auto" w:fill="auto"/>
            <w:vAlign w:val="center"/>
            <w:hideMark/>
          </w:tcPr>
          <w:p w14:paraId="34A82CC1" w14:textId="77777777" w:rsidR="009D6D4E" w:rsidRPr="00534399" w:rsidRDefault="009D6D4E" w:rsidP="00BF3B71">
            <w:pPr>
              <w:jc w:val="both"/>
              <w:rPr>
                <w:b/>
                <w:color w:val="000000"/>
                <w:sz w:val="18"/>
                <w:szCs w:val="18"/>
              </w:rPr>
            </w:pPr>
            <w:r w:rsidRPr="00534399">
              <w:rPr>
                <w:b/>
                <w:color w:val="000000"/>
                <w:sz w:val="18"/>
                <w:szCs w:val="18"/>
              </w:rPr>
              <w:t xml:space="preserve">Totali </w:t>
            </w:r>
          </w:p>
        </w:tc>
      </w:tr>
      <w:tr w:rsidR="009D6D4E" w14:paraId="11C3B619" w14:textId="77777777" w:rsidTr="00BF3B71">
        <w:trPr>
          <w:trHeight w:val="310"/>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7FA150A3" w14:textId="77777777" w:rsidR="009D6D4E" w:rsidRDefault="009D6D4E" w:rsidP="00BF3B71">
            <w:pPr>
              <w:jc w:val="both"/>
              <w:rPr>
                <w:color w:val="000000"/>
                <w:sz w:val="18"/>
                <w:szCs w:val="18"/>
              </w:rPr>
            </w:pPr>
            <w:r>
              <w:rPr>
                <w:color w:val="000000"/>
                <w:sz w:val="18"/>
                <w:szCs w:val="18"/>
              </w:rPr>
              <w:t>2020</w:t>
            </w:r>
          </w:p>
        </w:tc>
        <w:tc>
          <w:tcPr>
            <w:tcW w:w="1972" w:type="dxa"/>
            <w:gridSpan w:val="3"/>
            <w:tcBorders>
              <w:top w:val="nil"/>
              <w:left w:val="nil"/>
              <w:bottom w:val="single" w:sz="4" w:space="0" w:color="auto"/>
              <w:right w:val="single" w:sz="4" w:space="0" w:color="auto"/>
            </w:tcBorders>
            <w:shd w:val="clear" w:color="auto" w:fill="auto"/>
            <w:vAlign w:val="center"/>
            <w:hideMark/>
          </w:tcPr>
          <w:p w14:paraId="6A9F8C1A" w14:textId="77777777" w:rsidR="009D6D4E" w:rsidRDefault="009D6D4E" w:rsidP="00BF3B71">
            <w:pPr>
              <w:jc w:val="right"/>
              <w:rPr>
                <w:color w:val="000000"/>
                <w:sz w:val="18"/>
                <w:szCs w:val="18"/>
              </w:rPr>
            </w:pPr>
            <w:r>
              <w:rPr>
                <w:color w:val="000000"/>
                <w:sz w:val="18"/>
                <w:szCs w:val="18"/>
              </w:rPr>
              <w:t>0.00</w:t>
            </w:r>
          </w:p>
        </w:tc>
        <w:tc>
          <w:tcPr>
            <w:tcW w:w="2888" w:type="dxa"/>
            <w:gridSpan w:val="3"/>
            <w:tcBorders>
              <w:top w:val="nil"/>
              <w:left w:val="nil"/>
              <w:bottom w:val="single" w:sz="4" w:space="0" w:color="auto"/>
              <w:right w:val="single" w:sz="4" w:space="0" w:color="auto"/>
            </w:tcBorders>
            <w:shd w:val="clear" w:color="auto" w:fill="auto"/>
            <w:vAlign w:val="center"/>
            <w:hideMark/>
          </w:tcPr>
          <w:p w14:paraId="05CEAA46" w14:textId="77777777" w:rsidR="009D6D4E" w:rsidRDefault="009D6D4E" w:rsidP="00BF3B71">
            <w:pPr>
              <w:jc w:val="right"/>
              <w:rPr>
                <w:color w:val="000000"/>
                <w:sz w:val="18"/>
                <w:szCs w:val="18"/>
              </w:rPr>
            </w:pPr>
            <w:r>
              <w:rPr>
                <w:color w:val="000000"/>
                <w:sz w:val="18"/>
                <w:szCs w:val="18"/>
              </w:rPr>
              <w:t xml:space="preserve">                            78,890 </w:t>
            </w:r>
          </w:p>
        </w:tc>
        <w:tc>
          <w:tcPr>
            <w:tcW w:w="1816" w:type="dxa"/>
            <w:gridSpan w:val="2"/>
            <w:tcBorders>
              <w:top w:val="nil"/>
              <w:left w:val="nil"/>
              <w:bottom w:val="single" w:sz="4" w:space="0" w:color="auto"/>
              <w:right w:val="single" w:sz="4" w:space="0" w:color="auto"/>
            </w:tcBorders>
            <w:shd w:val="clear" w:color="auto" w:fill="auto"/>
            <w:vAlign w:val="center"/>
            <w:hideMark/>
          </w:tcPr>
          <w:p w14:paraId="6466F753" w14:textId="77777777" w:rsidR="009D6D4E" w:rsidRDefault="009D6D4E" w:rsidP="00BF3B71">
            <w:pPr>
              <w:jc w:val="right"/>
              <w:rPr>
                <w:color w:val="000000"/>
                <w:sz w:val="18"/>
                <w:szCs w:val="18"/>
              </w:rPr>
            </w:pPr>
            <w:r>
              <w:rPr>
                <w:color w:val="000000"/>
                <w:sz w:val="18"/>
                <w:szCs w:val="18"/>
              </w:rPr>
              <w:t xml:space="preserve">                         500,000 </w:t>
            </w:r>
          </w:p>
        </w:tc>
        <w:tc>
          <w:tcPr>
            <w:tcW w:w="1602" w:type="dxa"/>
            <w:gridSpan w:val="2"/>
            <w:tcBorders>
              <w:top w:val="nil"/>
              <w:left w:val="nil"/>
              <w:bottom w:val="single" w:sz="4" w:space="0" w:color="auto"/>
              <w:right w:val="single" w:sz="4" w:space="0" w:color="auto"/>
            </w:tcBorders>
            <w:shd w:val="clear" w:color="auto" w:fill="auto"/>
            <w:vAlign w:val="center"/>
            <w:hideMark/>
          </w:tcPr>
          <w:p w14:paraId="5D2B1852" w14:textId="77777777" w:rsidR="009D6D4E" w:rsidRDefault="009D6D4E" w:rsidP="00BF3B71">
            <w:pPr>
              <w:jc w:val="right"/>
              <w:rPr>
                <w:color w:val="000000"/>
                <w:sz w:val="18"/>
                <w:szCs w:val="18"/>
              </w:rPr>
            </w:pPr>
            <w:r>
              <w:rPr>
                <w:color w:val="000000"/>
                <w:sz w:val="18"/>
                <w:szCs w:val="18"/>
              </w:rPr>
              <w:t xml:space="preserve">                                   -   </w:t>
            </w:r>
          </w:p>
        </w:tc>
        <w:tc>
          <w:tcPr>
            <w:tcW w:w="1026" w:type="dxa"/>
            <w:tcBorders>
              <w:top w:val="nil"/>
              <w:left w:val="nil"/>
              <w:bottom w:val="single" w:sz="4" w:space="0" w:color="auto"/>
              <w:right w:val="single" w:sz="4" w:space="0" w:color="auto"/>
            </w:tcBorders>
            <w:shd w:val="clear" w:color="000000" w:fill="FFFFFF"/>
            <w:vAlign w:val="center"/>
            <w:hideMark/>
          </w:tcPr>
          <w:p w14:paraId="5950F494" w14:textId="77777777" w:rsidR="009D6D4E" w:rsidRPr="00374F22" w:rsidRDefault="009D6D4E" w:rsidP="00BF3B71">
            <w:pPr>
              <w:jc w:val="both"/>
              <w:rPr>
                <w:b/>
                <w:color w:val="000000"/>
                <w:sz w:val="18"/>
                <w:szCs w:val="18"/>
              </w:rPr>
            </w:pPr>
            <w:r w:rsidRPr="00374F22">
              <w:rPr>
                <w:b/>
                <w:color w:val="000000"/>
                <w:sz w:val="18"/>
                <w:szCs w:val="18"/>
              </w:rPr>
              <w:t xml:space="preserve">                          578,890 </w:t>
            </w:r>
          </w:p>
        </w:tc>
      </w:tr>
      <w:tr w:rsidR="009D6D4E" w14:paraId="5E04A75B" w14:textId="77777777" w:rsidTr="00BF3B71">
        <w:trPr>
          <w:trHeight w:val="310"/>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1C2D98E1" w14:textId="77777777" w:rsidR="009D6D4E" w:rsidRDefault="009D6D4E" w:rsidP="00BF3B71">
            <w:pPr>
              <w:jc w:val="both"/>
              <w:rPr>
                <w:color w:val="000000"/>
                <w:sz w:val="18"/>
                <w:szCs w:val="18"/>
              </w:rPr>
            </w:pPr>
            <w:r>
              <w:rPr>
                <w:color w:val="000000"/>
                <w:sz w:val="18"/>
                <w:szCs w:val="18"/>
              </w:rPr>
              <w:t>2021</w:t>
            </w:r>
          </w:p>
        </w:tc>
        <w:tc>
          <w:tcPr>
            <w:tcW w:w="1972" w:type="dxa"/>
            <w:gridSpan w:val="3"/>
            <w:tcBorders>
              <w:top w:val="nil"/>
              <w:left w:val="nil"/>
              <w:bottom w:val="single" w:sz="4" w:space="0" w:color="auto"/>
              <w:right w:val="single" w:sz="4" w:space="0" w:color="auto"/>
            </w:tcBorders>
            <w:shd w:val="clear" w:color="auto" w:fill="auto"/>
            <w:vAlign w:val="center"/>
            <w:hideMark/>
          </w:tcPr>
          <w:p w14:paraId="1C4EA145" w14:textId="77777777" w:rsidR="009D6D4E" w:rsidRDefault="009D6D4E" w:rsidP="00BF3B71">
            <w:pPr>
              <w:jc w:val="right"/>
              <w:rPr>
                <w:color w:val="000000"/>
                <w:sz w:val="18"/>
                <w:szCs w:val="18"/>
              </w:rPr>
            </w:pPr>
            <w:r>
              <w:rPr>
                <w:color w:val="000000"/>
                <w:sz w:val="18"/>
                <w:szCs w:val="18"/>
              </w:rPr>
              <w:t>0.00</w:t>
            </w:r>
          </w:p>
        </w:tc>
        <w:tc>
          <w:tcPr>
            <w:tcW w:w="2888" w:type="dxa"/>
            <w:gridSpan w:val="3"/>
            <w:tcBorders>
              <w:top w:val="nil"/>
              <w:left w:val="nil"/>
              <w:bottom w:val="single" w:sz="4" w:space="0" w:color="auto"/>
              <w:right w:val="single" w:sz="4" w:space="0" w:color="auto"/>
            </w:tcBorders>
            <w:shd w:val="clear" w:color="auto" w:fill="auto"/>
            <w:vAlign w:val="center"/>
            <w:hideMark/>
          </w:tcPr>
          <w:p w14:paraId="0F8D8A05" w14:textId="77777777" w:rsidR="009D6D4E" w:rsidRDefault="009D6D4E" w:rsidP="00BF3B71">
            <w:pPr>
              <w:jc w:val="right"/>
              <w:rPr>
                <w:color w:val="000000"/>
                <w:sz w:val="18"/>
                <w:szCs w:val="18"/>
              </w:rPr>
            </w:pPr>
            <w:r>
              <w:rPr>
                <w:color w:val="000000"/>
                <w:sz w:val="18"/>
                <w:szCs w:val="18"/>
              </w:rPr>
              <w:t xml:space="preserve">                            20,000 </w:t>
            </w:r>
          </w:p>
        </w:tc>
        <w:tc>
          <w:tcPr>
            <w:tcW w:w="1816" w:type="dxa"/>
            <w:gridSpan w:val="2"/>
            <w:tcBorders>
              <w:top w:val="nil"/>
              <w:left w:val="nil"/>
              <w:bottom w:val="single" w:sz="4" w:space="0" w:color="auto"/>
              <w:right w:val="single" w:sz="4" w:space="0" w:color="auto"/>
            </w:tcBorders>
            <w:shd w:val="clear" w:color="auto" w:fill="auto"/>
            <w:vAlign w:val="center"/>
            <w:hideMark/>
          </w:tcPr>
          <w:p w14:paraId="43F48CE6" w14:textId="77777777" w:rsidR="009D6D4E" w:rsidRDefault="009D6D4E" w:rsidP="00BF3B71">
            <w:pPr>
              <w:jc w:val="right"/>
              <w:rPr>
                <w:color w:val="000000"/>
                <w:sz w:val="18"/>
                <w:szCs w:val="18"/>
              </w:rPr>
            </w:pPr>
            <w:r>
              <w:rPr>
                <w:color w:val="000000"/>
                <w:sz w:val="18"/>
                <w:szCs w:val="18"/>
              </w:rPr>
              <w:t xml:space="preserve">                         220,000 </w:t>
            </w:r>
          </w:p>
        </w:tc>
        <w:tc>
          <w:tcPr>
            <w:tcW w:w="1602" w:type="dxa"/>
            <w:gridSpan w:val="2"/>
            <w:tcBorders>
              <w:top w:val="nil"/>
              <w:left w:val="nil"/>
              <w:bottom w:val="single" w:sz="4" w:space="0" w:color="auto"/>
              <w:right w:val="single" w:sz="4" w:space="0" w:color="auto"/>
            </w:tcBorders>
            <w:shd w:val="clear" w:color="auto" w:fill="auto"/>
            <w:vAlign w:val="center"/>
            <w:hideMark/>
          </w:tcPr>
          <w:p w14:paraId="17CE3E68" w14:textId="77777777" w:rsidR="009D6D4E" w:rsidRDefault="009D6D4E" w:rsidP="00BF3B71">
            <w:pPr>
              <w:jc w:val="right"/>
              <w:rPr>
                <w:color w:val="000000"/>
                <w:sz w:val="18"/>
                <w:szCs w:val="18"/>
              </w:rPr>
            </w:pPr>
            <w:r>
              <w:rPr>
                <w:color w:val="000000"/>
                <w:sz w:val="18"/>
                <w:szCs w:val="18"/>
              </w:rPr>
              <w:t xml:space="preserve">                                   -   </w:t>
            </w:r>
          </w:p>
        </w:tc>
        <w:tc>
          <w:tcPr>
            <w:tcW w:w="1026" w:type="dxa"/>
            <w:tcBorders>
              <w:top w:val="nil"/>
              <w:left w:val="nil"/>
              <w:bottom w:val="single" w:sz="4" w:space="0" w:color="auto"/>
              <w:right w:val="single" w:sz="4" w:space="0" w:color="auto"/>
            </w:tcBorders>
            <w:shd w:val="clear" w:color="000000" w:fill="FFFFFF"/>
            <w:vAlign w:val="center"/>
            <w:hideMark/>
          </w:tcPr>
          <w:p w14:paraId="5E3CD001" w14:textId="77777777" w:rsidR="009D6D4E" w:rsidRPr="00374F22" w:rsidRDefault="009D6D4E" w:rsidP="00BF3B71">
            <w:pPr>
              <w:jc w:val="both"/>
              <w:rPr>
                <w:b/>
                <w:color w:val="000000"/>
                <w:sz w:val="18"/>
                <w:szCs w:val="18"/>
              </w:rPr>
            </w:pPr>
            <w:r w:rsidRPr="00374F22">
              <w:rPr>
                <w:b/>
                <w:color w:val="000000"/>
                <w:sz w:val="18"/>
                <w:szCs w:val="18"/>
              </w:rPr>
              <w:t xml:space="preserve">                          240,000 </w:t>
            </w:r>
          </w:p>
        </w:tc>
      </w:tr>
      <w:tr w:rsidR="009D6D4E" w14:paraId="3BA9F9EB" w14:textId="77777777" w:rsidTr="00BF3B71">
        <w:trPr>
          <w:trHeight w:val="329"/>
        </w:trPr>
        <w:tc>
          <w:tcPr>
            <w:tcW w:w="10075" w:type="dxa"/>
            <w:gridSpan w:val="13"/>
            <w:tcBorders>
              <w:top w:val="single" w:sz="8" w:space="0" w:color="auto"/>
              <w:left w:val="single" w:sz="8" w:space="0" w:color="auto"/>
              <w:bottom w:val="single" w:sz="8" w:space="0" w:color="auto"/>
              <w:right w:val="single" w:sz="8" w:space="0" w:color="000000"/>
            </w:tcBorders>
            <w:shd w:val="clear" w:color="auto" w:fill="auto"/>
            <w:vAlign w:val="center"/>
            <w:hideMark/>
          </w:tcPr>
          <w:p w14:paraId="73952499" w14:textId="77777777" w:rsidR="009D6D4E" w:rsidRDefault="009D6D4E" w:rsidP="00BF3B71">
            <w:pPr>
              <w:rPr>
                <w:b/>
                <w:bCs/>
                <w:color w:val="000000"/>
                <w:sz w:val="18"/>
                <w:szCs w:val="18"/>
              </w:rPr>
            </w:pPr>
            <w:r>
              <w:rPr>
                <w:b/>
                <w:bCs/>
                <w:color w:val="000000"/>
                <w:sz w:val="18"/>
                <w:szCs w:val="18"/>
              </w:rPr>
              <w:t>Tabela 10 b:  Financimi i masës së reformës strukturore: Masa#5 Ngritja e konkurrueshmwrisw nw Sektorin e Turizimit dhe hotelierisw</w:t>
            </w:r>
          </w:p>
        </w:tc>
      </w:tr>
      <w:tr w:rsidR="009D6D4E" w14:paraId="7B38BEEE" w14:textId="77777777" w:rsidTr="00BF3B71">
        <w:trPr>
          <w:trHeight w:val="523"/>
        </w:trPr>
        <w:tc>
          <w:tcPr>
            <w:tcW w:w="690" w:type="dxa"/>
            <w:tcBorders>
              <w:top w:val="nil"/>
              <w:left w:val="single" w:sz="8" w:space="0" w:color="auto"/>
              <w:bottom w:val="single" w:sz="8" w:space="0" w:color="auto"/>
              <w:right w:val="single" w:sz="8" w:space="0" w:color="auto"/>
            </w:tcBorders>
            <w:shd w:val="clear" w:color="auto" w:fill="auto"/>
            <w:vAlign w:val="center"/>
            <w:hideMark/>
          </w:tcPr>
          <w:p w14:paraId="02E57B6D" w14:textId="77777777" w:rsidR="009D6D4E" w:rsidRDefault="009D6D4E" w:rsidP="00BF3B71">
            <w:pPr>
              <w:rPr>
                <w:color w:val="000000"/>
                <w:sz w:val="18"/>
                <w:szCs w:val="18"/>
              </w:rPr>
            </w:pPr>
            <w:r>
              <w:rPr>
                <w:color w:val="000000"/>
                <w:sz w:val="18"/>
                <w:szCs w:val="18"/>
              </w:rPr>
              <w:t xml:space="preserve">Viti </w:t>
            </w:r>
          </w:p>
        </w:tc>
        <w:tc>
          <w:tcPr>
            <w:tcW w:w="1052" w:type="dxa"/>
            <w:gridSpan w:val="2"/>
            <w:tcBorders>
              <w:top w:val="nil"/>
              <w:left w:val="nil"/>
              <w:bottom w:val="single" w:sz="8" w:space="0" w:color="auto"/>
              <w:right w:val="single" w:sz="8" w:space="0" w:color="auto"/>
            </w:tcBorders>
            <w:shd w:val="clear" w:color="auto" w:fill="auto"/>
            <w:vAlign w:val="center"/>
            <w:hideMark/>
          </w:tcPr>
          <w:p w14:paraId="38BCA9EA" w14:textId="77777777" w:rsidR="009D6D4E" w:rsidRDefault="009D6D4E" w:rsidP="00BF3B71">
            <w:pPr>
              <w:rPr>
                <w:color w:val="000000"/>
                <w:sz w:val="18"/>
                <w:szCs w:val="18"/>
              </w:rPr>
            </w:pPr>
            <w:r>
              <w:rPr>
                <w:color w:val="000000"/>
                <w:sz w:val="18"/>
                <w:szCs w:val="18"/>
              </w:rPr>
              <w:t>Buxheti Qendror</w:t>
            </w:r>
          </w:p>
        </w:tc>
        <w:tc>
          <w:tcPr>
            <w:tcW w:w="846" w:type="dxa"/>
            <w:tcBorders>
              <w:top w:val="nil"/>
              <w:left w:val="nil"/>
              <w:bottom w:val="single" w:sz="8" w:space="0" w:color="auto"/>
              <w:right w:val="single" w:sz="8" w:space="0" w:color="auto"/>
            </w:tcBorders>
            <w:shd w:val="clear" w:color="auto" w:fill="auto"/>
            <w:vAlign w:val="center"/>
            <w:hideMark/>
          </w:tcPr>
          <w:p w14:paraId="38CF3B05" w14:textId="77777777" w:rsidR="009D6D4E" w:rsidRDefault="009D6D4E" w:rsidP="00BF3B71">
            <w:pPr>
              <w:rPr>
                <w:color w:val="000000"/>
                <w:sz w:val="18"/>
                <w:szCs w:val="18"/>
              </w:rPr>
            </w:pPr>
            <w:r>
              <w:rPr>
                <w:color w:val="000000"/>
                <w:sz w:val="18"/>
                <w:szCs w:val="18"/>
              </w:rPr>
              <w:t>Buxheti komunal</w:t>
            </w:r>
          </w:p>
        </w:tc>
        <w:tc>
          <w:tcPr>
            <w:tcW w:w="1711" w:type="dxa"/>
            <w:gridSpan w:val="2"/>
            <w:tcBorders>
              <w:top w:val="nil"/>
              <w:left w:val="nil"/>
              <w:bottom w:val="single" w:sz="8" w:space="0" w:color="auto"/>
              <w:right w:val="single" w:sz="8" w:space="0" w:color="auto"/>
            </w:tcBorders>
            <w:shd w:val="clear" w:color="auto" w:fill="auto"/>
            <w:vAlign w:val="center"/>
            <w:hideMark/>
          </w:tcPr>
          <w:p w14:paraId="01180477" w14:textId="77777777" w:rsidR="009D6D4E" w:rsidRDefault="009D6D4E" w:rsidP="00BF3B71">
            <w:pPr>
              <w:rPr>
                <w:color w:val="000000"/>
                <w:sz w:val="18"/>
                <w:szCs w:val="18"/>
              </w:rPr>
            </w:pPr>
            <w:r>
              <w:rPr>
                <w:color w:val="000000"/>
                <w:sz w:val="18"/>
                <w:szCs w:val="18"/>
              </w:rPr>
              <w:t xml:space="preserve">Burimet e tjera të financimit publik </w:t>
            </w:r>
          </w:p>
        </w:tc>
        <w:tc>
          <w:tcPr>
            <w:tcW w:w="1026" w:type="dxa"/>
            <w:tcBorders>
              <w:top w:val="nil"/>
              <w:left w:val="nil"/>
              <w:bottom w:val="single" w:sz="8" w:space="0" w:color="auto"/>
              <w:right w:val="single" w:sz="8" w:space="0" w:color="auto"/>
            </w:tcBorders>
            <w:shd w:val="clear" w:color="auto" w:fill="auto"/>
            <w:vAlign w:val="center"/>
            <w:hideMark/>
          </w:tcPr>
          <w:p w14:paraId="116FEDF3" w14:textId="77777777" w:rsidR="009D6D4E" w:rsidRDefault="009D6D4E" w:rsidP="00BF3B71">
            <w:pPr>
              <w:rPr>
                <w:color w:val="000000"/>
                <w:sz w:val="18"/>
                <w:szCs w:val="18"/>
              </w:rPr>
            </w:pPr>
            <w:r>
              <w:rPr>
                <w:color w:val="000000"/>
                <w:sz w:val="18"/>
                <w:szCs w:val="18"/>
              </w:rPr>
              <w:t xml:space="preserve">Fondet e IPA-së </w:t>
            </w:r>
          </w:p>
        </w:tc>
        <w:tc>
          <w:tcPr>
            <w:tcW w:w="1412" w:type="dxa"/>
            <w:gridSpan w:val="2"/>
            <w:tcBorders>
              <w:top w:val="nil"/>
              <w:left w:val="nil"/>
              <w:bottom w:val="single" w:sz="8" w:space="0" w:color="auto"/>
              <w:right w:val="single" w:sz="8" w:space="0" w:color="auto"/>
            </w:tcBorders>
            <w:shd w:val="clear" w:color="auto" w:fill="auto"/>
            <w:vAlign w:val="center"/>
            <w:hideMark/>
          </w:tcPr>
          <w:p w14:paraId="0E0836E8" w14:textId="77777777" w:rsidR="009D6D4E" w:rsidRDefault="009D6D4E" w:rsidP="00BF3B71">
            <w:pPr>
              <w:rPr>
                <w:color w:val="000000"/>
                <w:sz w:val="18"/>
                <w:szCs w:val="18"/>
              </w:rPr>
            </w:pPr>
            <w:r>
              <w:rPr>
                <w:color w:val="000000"/>
                <w:sz w:val="18"/>
                <w:szCs w:val="18"/>
              </w:rPr>
              <w:t xml:space="preserve">Grante të tjera </w:t>
            </w:r>
          </w:p>
        </w:tc>
        <w:tc>
          <w:tcPr>
            <w:tcW w:w="862" w:type="dxa"/>
            <w:gridSpan w:val="2"/>
            <w:tcBorders>
              <w:top w:val="nil"/>
              <w:left w:val="nil"/>
              <w:bottom w:val="single" w:sz="8" w:space="0" w:color="auto"/>
              <w:right w:val="single" w:sz="8" w:space="0" w:color="auto"/>
            </w:tcBorders>
            <w:shd w:val="clear" w:color="auto" w:fill="auto"/>
            <w:vAlign w:val="center"/>
            <w:hideMark/>
          </w:tcPr>
          <w:p w14:paraId="6C2F2707" w14:textId="77777777" w:rsidR="009D6D4E" w:rsidRDefault="009D6D4E" w:rsidP="00BF3B71">
            <w:pPr>
              <w:rPr>
                <w:color w:val="000000"/>
                <w:sz w:val="18"/>
                <w:szCs w:val="18"/>
              </w:rPr>
            </w:pPr>
            <w:r>
              <w:rPr>
                <w:color w:val="000000"/>
                <w:sz w:val="18"/>
                <w:szCs w:val="18"/>
              </w:rPr>
              <w:t xml:space="preserve">Kredi për projekte </w:t>
            </w:r>
          </w:p>
        </w:tc>
        <w:tc>
          <w:tcPr>
            <w:tcW w:w="1450" w:type="dxa"/>
            <w:tcBorders>
              <w:top w:val="nil"/>
              <w:left w:val="nil"/>
              <w:bottom w:val="single" w:sz="8" w:space="0" w:color="auto"/>
              <w:right w:val="single" w:sz="8" w:space="0" w:color="auto"/>
            </w:tcBorders>
            <w:shd w:val="clear" w:color="auto" w:fill="auto"/>
            <w:vAlign w:val="center"/>
            <w:hideMark/>
          </w:tcPr>
          <w:p w14:paraId="67F91756" w14:textId="77777777" w:rsidR="009D6D4E" w:rsidRDefault="009D6D4E" w:rsidP="00BF3B71">
            <w:pPr>
              <w:rPr>
                <w:color w:val="000000"/>
                <w:sz w:val="18"/>
                <w:szCs w:val="18"/>
              </w:rPr>
            </w:pPr>
            <w:r>
              <w:rPr>
                <w:color w:val="000000"/>
                <w:sz w:val="18"/>
                <w:szCs w:val="18"/>
              </w:rPr>
              <w:t xml:space="preserve">Të përcaktohet </w:t>
            </w:r>
          </w:p>
        </w:tc>
        <w:tc>
          <w:tcPr>
            <w:tcW w:w="1026" w:type="dxa"/>
            <w:tcBorders>
              <w:top w:val="nil"/>
              <w:left w:val="nil"/>
              <w:bottom w:val="single" w:sz="8" w:space="0" w:color="auto"/>
              <w:right w:val="single" w:sz="8" w:space="0" w:color="auto"/>
            </w:tcBorders>
            <w:shd w:val="clear" w:color="auto" w:fill="auto"/>
            <w:vAlign w:val="center"/>
            <w:hideMark/>
          </w:tcPr>
          <w:p w14:paraId="5A01341A" w14:textId="77777777" w:rsidR="009D6D4E" w:rsidRPr="00534399" w:rsidRDefault="009D6D4E" w:rsidP="00BF3B71">
            <w:pPr>
              <w:rPr>
                <w:b/>
                <w:color w:val="000000"/>
                <w:sz w:val="18"/>
                <w:szCs w:val="18"/>
              </w:rPr>
            </w:pPr>
            <w:r w:rsidRPr="00534399">
              <w:rPr>
                <w:b/>
                <w:color w:val="000000"/>
                <w:sz w:val="18"/>
                <w:szCs w:val="18"/>
              </w:rPr>
              <w:t xml:space="preserve">Totali </w:t>
            </w:r>
          </w:p>
        </w:tc>
      </w:tr>
      <w:tr w:rsidR="009D6D4E" w14:paraId="68E1101E" w14:textId="77777777" w:rsidTr="00BF3B71">
        <w:trPr>
          <w:trHeight w:val="329"/>
        </w:trPr>
        <w:tc>
          <w:tcPr>
            <w:tcW w:w="690" w:type="dxa"/>
            <w:tcBorders>
              <w:top w:val="nil"/>
              <w:left w:val="single" w:sz="8" w:space="0" w:color="auto"/>
              <w:bottom w:val="single" w:sz="8" w:space="0" w:color="auto"/>
              <w:right w:val="single" w:sz="8" w:space="0" w:color="auto"/>
            </w:tcBorders>
            <w:shd w:val="clear" w:color="auto" w:fill="auto"/>
            <w:vAlign w:val="center"/>
            <w:hideMark/>
          </w:tcPr>
          <w:p w14:paraId="4B01A978" w14:textId="77777777" w:rsidR="009D6D4E" w:rsidRDefault="009D6D4E" w:rsidP="00BF3B71">
            <w:pPr>
              <w:jc w:val="both"/>
              <w:rPr>
                <w:color w:val="000000"/>
                <w:sz w:val="18"/>
                <w:szCs w:val="18"/>
              </w:rPr>
            </w:pPr>
            <w:r>
              <w:rPr>
                <w:color w:val="000000"/>
                <w:sz w:val="18"/>
                <w:szCs w:val="18"/>
              </w:rPr>
              <w:t>2020</w:t>
            </w:r>
          </w:p>
        </w:tc>
        <w:tc>
          <w:tcPr>
            <w:tcW w:w="1052" w:type="dxa"/>
            <w:gridSpan w:val="2"/>
            <w:tcBorders>
              <w:top w:val="nil"/>
              <w:left w:val="nil"/>
              <w:bottom w:val="single" w:sz="8" w:space="0" w:color="auto"/>
              <w:right w:val="single" w:sz="8" w:space="0" w:color="auto"/>
            </w:tcBorders>
            <w:shd w:val="clear" w:color="auto" w:fill="auto"/>
            <w:vAlign w:val="center"/>
            <w:hideMark/>
          </w:tcPr>
          <w:p w14:paraId="19CF47EC" w14:textId="77777777" w:rsidR="009D6D4E" w:rsidRDefault="009D6D4E" w:rsidP="00BF3B71">
            <w:pPr>
              <w:jc w:val="right"/>
              <w:rPr>
                <w:color w:val="000000"/>
                <w:sz w:val="18"/>
                <w:szCs w:val="18"/>
              </w:rPr>
            </w:pPr>
            <w:r>
              <w:rPr>
                <w:color w:val="000000"/>
                <w:sz w:val="18"/>
                <w:szCs w:val="18"/>
              </w:rPr>
              <w:t>520,000.00</w:t>
            </w:r>
          </w:p>
        </w:tc>
        <w:tc>
          <w:tcPr>
            <w:tcW w:w="846" w:type="dxa"/>
            <w:tcBorders>
              <w:top w:val="nil"/>
              <w:left w:val="nil"/>
              <w:bottom w:val="single" w:sz="8" w:space="0" w:color="auto"/>
              <w:right w:val="single" w:sz="8" w:space="0" w:color="auto"/>
            </w:tcBorders>
            <w:shd w:val="clear" w:color="auto" w:fill="auto"/>
            <w:noWrap/>
            <w:vAlign w:val="center"/>
            <w:hideMark/>
          </w:tcPr>
          <w:p w14:paraId="4006EEB8" w14:textId="77777777" w:rsidR="009D6D4E" w:rsidRDefault="009D6D4E" w:rsidP="00BF3B71">
            <w:pPr>
              <w:jc w:val="center"/>
              <w:rPr>
                <w:color w:val="000000"/>
                <w:sz w:val="18"/>
                <w:szCs w:val="18"/>
              </w:rPr>
            </w:pPr>
            <w:r>
              <w:rPr>
                <w:color w:val="000000"/>
                <w:sz w:val="18"/>
                <w:szCs w:val="18"/>
              </w:rPr>
              <w:t>0.00</w:t>
            </w:r>
          </w:p>
        </w:tc>
        <w:tc>
          <w:tcPr>
            <w:tcW w:w="1711" w:type="dxa"/>
            <w:gridSpan w:val="2"/>
            <w:tcBorders>
              <w:top w:val="nil"/>
              <w:left w:val="nil"/>
              <w:bottom w:val="single" w:sz="8" w:space="0" w:color="auto"/>
              <w:right w:val="single" w:sz="8" w:space="0" w:color="auto"/>
            </w:tcBorders>
            <w:shd w:val="clear" w:color="auto" w:fill="auto"/>
            <w:noWrap/>
            <w:vAlign w:val="center"/>
            <w:hideMark/>
          </w:tcPr>
          <w:p w14:paraId="6500D558" w14:textId="77777777" w:rsidR="009D6D4E" w:rsidRDefault="009D6D4E" w:rsidP="00BF3B71">
            <w:pPr>
              <w:jc w:val="center"/>
              <w:rPr>
                <w:color w:val="000000"/>
                <w:sz w:val="18"/>
                <w:szCs w:val="18"/>
              </w:rPr>
            </w:pPr>
            <w:r>
              <w:rPr>
                <w:color w:val="000000"/>
                <w:sz w:val="18"/>
                <w:szCs w:val="18"/>
              </w:rPr>
              <w:t>0.00</w:t>
            </w:r>
          </w:p>
        </w:tc>
        <w:tc>
          <w:tcPr>
            <w:tcW w:w="1026" w:type="dxa"/>
            <w:tcBorders>
              <w:top w:val="nil"/>
              <w:left w:val="nil"/>
              <w:bottom w:val="single" w:sz="8" w:space="0" w:color="auto"/>
              <w:right w:val="single" w:sz="8" w:space="0" w:color="auto"/>
            </w:tcBorders>
            <w:shd w:val="clear" w:color="auto" w:fill="auto"/>
            <w:noWrap/>
            <w:vAlign w:val="center"/>
            <w:hideMark/>
          </w:tcPr>
          <w:p w14:paraId="6C057C44" w14:textId="77777777" w:rsidR="009D6D4E" w:rsidRDefault="009D6D4E" w:rsidP="00BF3B71">
            <w:pPr>
              <w:jc w:val="center"/>
              <w:rPr>
                <w:color w:val="000000"/>
                <w:sz w:val="18"/>
                <w:szCs w:val="18"/>
              </w:rPr>
            </w:pPr>
            <w:r>
              <w:rPr>
                <w:color w:val="000000"/>
                <w:sz w:val="18"/>
                <w:szCs w:val="18"/>
              </w:rPr>
              <w:t>0.00</w:t>
            </w:r>
          </w:p>
        </w:tc>
        <w:tc>
          <w:tcPr>
            <w:tcW w:w="1412" w:type="dxa"/>
            <w:gridSpan w:val="2"/>
            <w:tcBorders>
              <w:top w:val="nil"/>
              <w:left w:val="nil"/>
              <w:bottom w:val="single" w:sz="8" w:space="0" w:color="auto"/>
              <w:right w:val="single" w:sz="8" w:space="0" w:color="auto"/>
            </w:tcBorders>
            <w:shd w:val="clear" w:color="auto" w:fill="auto"/>
            <w:vAlign w:val="center"/>
            <w:hideMark/>
          </w:tcPr>
          <w:p w14:paraId="297D1ABD" w14:textId="77777777" w:rsidR="009D6D4E" w:rsidRDefault="009D6D4E" w:rsidP="00BF3B71">
            <w:pPr>
              <w:jc w:val="right"/>
              <w:rPr>
                <w:color w:val="000000"/>
                <w:sz w:val="18"/>
                <w:szCs w:val="18"/>
              </w:rPr>
            </w:pPr>
            <w:r>
              <w:rPr>
                <w:color w:val="000000"/>
                <w:sz w:val="18"/>
                <w:szCs w:val="18"/>
              </w:rPr>
              <w:t>58,890.00</w:t>
            </w:r>
          </w:p>
        </w:tc>
        <w:tc>
          <w:tcPr>
            <w:tcW w:w="862" w:type="dxa"/>
            <w:gridSpan w:val="2"/>
            <w:tcBorders>
              <w:top w:val="nil"/>
              <w:left w:val="nil"/>
              <w:bottom w:val="single" w:sz="8" w:space="0" w:color="auto"/>
              <w:right w:val="single" w:sz="8" w:space="0" w:color="auto"/>
            </w:tcBorders>
            <w:shd w:val="clear" w:color="auto" w:fill="auto"/>
            <w:vAlign w:val="center"/>
            <w:hideMark/>
          </w:tcPr>
          <w:p w14:paraId="3F779D00" w14:textId="77777777" w:rsidR="009D6D4E" w:rsidRDefault="009D6D4E" w:rsidP="00BF3B71">
            <w:pPr>
              <w:jc w:val="right"/>
              <w:rPr>
                <w:color w:val="000000"/>
                <w:sz w:val="18"/>
                <w:szCs w:val="18"/>
              </w:rPr>
            </w:pPr>
            <w:r>
              <w:rPr>
                <w:color w:val="000000"/>
                <w:sz w:val="18"/>
                <w:szCs w:val="18"/>
              </w:rPr>
              <w:t>0.00</w:t>
            </w:r>
          </w:p>
        </w:tc>
        <w:tc>
          <w:tcPr>
            <w:tcW w:w="1450" w:type="dxa"/>
            <w:tcBorders>
              <w:top w:val="nil"/>
              <w:left w:val="nil"/>
              <w:bottom w:val="single" w:sz="8" w:space="0" w:color="auto"/>
              <w:right w:val="single" w:sz="8" w:space="0" w:color="auto"/>
            </w:tcBorders>
            <w:shd w:val="clear" w:color="auto" w:fill="auto"/>
            <w:vAlign w:val="center"/>
            <w:hideMark/>
          </w:tcPr>
          <w:p w14:paraId="6ACEE8C2" w14:textId="77777777" w:rsidR="009D6D4E" w:rsidRDefault="009D6D4E" w:rsidP="00BF3B71">
            <w:pPr>
              <w:jc w:val="right"/>
              <w:rPr>
                <w:color w:val="000000"/>
                <w:sz w:val="18"/>
                <w:szCs w:val="18"/>
              </w:rPr>
            </w:pPr>
            <w:r>
              <w:rPr>
                <w:color w:val="000000"/>
                <w:sz w:val="18"/>
                <w:szCs w:val="18"/>
              </w:rPr>
              <w:t>0.00</w:t>
            </w:r>
          </w:p>
        </w:tc>
        <w:tc>
          <w:tcPr>
            <w:tcW w:w="1026" w:type="dxa"/>
            <w:tcBorders>
              <w:top w:val="nil"/>
              <w:left w:val="nil"/>
              <w:bottom w:val="single" w:sz="8" w:space="0" w:color="auto"/>
              <w:right w:val="single" w:sz="8" w:space="0" w:color="auto"/>
            </w:tcBorders>
            <w:shd w:val="clear" w:color="auto" w:fill="auto"/>
            <w:vAlign w:val="center"/>
            <w:hideMark/>
          </w:tcPr>
          <w:p w14:paraId="1EC43990" w14:textId="77777777" w:rsidR="009D6D4E" w:rsidRDefault="009D6D4E" w:rsidP="00BF3B71">
            <w:pPr>
              <w:jc w:val="right"/>
              <w:rPr>
                <w:b/>
                <w:bCs/>
                <w:color w:val="000000"/>
                <w:sz w:val="18"/>
                <w:szCs w:val="18"/>
              </w:rPr>
            </w:pPr>
            <w:r>
              <w:rPr>
                <w:b/>
                <w:bCs/>
                <w:color w:val="000000"/>
                <w:sz w:val="18"/>
                <w:szCs w:val="18"/>
              </w:rPr>
              <w:t>578,890</w:t>
            </w:r>
          </w:p>
        </w:tc>
      </w:tr>
      <w:tr w:rsidR="009D6D4E" w14:paraId="66B7EB94" w14:textId="77777777" w:rsidTr="00BF3B71">
        <w:trPr>
          <w:trHeight w:val="329"/>
        </w:trPr>
        <w:tc>
          <w:tcPr>
            <w:tcW w:w="690" w:type="dxa"/>
            <w:tcBorders>
              <w:top w:val="nil"/>
              <w:left w:val="single" w:sz="8" w:space="0" w:color="auto"/>
              <w:bottom w:val="single" w:sz="8" w:space="0" w:color="auto"/>
              <w:right w:val="single" w:sz="8" w:space="0" w:color="auto"/>
            </w:tcBorders>
            <w:shd w:val="clear" w:color="auto" w:fill="auto"/>
            <w:vAlign w:val="center"/>
            <w:hideMark/>
          </w:tcPr>
          <w:p w14:paraId="1D3441B1" w14:textId="77777777" w:rsidR="009D6D4E" w:rsidRDefault="009D6D4E" w:rsidP="00BF3B71">
            <w:pPr>
              <w:jc w:val="both"/>
              <w:rPr>
                <w:color w:val="000000"/>
                <w:sz w:val="18"/>
                <w:szCs w:val="18"/>
              </w:rPr>
            </w:pPr>
            <w:r>
              <w:rPr>
                <w:color w:val="000000"/>
                <w:sz w:val="18"/>
                <w:szCs w:val="18"/>
              </w:rPr>
              <w:t>2021</w:t>
            </w:r>
          </w:p>
        </w:tc>
        <w:tc>
          <w:tcPr>
            <w:tcW w:w="1052" w:type="dxa"/>
            <w:gridSpan w:val="2"/>
            <w:tcBorders>
              <w:top w:val="nil"/>
              <w:left w:val="nil"/>
              <w:bottom w:val="single" w:sz="8" w:space="0" w:color="auto"/>
              <w:right w:val="single" w:sz="8" w:space="0" w:color="auto"/>
            </w:tcBorders>
            <w:shd w:val="clear" w:color="auto" w:fill="auto"/>
            <w:vAlign w:val="center"/>
            <w:hideMark/>
          </w:tcPr>
          <w:p w14:paraId="78C8E143" w14:textId="77777777" w:rsidR="009D6D4E" w:rsidRDefault="009D6D4E" w:rsidP="00BF3B71">
            <w:pPr>
              <w:jc w:val="right"/>
              <w:rPr>
                <w:color w:val="000000"/>
                <w:sz w:val="18"/>
                <w:szCs w:val="18"/>
              </w:rPr>
            </w:pPr>
            <w:r>
              <w:rPr>
                <w:color w:val="000000"/>
                <w:sz w:val="18"/>
                <w:szCs w:val="18"/>
              </w:rPr>
              <w:t>20,000.00</w:t>
            </w:r>
          </w:p>
        </w:tc>
        <w:tc>
          <w:tcPr>
            <w:tcW w:w="846" w:type="dxa"/>
            <w:tcBorders>
              <w:top w:val="nil"/>
              <w:left w:val="nil"/>
              <w:bottom w:val="single" w:sz="8" w:space="0" w:color="auto"/>
              <w:right w:val="single" w:sz="8" w:space="0" w:color="auto"/>
            </w:tcBorders>
            <w:shd w:val="clear" w:color="auto" w:fill="auto"/>
            <w:noWrap/>
            <w:vAlign w:val="center"/>
            <w:hideMark/>
          </w:tcPr>
          <w:p w14:paraId="4D76CFDC" w14:textId="77777777" w:rsidR="009D6D4E" w:rsidRDefault="009D6D4E" w:rsidP="00BF3B71">
            <w:pPr>
              <w:jc w:val="center"/>
              <w:rPr>
                <w:color w:val="000000"/>
                <w:sz w:val="18"/>
                <w:szCs w:val="18"/>
              </w:rPr>
            </w:pPr>
            <w:r>
              <w:rPr>
                <w:color w:val="000000"/>
                <w:sz w:val="18"/>
                <w:szCs w:val="18"/>
              </w:rPr>
              <w:t>0.00</w:t>
            </w:r>
          </w:p>
        </w:tc>
        <w:tc>
          <w:tcPr>
            <w:tcW w:w="1711" w:type="dxa"/>
            <w:gridSpan w:val="2"/>
            <w:tcBorders>
              <w:top w:val="nil"/>
              <w:left w:val="nil"/>
              <w:bottom w:val="single" w:sz="8" w:space="0" w:color="auto"/>
              <w:right w:val="single" w:sz="8" w:space="0" w:color="auto"/>
            </w:tcBorders>
            <w:shd w:val="clear" w:color="auto" w:fill="auto"/>
            <w:noWrap/>
            <w:vAlign w:val="center"/>
            <w:hideMark/>
          </w:tcPr>
          <w:p w14:paraId="621102F6" w14:textId="77777777" w:rsidR="009D6D4E" w:rsidRDefault="009D6D4E" w:rsidP="00BF3B71">
            <w:pPr>
              <w:jc w:val="center"/>
              <w:rPr>
                <w:color w:val="000000"/>
                <w:sz w:val="18"/>
                <w:szCs w:val="18"/>
              </w:rPr>
            </w:pPr>
            <w:r>
              <w:rPr>
                <w:color w:val="000000"/>
                <w:sz w:val="18"/>
                <w:szCs w:val="18"/>
              </w:rPr>
              <w:t>0.00</w:t>
            </w:r>
          </w:p>
        </w:tc>
        <w:tc>
          <w:tcPr>
            <w:tcW w:w="1026" w:type="dxa"/>
            <w:tcBorders>
              <w:top w:val="nil"/>
              <w:left w:val="nil"/>
              <w:bottom w:val="single" w:sz="8" w:space="0" w:color="auto"/>
              <w:right w:val="single" w:sz="8" w:space="0" w:color="auto"/>
            </w:tcBorders>
            <w:shd w:val="clear" w:color="auto" w:fill="auto"/>
            <w:noWrap/>
            <w:vAlign w:val="center"/>
            <w:hideMark/>
          </w:tcPr>
          <w:p w14:paraId="41AB819E" w14:textId="77777777" w:rsidR="009D6D4E" w:rsidRDefault="009D6D4E" w:rsidP="00BF3B71">
            <w:pPr>
              <w:jc w:val="center"/>
              <w:rPr>
                <w:color w:val="000000"/>
                <w:sz w:val="18"/>
                <w:szCs w:val="18"/>
              </w:rPr>
            </w:pPr>
            <w:r>
              <w:rPr>
                <w:color w:val="000000"/>
                <w:sz w:val="18"/>
                <w:szCs w:val="18"/>
              </w:rPr>
              <w:t>220,000.00</w:t>
            </w:r>
          </w:p>
        </w:tc>
        <w:tc>
          <w:tcPr>
            <w:tcW w:w="1412" w:type="dxa"/>
            <w:gridSpan w:val="2"/>
            <w:tcBorders>
              <w:top w:val="nil"/>
              <w:left w:val="nil"/>
              <w:bottom w:val="single" w:sz="8" w:space="0" w:color="auto"/>
              <w:right w:val="single" w:sz="8" w:space="0" w:color="auto"/>
            </w:tcBorders>
            <w:shd w:val="clear" w:color="auto" w:fill="auto"/>
            <w:vAlign w:val="center"/>
            <w:hideMark/>
          </w:tcPr>
          <w:p w14:paraId="6B98539A" w14:textId="77777777" w:rsidR="009D6D4E" w:rsidRDefault="009D6D4E" w:rsidP="00BF3B71">
            <w:pPr>
              <w:jc w:val="right"/>
              <w:rPr>
                <w:color w:val="000000"/>
                <w:sz w:val="18"/>
                <w:szCs w:val="18"/>
              </w:rPr>
            </w:pPr>
            <w:r>
              <w:rPr>
                <w:color w:val="000000"/>
                <w:sz w:val="18"/>
                <w:szCs w:val="18"/>
              </w:rPr>
              <w:t>0.00</w:t>
            </w:r>
          </w:p>
        </w:tc>
        <w:tc>
          <w:tcPr>
            <w:tcW w:w="862" w:type="dxa"/>
            <w:gridSpan w:val="2"/>
            <w:tcBorders>
              <w:top w:val="nil"/>
              <w:left w:val="nil"/>
              <w:bottom w:val="single" w:sz="8" w:space="0" w:color="auto"/>
              <w:right w:val="single" w:sz="8" w:space="0" w:color="auto"/>
            </w:tcBorders>
            <w:shd w:val="clear" w:color="auto" w:fill="auto"/>
            <w:vAlign w:val="center"/>
            <w:hideMark/>
          </w:tcPr>
          <w:p w14:paraId="4DCC268B" w14:textId="77777777" w:rsidR="009D6D4E" w:rsidRDefault="009D6D4E" w:rsidP="00BF3B71">
            <w:pPr>
              <w:jc w:val="right"/>
              <w:rPr>
                <w:color w:val="000000"/>
                <w:sz w:val="18"/>
                <w:szCs w:val="18"/>
              </w:rPr>
            </w:pPr>
            <w:r>
              <w:rPr>
                <w:color w:val="000000"/>
                <w:sz w:val="18"/>
                <w:szCs w:val="18"/>
              </w:rPr>
              <w:t>0.00</w:t>
            </w:r>
          </w:p>
        </w:tc>
        <w:tc>
          <w:tcPr>
            <w:tcW w:w="1450" w:type="dxa"/>
            <w:tcBorders>
              <w:top w:val="nil"/>
              <w:left w:val="nil"/>
              <w:bottom w:val="single" w:sz="8" w:space="0" w:color="auto"/>
              <w:right w:val="single" w:sz="8" w:space="0" w:color="auto"/>
            </w:tcBorders>
            <w:shd w:val="clear" w:color="auto" w:fill="auto"/>
            <w:vAlign w:val="center"/>
            <w:hideMark/>
          </w:tcPr>
          <w:p w14:paraId="2BEF760B" w14:textId="77777777" w:rsidR="009D6D4E" w:rsidRDefault="009D6D4E" w:rsidP="00BF3B71">
            <w:pPr>
              <w:jc w:val="right"/>
              <w:rPr>
                <w:color w:val="000000"/>
                <w:sz w:val="18"/>
                <w:szCs w:val="18"/>
              </w:rPr>
            </w:pPr>
            <w:r>
              <w:rPr>
                <w:color w:val="000000"/>
                <w:sz w:val="18"/>
                <w:szCs w:val="18"/>
              </w:rPr>
              <w:t>0.00</w:t>
            </w:r>
          </w:p>
        </w:tc>
        <w:tc>
          <w:tcPr>
            <w:tcW w:w="1026" w:type="dxa"/>
            <w:tcBorders>
              <w:top w:val="nil"/>
              <w:left w:val="nil"/>
              <w:bottom w:val="single" w:sz="8" w:space="0" w:color="auto"/>
              <w:right w:val="single" w:sz="8" w:space="0" w:color="auto"/>
            </w:tcBorders>
            <w:shd w:val="clear" w:color="auto" w:fill="auto"/>
            <w:vAlign w:val="center"/>
            <w:hideMark/>
          </w:tcPr>
          <w:p w14:paraId="1C904BC8" w14:textId="77777777" w:rsidR="009D6D4E" w:rsidRDefault="009D6D4E" w:rsidP="00BF3B71">
            <w:pPr>
              <w:jc w:val="right"/>
              <w:rPr>
                <w:b/>
                <w:bCs/>
                <w:color w:val="000000"/>
                <w:sz w:val="18"/>
                <w:szCs w:val="18"/>
              </w:rPr>
            </w:pPr>
            <w:r>
              <w:rPr>
                <w:b/>
                <w:bCs/>
                <w:color w:val="000000"/>
                <w:sz w:val="18"/>
                <w:szCs w:val="18"/>
              </w:rPr>
              <w:t>240,000</w:t>
            </w:r>
          </w:p>
        </w:tc>
      </w:tr>
    </w:tbl>
    <w:p w14:paraId="38D58840" w14:textId="77777777" w:rsidR="009D6D4E" w:rsidRDefault="009D6D4E" w:rsidP="009D6D4E"/>
    <w:tbl>
      <w:tblPr>
        <w:tblW w:w="10344" w:type="dxa"/>
        <w:tblLook w:val="04A0" w:firstRow="1" w:lastRow="0" w:firstColumn="1" w:lastColumn="0" w:noHBand="0" w:noVBand="1"/>
      </w:tblPr>
      <w:tblGrid>
        <w:gridCol w:w="732"/>
        <w:gridCol w:w="72"/>
        <w:gridCol w:w="900"/>
        <w:gridCol w:w="854"/>
        <w:gridCol w:w="324"/>
        <w:gridCol w:w="1398"/>
        <w:gridCol w:w="970"/>
        <w:gridCol w:w="599"/>
        <w:gridCol w:w="997"/>
        <w:gridCol w:w="890"/>
        <w:gridCol w:w="270"/>
        <w:gridCol w:w="1259"/>
        <w:gridCol w:w="100"/>
        <w:gridCol w:w="979"/>
      </w:tblGrid>
      <w:tr w:rsidR="009D6D4E" w14:paraId="0047447C" w14:textId="77777777" w:rsidTr="00BF3B71">
        <w:trPr>
          <w:trHeight w:val="432"/>
        </w:trPr>
        <w:tc>
          <w:tcPr>
            <w:tcW w:w="10344"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72D8BFE9" w14:textId="77777777" w:rsidR="009D6D4E" w:rsidRDefault="009D6D4E" w:rsidP="00BF3B71">
            <w:pPr>
              <w:jc w:val="both"/>
              <w:rPr>
                <w:b/>
                <w:bCs/>
                <w:color w:val="000000"/>
                <w:sz w:val="18"/>
                <w:szCs w:val="18"/>
              </w:rPr>
            </w:pPr>
            <w:r>
              <w:rPr>
                <w:b/>
                <w:bCs/>
                <w:color w:val="000000"/>
                <w:sz w:val="18"/>
                <w:szCs w:val="18"/>
              </w:rPr>
              <w:t xml:space="preserve">Tabela 10 a.: Kostimi i masës së reformës strukturore : Masa #6  Ngritja e konkurrueshmwrisw nw sektorin e tregtisw nw shwrbime </w:t>
            </w:r>
          </w:p>
        </w:tc>
      </w:tr>
      <w:tr w:rsidR="009D6D4E" w14:paraId="56731EF9" w14:textId="77777777" w:rsidTr="00BF3B71">
        <w:trPr>
          <w:trHeight w:val="469"/>
        </w:trPr>
        <w:tc>
          <w:tcPr>
            <w:tcW w:w="805" w:type="dxa"/>
            <w:gridSpan w:val="2"/>
            <w:tcBorders>
              <w:top w:val="nil"/>
              <w:left w:val="single" w:sz="4" w:space="0" w:color="auto"/>
              <w:bottom w:val="single" w:sz="4" w:space="0" w:color="auto"/>
              <w:right w:val="single" w:sz="4" w:space="0" w:color="auto"/>
            </w:tcBorders>
            <w:shd w:val="clear" w:color="000000" w:fill="FFFFFF"/>
            <w:vAlign w:val="center"/>
            <w:hideMark/>
          </w:tcPr>
          <w:p w14:paraId="491AFFD2" w14:textId="77777777" w:rsidR="009D6D4E" w:rsidRDefault="009D6D4E" w:rsidP="00BF3B71">
            <w:pPr>
              <w:jc w:val="both"/>
              <w:rPr>
                <w:color w:val="000000"/>
                <w:sz w:val="18"/>
                <w:szCs w:val="18"/>
              </w:rPr>
            </w:pPr>
            <w:r>
              <w:rPr>
                <w:color w:val="000000"/>
                <w:sz w:val="18"/>
                <w:szCs w:val="18"/>
              </w:rPr>
              <w:t xml:space="preserve">Viti </w:t>
            </w:r>
          </w:p>
        </w:tc>
        <w:tc>
          <w:tcPr>
            <w:tcW w:w="2070" w:type="dxa"/>
            <w:gridSpan w:val="3"/>
            <w:tcBorders>
              <w:top w:val="nil"/>
              <w:left w:val="nil"/>
              <w:bottom w:val="single" w:sz="4" w:space="0" w:color="auto"/>
              <w:right w:val="single" w:sz="4" w:space="0" w:color="auto"/>
            </w:tcBorders>
            <w:shd w:val="clear" w:color="auto" w:fill="auto"/>
            <w:vAlign w:val="center"/>
            <w:hideMark/>
          </w:tcPr>
          <w:p w14:paraId="2BD4ECAA" w14:textId="77777777" w:rsidR="009D6D4E" w:rsidRDefault="009D6D4E" w:rsidP="00BF3B71">
            <w:pPr>
              <w:jc w:val="right"/>
              <w:rPr>
                <w:color w:val="000000"/>
                <w:sz w:val="18"/>
                <w:szCs w:val="18"/>
              </w:rPr>
            </w:pPr>
            <w:r>
              <w:rPr>
                <w:color w:val="000000"/>
                <w:sz w:val="18"/>
                <w:szCs w:val="18"/>
              </w:rPr>
              <w:t>Pagat</w:t>
            </w:r>
          </w:p>
        </w:tc>
        <w:tc>
          <w:tcPr>
            <w:tcW w:w="2970" w:type="dxa"/>
            <w:gridSpan w:val="3"/>
            <w:tcBorders>
              <w:top w:val="nil"/>
              <w:left w:val="nil"/>
              <w:bottom w:val="single" w:sz="4" w:space="0" w:color="auto"/>
              <w:right w:val="single" w:sz="4" w:space="0" w:color="auto"/>
            </w:tcBorders>
            <w:shd w:val="clear" w:color="auto" w:fill="auto"/>
            <w:vAlign w:val="center"/>
            <w:hideMark/>
          </w:tcPr>
          <w:p w14:paraId="228801AA" w14:textId="77777777" w:rsidR="009D6D4E" w:rsidRDefault="009D6D4E" w:rsidP="00BF3B71">
            <w:pPr>
              <w:jc w:val="right"/>
              <w:rPr>
                <w:color w:val="000000"/>
                <w:sz w:val="18"/>
                <w:szCs w:val="18"/>
              </w:rPr>
            </w:pPr>
            <w:r>
              <w:rPr>
                <w:color w:val="000000"/>
                <w:sz w:val="18"/>
                <w:szCs w:val="18"/>
              </w:rPr>
              <w:t>Mallra dhe shërbime</w:t>
            </w:r>
          </w:p>
        </w:tc>
        <w:tc>
          <w:tcPr>
            <w:tcW w:w="2160" w:type="dxa"/>
            <w:gridSpan w:val="3"/>
            <w:tcBorders>
              <w:top w:val="nil"/>
              <w:left w:val="nil"/>
              <w:bottom w:val="single" w:sz="4" w:space="0" w:color="auto"/>
              <w:right w:val="single" w:sz="4" w:space="0" w:color="auto"/>
            </w:tcBorders>
            <w:shd w:val="clear" w:color="auto" w:fill="auto"/>
            <w:vAlign w:val="center"/>
            <w:hideMark/>
          </w:tcPr>
          <w:p w14:paraId="56B48A4F" w14:textId="77777777" w:rsidR="009D6D4E" w:rsidRDefault="009D6D4E" w:rsidP="00BF3B71">
            <w:pPr>
              <w:jc w:val="right"/>
              <w:rPr>
                <w:color w:val="000000"/>
                <w:sz w:val="18"/>
                <w:szCs w:val="18"/>
              </w:rPr>
            </w:pPr>
            <w:r>
              <w:rPr>
                <w:color w:val="000000"/>
                <w:sz w:val="18"/>
                <w:szCs w:val="18"/>
              </w:rPr>
              <w:t>Subvencione dhe transfere</w:t>
            </w:r>
          </w:p>
        </w:tc>
        <w:tc>
          <w:tcPr>
            <w:tcW w:w="1260" w:type="dxa"/>
            <w:tcBorders>
              <w:top w:val="nil"/>
              <w:left w:val="nil"/>
              <w:bottom w:val="single" w:sz="4" w:space="0" w:color="auto"/>
              <w:right w:val="single" w:sz="4" w:space="0" w:color="auto"/>
            </w:tcBorders>
            <w:shd w:val="clear" w:color="auto" w:fill="auto"/>
            <w:vAlign w:val="center"/>
            <w:hideMark/>
          </w:tcPr>
          <w:p w14:paraId="672AD156" w14:textId="77777777" w:rsidR="009D6D4E" w:rsidRDefault="009D6D4E" w:rsidP="00BF3B71">
            <w:pPr>
              <w:jc w:val="right"/>
              <w:rPr>
                <w:color w:val="000000"/>
                <w:sz w:val="18"/>
                <w:szCs w:val="18"/>
              </w:rPr>
            </w:pPr>
            <w:r>
              <w:rPr>
                <w:color w:val="000000"/>
                <w:sz w:val="18"/>
                <w:szCs w:val="18"/>
              </w:rPr>
              <w:t xml:space="preserve">Shpenzimet kapitale </w:t>
            </w:r>
          </w:p>
        </w:tc>
        <w:tc>
          <w:tcPr>
            <w:tcW w:w="1079" w:type="dxa"/>
            <w:gridSpan w:val="2"/>
            <w:tcBorders>
              <w:top w:val="nil"/>
              <w:left w:val="nil"/>
              <w:bottom w:val="single" w:sz="4" w:space="0" w:color="auto"/>
              <w:right w:val="single" w:sz="4" w:space="0" w:color="auto"/>
            </w:tcBorders>
            <w:shd w:val="clear" w:color="auto" w:fill="auto"/>
            <w:vAlign w:val="center"/>
            <w:hideMark/>
          </w:tcPr>
          <w:p w14:paraId="70ADCBDF" w14:textId="77777777" w:rsidR="009D6D4E" w:rsidRPr="00534399" w:rsidRDefault="009D6D4E" w:rsidP="00BF3B71">
            <w:pPr>
              <w:jc w:val="both"/>
              <w:rPr>
                <w:b/>
                <w:color w:val="000000"/>
                <w:sz w:val="18"/>
                <w:szCs w:val="18"/>
              </w:rPr>
            </w:pPr>
            <w:r w:rsidRPr="00534399">
              <w:rPr>
                <w:b/>
                <w:color w:val="000000"/>
                <w:sz w:val="18"/>
                <w:szCs w:val="18"/>
              </w:rPr>
              <w:t xml:space="preserve">Totali </w:t>
            </w:r>
          </w:p>
        </w:tc>
      </w:tr>
      <w:tr w:rsidR="009D6D4E" w14:paraId="65CF0A9B" w14:textId="77777777" w:rsidTr="00BF3B71">
        <w:trPr>
          <w:trHeight w:val="233"/>
        </w:trPr>
        <w:tc>
          <w:tcPr>
            <w:tcW w:w="805" w:type="dxa"/>
            <w:gridSpan w:val="2"/>
            <w:tcBorders>
              <w:top w:val="nil"/>
              <w:left w:val="single" w:sz="4" w:space="0" w:color="auto"/>
              <w:bottom w:val="single" w:sz="4" w:space="0" w:color="auto"/>
              <w:right w:val="single" w:sz="4" w:space="0" w:color="auto"/>
            </w:tcBorders>
            <w:shd w:val="clear" w:color="auto" w:fill="auto"/>
            <w:vAlign w:val="center"/>
            <w:hideMark/>
          </w:tcPr>
          <w:p w14:paraId="19782521" w14:textId="77777777" w:rsidR="009D6D4E" w:rsidRDefault="009D6D4E" w:rsidP="00BF3B71">
            <w:pPr>
              <w:jc w:val="both"/>
              <w:rPr>
                <w:color w:val="000000"/>
                <w:sz w:val="18"/>
                <w:szCs w:val="18"/>
              </w:rPr>
            </w:pPr>
            <w:r>
              <w:rPr>
                <w:color w:val="000000"/>
                <w:sz w:val="18"/>
                <w:szCs w:val="18"/>
              </w:rPr>
              <w:t>2020</w:t>
            </w:r>
          </w:p>
        </w:tc>
        <w:tc>
          <w:tcPr>
            <w:tcW w:w="2070" w:type="dxa"/>
            <w:gridSpan w:val="3"/>
            <w:tcBorders>
              <w:top w:val="nil"/>
              <w:left w:val="nil"/>
              <w:bottom w:val="single" w:sz="4" w:space="0" w:color="auto"/>
              <w:right w:val="single" w:sz="4" w:space="0" w:color="auto"/>
            </w:tcBorders>
            <w:shd w:val="clear" w:color="auto" w:fill="auto"/>
            <w:vAlign w:val="center"/>
            <w:hideMark/>
          </w:tcPr>
          <w:p w14:paraId="31352154" w14:textId="77777777" w:rsidR="009D6D4E" w:rsidRDefault="009D6D4E" w:rsidP="00BF3B71">
            <w:pPr>
              <w:jc w:val="right"/>
              <w:rPr>
                <w:color w:val="000000"/>
                <w:sz w:val="18"/>
                <w:szCs w:val="18"/>
              </w:rPr>
            </w:pPr>
            <w:r>
              <w:rPr>
                <w:color w:val="000000"/>
                <w:sz w:val="18"/>
                <w:szCs w:val="18"/>
              </w:rPr>
              <w:t>0.00</w:t>
            </w:r>
          </w:p>
        </w:tc>
        <w:tc>
          <w:tcPr>
            <w:tcW w:w="2970" w:type="dxa"/>
            <w:gridSpan w:val="3"/>
            <w:tcBorders>
              <w:top w:val="nil"/>
              <w:left w:val="nil"/>
              <w:bottom w:val="single" w:sz="4" w:space="0" w:color="auto"/>
              <w:right w:val="single" w:sz="4" w:space="0" w:color="auto"/>
            </w:tcBorders>
            <w:shd w:val="clear" w:color="auto" w:fill="auto"/>
            <w:vAlign w:val="center"/>
            <w:hideMark/>
          </w:tcPr>
          <w:p w14:paraId="5E4C7226" w14:textId="77777777" w:rsidR="009D6D4E" w:rsidRDefault="009D6D4E" w:rsidP="00BF3B71">
            <w:pPr>
              <w:jc w:val="right"/>
              <w:rPr>
                <w:color w:val="000000"/>
                <w:sz w:val="18"/>
                <w:szCs w:val="18"/>
              </w:rPr>
            </w:pPr>
            <w:r>
              <w:rPr>
                <w:color w:val="000000"/>
                <w:sz w:val="18"/>
                <w:szCs w:val="18"/>
              </w:rPr>
              <w:t>27000.00</w:t>
            </w:r>
          </w:p>
        </w:tc>
        <w:tc>
          <w:tcPr>
            <w:tcW w:w="2160" w:type="dxa"/>
            <w:gridSpan w:val="3"/>
            <w:tcBorders>
              <w:top w:val="nil"/>
              <w:left w:val="nil"/>
              <w:bottom w:val="single" w:sz="4" w:space="0" w:color="auto"/>
              <w:right w:val="single" w:sz="4" w:space="0" w:color="auto"/>
            </w:tcBorders>
            <w:shd w:val="clear" w:color="auto" w:fill="auto"/>
            <w:vAlign w:val="center"/>
            <w:hideMark/>
          </w:tcPr>
          <w:p w14:paraId="35C40574" w14:textId="77777777" w:rsidR="009D6D4E" w:rsidRDefault="009D6D4E" w:rsidP="00BF3B71">
            <w:pPr>
              <w:jc w:val="right"/>
              <w:rPr>
                <w:color w:val="000000"/>
                <w:sz w:val="18"/>
                <w:szCs w:val="18"/>
              </w:rPr>
            </w:pPr>
            <w:r>
              <w:rPr>
                <w:color w:val="000000"/>
                <w:sz w:val="18"/>
                <w:szCs w:val="18"/>
              </w:rPr>
              <w:t>0.00</w:t>
            </w:r>
          </w:p>
        </w:tc>
        <w:tc>
          <w:tcPr>
            <w:tcW w:w="1260" w:type="dxa"/>
            <w:tcBorders>
              <w:top w:val="nil"/>
              <w:left w:val="nil"/>
              <w:bottom w:val="single" w:sz="4" w:space="0" w:color="auto"/>
              <w:right w:val="single" w:sz="4" w:space="0" w:color="auto"/>
            </w:tcBorders>
            <w:shd w:val="clear" w:color="auto" w:fill="auto"/>
            <w:vAlign w:val="center"/>
            <w:hideMark/>
          </w:tcPr>
          <w:p w14:paraId="3C121153" w14:textId="77777777" w:rsidR="009D6D4E" w:rsidRDefault="009D6D4E" w:rsidP="00BF3B71">
            <w:pPr>
              <w:jc w:val="right"/>
              <w:rPr>
                <w:color w:val="000000"/>
                <w:sz w:val="18"/>
                <w:szCs w:val="18"/>
              </w:rPr>
            </w:pPr>
            <w:r>
              <w:rPr>
                <w:color w:val="000000"/>
                <w:sz w:val="18"/>
                <w:szCs w:val="18"/>
              </w:rPr>
              <w:t>10000.00</w:t>
            </w:r>
          </w:p>
        </w:tc>
        <w:tc>
          <w:tcPr>
            <w:tcW w:w="1079" w:type="dxa"/>
            <w:gridSpan w:val="2"/>
            <w:tcBorders>
              <w:top w:val="nil"/>
              <w:left w:val="nil"/>
              <w:bottom w:val="single" w:sz="4" w:space="0" w:color="auto"/>
              <w:right w:val="single" w:sz="4" w:space="0" w:color="auto"/>
            </w:tcBorders>
            <w:shd w:val="clear" w:color="000000" w:fill="FFFFFF"/>
            <w:vAlign w:val="center"/>
            <w:hideMark/>
          </w:tcPr>
          <w:p w14:paraId="1C2F835B" w14:textId="77777777" w:rsidR="009D6D4E" w:rsidRPr="00080097" w:rsidRDefault="009D6D4E" w:rsidP="00BF3B71">
            <w:pPr>
              <w:jc w:val="both"/>
              <w:rPr>
                <w:b/>
                <w:color w:val="000000"/>
                <w:sz w:val="18"/>
                <w:szCs w:val="18"/>
              </w:rPr>
            </w:pPr>
            <w:r w:rsidRPr="00080097">
              <w:rPr>
                <w:b/>
                <w:color w:val="000000"/>
                <w:sz w:val="18"/>
                <w:szCs w:val="18"/>
              </w:rPr>
              <w:t xml:space="preserve">                            37,000 </w:t>
            </w:r>
          </w:p>
        </w:tc>
      </w:tr>
      <w:tr w:rsidR="009D6D4E" w14:paraId="087906D0" w14:textId="77777777" w:rsidTr="00BF3B71">
        <w:trPr>
          <w:trHeight w:val="260"/>
        </w:trPr>
        <w:tc>
          <w:tcPr>
            <w:tcW w:w="805" w:type="dxa"/>
            <w:gridSpan w:val="2"/>
            <w:tcBorders>
              <w:top w:val="nil"/>
              <w:left w:val="single" w:sz="4" w:space="0" w:color="auto"/>
              <w:bottom w:val="single" w:sz="4" w:space="0" w:color="auto"/>
              <w:right w:val="single" w:sz="4" w:space="0" w:color="auto"/>
            </w:tcBorders>
            <w:shd w:val="clear" w:color="auto" w:fill="auto"/>
            <w:vAlign w:val="center"/>
            <w:hideMark/>
          </w:tcPr>
          <w:p w14:paraId="52D6C043" w14:textId="77777777" w:rsidR="009D6D4E" w:rsidRDefault="009D6D4E" w:rsidP="00BF3B71">
            <w:pPr>
              <w:jc w:val="both"/>
              <w:rPr>
                <w:color w:val="000000"/>
                <w:sz w:val="18"/>
                <w:szCs w:val="18"/>
              </w:rPr>
            </w:pPr>
            <w:r>
              <w:rPr>
                <w:color w:val="000000"/>
                <w:sz w:val="18"/>
                <w:szCs w:val="18"/>
              </w:rPr>
              <w:t>2021</w:t>
            </w:r>
          </w:p>
        </w:tc>
        <w:tc>
          <w:tcPr>
            <w:tcW w:w="2070" w:type="dxa"/>
            <w:gridSpan w:val="3"/>
            <w:tcBorders>
              <w:top w:val="nil"/>
              <w:left w:val="nil"/>
              <w:bottom w:val="single" w:sz="4" w:space="0" w:color="auto"/>
              <w:right w:val="single" w:sz="4" w:space="0" w:color="auto"/>
            </w:tcBorders>
            <w:shd w:val="clear" w:color="auto" w:fill="auto"/>
            <w:vAlign w:val="center"/>
            <w:hideMark/>
          </w:tcPr>
          <w:p w14:paraId="139AB005" w14:textId="77777777" w:rsidR="009D6D4E" w:rsidRDefault="009D6D4E" w:rsidP="00BF3B71">
            <w:pPr>
              <w:jc w:val="right"/>
              <w:rPr>
                <w:color w:val="000000"/>
                <w:sz w:val="18"/>
                <w:szCs w:val="18"/>
              </w:rPr>
            </w:pPr>
            <w:r>
              <w:rPr>
                <w:color w:val="000000"/>
                <w:sz w:val="18"/>
                <w:szCs w:val="18"/>
              </w:rPr>
              <w:t>0.00</w:t>
            </w:r>
          </w:p>
        </w:tc>
        <w:tc>
          <w:tcPr>
            <w:tcW w:w="2970" w:type="dxa"/>
            <w:gridSpan w:val="3"/>
            <w:tcBorders>
              <w:top w:val="nil"/>
              <w:left w:val="nil"/>
              <w:bottom w:val="single" w:sz="4" w:space="0" w:color="auto"/>
              <w:right w:val="single" w:sz="4" w:space="0" w:color="auto"/>
            </w:tcBorders>
            <w:shd w:val="clear" w:color="auto" w:fill="auto"/>
            <w:vAlign w:val="center"/>
            <w:hideMark/>
          </w:tcPr>
          <w:p w14:paraId="305F75F3" w14:textId="77777777" w:rsidR="009D6D4E" w:rsidRDefault="009D6D4E" w:rsidP="00BF3B71">
            <w:pPr>
              <w:jc w:val="right"/>
              <w:rPr>
                <w:color w:val="000000"/>
                <w:sz w:val="18"/>
                <w:szCs w:val="18"/>
              </w:rPr>
            </w:pPr>
            <w:r>
              <w:rPr>
                <w:color w:val="000000"/>
                <w:sz w:val="18"/>
                <w:szCs w:val="18"/>
              </w:rPr>
              <w:t>14000.00</w:t>
            </w:r>
          </w:p>
        </w:tc>
        <w:tc>
          <w:tcPr>
            <w:tcW w:w="2160" w:type="dxa"/>
            <w:gridSpan w:val="3"/>
            <w:tcBorders>
              <w:top w:val="nil"/>
              <w:left w:val="nil"/>
              <w:bottom w:val="single" w:sz="4" w:space="0" w:color="auto"/>
              <w:right w:val="single" w:sz="4" w:space="0" w:color="auto"/>
            </w:tcBorders>
            <w:shd w:val="clear" w:color="auto" w:fill="auto"/>
            <w:vAlign w:val="center"/>
            <w:hideMark/>
          </w:tcPr>
          <w:p w14:paraId="593CC5B7" w14:textId="77777777" w:rsidR="009D6D4E" w:rsidRDefault="009D6D4E" w:rsidP="00BF3B71">
            <w:pPr>
              <w:jc w:val="right"/>
              <w:rPr>
                <w:color w:val="000000"/>
                <w:sz w:val="18"/>
                <w:szCs w:val="18"/>
              </w:rPr>
            </w:pPr>
            <w:r>
              <w:rPr>
                <w:color w:val="000000"/>
                <w:sz w:val="18"/>
                <w:szCs w:val="18"/>
              </w:rPr>
              <w:t>0.00</w:t>
            </w:r>
          </w:p>
        </w:tc>
        <w:tc>
          <w:tcPr>
            <w:tcW w:w="1260" w:type="dxa"/>
            <w:tcBorders>
              <w:top w:val="nil"/>
              <w:left w:val="nil"/>
              <w:bottom w:val="single" w:sz="4" w:space="0" w:color="auto"/>
              <w:right w:val="single" w:sz="4" w:space="0" w:color="auto"/>
            </w:tcBorders>
            <w:shd w:val="clear" w:color="auto" w:fill="auto"/>
            <w:vAlign w:val="center"/>
            <w:hideMark/>
          </w:tcPr>
          <w:p w14:paraId="0B79E08A" w14:textId="77777777" w:rsidR="009D6D4E" w:rsidRDefault="009D6D4E" w:rsidP="00BF3B71">
            <w:pPr>
              <w:jc w:val="right"/>
              <w:rPr>
                <w:color w:val="000000"/>
                <w:sz w:val="18"/>
                <w:szCs w:val="18"/>
              </w:rPr>
            </w:pPr>
            <w:r>
              <w:rPr>
                <w:color w:val="000000"/>
                <w:sz w:val="18"/>
                <w:szCs w:val="18"/>
              </w:rPr>
              <w:t>0.00</w:t>
            </w:r>
          </w:p>
        </w:tc>
        <w:tc>
          <w:tcPr>
            <w:tcW w:w="1079" w:type="dxa"/>
            <w:gridSpan w:val="2"/>
            <w:tcBorders>
              <w:top w:val="nil"/>
              <w:left w:val="nil"/>
              <w:bottom w:val="single" w:sz="4" w:space="0" w:color="auto"/>
              <w:right w:val="single" w:sz="4" w:space="0" w:color="auto"/>
            </w:tcBorders>
            <w:shd w:val="clear" w:color="000000" w:fill="FFFFFF"/>
            <w:vAlign w:val="center"/>
            <w:hideMark/>
          </w:tcPr>
          <w:p w14:paraId="5DA7C68D" w14:textId="77777777" w:rsidR="009D6D4E" w:rsidRPr="00080097" w:rsidRDefault="009D6D4E" w:rsidP="00BF3B71">
            <w:pPr>
              <w:jc w:val="both"/>
              <w:rPr>
                <w:b/>
                <w:color w:val="000000"/>
                <w:sz w:val="18"/>
                <w:szCs w:val="18"/>
              </w:rPr>
            </w:pPr>
            <w:r w:rsidRPr="00080097">
              <w:rPr>
                <w:b/>
                <w:color w:val="000000"/>
                <w:sz w:val="18"/>
                <w:szCs w:val="18"/>
              </w:rPr>
              <w:t xml:space="preserve">                            14,000 </w:t>
            </w:r>
          </w:p>
        </w:tc>
      </w:tr>
      <w:tr w:rsidR="009D6D4E" w14:paraId="4CA92049" w14:textId="77777777" w:rsidTr="00BF3B71">
        <w:trPr>
          <w:trHeight w:val="288"/>
        </w:trPr>
        <w:tc>
          <w:tcPr>
            <w:tcW w:w="805" w:type="dxa"/>
            <w:gridSpan w:val="2"/>
            <w:tcBorders>
              <w:top w:val="nil"/>
              <w:left w:val="single" w:sz="4" w:space="0" w:color="auto"/>
              <w:bottom w:val="single" w:sz="4" w:space="0" w:color="auto"/>
              <w:right w:val="single" w:sz="4" w:space="0" w:color="auto"/>
            </w:tcBorders>
            <w:shd w:val="clear" w:color="auto" w:fill="auto"/>
            <w:vAlign w:val="center"/>
            <w:hideMark/>
          </w:tcPr>
          <w:p w14:paraId="26070925" w14:textId="77777777" w:rsidR="009D6D4E" w:rsidRDefault="009D6D4E" w:rsidP="00BF3B71">
            <w:pPr>
              <w:jc w:val="both"/>
              <w:rPr>
                <w:color w:val="000000"/>
                <w:sz w:val="18"/>
                <w:szCs w:val="18"/>
              </w:rPr>
            </w:pPr>
            <w:r>
              <w:rPr>
                <w:color w:val="000000"/>
                <w:sz w:val="18"/>
                <w:szCs w:val="18"/>
              </w:rPr>
              <w:t>2022</w:t>
            </w:r>
          </w:p>
        </w:tc>
        <w:tc>
          <w:tcPr>
            <w:tcW w:w="2070" w:type="dxa"/>
            <w:gridSpan w:val="3"/>
            <w:tcBorders>
              <w:top w:val="nil"/>
              <w:left w:val="nil"/>
              <w:bottom w:val="single" w:sz="4" w:space="0" w:color="auto"/>
              <w:right w:val="single" w:sz="4" w:space="0" w:color="auto"/>
            </w:tcBorders>
            <w:shd w:val="clear" w:color="auto" w:fill="auto"/>
            <w:vAlign w:val="center"/>
            <w:hideMark/>
          </w:tcPr>
          <w:p w14:paraId="76F69107" w14:textId="77777777" w:rsidR="009D6D4E" w:rsidRDefault="009D6D4E" w:rsidP="00BF3B71">
            <w:pPr>
              <w:jc w:val="right"/>
              <w:rPr>
                <w:color w:val="000000"/>
                <w:sz w:val="18"/>
                <w:szCs w:val="18"/>
              </w:rPr>
            </w:pPr>
            <w:r>
              <w:rPr>
                <w:color w:val="000000"/>
                <w:sz w:val="18"/>
                <w:szCs w:val="18"/>
              </w:rPr>
              <w:t>0.00</w:t>
            </w:r>
          </w:p>
        </w:tc>
        <w:tc>
          <w:tcPr>
            <w:tcW w:w="2970" w:type="dxa"/>
            <w:gridSpan w:val="3"/>
            <w:tcBorders>
              <w:top w:val="nil"/>
              <w:left w:val="nil"/>
              <w:bottom w:val="single" w:sz="4" w:space="0" w:color="auto"/>
              <w:right w:val="single" w:sz="4" w:space="0" w:color="auto"/>
            </w:tcBorders>
            <w:shd w:val="clear" w:color="auto" w:fill="auto"/>
            <w:vAlign w:val="center"/>
            <w:hideMark/>
          </w:tcPr>
          <w:p w14:paraId="6C26A969" w14:textId="77777777" w:rsidR="009D6D4E" w:rsidRDefault="009D6D4E" w:rsidP="00BF3B71">
            <w:pPr>
              <w:jc w:val="right"/>
              <w:rPr>
                <w:color w:val="000000"/>
                <w:sz w:val="18"/>
                <w:szCs w:val="18"/>
              </w:rPr>
            </w:pPr>
            <w:r>
              <w:rPr>
                <w:color w:val="000000"/>
                <w:sz w:val="18"/>
                <w:szCs w:val="18"/>
              </w:rPr>
              <w:t>34000.00</w:t>
            </w:r>
          </w:p>
        </w:tc>
        <w:tc>
          <w:tcPr>
            <w:tcW w:w="2160" w:type="dxa"/>
            <w:gridSpan w:val="3"/>
            <w:tcBorders>
              <w:top w:val="nil"/>
              <w:left w:val="nil"/>
              <w:bottom w:val="single" w:sz="4" w:space="0" w:color="auto"/>
              <w:right w:val="single" w:sz="4" w:space="0" w:color="auto"/>
            </w:tcBorders>
            <w:shd w:val="clear" w:color="auto" w:fill="auto"/>
            <w:vAlign w:val="center"/>
            <w:hideMark/>
          </w:tcPr>
          <w:p w14:paraId="223E0254" w14:textId="77777777" w:rsidR="009D6D4E" w:rsidRDefault="009D6D4E" w:rsidP="00BF3B71">
            <w:pPr>
              <w:jc w:val="right"/>
              <w:rPr>
                <w:color w:val="000000"/>
                <w:sz w:val="18"/>
                <w:szCs w:val="18"/>
              </w:rPr>
            </w:pPr>
            <w:r>
              <w:rPr>
                <w:color w:val="000000"/>
                <w:sz w:val="18"/>
                <w:szCs w:val="18"/>
              </w:rPr>
              <w:t>0.00</w:t>
            </w:r>
          </w:p>
        </w:tc>
        <w:tc>
          <w:tcPr>
            <w:tcW w:w="1260" w:type="dxa"/>
            <w:tcBorders>
              <w:top w:val="nil"/>
              <w:left w:val="nil"/>
              <w:bottom w:val="single" w:sz="4" w:space="0" w:color="auto"/>
              <w:right w:val="single" w:sz="4" w:space="0" w:color="auto"/>
            </w:tcBorders>
            <w:shd w:val="clear" w:color="auto" w:fill="auto"/>
            <w:vAlign w:val="center"/>
            <w:hideMark/>
          </w:tcPr>
          <w:p w14:paraId="3FEC1A9F" w14:textId="77777777" w:rsidR="009D6D4E" w:rsidRDefault="009D6D4E" w:rsidP="00BF3B71">
            <w:pPr>
              <w:jc w:val="right"/>
              <w:rPr>
                <w:color w:val="000000"/>
                <w:sz w:val="18"/>
                <w:szCs w:val="18"/>
              </w:rPr>
            </w:pPr>
            <w:r>
              <w:rPr>
                <w:color w:val="000000"/>
                <w:sz w:val="18"/>
                <w:szCs w:val="18"/>
              </w:rPr>
              <w:t>0.00</w:t>
            </w:r>
          </w:p>
        </w:tc>
        <w:tc>
          <w:tcPr>
            <w:tcW w:w="1079" w:type="dxa"/>
            <w:gridSpan w:val="2"/>
            <w:tcBorders>
              <w:top w:val="nil"/>
              <w:left w:val="nil"/>
              <w:bottom w:val="single" w:sz="4" w:space="0" w:color="auto"/>
              <w:right w:val="single" w:sz="4" w:space="0" w:color="auto"/>
            </w:tcBorders>
            <w:shd w:val="clear" w:color="000000" w:fill="FFFFFF"/>
            <w:vAlign w:val="center"/>
            <w:hideMark/>
          </w:tcPr>
          <w:p w14:paraId="5FC611E3" w14:textId="77777777" w:rsidR="009D6D4E" w:rsidRPr="00080097" w:rsidRDefault="009D6D4E" w:rsidP="00BF3B71">
            <w:pPr>
              <w:jc w:val="both"/>
              <w:rPr>
                <w:b/>
                <w:color w:val="000000"/>
                <w:sz w:val="18"/>
                <w:szCs w:val="18"/>
              </w:rPr>
            </w:pPr>
            <w:r w:rsidRPr="00080097">
              <w:rPr>
                <w:b/>
                <w:color w:val="000000"/>
                <w:sz w:val="18"/>
                <w:szCs w:val="18"/>
              </w:rPr>
              <w:t xml:space="preserve">                            34,000 </w:t>
            </w:r>
          </w:p>
        </w:tc>
      </w:tr>
      <w:tr w:rsidR="009D6D4E" w14:paraId="661CD480" w14:textId="77777777" w:rsidTr="00BF3B71">
        <w:trPr>
          <w:trHeight w:val="306"/>
        </w:trPr>
        <w:tc>
          <w:tcPr>
            <w:tcW w:w="10344" w:type="dxa"/>
            <w:gridSpan w:val="14"/>
            <w:tcBorders>
              <w:top w:val="single" w:sz="8" w:space="0" w:color="auto"/>
              <w:left w:val="single" w:sz="8" w:space="0" w:color="auto"/>
              <w:bottom w:val="single" w:sz="8" w:space="0" w:color="auto"/>
              <w:right w:val="single" w:sz="8" w:space="0" w:color="000000"/>
            </w:tcBorders>
            <w:shd w:val="clear" w:color="auto" w:fill="auto"/>
            <w:vAlign w:val="center"/>
            <w:hideMark/>
          </w:tcPr>
          <w:p w14:paraId="0F485CCD" w14:textId="77777777" w:rsidR="009D6D4E" w:rsidRDefault="009D6D4E" w:rsidP="00BF3B71">
            <w:pPr>
              <w:jc w:val="both"/>
              <w:rPr>
                <w:b/>
                <w:bCs/>
                <w:color w:val="000000"/>
                <w:sz w:val="18"/>
                <w:szCs w:val="18"/>
              </w:rPr>
            </w:pPr>
            <w:r>
              <w:rPr>
                <w:b/>
                <w:bCs/>
                <w:color w:val="000000"/>
                <w:sz w:val="18"/>
                <w:szCs w:val="18"/>
              </w:rPr>
              <w:t>Tabela 10.b:Financimi i masës së reformës strukturore: Masa #6 Ngritja e konkurrueshmwrisw nw sektorin e tregtisw nw shwrbime</w:t>
            </w:r>
          </w:p>
        </w:tc>
      </w:tr>
      <w:tr w:rsidR="009D6D4E" w14:paraId="4C913525" w14:textId="77777777" w:rsidTr="00BF3B71">
        <w:trPr>
          <w:trHeight w:val="487"/>
        </w:trPr>
        <w:tc>
          <w:tcPr>
            <w:tcW w:w="733" w:type="dxa"/>
            <w:tcBorders>
              <w:top w:val="nil"/>
              <w:left w:val="single" w:sz="8" w:space="0" w:color="auto"/>
              <w:bottom w:val="single" w:sz="8" w:space="0" w:color="auto"/>
              <w:right w:val="single" w:sz="8" w:space="0" w:color="auto"/>
            </w:tcBorders>
            <w:shd w:val="clear" w:color="auto" w:fill="auto"/>
            <w:vAlign w:val="center"/>
            <w:hideMark/>
          </w:tcPr>
          <w:p w14:paraId="7B111CE5" w14:textId="77777777" w:rsidR="009D6D4E" w:rsidRDefault="009D6D4E" w:rsidP="00BF3B71">
            <w:pPr>
              <w:rPr>
                <w:color w:val="000000"/>
                <w:sz w:val="18"/>
                <w:szCs w:val="18"/>
              </w:rPr>
            </w:pPr>
            <w:r>
              <w:rPr>
                <w:color w:val="000000"/>
                <w:sz w:val="18"/>
                <w:szCs w:val="18"/>
              </w:rPr>
              <w:t xml:space="preserve">Viti </w:t>
            </w:r>
          </w:p>
        </w:tc>
        <w:tc>
          <w:tcPr>
            <w:tcW w:w="972" w:type="dxa"/>
            <w:gridSpan w:val="2"/>
            <w:tcBorders>
              <w:top w:val="nil"/>
              <w:left w:val="nil"/>
              <w:bottom w:val="single" w:sz="8" w:space="0" w:color="auto"/>
              <w:right w:val="single" w:sz="8" w:space="0" w:color="auto"/>
            </w:tcBorders>
            <w:shd w:val="clear" w:color="auto" w:fill="auto"/>
            <w:vAlign w:val="center"/>
            <w:hideMark/>
          </w:tcPr>
          <w:p w14:paraId="5A8E7AB2" w14:textId="77777777" w:rsidR="009D6D4E" w:rsidRDefault="009D6D4E" w:rsidP="00BF3B71">
            <w:pPr>
              <w:rPr>
                <w:color w:val="000000"/>
                <w:sz w:val="18"/>
                <w:szCs w:val="18"/>
              </w:rPr>
            </w:pPr>
            <w:r>
              <w:rPr>
                <w:color w:val="000000"/>
                <w:sz w:val="18"/>
                <w:szCs w:val="18"/>
              </w:rPr>
              <w:t>Buxheti Qendror</w:t>
            </w:r>
          </w:p>
        </w:tc>
        <w:tc>
          <w:tcPr>
            <w:tcW w:w="846" w:type="dxa"/>
            <w:tcBorders>
              <w:top w:val="nil"/>
              <w:left w:val="nil"/>
              <w:bottom w:val="single" w:sz="8" w:space="0" w:color="auto"/>
              <w:right w:val="single" w:sz="8" w:space="0" w:color="auto"/>
            </w:tcBorders>
            <w:shd w:val="clear" w:color="auto" w:fill="auto"/>
            <w:vAlign w:val="center"/>
            <w:hideMark/>
          </w:tcPr>
          <w:p w14:paraId="2705E219" w14:textId="77777777" w:rsidR="009D6D4E" w:rsidRDefault="009D6D4E" w:rsidP="00BF3B71">
            <w:pPr>
              <w:rPr>
                <w:color w:val="000000"/>
                <w:sz w:val="18"/>
                <w:szCs w:val="18"/>
              </w:rPr>
            </w:pPr>
            <w:r>
              <w:rPr>
                <w:color w:val="000000"/>
                <w:sz w:val="18"/>
                <w:szCs w:val="18"/>
              </w:rPr>
              <w:t>Buxheti komunal</w:t>
            </w:r>
          </w:p>
        </w:tc>
        <w:tc>
          <w:tcPr>
            <w:tcW w:w="1724" w:type="dxa"/>
            <w:gridSpan w:val="2"/>
            <w:tcBorders>
              <w:top w:val="nil"/>
              <w:left w:val="nil"/>
              <w:bottom w:val="single" w:sz="8" w:space="0" w:color="auto"/>
              <w:right w:val="single" w:sz="8" w:space="0" w:color="auto"/>
            </w:tcBorders>
            <w:shd w:val="clear" w:color="auto" w:fill="auto"/>
            <w:vAlign w:val="center"/>
            <w:hideMark/>
          </w:tcPr>
          <w:p w14:paraId="27BF8DFC" w14:textId="77777777" w:rsidR="009D6D4E" w:rsidRDefault="009D6D4E" w:rsidP="00BF3B71">
            <w:pPr>
              <w:rPr>
                <w:color w:val="000000"/>
                <w:sz w:val="18"/>
                <w:szCs w:val="18"/>
              </w:rPr>
            </w:pPr>
            <w:r>
              <w:rPr>
                <w:color w:val="000000"/>
                <w:sz w:val="18"/>
                <w:szCs w:val="18"/>
              </w:rPr>
              <w:t xml:space="preserve">Burimet e tjera të financimit publik </w:t>
            </w:r>
          </w:p>
        </w:tc>
        <w:tc>
          <w:tcPr>
            <w:tcW w:w="970" w:type="dxa"/>
            <w:tcBorders>
              <w:top w:val="nil"/>
              <w:left w:val="nil"/>
              <w:bottom w:val="single" w:sz="8" w:space="0" w:color="auto"/>
              <w:right w:val="single" w:sz="8" w:space="0" w:color="auto"/>
            </w:tcBorders>
            <w:shd w:val="clear" w:color="auto" w:fill="auto"/>
            <w:vAlign w:val="center"/>
            <w:hideMark/>
          </w:tcPr>
          <w:p w14:paraId="7AB6B929" w14:textId="77777777" w:rsidR="009D6D4E" w:rsidRDefault="009D6D4E" w:rsidP="00BF3B71">
            <w:pPr>
              <w:rPr>
                <w:color w:val="000000"/>
                <w:sz w:val="18"/>
                <w:szCs w:val="18"/>
              </w:rPr>
            </w:pPr>
            <w:r>
              <w:rPr>
                <w:color w:val="000000"/>
                <w:sz w:val="18"/>
                <w:szCs w:val="18"/>
              </w:rPr>
              <w:t xml:space="preserve">Fondet e IPA-së </w:t>
            </w:r>
          </w:p>
        </w:tc>
        <w:tc>
          <w:tcPr>
            <w:tcW w:w="1599" w:type="dxa"/>
            <w:gridSpan w:val="2"/>
            <w:tcBorders>
              <w:top w:val="nil"/>
              <w:left w:val="nil"/>
              <w:bottom w:val="single" w:sz="8" w:space="0" w:color="auto"/>
              <w:right w:val="single" w:sz="8" w:space="0" w:color="auto"/>
            </w:tcBorders>
            <w:shd w:val="clear" w:color="auto" w:fill="auto"/>
            <w:vAlign w:val="center"/>
            <w:hideMark/>
          </w:tcPr>
          <w:p w14:paraId="4EEA5813" w14:textId="77777777" w:rsidR="009D6D4E" w:rsidRDefault="009D6D4E" w:rsidP="00BF3B71">
            <w:pPr>
              <w:rPr>
                <w:color w:val="000000"/>
                <w:sz w:val="18"/>
                <w:szCs w:val="18"/>
              </w:rPr>
            </w:pPr>
            <w:r>
              <w:rPr>
                <w:color w:val="000000"/>
                <w:sz w:val="18"/>
                <w:szCs w:val="18"/>
              </w:rPr>
              <w:t xml:space="preserve">Grante të tjera </w:t>
            </w:r>
          </w:p>
        </w:tc>
        <w:tc>
          <w:tcPr>
            <w:tcW w:w="890" w:type="dxa"/>
            <w:tcBorders>
              <w:top w:val="nil"/>
              <w:left w:val="nil"/>
              <w:bottom w:val="single" w:sz="8" w:space="0" w:color="auto"/>
              <w:right w:val="single" w:sz="8" w:space="0" w:color="auto"/>
            </w:tcBorders>
            <w:shd w:val="clear" w:color="auto" w:fill="auto"/>
            <w:vAlign w:val="center"/>
            <w:hideMark/>
          </w:tcPr>
          <w:p w14:paraId="0F41A640" w14:textId="77777777" w:rsidR="009D6D4E" w:rsidRDefault="009D6D4E" w:rsidP="00BF3B71">
            <w:pPr>
              <w:rPr>
                <w:color w:val="000000"/>
                <w:sz w:val="18"/>
                <w:szCs w:val="18"/>
              </w:rPr>
            </w:pPr>
            <w:r>
              <w:rPr>
                <w:color w:val="000000"/>
                <w:sz w:val="18"/>
                <w:szCs w:val="18"/>
              </w:rPr>
              <w:t xml:space="preserve">Kredi për projekte </w:t>
            </w:r>
          </w:p>
        </w:tc>
        <w:tc>
          <w:tcPr>
            <w:tcW w:w="1631" w:type="dxa"/>
            <w:gridSpan w:val="3"/>
            <w:tcBorders>
              <w:top w:val="nil"/>
              <w:left w:val="nil"/>
              <w:bottom w:val="single" w:sz="8" w:space="0" w:color="auto"/>
              <w:right w:val="single" w:sz="8" w:space="0" w:color="auto"/>
            </w:tcBorders>
            <w:shd w:val="clear" w:color="auto" w:fill="auto"/>
            <w:vAlign w:val="center"/>
            <w:hideMark/>
          </w:tcPr>
          <w:p w14:paraId="64939474" w14:textId="77777777" w:rsidR="009D6D4E" w:rsidRDefault="009D6D4E" w:rsidP="00BF3B71">
            <w:pPr>
              <w:rPr>
                <w:color w:val="000000"/>
                <w:sz w:val="18"/>
                <w:szCs w:val="18"/>
              </w:rPr>
            </w:pPr>
            <w:r>
              <w:rPr>
                <w:color w:val="000000"/>
                <w:sz w:val="18"/>
                <w:szCs w:val="18"/>
              </w:rPr>
              <w:t xml:space="preserve">Të përcaktohet </w:t>
            </w:r>
          </w:p>
        </w:tc>
        <w:tc>
          <w:tcPr>
            <w:tcW w:w="979" w:type="dxa"/>
            <w:tcBorders>
              <w:top w:val="nil"/>
              <w:left w:val="nil"/>
              <w:bottom w:val="single" w:sz="8" w:space="0" w:color="auto"/>
              <w:right w:val="single" w:sz="8" w:space="0" w:color="auto"/>
            </w:tcBorders>
            <w:shd w:val="clear" w:color="auto" w:fill="auto"/>
            <w:vAlign w:val="center"/>
            <w:hideMark/>
          </w:tcPr>
          <w:p w14:paraId="0CB3109E" w14:textId="77777777" w:rsidR="009D6D4E" w:rsidRPr="00534399" w:rsidRDefault="009D6D4E" w:rsidP="00BF3B71">
            <w:pPr>
              <w:rPr>
                <w:b/>
                <w:color w:val="000000"/>
                <w:sz w:val="18"/>
                <w:szCs w:val="18"/>
              </w:rPr>
            </w:pPr>
            <w:r w:rsidRPr="00534399">
              <w:rPr>
                <w:b/>
                <w:color w:val="000000"/>
                <w:sz w:val="18"/>
                <w:szCs w:val="18"/>
              </w:rPr>
              <w:t xml:space="preserve">Totali </w:t>
            </w:r>
          </w:p>
        </w:tc>
      </w:tr>
      <w:tr w:rsidR="009D6D4E" w14:paraId="79698BCC" w14:textId="77777777" w:rsidTr="00BF3B71">
        <w:trPr>
          <w:trHeight w:val="306"/>
        </w:trPr>
        <w:tc>
          <w:tcPr>
            <w:tcW w:w="733" w:type="dxa"/>
            <w:tcBorders>
              <w:top w:val="nil"/>
              <w:left w:val="single" w:sz="8" w:space="0" w:color="auto"/>
              <w:bottom w:val="single" w:sz="8" w:space="0" w:color="auto"/>
              <w:right w:val="single" w:sz="8" w:space="0" w:color="auto"/>
            </w:tcBorders>
            <w:shd w:val="clear" w:color="auto" w:fill="auto"/>
            <w:vAlign w:val="center"/>
            <w:hideMark/>
          </w:tcPr>
          <w:p w14:paraId="79B0ABAC" w14:textId="77777777" w:rsidR="009D6D4E" w:rsidRDefault="009D6D4E" w:rsidP="00BF3B71">
            <w:pPr>
              <w:jc w:val="both"/>
              <w:rPr>
                <w:color w:val="000000"/>
                <w:sz w:val="18"/>
                <w:szCs w:val="18"/>
              </w:rPr>
            </w:pPr>
            <w:r>
              <w:rPr>
                <w:color w:val="000000"/>
                <w:sz w:val="18"/>
                <w:szCs w:val="18"/>
              </w:rPr>
              <w:t>2020</w:t>
            </w:r>
          </w:p>
        </w:tc>
        <w:tc>
          <w:tcPr>
            <w:tcW w:w="972" w:type="dxa"/>
            <w:gridSpan w:val="2"/>
            <w:tcBorders>
              <w:top w:val="nil"/>
              <w:left w:val="nil"/>
              <w:bottom w:val="single" w:sz="8" w:space="0" w:color="auto"/>
              <w:right w:val="single" w:sz="8" w:space="0" w:color="auto"/>
            </w:tcBorders>
            <w:shd w:val="clear" w:color="auto" w:fill="auto"/>
            <w:vAlign w:val="center"/>
            <w:hideMark/>
          </w:tcPr>
          <w:p w14:paraId="09B6E085" w14:textId="77777777" w:rsidR="009D6D4E" w:rsidRDefault="009D6D4E" w:rsidP="00BF3B71">
            <w:pPr>
              <w:jc w:val="right"/>
              <w:rPr>
                <w:color w:val="000000"/>
                <w:sz w:val="18"/>
                <w:szCs w:val="18"/>
              </w:rPr>
            </w:pPr>
            <w:r>
              <w:rPr>
                <w:color w:val="000000"/>
                <w:sz w:val="18"/>
                <w:szCs w:val="18"/>
              </w:rPr>
              <w:t>17,000.00</w:t>
            </w:r>
          </w:p>
        </w:tc>
        <w:tc>
          <w:tcPr>
            <w:tcW w:w="846" w:type="dxa"/>
            <w:tcBorders>
              <w:top w:val="nil"/>
              <w:left w:val="nil"/>
              <w:bottom w:val="single" w:sz="8" w:space="0" w:color="auto"/>
              <w:right w:val="single" w:sz="8" w:space="0" w:color="auto"/>
            </w:tcBorders>
            <w:shd w:val="clear" w:color="auto" w:fill="auto"/>
            <w:vAlign w:val="center"/>
            <w:hideMark/>
          </w:tcPr>
          <w:p w14:paraId="47D00BAF" w14:textId="77777777" w:rsidR="009D6D4E" w:rsidRDefault="009D6D4E" w:rsidP="00BF3B71">
            <w:pPr>
              <w:jc w:val="right"/>
              <w:rPr>
                <w:color w:val="000000"/>
                <w:sz w:val="18"/>
                <w:szCs w:val="18"/>
              </w:rPr>
            </w:pPr>
            <w:r>
              <w:rPr>
                <w:color w:val="000000"/>
                <w:sz w:val="18"/>
                <w:szCs w:val="18"/>
              </w:rPr>
              <w:t>0.00</w:t>
            </w:r>
          </w:p>
        </w:tc>
        <w:tc>
          <w:tcPr>
            <w:tcW w:w="1724" w:type="dxa"/>
            <w:gridSpan w:val="2"/>
            <w:tcBorders>
              <w:top w:val="nil"/>
              <w:left w:val="nil"/>
              <w:bottom w:val="single" w:sz="8" w:space="0" w:color="auto"/>
              <w:right w:val="single" w:sz="8" w:space="0" w:color="auto"/>
            </w:tcBorders>
            <w:shd w:val="clear" w:color="auto" w:fill="auto"/>
            <w:vAlign w:val="center"/>
            <w:hideMark/>
          </w:tcPr>
          <w:p w14:paraId="135D095A" w14:textId="77777777" w:rsidR="009D6D4E" w:rsidRDefault="009D6D4E" w:rsidP="00BF3B71">
            <w:pPr>
              <w:jc w:val="right"/>
              <w:rPr>
                <w:color w:val="000000"/>
                <w:sz w:val="18"/>
                <w:szCs w:val="18"/>
              </w:rPr>
            </w:pPr>
            <w:r>
              <w:rPr>
                <w:color w:val="000000"/>
                <w:sz w:val="18"/>
                <w:szCs w:val="18"/>
              </w:rPr>
              <w:t>0.00</w:t>
            </w:r>
          </w:p>
        </w:tc>
        <w:tc>
          <w:tcPr>
            <w:tcW w:w="970" w:type="dxa"/>
            <w:tcBorders>
              <w:top w:val="nil"/>
              <w:left w:val="nil"/>
              <w:bottom w:val="single" w:sz="8" w:space="0" w:color="auto"/>
              <w:right w:val="single" w:sz="8" w:space="0" w:color="auto"/>
            </w:tcBorders>
            <w:shd w:val="clear" w:color="auto" w:fill="auto"/>
            <w:vAlign w:val="center"/>
            <w:hideMark/>
          </w:tcPr>
          <w:p w14:paraId="733C6DD3" w14:textId="77777777" w:rsidR="009D6D4E" w:rsidRDefault="009D6D4E" w:rsidP="00BF3B71">
            <w:pPr>
              <w:jc w:val="right"/>
              <w:rPr>
                <w:color w:val="000000"/>
                <w:sz w:val="18"/>
                <w:szCs w:val="18"/>
              </w:rPr>
            </w:pPr>
            <w:r>
              <w:rPr>
                <w:color w:val="000000"/>
                <w:sz w:val="18"/>
                <w:szCs w:val="18"/>
              </w:rPr>
              <w:t>15,000.00</w:t>
            </w:r>
          </w:p>
        </w:tc>
        <w:tc>
          <w:tcPr>
            <w:tcW w:w="1599" w:type="dxa"/>
            <w:gridSpan w:val="2"/>
            <w:tcBorders>
              <w:top w:val="nil"/>
              <w:left w:val="nil"/>
              <w:bottom w:val="single" w:sz="8" w:space="0" w:color="auto"/>
              <w:right w:val="single" w:sz="8" w:space="0" w:color="auto"/>
            </w:tcBorders>
            <w:shd w:val="clear" w:color="auto" w:fill="auto"/>
            <w:vAlign w:val="center"/>
            <w:hideMark/>
          </w:tcPr>
          <w:p w14:paraId="704E3754" w14:textId="77777777" w:rsidR="009D6D4E" w:rsidRDefault="009D6D4E" w:rsidP="00BF3B71">
            <w:pPr>
              <w:jc w:val="right"/>
              <w:rPr>
                <w:color w:val="000000"/>
                <w:sz w:val="18"/>
                <w:szCs w:val="18"/>
              </w:rPr>
            </w:pPr>
            <w:r>
              <w:rPr>
                <w:color w:val="000000"/>
                <w:sz w:val="18"/>
                <w:szCs w:val="18"/>
              </w:rPr>
              <w:t>0.00</w:t>
            </w:r>
          </w:p>
        </w:tc>
        <w:tc>
          <w:tcPr>
            <w:tcW w:w="890" w:type="dxa"/>
            <w:tcBorders>
              <w:top w:val="nil"/>
              <w:left w:val="nil"/>
              <w:bottom w:val="single" w:sz="8" w:space="0" w:color="auto"/>
              <w:right w:val="single" w:sz="8" w:space="0" w:color="auto"/>
            </w:tcBorders>
            <w:shd w:val="clear" w:color="auto" w:fill="auto"/>
            <w:vAlign w:val="center"/>
            <w:hideMark/>
          </w:tcPr>
          <w:p w14:paraId="03AD7F24" w14:textId="77777777" w:rsidR="009D6D4E" w:rsidRDefault="009D6D4E" w:rsidP="00BF3B71">
            <w:pPr>
              <w:jc w:val="right"/>
              <w:rPr>
                <w:color w:val="000000"/>
                <w:sz w:val="18"/>
                <w:szCs w:val="18"/>
              </w:rPr>
            </w:pPr>
            <w:r>
              <w:rPr>
                <w:color w:val="000000"/>
                <w:sz w:val="18"/>
                <w:szCs w:val="18"/>
              </w:rPr>
              <w:t>5,000.00</w:t>
            </w:r>
          </w:p>
        </w:tc>
        <w:tc>
          <w:tcPr>
            <w:tcW w:w="1631" w:type="dxa"/>
            <w:gridSpan w:val="3"/>
            <w:tcBorders>
              <w:top w:val="nil"/>
              <w:left w:val="nil"/>
              <w:bottom w:val="single" w:sz="8" w:space="0" w:color="auto"/>
              <w:right w:val="single" w:sz="8" w:space="0" w:color="auto"/>
            </w:tcBorders>
            <w:shd w:val="clear" w:color="auto" w:fill="auto"/>
            <w:vAlign w:val="center"/>
            <w:hideMark/>
          </w:tcPr>
          <w:p w14:paraId="31F331AA" w14:textId="77777777" w:rsidR="009D6D4E" w:rsidRDefault="009D6D4E" w:rsidP="00BF3B71">
            <w:pPr>
              <w:jc w:val="right"/>
              <w:rPr>
                <w:color w:val="000000"/>
                <w:sz w:val="18"/>
                <w:szCs w:val="18"/>
              </w:rPr>
            </w:pPr>
            <w:r>
              <w:rPr>
                <w:color w:val="000000"/>
                <w:sz w:val="18"/>
                <w:szCs w:val="18"/>
              </w:rPr>
              <w:t>0.00</w:t>
            </w:r>
          </w:p>
        </w:tc>
        <w:tc>
          <w:tcPr>
            <w:tcW w:w="979" w:type="dxa"/>
            <w:tcBorders>
              <w:top w:val="nil"/>
              <w:left w:val="nil"/>
              <w:bottom w:val="single" w:sz="8" w:space="0" w:color="auto"/>
              <w:right w:val="single" w:sz="8" w:space="0" w:color="auto"/>
            </w:tcBorders>
            <w:shd w:val="clear" w:color="auto" w:fill="auto"/>
            <w:vAlign w:val="center"/>
            <w:hideMark/>
          </w:tcPr>
          <w:p w14:paraId="59C51954" w14:textId="77777777" w:rsidR="009D6D4E" w:rsidRDefault="009D6D4E" w:rsidP="00BF3B71">
            <w:pPr>
              <w:jc w:val="right"/>
              <w:rPr>
                <w:b/>
                <w:bCs/>
                <w:color w:val="000000"/>
                <w:sz w:val="18"/>
                <w:szCs w:val="18"/>
              </w:rPr>
            </w:pPr>
            <w:r>
              <w:rPr>
                <w:b/>
                <w:bCs/>
                <w:color w:val="000000"/>
                <w:sz w:val="18"/>
                <w:szCs w:val="18"/>
              </w:rPr>
              <w:t>37,000.00</w:t>
            </w:r>
          </w:p>
        </w:tc>
      </w:tr>
      <w:tr w:rsidR="009D6D4E" w14:paraId="012E8799" w14:textId="77777777" w:rsidTr="00BF3B71">
        <w:trPr>
          <w:trHeight w:val="306"/>
        </w:trPr>
        <w:tc>
          <w:tcPr>
            <w:tcW w:w="733" w:type="dxa"/>
            <w:tcBorders>
              <w:top w:val="nil"/>
              <w:left w:val="single" w:sz="8" w:space="0" w:color="auto"/>
              <w:bottom w:val="single" w:sz="8" w:space="0" w:color="auto"/>
              <w:right w:val="single" w:sz="8" w:space="0" w:color="auto"/>
            </w:tcBorders>
            <w:shd w:val="clear" w:color="auto" w:fill="auto"/>
            <w:vAlign w:val="center"/>
            <w:hideMark/>
          </w:tcPr>
          <w:p w14:paraId="6124FA9B" w14:textId="77777777" w:rsidR="009D6D4E" w:rsidRDefault="009D6D4E" w:rsidP="00BF3B71">
            <w:pPr>
              <w:jc w:val="both"/>
              <w:rPr>
                <w:color w:val="000000"/>
                <w:sz w:val="18"/>
                <w:szCs w:val="18"/>
              </w:rPr>
            </w:pPr>
            <w:r>
              <w:rPr>
                <w:color w:val="000000"/>
                <w:sz w:val="18"/>
                <w:szCs w:val="18"/>
              </w:rPr>
              <w:t>2021</w:t>
            </w:r>
          </w:p>
        </w:tc>
        <w:tc>
          <w:tcPr>
            <w:tcW w:w="972" w:type="dxa"/>
            <w:gridSpan w:val="2"/>
            <w:tcBorders>
              <w:top w:val="nil"/>
              <w:left w:val="nil"/>
              <w:bottom w:val="single" w:sz="8" w:space="0" w:color="auto"/>
              <w:right w:val="single" w:sz="8" w:space="0" w:color="auto"/>
            </w:tcBorders>
            <w:shd w:val="clear" w:color="auto" w:fill="auto"/>
            <w:vAlign w:val="center"/>
            <w:hideMark/>
          </w:tcPr>
          <w:p w14:paraId="62AF02EB" w14:textId="77777777" w:rsidR="009D6D4E" w:rsidRDefault="009D6D4E" w:rsidP="00BF3B71">
            <w:pPr>
              <w:jc w:val="right"/>
              <w:rPr>
                <w:color w:val="000000"/>
                <w:sz w:val="18"/>
                <w:szCs w:val="18"/>
              </w:rPr>
            </w:pPr>
            <w:r>
              <w:rPr>
                <w:color w:val="000000"/>
                <w:sz w:val="18"/>
                <w:szCs w:val="18"/>
              </w:rPr>
              <w:t>9,000.00</w:t>
            </w:r>
          </w:p>
        </w:tc>
        <w:tc>
          <w:tcPr>
            <w:tcW w:w="846" w:type="dxa"/>
            <w:tcBorders>
              <w:top w:val="nil"/>
              <w:left w:val="nil"/>
              <w:bottom w:val="single" w:sz="8" w:space="0" w:color="auto"/>
              <w:right w:val="single" w:sz="8" w:space="0" w:color="auto"/>
            </w:tcBorders>
            <w:shd w:val="clear" w:color="auto" w:fill="auto"/>
            <w:vAlign w:val="center"/>
            <w:hideMark/>
          </w:tcPr>
          <w:p w14:paraId="6F0FDFD0" w14:textId="77777777" w:rsidR="009D6D4E" w:rsidRDefault="009D6D4E" w:rsidP="00BF3B71">
            <w:pPr>
              <w:jc w:val="right"/>
              <w:rPr>
                <w:color w:val="000000"/>
                <w:sz w:val="18"/>
                <w:szCs w:val="18"/>
              </w:rPr>
            </w:pPr>
            <w:r>
              <w:rPr>
                <w:color w:val="000000"/>
                <w:sz w:val="18"/>
                <w:szCs w:val="18"/>
              </w:rPr>
              <w:t>0.00</w:t>
            </w:r>
          </w:p>
        </w:tc>
        <w:tc>
          <w:tcPr>
            <w:tcW w:w="1724" w:type="dxa"/>
            <w:gridSpan w:val="2"/>
            <w:tcBorders>
              <w:top w:val="nil"/>
              <w:left w:val="nil"/>
              <w:bottom w:val="single" w:sz="8" w:space="0" w:color="auto"/>
              <w:right w:val="single" w:sz="8" w:space="0" w:color="auto"/>
            </w:tcBorders>
            <w:shd w:val="clear" w:color="auto" w:fill="auto"/>
            <w:vAlign w:val="center"/>
            <w:hideMark/>
          </w:tcPr>
          <w:p w14:paraId="4F0A24B9" w14:textId="77777777" w:rsidR="009D6D4E" w:rsidRDefault="009D6D4E" w:rsidP="00BF3B71">
            <w:pPr>
              <w:jc w:val="right"/>
              <w:rPr>
                <w:color w:val="000000"/>
                <w:sz w:val="18"/>
                <w:szCs w:val="18"/>
              </w:rPr>
            </w:pPr>
            <w:r>
              <w:rPr>
                <w:color w:val="000000"/>
                <w:sz w:val="18"/>
                <w:szCs w:val="18"/>
              </w:rPr>
              <w:t>0.00</w:t>
            </w:r>
          </w:p>
        </w:tc>
        <w:tc>
          <w:tcPr>
            <w:tcW w:w="970" w:type="dxa"/>
            <w:tcBorders>
              <w:top w:val="nil"/>
              <w:left w:val="nil"/>
              <w:bottom w:val="single" w:sz="8" w:space="0" w:color="auto"/>
              <w:right w:val="single" w:sz="8" w:space="0" w:color="auto"/>
            </w:tcBorders>
            <w:shd w:val="clear" w:color="auto" w:fill="auto"/>
            <w:vAlign w:val="center"/>
            <w:hideMark/>
          </w:tcPr>
          <w:p w14:paraId="532FB847" w14:textId="77777777" w:rsidR="009D6D4E" w:rsidRDefault="009D6D4E" w:rsidP="00BF3B71">
            <w:pPr>
              <w:jc w:val="right"/>
              <w:rPr>
                <w:color w:val="000000"/>
                <w:sz w:val="18"/>
                <w:szCs w:val="18"/>
              </w:rPr>
            </w:pPr>
            <w:r>
              <w:rPr>
                <w:color w:val="000000"/>
                <w:sz w:val="18"/>
                <w:szCs w:val="18"/>
              </w:rPr>
              <w:t>0.00</w:t>
            </w:r>
          </w:p>
        </w:tc>
        <w:tc>
          <w:tcPr>
            <w:tcW w:w="1599" w:type="dxa"/>
            <w:gridSpan w:val="2"/>
            <w:tcBorders>
              <w:top w:val="nil"/>
              <w:left w:val="nil"/>
              <w:bottom w:val="single" w:sz="8" w:space="0" w:color="auto"/>
              <w:right w:val="single" w:sz="8" w:space="0" w:color="auto"/>
            </w:tcBorders>
            <w:shd w:val="clear" w:color="auto" w:fill="auto"/>
            <w:vAlign w:val="center"/>
            <w:hideMark/>
          </w:tcPr>
          <w:p w14:paraId="68BD6B49" w14:textId="77777777" w:rsidR="009D6D4E" w:rsidRDefault="009D6D4E" w:rsidP="00BF3B71">
            <w:pPr>
              <w:jc w:val="right"/>
              <w:rPr>
                <w:color w:val="000000"/>
                <w:sz w:val="18"/>
                <w:szCs w:val="18"/>
              </w:rPr>
            </w:pPr>
            <w:r>
              <w:rPr>
                <w:color w:val="000000"/>
                <w:sz w:val="18"/>
                <w:szCs w:val="18"/>
              </w:rPr>
              <w:t>0.00</w:t>
            </w:r>
          </w:p>
        </w:tc>
        <w:tc>
          <w:tcPr>
            <w:tcW w:w="890" w:type="dxa"/>
            <w:tcBorders>
              <w:top w:val="nil"/>
              <w:left w:val="nil"/>
              <w:bottom w:val="single" w:sz="8" w:space="0" w:color="auto"/>
              <w:right w:val="single" w:sz="8" w:space="0" w:color="auto"/>
            </w:tcBorders>
            <w:shd w:val="clear" w:color="auto" w:fill="auto"/>
            <w:vAlign w:val="center"/>
            <w:hideMark/>
          </w:tcPr>
          <w:p w14:paraId="45C9B426" w14:textId="77777777" w:rsidR="009D6D4E" w:rsidRDefault="009D6D4E" w:rsidP="00BF3B71">
            <w:pPr>
              <w:jc w:val="right"/>
              <w:rPr>
                <w:color w:val="000000"/>
                <w:sz w:val="18"/>
                <w:szCs w:val="18"/>
              </w:rPr>
            </w:pPr>
            <w:r>
              <w:rPr>
                <w:color w:val="000000"/>
                <w:sz w:val="18"/>
                <w:szCs w:val="18"/>
              </w:rPr>
              <w:t>5,000.00</w:t>
            </w:r>
          </w:p>
        </w:tc>
        <w:tc>
          <w:tcPr>
            <w:tcW w:w="1631" w:type="dxa"/>
            <w:gridSpan w:val="3"/>
            <w:tcBorders>
              <w:top w:val="nil"/>
              <w:left w:val="nil"/>
              <w:bottom w:val="single" w:sz="8" w:space="0" w:color="auto"/>
              <w:right w:val="single" w:sz="8" w:space="0" w:color="auto"/>
            </w:tcBorders>
            <w:shd w:val="clear" w:color="auto" w:fill="auto"/>
            <w:vAlign w:val="center"/>
            <w:hideMark/>
          </w:tcPr>
          <w:p w14:paraId="6610ED78" w14:textId="77777777" w:rsidR="009D6D4E" w:rsidRDefault="009D6D4E" w:rsidP="00BF3B71">
            <w:pPr>
              <w:jc w:val="right"/>
              <w:rPr>
                <w:color w:val="000000"/>
                <w:sz w:val="18"/>
                <w:szCs w:val="18"/>
              </w:rPr>
            </w:pPr>
            <w:r>
              <w:rPr>
                <w:color w:val="000000"/>
                <w:sz w:val="18"/>
                <w:szCs w:val="18"/>
              </w:rPr>
              <w:t>0.00</w:t>
            </w:r>
          </w:p>
        </w:tc>
        <w:tc>
          <w:tcPr>
            <w:tcW w:w="979" w:type="dxa"/>
            <w:tcBorders>
              <w:top w:val="nil"/>
              <w:left w:val="nil"/>
              <w:bottom w:val="single" w:sz="8" w:space="0" w:color="auto"/>
              <w:right w:val="single" w:sz="8" w:space="0" w:color="auto"/>
            </w:tcBorders>
            <w:shd w:val="clear" w:color="auto" w:fill="auto"/>
            <w:vAlign w:val="center"/>
            <w:hideMark/>
          </w:tcPr>
          <w:p w14:paraId="3273025D" w14:textId="77777777" w:rsidR="009D6D4E" w:rsidRDefault="009D6D4E" w:rsidP="00BF3B71">
            <w:pPr>
              <w:jc w:val="right"/>
              <w:rPr>
                <w:b/>
                <w:bCs/>
                <w:color w:val="000000"/>
                <w:sz w:val="18"/>
                <w:szCs w:val="18"/>
              </w:rPr>
            </w:pPr>
            <w:r>
              <w:rPr>
                <w:b/>
                <w:bCs/>
                <w:color w:val="000000"/>
                <w:sz w:val="18"/>
                <w:szCs w:val="18"/>
              </w:rPr>
              <w:t>14,000.00</w:t>
            </w:r>
          </w:p>
        </w:tc>
      </w:tr>
      <w:tr w:rsidR="009D6D4E" w14:paraId="52587250" w14:textId="77777777" w:rsidTr="00BF3B71">
        <w:trPr>
          <w:trHeight w:val="306"/>
        </w:trPr>
        <w:tc>
          <w:tcPr>
            <w:tcW w:w="733" w:type="dxa"/>
            <w:tcBorders>
              <w:top w:val="nil"/>
              <w:left w:val="single" w:sz="8" w:space="0" w:color="auto"/>
              <w:bottom w:val="single" w:sz="8" w:space="0" w:color="auto"/>
              <w:right w:val="single" w:sz="8" w:space="0" w:color="auto"/>
            </w:tcBorders>
            <w:shd w:val="clear" w:color="auto" w:fill="auto"/>
            <w:vAlign w:val="center"/>
            <w:hideMark/>
          </w:tcPr>
          <w:p w14:paraId="7114BBF1" w14:textId="77777777" w:rsidR="009D6D4E" w:rsidRDefault="009D6D4E" w:rsidP="00BF3B71">
            <w:pPr>
              <w:jc w:val="both"/>
              <w:rPr>
                <w:color w:val="000000"/>
                <w:sz w:val="18"/>
                <w:szCs w:val="18"/>
              </w:rPr>
            </w:pPr>
            <w:r>
              <w:rPr>
                <w:color w:val="000000"/>
                <w:sz w:val="18"/>
                <w:szCs w:val="18"/>
              </w:rPr>
              <w:t>2022</w:t>
            </w:r>
          </w:p>
        </w:tc>
        <w:tc>
          <w:tcPr>
            <w:tcW w:w="972" w:type="dxa"/>
            <w:gridSpan w:val="2"/>
            <w:tcBorders>
              <w:top w:val="nil"/>
              <w:left w:val="nil"/>
              <w:bottom w:val="single" w:sz="8" w:space="0" w:color="auto"/>
              <w:right w:val="single" w:sz="8" w:space="0" w:color="auto"/>
            </w:tcBorders>
            <w:shd w:val="clear" w:color="auto" w:fill="auto"/>
            <w:vAlign w:val="center"/>
            <w:hideMark/>
          </w:tcPr>
          <w:p w14:paraId="437AF1B5" w14:textId="77777777" w:rsidR="009D6D4E" w:rsidRDefault="009D6D4E" w:rsidP="00BF3B71">
            <w:pPr>
              <w:jc w:val="right"/>
              <w:rPr>
                <w:color w:val="000000"/>
                <w:sz w:val="18"/>
                <w:szCs w:val="18"/>
              </w:rPr>
            </w:pPr>
            <w:r>
              <w:rPr>
                <w:color w:val="000000"/>
                <w:sz w:val="18"/>
                <w:szCs w:val="18"/>
              </w:rPr>
              <w:t>34,000.00</w:t>
            </w:r>
          </w:p>
        </w:tc>
        <w:tc>
          <w:tcPr>
            <w:tcW w:w="846" w:type="dxa"/>
            <w:tcBorders>
              <w:top w:val="nil"/>
              <w:left w:val="nil"/>
              <w:bottom w:val="single" w:sz="8" w:space="0" w:color="auto"/>
              <w:right w:val="single" w:sz="8" w:space="0" w:color="auto"/>
            </w:tcBorders>
            <w:shd w:val="clear" w:color="auto" w:fill="auto"/>
            <w:vAlign w:val="center"/>
            <w:hideMark/>
          </w:tcPr>
          <w:p w14:paraId="5E977402" w14:textId="77777777" w:rsidR="009D6D4E" w:rsidRDefault="009D6D4E" w:rsidP="00BF3B71">
            <w:pPr>
              <w:jc w:val="right"/>
              <w:rPr>
                <w:color w:val="000000"/>
                <w:sz w:val="18"/>
                <w:szCs w:val="18"/>
              </w:rPr>
            </w:pPr>
            <w:r>
              <w:rPr>
                <w:color w:val="000000"/>
                <w:sz w:val="18"/>
                <w:szCs w:val="18"/>
              </w:rPr>
              <w:t>0.00</w:t>
            </w:r>
          </w:p>
        </w:tc>
        <w:tc>
          <w:tcPr>
            <w:tcW w:w="1724" w:type="dxa"/>
            <w:gridSpan w:val="2"/>
            <w:tcBorders>
              <w:top w:val="nil"/>
              <w:left w:val="nil"/>
              <w:bottom w:val="single" w:sz="8" w:space="0" w:color="auto"/>
              <w:right w:val="single" w:sz="8" w:space="0" w:color="auto"/>
            </w:tcBorders>
            <w:shd w:val="clear" w:color="auto" w:fill="auto"/>
            <w:vAlign w:val="center"/>
            <w:hideMark/>
          </w:tcPr>
          <w:p w14:paraId="734A66F6" w14:textId="77777777" w:rsidR="009D6D4E" w:rsidRDefault="009D6D4E" w:rsidP="00BF3B71">
            <w:pPr>
              <w:jc w:val="right"/>
              <w:rPr>
                <w:color w:val="000000"/>
                <w:sz w:val="18"/>
                <w:szCs w:val="18"/>
              </w:rPr>
            </w:pPr>
            <w:r>
              <w:rPr>
                <w:color w:val="000000"/>
                <w:sz w:val="18"/>
                <w:szCs w:val="18"/>
              </w:rPr>
              <w:t>0.00</w:t>
            </w:r>
          </w:p>
        </w:tc>
        <w:tc>
          <w:tcPr>
            <w:tcW w:w="970" w:type="dxa"/>
            <w:tcBorders>
              <w:top w:val="nil"/>
              <w:left w:val="nil"/>
              <w:bottom w:val="single" w:sz="8" w:space="0" w:color="auto"/>
              <w:right w:val="single" w:sz="8" w:space="0" w:color="auto"/>
            </w:tcBorders>
            <w:shd w:val="clear" w:color="auto" w:fill="auto"/>
            <w:vAlign w:val="center"/>
            <w:hideMark/>
          </w:tcPr>
          <w:p w14:paraId="085CDD56" w14:textId="77777777" w:rsidR="009D6D4E" w:rsidRDefault="009D6D4E" w:rsidP="00BF3B71">
            <w:pPr>
              <w:jc w:val="right"/>
              <w:rPr>
                <w:color w:val="000000"/>
                <w:sz w:val="18"/>
                <w:szCs w:val="18"/>
              </w:rPr>
            </w:pPr>
            <w:r>
              <w:rPr>
                <w:color w:val="000000"/>
                <w:sz w:val="18"/>
                <w:szCs w:val="18"/>
              </w:rPr>
              <w:t>0.00</w:t>
            </w:r>
          </w:p>
        </w:tc>
        <w:tc>
          <w:tcPr>
            <w:tcW w:w="1599" w:type="dxa"/>
            <w:gridSpan w:val="2"/>
            <w:tcBorders>
              <w:top w:val="nil"/>
              <w:left w:val="nil"/>
              <w:bottom w:val="single" w:sz="8" w:space="0" w:color="auto"/>
              <w:right w:val="single" w:sz="8" w:space="0" w:color="auto"/>
            </w:tcBorders>
            <w:shd w:val="clear" w:color="auto" w:fill="auto"/>
            <w:vAlign w:val="center"/>
            <w:hideMark/>
          </w:tcPr>
          <w:p w14:paraId="6DA3EA5B" w14:textId="77777777" w:rsidR="009D6D4E" w:rsidRDefault="009D6D4E" w:rsidP="00BF3B71">
            <w:pPr>
              <w:jc w:val="right"/>
              <w:rPr>
                <w:color w:val="000000"/>
                <w:sz w:val="18"/>
                <w:szCs w:val="18"/>
              </w:rPr>
            </w:pPr>
            <w:r>
              <w:rPr>
                <w:color w:val="000000"/>
                <w:sz w:val="18"/>
                <w:szCs w:val="18"/>
              </w:rPr>
              <w:t>0.00</w:t>
            </w:r>
          </w:p>
        </w:tc>
        <w:tc>
          <w:tcPr>
            <w:tcW w:w="890" w:type="dxa"/>
            <w:tcBorders>
              <w:top w:val="nil"/>
              <w:left w:val="nil"/>
              <w:bottom w:val="single" w:sz="8" w:space="0" w:color="auto"/>
              <w:right w:val="single" w:sz="8" w:space="0" w:color="auto"/>
            </w:tcBorders>
            <w:shd w:val="clear" w:color="auto" w:fill="auto"/>
            <w:vAlign w:val="center"/>
            <w:hideMark/>
          </w:tcPr>
          <w:p w14:paraId="44629527" w14:textId="77777777" w:rsidR="009D6D4E" w:rsidRDefault="009D6D4E" w:rsidP="00BF3B71">
            <w:pPr>
              <w:jc w:val="right"/>
              <w:rPr>
                <w:color w:val="000000"/>
                <w:sz w:val="18"/>
                <w:szCs w:val="18"/>
              </w:rPr>
            </w:pPr>
            <w:r>
              <w:rPr>
                <w:color w:val="000000"/>
                <w:sz w:val="18"/>
                <w:szCs w:val="18"/>
              </w:rPr>
              <w:t>0.00</w:t>
            </w:r>
          </w:p>
        </w:tc>
        <w:tc>
          <w:tcPr>
            <w:tcW w:w="1631" w:type="dxa"/>
            <w:gridSpan w:val="3"/>
            <w:tcBorders>
              <w:top w:val="nil"/>
              <w:left w:val="nil"/>
              <w:bottom w:val="single" w:sz="8" w:space="0" w:color="auto"/>
              <w:right w:val="single" w:sz="8" w:space="0" w:color="auto"/>
            </w:tcBorders>
            <w:shd w:val="clear" w:color="auto" w:fill="auto"/>
            <w:vAlign w:val="center"/>
            <w:hideMark/>
          </w:tcPr>
          <w:p w14:paraId="1500C8D2" w14:textId="77777777" w:rsidR="009D6D4E" w:rsidRDefault="009D6D4E" w:rsidP="00BF3B71">
            <w:pPr>
              <w:jc w:val="right"/>
              <w:rPr>
                <w:color w:val="000000"/>
                <w:sz w:val="18"/>
                <w:szCs w:val="18"/>
              </w:rPr>
            </w:pPr>
            <w:r>
              <w:rPr>
                <w:color w:val="000000"/>
                <w:sz w:val="18"/>
                <w:szCs w:val="18"/>
              </w:rPr>
              <w:t>0.00</w:t>
            </w:r>
          </w:p>
        </w:tc>
        <w:tc>
          <w:tcPr>
            <w:tcW w:w="979" w:type="dxa"/>
            <w:tcBorders>
              <w:top w:val="nil"/>
              <w:left w:val="nil"/>
              <w:bottom w:val="single" w:sz="8" w:space="0" w:color="auto"/>
              <w:right w:val="single" w:sz="8" w:space="0" w:color="auto"/>
            </w:tcBorders>
            <w:shd w:val="clear" w:color="auto" w:fill="auto"/>
            <w:vAlign w:val="center"/>
            <w:hideMark/>
          </w:tcPr>
          <w:p w14:paraId="5A24D6FC" w14:textId="77777777" w:rsidR="009D6D4E" w:rsidRDefault="009D6D4E" w:rsidP="00BF3B71">
            <w:pPr>
              <w:jc w:val="right"/>
              <w:rPr>
                <w:b/>
                <w:bCs/>
                <w:color w:val="000000"/>
                <w:sz w:val="18"/>
                <w:szCs w:val="18"/>
              </w:rPr>
            </w:pPr>
            <w:r>
              <w:rPr>
                <w:b/>
                <w:bCs/>
                <w:color w:val="000000"/>
                <w:sz w:val="18"/>
                <w:szCs w:val="18"/>
              </w:rPr>
              <w:t>34,000.00</w:t>
            </w:r>
          </w:p>
        </w:tc>
      </w:tr>
    </w:tbl>
    <w:p w14:paraId="26264F11" w14:textId="77777777" w:rsidR="009D6D4E" w:rsidRDefault="009D6D4E" w:rsidP="009D6D4E"/>
    <w:p w14:paraId="26B3F726" w14:textId="77777777" w:rsidR="009D6D4E" w:rsidRDefault="009D6D4E" w:rsidP="009D6D4E"/>
    <w:tbl>
      <w:tblPr>
        <w:tblW w:w="10322" w:type="dxa"/>
        <w:tblLook w:val="04A0" w:firstRow="1" w:lastRow="0" w:firstColumn="1" w:lastColumn="0" w:noHBand="0" w:noVBand="1"/>
      </w:tblPr>
      <w:tblGrid>
        <w:gridCol w:w="668"/>
        <w:gridCol w:w="57"/>
        <w:gridCol w:w="968"/>
        <w:gridCol w:w="854"/>
        <w:gridCol w:w="605"/>
        <w:gridCol w:w="1108"/>
        <w:gridCol w:w="973"/>
        <w:gridCol w:w="525"/>
        <w:gridCol w:w="1075"/>
        <w:gridCol w:w="815"/>
        <w:gridCol w:w="63"/>
        <w:gridCol w:w="1586"/>
        <w:gridCol w:w="1025"/>
      </w:tblGrid>
      <w:tr w:rsidR="009D6D4E" w14:paraId="395D2E6F" w14:textId="77777777" w:rsidTr="00BF3B71">
        <w:trPr>
          <w:trHeight w:val="385"/>
        </w:trPr>
        <w:tc>
          <w:tcPr>
            <w:tcW w:w="10322"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611D3A94" w14:textId="77777777" w:rsidR="009D6D4E" w:rsidRDefault="009D6D4E" w:rsidP="00BF3B71">
            <w:pPr>
              <w:jc w:val="both"/>
              <w:rPr>
                <w:b/>
                <w:bCs/>
                <w:color w:val="000000"/>
                <w:sz w:val="18"/>
                <w:szCs w:val="18"/>
              </w:rPr>
            </w:pPr>
            <w:r>
              <w:rPr>
                <w:b/>
                <w:bCs/>
                <w:color w:val="000000"/>
                <w:sz w:val="18"/>
                <w:szCs w:val="18"/>
              </w:rPr>
              <w:t xml:space="preserve">Tabela 10 a.: Kostimi i masës së reformës strukture : Masa# 7 Miratimi i politikave bazuar nw tw dhwna dhe reduktimi i barrws administrative </w:t>
            </w:r>
          </w:p>
        </w:tc>
      </w:tr>
      <w:tr w:rsidR="009D6D4E" w14:paraId="73988525" w14:textId="77777777" w:rsidTr="00BF3B71">
        <w:trPr>
          <w:trHeight w:val="251"/>
        </w:trPr>
        <w:tc>
          <w:tcPr>
            <w:tcW w:w="668" w:type="dxa"/>
            <w:tcBorders>
              <w:top w:val="nil"/>
              <w:left w:val="single" w:sz="4" w:space="0" w:color="auto"/>
              <w:bottom w:val="single" w:sz="4" w:space="0" w:color="auto"/>
              <w:right w:val="single" w:sz="4" w:space="0" w:color="auto"/>
            </w:tcBorders>
            <w:shd w:val="clear" w:color="000000" w:fill="FFFFFF"/>
            <w:vAlign w:val="center"/>
            <w:hideMark/>
          </w:tcPr>
          <w:p w14:paraId="46CB3D07" w14:textId="77777777" w:rsidR="009D6D4E" w:rsidRDefault="009D6D4E" w:rsidP="00BF3B71">
            <w:pPr>
              <w:jc w:val="both"/>
              <w:rPr>
                <w:color w:val="000000"/>
                <w:sz w:val="18"/>
                <w:szCs w:val="18"/>
              </w:rPr>
            </w:pPr>
            <w:r>
              <w:rPr>
                <w:color w:val="000000"/>
                <w:sz w:val="18"/>
                <w:szCs w:val="18"/>
              </w:rPr>
              <w:t xml:space="preserve">Viti </w:t>
            </w:r>
          </w:p>
        </w:tc>
        <w:tc>
          <w:tcPr>
            <w:tcW w:w="2477" w:type="dxa"/>
            <w:gridSpan w:val="4"/>
            <w:tcBorders>
              <w:top w:val="nil"/>
              <w:left w:val="nil"/>
              <w:bottom w:val="single" w:sz="4" w:space="0" w:color="auto"/>
              <w:right w:val="single" w:sz="4" w:space="0" w:color="auto"/>
            </w:tcBorders>
            <w:shd w:val="clear" w:color="auto" w:fill="auto"/>
            <w:vAlign w:val="center"/>
            <w:hideMark/>
          </w:tcPr>
          <w:p w14:paraId="7DF1142D" w14:textId="77777777" w:rsidR="009D6D4E" w:rsidRDefault="009D6D4E" w:rsidP="00BF3B71">
            <w:pPr>
              <w:jc w:val="right"/>
              <w:rPr>
                <w:color w:val="000000"/>
                <w:sz w:val="18"/>
                <w:szCs w:val="18"/>
              </w:rPr>
            </w:pPr>
            <w:r>
              <w:rPr>
                <w:color w:val="000000"/>
                <w:sz w:val="18"/>
                <w:szCs w:val="18"/>
              </w:rPr>
              <w:t>Pagat</w:t>
            </w:r>
          </w:p>
        </w:tc>
        <w:tc>
          <w:tcPr>
            <w:tcW w:w="2610" w:type="dxa"/>
            <w:gridSpan w:val="3"/>
            <w:tcBorders>
              <w:top w:val="nil"/>
              <w:left w:val="nil"/>
              <w:bottom w:val="single" w:sz="4" w:space="0" w:color="auto"/>
              <w:right w:val="single" w:sz="4" w:space="0" w:color="auto"/>
            </w:tcBorders>
            <w:shd w:val="clear" w:color="auto" w:fill="auto"/>
            <w:vAlign w:val="center"/>
            <w:hideMark/>
          </w:tcPr>
          <w:p w14:paraId="249FEC00" w14:textId="77777777" w:rsidR="009D6D4E" w:rsidRDefault="009D6D4E" w:rsidP="00BF3B71">
            <w:pPr>
              <w:jc w:val="right"/>
              <w:rPr>
                <w:color w:val="000000"/>
                <w:sz w:val="18"/>
                <w:szCs w:val="18"/>
              </w:rPr>
            </w:pPr>
            <w:r>
              <w:rPr>
                <w:color w:val="000000"/>
                <w:sz w:val="18"/>
                <w:szCs w:val="18"/>
              </w:rPr>
              <w:t>Mallra dhe shërbime</w:t>
            </w:r>
          </w:p>
        </w:tc>
        <w:tc>
          <w:tcPr>
            <w:tcW w:w="1890" w:type="dxa"/>
            <w:gridSpan w:val="2"/>
            <w:tcBorders>
              <w:top w:val="nil"/>
              <w:left w:val="nil"/>
              <w:bottom w:val="single" w:sz="4" w:space="0" w:color="auto"/>
              <w:right w:val="single" w:sz="4" w:space="0" w:color="auto"/>
            </w:tcBorders>
            <w:shd w:val="clear" w:color="auto" w:fill="auto"/>
            <w:vAlign w:val="center"/>
            <w:hideMark/>
          </w:tcPr>
          <w:p w14:paraId="262D73F9" w14:textId="77777777" w:rsidR="009D6D4E" w:rsidRDefault="009D6D4E" w:rsidP="00BF3B71">
            <w:pPr>
              <w:jc w:val="right"/>
              <w:rPr>
                <w:color w:val="000000"/>
                <w:sz w:val="18"/>
                <w:szCs w:val="18"/>
              </w:rPr>
            </w:pPr>
            <w:r>
              <w:rPr>
                <w:color w:val="000000"/>
                <w:sz w:val="18"/>
                <w:szCs w:val="18"/>
              </w:rPr>
              <w:t>Subvencione dhe transfere</w:t>
            </w:r>
          </w:p>
        </w:tc>
        <w:tc>
          <w:tcPr>
            <w:tcW w:w="1651" w:type="dxa"/>
            <w:gridSpan w:val="2"/>
            <w:tcBorders>
              <w:top w:val="nil"/>
              <w:left w:val="nil"/>
              <w:bottom w:val="single" w:sz="4" w:space="0" w:color="auto"/>
              <w:right w:val="single" w:sz="4" w:space="0" w:color="auto"/>
            </w:tcBorders>
            <w:shd w:val="clear" w:color="auto" w:fill="auto"/>
            <w:vAlign w:val="center"/>
            <w:hideMark/>
          </w:tcPr>
          <w:p w14:paraId="38C6E53C" w14:textId="77777777" w:rsidR="009D6D4E" w:rsidRDefault="009D6D4E" w:rsidP="00BF3B71">
            <w:pPr>
              <w:jc w:val="right"/>
              <w:rPr>
                <w:color w:val="000000"/>
                <w:sz w:val="18"/>
                <w:szCs w:val="18"/>
              </w:rPr>
            </w:pPr>
            <w:r>
              <w:rPr>
                <w:color w:val="000000"/>
                <w:sz w:val="18"/>
                <w:szCs w:val="18"/>
              </w:rPr>
              <w:t xml:space="preserve">Shpenzimet kapitale </w:t>
            </w:r>
          </w:p>
        </w:tc>
        <w:tc>
          <w:tcPr>
            <w:tcW w:w="1026" w:type="dxa"/>
            <w:tcBorders>
              <w:top w:val="nil"/>
              <w:left w:val="nil"/>
              <w:bottom w:val="single" w:sz="4" w:space="0" w:color="auto"/>
              <w:right w:val="single" w:sz="4" w:space="0" w:color="auto"/>
            </w:tcBorders>
            <w:shd w:val="clear" w:color="auto" w:fill="auto"/>
            <w:vAlign w:val="center"/>
            <w:hideMark/>
          </w:tcPr>
          <w:p w14:paraId="4154F71A" w14:textId="77777777" w:rsidR="009D6D4E" w:rsidRPr="00534399" w:rsidRDefault="009D6D4E" w:rsidP="00BF3B71">
            <w:pPr>
              <w:jc w:val="both"/>
              <w:rPr>
                <w:b/>
                <w:color w:val="000000"/>
                <w:sz w:val="18"/>
                <w:szCs w:val="18"/>
              </w:rPr>
            </w:pPr>
            <w:r w:rsidRPr="00534399">
              <w:rPr>
                <w:b/>
                <w:color w:val="000000"/>
                <w:sz w:val="18"/>
                <w:szCs w:val="18"/>
              </w:rPr>
              <w:t>Totali</w:t>
            </w:r>
          </w:p>
        </w:tc>
      </w:tr>
      <w:tr w:rsidR="009D6D4E" w14:paraId="04F5F128" w14:textId="77777777" w:rsidTr="00BF3B71">
        <w:trPr>
          <w:trHeight w:val="278"/>
        </w:trPr>
        <w:tc>
          <w:tcPr>
            <w:tcW w:w="668" w:type="dxa"/>
            <w:tcBorders>
              <w:top w:val="nil"/>
              <w:left w:val="single" w:sz="4" w:space="0" w:color="auto"/>
              <w:bottom w:val="single" w:sz="4" w:space="0" w:color="auto"/>
              <w:right w:val="single" w:sz="4" w:space="0" w:color="auto"/>
            </w:tcBorders>
            <w:shd w:val="clear" w:color="auto" w:fill="auto"/>
            <w:vAlign w:val="center"/>
            <w:hideMark/>
          </w:tcPr>
          <w:p w14:paraId="3D38E171" w14:textId="77777777" w:rsidR="009D6D4E" w:rsidRDefault="009D6D4E" w:rsidP="00BF3B71">
            <w:pPr>
              <w:jc w:val="both"/>
              <w:rPr>
                <w:color w:val="000000"/>
                <w:sz w:val="18"/>
                <w:szCs w:val="18"/>
              </w:rPr>
            </w:pPr>
            <w:r>
              <w:rPr>
                <w:color w:val="000000"/>
                <w:sz w:val="18"/>
                <w:szCs w:val="18"/>
              </w:rPr>
              <w:t>2020</w:t>
            </w:r>
          </w:p>
        </w:tc>
        <w:tc>
          <w:tcPr>
            <w:tcW w:w="2477" w:type="dxa"/>
            <w:gridSpan w:val="4"/>
            <w:tcBorders>
              <w:top w:val="nil"/>
              <w:left w:val="nil"/>
              <w:bottom w:val="single" w:sz="4" w:space="0" w:color="auto"/>
              <w:right w:val="single" w:sz="4" w:space="0" w:color="auto"/>
            </w:tcBorders>
            <w:shd w:val="clear" w:color="auto" w:fill="auto"/>
            <w:vAlign w:val="center"/>
            <w:hideMark/>
          </w:tcPr>
          <w:p w14:paraId="4A2D6F69" w14:textId="77777777" w:rsidR="009D6D4E" w:rsidRDefault="009D6D4E" w:rsidP="00BF3B71">
            <w:pPr>
              <w:jc w:val="center"/>
              <w:rPr>
                <w:color w:val="000000"/>
                <w:sz w:val="18"/>
                <w:szCs w:val="18"/>
              </w:rPr>
            </w:pPr>
            <w:r>
              <w:rPr>
                <w:color w:val="000000"/>
                <w:sz w:val="18"/>
                <w:szCs w:val="18"/>
              </w:rPr>
              <w:t>0.00</w:t>
            </w:r>
          </w:p>
        </w:tc>
        <w:tc>
          <w:tcPr>
            <w:tcW w:w="2610" w:type="dxa"/>
            <w:gridSpan w:val="3"/>
            <w:tcBorders>
              <w:top w:val="nil"/>
              <w:left w:val="nil"/>
              <w:bottom w:val="single" w:sz="4" w:space="0" w:color="auto"/>
              <w:right w:val="single" w:sz="4" w:space="0" w:color="auto"/>
            </w:tcBorders>
            <w:shd w:val="clear" w:color="auto" w:fill="auto"/>
            <w:vAlign w:val="center"/>
            <w:hideMark/>
          </w:tcPr>
          <w:p w14:paraId="4C17F44C" w14:textId="77777777" w:rsidR="009D6D4E" w:rsidRDefault="009D6D4E" w:rsidP="00BF3B71">
            <w:pPr>
              <w:jc w:val="right"/>
              <w:rPr>
                <w:color w:val="000000"/>
                <w:sz w:val="18"/>
                <w:szCs w:val="18"/>
              </w:rPr>
            </w:pPr>
            <w:r>
              <w:rPr>
                <w:color w:val="000000"/>
                <w:sz w:val="18"/>
                <w:szCs w:val="18"/>
              </w:rPr>
              <w:t xml:space="preserve">                         306,000 </w:t>
            </w:r>
          </w:p>
        </w:tc>
        <w:tc>
          <w:tcPr>
            <w:tcW w:w="1890" w:type="dxa"/>
            <w:gridSpan w:val="2"/>
            <w:tcBorders>
              <w:top w:val="nil"/>
              <w:left w:val="nil"/>
              <w:bottom w:val="single" w:sz="4" w:space="0" w:color="auto"/>
              <w:right w:val="single" w:sz="4" w:space="0" w:color="auto"/>
            </w:tcBorders>
            <w:shd w:val="clear" w:color="auto" w:fill="auto"/>
            <w:vAlign w:val="center"/>
            <w:hideMark/>
          </w:tcPr>
          <w:p w14:paraId="4E03E9B1" w14:textId="77777777" w:rsidR="009D6D4E" w:rsidRDefault="009D6D4E" w:rsidP="00BF3B71">
            <w:pPr>
              <w:jc w:val="right"/>
              <w:rPr>
                <w:color w:val="000000"/>
                <w:sz w:val="18"/>
                <w:szCs w:val="18"/>
              </w:rPr>
            </w:pPr>
            <w:r>
              <w:rPr>
                <w:color w:val="000000"/>
                <w:sz w:val="18"/>
                <w:szCs w:val="18"/>
              </w:rPr>
              <w:t xml:space="preserve">                                      -   </w:t>
            </w:r>
          </w:p>
        </w:tc>
        <w:tc>
          <w:tcPr>
            <w:tcW w:w="1651" w:type="dxa"/>
            <w:gridSpan w:val="2"/>
            <w:tcBorders>
              <w:top w:val="nil"/>
              <w:left w:val="nil"/>
              <w:bottom w:val="single" w:sz="4" w:space="0" w:color="auto"/>
              <w:right w:val="single" w:sz="4" w:space="0" w:color="auto"/>
            </w:tcBorders>
            <w:shd w:val="clear" w:color="auto" w:fill="auto"/>
            <w:vAlign w:val="center"/>
            <w:hideMark/>
          </w:tcPr>
          <w:p w14:paraId="0728FC3A" w14:textId="77777777" w:rsidR="009D6D4E" w:rsidRDefault="009D6D4E" w:rsidP="00BF3B71">
            <w:pPr>
              <w:jc w:val="center"/>
              <w:rPr>
                <w:color w:val="000000"/>
                <w:sz w:val="18"/>
                <w:szCs w:val="18"/>
              </w:rPr>
            </w:pPr>
            <w:r>
              <w:rPr>
                <w:color w:val="000000"/>
                <w:sz w:val="18"/>
                <w:szCs w:val="18"/>
              </w:rPr>
              <w:t xml:space="preserve">                                   -   </w:t>
            </w:r>
          </w:p>
        </w:tc>
        <w:tc>
          <w:tcPr>
            <w:tcW w:w="1026" w:type="dxa"/>
            <w:tcBorders>
              <w:top w:val="nil"/>
              <w:left w:val="nil"/>
              <w:bottom w:val="single" w:sz="4" w:space="0" w:color="auto"/>
              <w:right w:val="single" w:sz="4" w:space="0" w:color="auto"/>
            </w:tcBorders>
            <w:shd w:val="clear" w:color="000000" w:fill="FFFFFF"/>
            <w:vAlign w:val="center"/>
            <w:hideMark/>
          </w:tcPr>
          <w:p w14:paraId="4A60F724" w14:textId="77777777" w:rsidR="009D6D4E" w:rsidRPr="00080097" w:rsidRDefault="009D6D4E" w:rsidP="00BF3B71">
            <w:pPr>
              <w:jc w:val="both"/>
              <w:rPr>
                <w:b/>
                <w:color w:val="000000"/>
                <w:sz w:val="18"/>
                <w:szCs w:val="18"/>
              </w:rPr>
            </w:pPr>
            <w:r w:rsidRPr="00080097">
              <w:rPr>
                <w:b/>
                <w:color w:val="000000"/>
                <w:sz w:val="18"/>
                <w:szCs w:val="18"/>
              </w:rPr>
              <w:t xml:space="preserve">                          306,000 </w:t>
            </w:r>
          </w:p>
        </w:tc>
      </w:tr>
      <w:tr w:rsidR="009D6D4E" w14:paraId="77DF7AE1" w14:textId="77777777" w:rsidTr="00BF3B71">
        <w:trPr>
          <w:trHeight w:val="256"/>
        </w:trPr>
        <w:tc>
          <w:tcPr>
            <w:tcW w:w="668" w:type="dxa"/>
            <w:tcBorders>
              <w:top w:val="nil"/>
              <w:left w:val="single" w:sz="4" w:space="0" w:color="auto"/>
              <w:bottom w:val="single" w:sz="4" w:space="0" w:color="auto"/>
              <w:right w:val="single" w:sz="4" w:space="0" w:color="auto"/>
            </w:tcBorders>
            <w:shd w:val="clear" w:color="auto" w:fill="auto"/>
            <w:vAlign w:val="center"/>
            <w:hideMark/>
          </w:tcPr>
          <w:p w14:paraId="6A312D2C" w14:textId="77777777" w:rsidR="009D6D4E" w:rsidRDefault="009D6D4E" w:rsidP="00BF3B71">
            <w:pPr>
              <w:jc w:val="both"/>
              <w:rPr>
                <w:color w:val="000000"/>
                <w:sz w:val="18"/>
                <w:szCs w:val="18"/>
              </w:rPr>
            </w:pPr>
            <w:r>
              <w:rPr>
                <w:color w:val="000000"/>
                <w:sz w:val="18"/>
                <w:szCs w:val="18"/>
              </w:rPr>
              <w:t>2021</w:t>
            </w:r>
          </w:p>
        </w:tc>
        <w:tc>
          <w:tcPr>
            <w:tcW w:w="2477" w:type="dxa"/>
            <w:gridSpan w:val="4"/>
            <w:tcBorders>
              <w:top w:val="nil"/>
              <w:left w:val="nil"/>
              <w:bottom w:val="single" w:sz="4" w:space="0" w:color="auto"/>
              <w:right w:val="single" w:sz="4" w:space="0" w:color="auto"/>
            </w:tcBorders>
            <w:shd w:val="clear" w:color="auto" w:fill="auto"/>
            <w:vAlign w:val="center"/>
            <w:hideMark/>
          </w:tcPr>
          <w:p w14:paraId="7B9EE02D" w14:textId="77777777" w:rsidR="009D6D4E" w:rsidRDefault="009D6D4E" w:rsidP="00BF3B71">
            <w:pPr>
              <w:jc w:val="center"/>
              <w:rPr>
                <w:color w:val="000000"/>
                <w:sz w:val="18"/>
                <w:szCs w:val="18"/>
              </w:rPr>
            </w:pPr>
            <w:r>
              <w:rPr>
                <w:color w:val="000000"/>
                <w:sz w:val="18"/>
                <w:szCs w:val="18"/>
              </w:rPr>
              <w:t>0.00</w:t>
            </w:r>
          </w:p>
        </w:tc>
        <w:tc>
          <w:tcPr>
            <w:tcW w:w="2610" w:type="dxa"/>
            <w:gridSpan w:val="3"/>
            <w:tcBorders>
              <w:top w:val="nil"/>
              <w:left w:val="nil"/>
              <w:bottom w:val="single" w:sz="4" w:space="0" w:color="auto"/>
              <w:right w:val="single" w:sz="4" w:space="0" w:color="auto"/>
            </w:tcBorders>
            <w:shd w:val="clear" w:color="auto" w:fill="auto"/>
            <w:vAlign w:val="center"/>
            <w:hideMark/>
          </w:tcPr>
          <w:p w14:paraId="190B0D78" w14:textId="77777777" w:rsidR="009D6D4E" w:rsidRDefault="009D6D4E" w:rsidP="00BF3B71">
            <w:pPr>
              <w:jc w:val="right"/>
              <w:rPr>
                <w:color w:val="000000"/>
                <w:sz w:val="18"/>
                <w:szCs w:val="18"/>
              </w:rPr>
            </w:pPr>
            <w:r>
              <w:rPr>
                <w:color w:val="000000"/>
                <w:sz w:val="18"/>
                <w:szCs w:val="18"/>
              </w:rPr>
              <w:t xml:space="preserve">                         214,000 </w:t>
            </w:r>
          </w:p>
        </w:tc>
        <w:tc>
          <w:tcPr>
            <w:tcW w:w="1890" w:type="dxa"/>
            <w:gridSpan w:val="2"/>
            <w:tcBorders>
              <w:top w:val="nil"/>
              <w:left w:val="nil"/>
              <w:bottom w:val="single" w:sz="4" w:space="0" w:color="auto"/>
              <w:right w:val="single" w:sz="4" w:space="0" w:color="auto"/>
            </w:tcBorders>
            <w:shd w:val="clear" w:color="auto" w:fill="auto"/>
            <w:vAlign w:val="center"/>
            <w:hideMark/>
          </w:tcPr>
          <w:p w14:paraId="58107674" w14:textId="77777777" w:rsidR="009D6D4E" w:rsidRDefault="009D6D4E" w:rsidP="00BF3B71">
            <w:pPr>
              <w:jc w:val="right"/>
              <w:rPr>
                <w:color w:val="000000"/>
                <w:sz w:val="18"/>
                <w:szCs w:val="18"/>
              </w:rPr>
            </w:pPr>
            <w:r>
              <w:rPr>
                <w:color w:val="000000"/>
                <w:sz w:val="18"/>
                <w:szCs w:val="18"/>
              </w:rPr>
              <w:t xml:space="preserve">                                      -   </w:t>
            </w:r>
          </w:p>
        </w:tc>
        <w:tc>
          <w:tcPr>
            <w:tcW w:w="1651" w:type="dxa"/>
            <w:gridSpan w:val="2"/>
            <w:tcBorders>
              <w:top w:val="nil"/>
              <w:left w:val="nil"/>
              <w:bottom w:val="single" w:sz="4" w:space="0" w:color="auto"/>
              <w:right w:val="single" w:sz="4" w:space="0" w:color="auto"/>
            </w:tcBorders>
            <w:shd w:val="clear" w:color="auto" w:fill="auto"/>
            <w:vAlign w:val="center"/>
            <w:hideMark/>
          </w:tcPr>
          <w:p w14:paraId="0A9D3362" w14:textId="77777777" w:rsidR="009D6D4E" w:rsidRDefault="009D6D4E" w:rsidP="00BF3B71">
            <w:pPr>
              <w:jc w:val="right"/>
              <w:rPr>
                <w:color w:val="000000"/>
                <w:sz w:val="18"/>
                <w:szCs w:val="18"/>
              </w:rPr>
            </w:pPr>
            <w:r>
              <w:rPr>
                <w:color w:val="000000"/>
                <w:sz w:val="18"/>
                <w:szCs w:val="18"/>
              </w:rPr>
              <w:t xml:space="preserve">                                   -   </w:t>
            </w:r>
          </w:p>
        </w:tc>
        <w:tc>
          <w:tcPr>
            <w:tcW w:w="1026" w:type="dxa"/>
            <w:tcBorders>
              <w:top w:val="nil"/>
              <w:left w:val="nil"/>
              <w:bottom w:val="single" w:sz="4" w:space="0" w:color="auto"/>
              <w:right w:val="single" w:sz="4" w:space="0" w:color="auto"/>
            </w:tcBorders>
            <w:shd w:val="clear" w:color="000000" w:fill="FFFFFF"/>
            <w:vAlign w:val="center"/>
            <w:hideMark/>
          </w:tcPr>
          <w:p w14:paraId="4BC8F803" w14:textId="77777777" w:rsidR="009D6D4E" w:rsidRPr="00080097" w:rsidRDefault="009D6D4E" w:rsidP="00BF3B71">
            <w:pPr>
              <w:jc w:val="both"/>
              <w:rPr>
                <w:b/>
                <w:color w:val="000000"/>
                <w:sz w:val="18"/>
                <w:szCs w:val="18"/>
              </w:rPr>
            </w:pPr>
            <w:r w:rsidRPr="00080097">
              <w:rPr>
                <w:b/>
                <w:color w:val="000000"/>
                <w:sz w:val="18"/>
                <w:szCs w:val="18"/>
              </w:rPr>
              <w:t xml:space="preserve">                          214,000 </w:t>
            </w:r>
          </w:p>
        </w:tc>
      </w:tr>
      <w:tr w:rsidR="009D6D4E" w14:paraId="0BE7B3C9" w14:textId="77777777" w:rsidTr="00BF3B71">
        <w:trPr>
          <w:trHeight w:val="272"/>
        </w:trPr>
        <w:tc>
          <w:tcPr>
            <w:tcW w:w="10322" w:type="dxa"/>
            <w:gridSpan w:val="13"/>
            <w:tcBorders>
              <w:top w:val="single" w:sz="8" w:space="0" w:color="auto"/>
              <w:left w:val="single" w:sz="8" w:space="0" w:color="auto"/>
              <w:bottom w:val="single" w:sz="8" w:space="0" w:color="auto"/>
              <w:right w:val="single" w:sz="4" w:space="0" w:color="auto"/>
            </w:tcBorders>
            <w:shd w:val="clear" w:color="auto" w:fill="auto"/>
            <w:vAlign w:val="center"/>
            <w:hideMark/>
          </w:tcPr>
          <w:p w14:paraId="537A0A3D" w14:textId="77777777" w:rsidR="009D6D4E" w:rsidRDefault="009D6D4E" w:rsidP="00BF3B71">
            <w:pPr>
              <w:rPr>
                <w:b/>
                <w:bCs/>
                <w:color w:val="000000"/>
                <w:sz w:val="18"/>
                <w:szCs w:val="18"/>
              </w:rPr>
            </w:pPr>
            <w:r>
              <w:rPr>
                <w:b/>
                <w:bCs/>
                <w:color w:val="000000"/>
                <w:sz w:val="18"/>
                <w:szCs w:val="18"/>
              </w:rPr>
              <w:t xml:space="preserve">Tabela 10.b:Financimi i masës së reformës strukturore: Masa#7Miratimi i politikave bazuar nw tw dhwna dhe reduktimi i barrws administrative </w:t>
            </w:r>
          </w:p>
        </w:tc>
      </w:tr>
      <w:tr w:rsidR="009D6D4E" w14:paraId="0877B476" w14:textId="77777777" w:rsidTr="00BF3B71">
        <w:trPr>
          <w:trHeight w:val="433"/>
        </w:trPr>
        <w:tc>
          <w:tcPr>
            <w:tcW w:w="725" w:type="dxa"/>
            <w:gridSpan w:val="2"/>
            <w:tcBorders>
              <w:top w:val="nil"/>
              <w:left w:val="single" w:sz="8" w:space="0" w:color="auto"/>
              <w:bottom w:val="single" w:sz="8" w:space="0" w:color="auto"/>
              <w:right w:val="single" w:sz="8" w:space="0" w:color="auto"/>
            </w:tcBorders>
            <w:shd w:val="clear" w:color="auto" w:fill="auto"/>
            <w:vAlign w:val="center"/>
            <w:hideMark/>
          </w:tcPr>
          <w:p w14:paraId="52E8CF87" w14:textId="77777777" w:rsidR="009D6D4E" w:rsidRDefault="009D6D4E" w:rsidP="00BF3B71">
            <w:pPr>
              <w:rPr>
                <w:color w:val="000000"/>
                <w:sz w:val="18"/>
                <w:szCs w:val="18"/>
              </w:rPr>
            </w:pPr>
            <w:r>
              <w:rPr>
                <w:color w:val="000000"/>
                <w:sz w:val="18"/>
                <w:szCs w:val="18"/>
              </w:rPr>
              <w:t xml:space="preserve">Viti </w:t>
            </w:r>
          </w:p>
        </w:tc>
        <w:tc>
          <w:tcPr>
            <w:tcW w:w="968" w:type="dxa"/>
            <w:tcBorders>
              <w:top w:val="nil"/>
              <w:left w:val="nil"/>
              <w:bottom w:val="single" w:sz="8" w:space="0" w:color="auto"/>
              <w:right w:val="single" w:sz="8" w:space="0" w:color="auto"/>
            </w:tcBorders>
            <w:shd w:val="clear" w:color="auto" w:fill="auto"/>
            <w:vAlign w:val="center"/>
            <w:hideMark/>
          </w:tcPr>
          <w:p w14:paraId="486E6002" w14:textId="77777777" w:rsidR="009D6D4E" w:rsidRDefault="009D6D4E" w:rsidP="00BF3B71">
            <w:pPr>
              <w:rPr>
                <w:color w:val="000000"/>
                <w:sz w:val="18"/>
                <w:szCs w:val="18"/>
              </w:rPr>
            </w:pPr>
            <w:r>
              <w:rPr>
                <w:color w:val="000000"/>
                <w:sz w:val="18"/>
                <w:szCs w:val="18"/>
              </w:rPr>
              <w:t>Buxheti qendror</w:t>
            </w:r>
          </w:p>
        </w:tc>
        <w:tc>
          <w:tcPr>
            <w:tcW w:w="846" w:type="dxa"/>
            <w:tcBorders>
              <w:top w:val="nil"/>
              <w:left w:val="nil"/>
              <w:bottom w:val="single" w:sz="8" w:space="0" w:color="auto"/>
              <w:right w:val="single" w:sz="8" w:space="0" w:color="auto"/>
            </w:tcBorders>
            <w:shd w:val="clear" w:color="auto" w:fill="auto"/>
            <w:vAlign w:val="center"/>
            <w:hideMark/>
          </w:tcPr>
          <w:p w14:paraId="4D661121" w14:textId="77777777" w:rsidR="009D6D4E" w:rsidRDefault="009D6D4E" w:rsidP="00BF3B71">
            <w:pPr>
              <w:rPr>
                <w:color w:val="000000"/>
                <w:sz w:val="18"/>
                <w:szCs w:val="18"/>
              </w:rPr>
            </w:pPr>
            <w:r>
              <w:rPr>
                <w:color w:val="000000"/>
                <w:sz w:val="18"/>
                <w:szCs w:val="18"/>
              </w:rPr>
              <w:t>Buxheti komunal</w:t>
            </w:r>
          </w:p>
        </w:tc>
        <w:tc>
          <w:tcPr>
            <w:tcW w:w="1716" w:type="dxa"/>
            <w:gridSpan w:val="2"/>
            <w:tcBorders>
              <w:top w:val="nil"/>
              <w:left w:val="nil"/>
              <w:bottom w:val="single" w:sz="8" w:space="0" w:color="auto"/>
              <w:right w:val="single" w:sz="8" w:space="0" w:color="auto"/>
            </w:tcBorders>
            <w:shd w:val="clear" w:color="auto" w:fill="auto"/>
            <w:vAlign w:val="center"/>
            <w:hideMark/>
          </w:tcPr>
          <w:p w14:paraId="5FAC081C" w14:textId="77777777" w:rsidR="009D6D4E" w:rsidRDefault="009D6D4E" w:rsidP="00BF3B71">
            <w:pPr>
              <w:rPr>
                <w:color w:val="000000"/>
                <w:sz w:val="18"/>
                <w:szCs w:val="18"/>
              </w:rPr>
            </w:pPr>
            <w:r>
              <w:rPr>
                <w:color w:val="000000"/>
                <w:sz w:val="18"/>
                <w:szCs w:val="18"/>
              </w:rPr>
              <w:t xml:space="preserve">Burimet e tjera të financimit publik </w:t>
            </w:r>
          </w:p>
        </w:tc>
        <w:tc>
          <w:tcPr>
            <w:tcW w:w="974" w:type="dxa"/>
            <w:tcBorders>
              <w:top w:val="nil"/>
              <w:left w:val="nil"/>
              <w:bottom w:val="single" w:sz="8" w:space="0" w:color="auto"/>
              <w:right w:val="single" w:sz="8" w:space="0" w:color="auto"/>
            </w:tcBorders>
            <w:shd w:val="clear" w:color="auto" w:fill="auto"/>
            <w:vAlign w:val="center"/>
            <w:hideMark/>
          </w:tcPr>
          <w:p w14:paraId="65C0144E" w14:textId="77777777" w:rsidR="009D6D4E" w:rsidRDefault="009D6D4E" w:rsidP="00BF3B71">
            <w:pPr>
              <w:rPr>
                <w:color w:val="000000"/>
                <w:sz w:val="18"/>
                <w:szCs w:val="18"/>
              </w:rPr>
            </w:pPr>
            <w:r>
              <w:rPr>
                <w:color w:val="000000"/>
                <w:sz w:val="18"/>
                <w:szCs w:val="18"/>
              </w:rPr>
              <w:t>Fondet e IPA</w:t>
            </w:r>
          </w:p>
        </w:tc>
        <w:tc>
          <w:tcPr>
            <w:tcW w:w="1601" w:type="dxa"/>
            <w:gridSpan w:val="2"/>
            <w:tcBorders>
              <w:top w:val="nil"/>
              <w:left w:val="nil"/>
              <w:bottom w:val="single" w:sz="8" w:space="0" w:color="auto"/>
              <w:right w:val="single" w:sz="8" w:space="0" w:color="auto"/>
            </w:tcBorders>
            <w:shd w:val="clear" w:color="auto" w:fill="auto"/>
            <w:vAlign w:val="center"/>
            <w:hideMark/>
          </w:tcPr>
          <w:p w14:paraId="14D7D106" w14:textId="77777777" w:rsidR="009D6D4E" w:rsidRDefault="009D6D4E" w:rsidP="00BF3B71">
            <w:pPr>
              <w:rPr>
                <w:color w:val="000000"/>
                <w:sz w:val="18"/>
                <w:szCs w:val="18"/>
              </w:rPr>
            </w:pPr>
            <w:r>
              <w:rPr>
                <w:color w:val="000000"/>
                <w:sz w:val="18"/>
                <w:szCs w:val="18"/>
              </w:rPr>
              <w:t>Grante të tjera ( projekti i financuar nga BE)</w:t>
            </w:r>
          </w:p>
        </w:tc>
        <w:tc>
          <w:tcPr>
            <w:tcW w:w="878" w:type="dxa"/>
            <w:gridSpan w:val="2"/>
            <w:tcBorders>
              <w:top w:val="nil"/>
              <w:left w:val="nil"/>
              <w:bottom w:val="single" w:sz="8" w:space="0" w:color="auto"/>
              <w:right w:val="single" w:sz="8" w:space="0" w:color="auto"/>
            </w:tcBorders>
            <w:shd w:val="clear" w:color="auto" w:fill="auto"/>
            <w:vAlign w:val="center"/>
            <w:hideMark/>
          </w:tcPr>
          <w:p w14:paraId="367AA11B" w14:textId="77777777" w:rsidR="009D6D4E" w:rsidRDefault="009D6D4E" w:rsidP="00BF3B71">
            <w:pPr>
              <w:rPr>
                <w:color w:val="000000"/>
                <w:sz w:val="18"/>
                <w:szCs w:val="18"/>
              </w:rPr>
            </w:pPr>
            <w:r>
              <w:rPr>
                <w:color w:val="000000"/>
                <w:sz w:val="18"/>
                <w:szCs w:val="18"/>
              </w:rPr>
              <w:t>Kredi për projekte</w:t>
            </w:r>
          </w:p>
        </w:tc>
        <w:tc>
          <w:tcPr>
            <w:tcW w:w="1588" w:type="dxa"/>
            <w:tcBorders>
              <w:top w:val="nil"/>
              <w:left w:val="nil"/>
              <w:bottom w:val="single" w:sz="8" w:space="0" w:color="auto"/>
              <w:right w:val="single" w:sz="8" w:space="0" w:color="auto"/>
            </w:tcBorders>
            <w:shd w:val="clear" w:color="auto" w:fill="auto"/>
            <w:vAlign w:val="center"/>
            <w:hideMark/>
          </w:tcPr>
          <w:p w14:paraId="19835F0E" w14:textId="77777777" w:rsidR="009D6D4E" w:rsidRDefault="009D6D4E" w:rsidP="00BF3B71">
            <w:pPr>
              <w:rPr>
                <w:color w:val="000000"/>
                <w:sz w:val="18"/>
                <w:szCs w:val="18"/>
              </w:rPr>
            </w:pPr>
            <w:r>
              <w:rPr>
                <w:color w:val="000000"/>
                <w:sz w:val="18"/>
                <w:szCs w:val="18"/>
              </w:rPr>
              <w:t xml:space="preserve">Të përcaktohet </w:t>
            </w:r>
          </w:p>
        </w:tc>
        <w:tc>
          <w:tcPr>
            <w:tcW w:w="1026" w:type="dxa"/>
            <w:tcBorders>
              <w:top w:val="nil"/>
              <w:left w:val="nil"/>
              <w:bottom w:val="single" w:sz="8" w:space="0" w:color="auto"/>
              <w:right w:val="single" w:sz="4" w:space="0" w:color="auto"/>
            </w:tcBorders>
            <w:shd w:val="clear" w:color="auto" w:fill="auto"/>
            <w:vAlign w:val="center"/>
            <w:hideMark/>
          </w:tcPr>
          <w:p w14:paraId="5FE2522F" w14:textId="77777777" w:rsidR="009D6D4E" w:rsidRPr="00534399" w:rsidRDefault="009D6D4E" w:rsidP="00BF3B71">
            <w:pPr>
              <w:rPr>
                <w:b/>
                <w:color w:val="000000"/>
                <w:sz w:val="18"/>
                <w:szCs w:val="18"/>
              </w:rPr>
            </w:pPr>
            <w:r w:rsidRPr="00534399">
              <w:rPr>
                <w:b/>
                <w:color w:val="000000"/>
                <w:sz w:val="18"/>
                <w:szCs w:val="18"/>
              </w:rPr>
              <w:t xml:space="preserve">Totali </w:t>
            </w:r>
          </w:p>
        </w:tc>
      </w:tr>
      <w:tr w:rsidR="009D6D4E" w14:paraId="31998E31" w14:textId="77777777" w:rsidTr="00BF3B71">
        <w:trPr>
          <w:trHeight w:val="433"/>
        </w:trPr>
        <w:tc>
          <w:tcPr>
            <w:tcW w:w="725" w:type="dxa"/>
            <w:gridSpan w:val="2"/>
            <w:tcBorders>
              <w:top w:val="nil"/>
              <w:left w:val="single" w:sz="8" w:space="0" w:color="auto"/>
              <w:bottom w:val="single" w:sz="8" w:space="0" w:color="auto"/>
              <w:right w:val="single" w:sz="8" w:space="0" w:color="auto"/>
            </w:tcBorders>
            <w:shd w:val="clear" w:color="auto" w:fill="auto"/>
            <w:vAlign w:val="center"/>
            <w:hideMark/>
          </w:tcPr>
          <w:p w14:paraId="7352CF1B" w14:textId="77777777" w:rsidR="009D6D4E" w:rsidRDefault="009D6D4E" w:rsidP="00BF3B71">
            <w:pPr>
              <w:jc w:val="right"/>
              <w:rPr>
                <w:color w:val="000000"/>
                <w:sz w:val="18"/>
                <w:szCs w:val="18"/>
              </w:rPr>
            </w:pPr>
            <w:r>
              <w:rPr>
                <w:color w:val="000000"/>
                <w:sz w:val="18"/>
                <w:szCs w:val="18"/>
              </w:rPr>
              <w:t>2020</w:t>
            </w:r>
          </w:p>
        </w:tc>
        <w:tc>
          <w:tcPr>
            <w:tcW w:w="968" w:type="dxa"/>
            <w:tcBorders>
              <w:top w:val="nil"/>
              <w:left w:val="nil"/>
              <w:bottom w:val="single" w:sz="8" w:space="0" w:color="auto"/>
              <w:right w:val="single" w:sz="8" w:space="0" w:color="auto"/>
            </w:tcBorders>
            <w:shd w:val="clear" w:color="auto" w:fill="auto"/>
            <w:vAlign w:val="center"/>
            <w:hideMark/>
          </w:tcPr>
          <w:p w14:paraId="4AE04082" w14:textId="77777777" w:rsidR="009D6D4E" w:rsidRDefault="009D6D4E" w:rsidP="00BF3B71">
            <w:pPr>
              <w:jc w:val="right"/>
              <w:rPr>
                <w:color w:val="000000"/>
                <w:sz w:val="18"/>
                <w:szCs w:val="18"/>
              </w:rPr>
            </w:pPr>
            <w:r>
              <w:rPr>
                <w:color w:val="000000"/>
                <w:sz w:val="18"/>
                <w:szCs w:val="18"/>
              </w:rPr>
              <w:t>20,000.00</w:t>
            </w:r>
          </w:p>
        </w:tc>
        <w:tc>
          <w:tcPr>
            <w:tcW w:w="846" w:type="dxa"/>
            <w:tcBorders>
              <w:top w:val="nil"/>
              <w:left w:val="nil"/>
              <w:bottom w:val="single" w:sz="8" w:space="0" w:color="auto"/>
              <w:right w:val="single" w:sz="8" w:space="0" w:color="auto"/>
            </w:tcBorders>
            <w:shd w:val="clear" w:color="auto" w:fill="auto"/>
            <w:vAlign w:val="center"/>
            <w:hideMark/>
          </w:tcPr>
          <w:p w14:paraId="1817A541" w14:textId="77777777" w:rsidR="009D6D4E" w:rsidRDefault="009D6D4E" w:rsidP="00BF3B71">
            <w:pPr>
              <w:jc w:val="right"/>
              <w:rPr>
                <w:color w:val="000000"/>
                <w:sz w:val="18"/>
                <w:szCs w:val="18"/>
              </w:rPr>
            </w:pPr>
            <w:r>
              <w:rPr>
                <w:color w:val="000000"/>
                <w:sz w:val="18"/>
                <w:szCs w:val="18"/>
              </w:rPr>
              <w:t>0.00</w:t>
            </w:r>
          </w:p>
        </w:tc>
        <w:tc>
          <w:tcPr>
            <w:tcW w:w="1716" w:type="dxa"/>
            <w:gridSpan w:val="2"/>
            <w:tcBorders>
              <w:top w:val="nil"/>
              <w:left w:val="nil"/>
              <w:bottom w:val="single" w:sz="8" w:space="0" w:color="auto"/>
              <w:right w:val="single" w:sz="8" w:space="0" w:color="auto"/>
            </w:tcBorders>
            <w:shd w:val="clear" w:color="auto" w:fill="auto"/>
            <w:vAlign w:val="center"/>
            <w:hideMark/>
          </w:tcPr>
          <w:p w14:paraId="5E2B62E9" w14:textId="77777777" w:rsidR="009D6D4E" w:rsidRDefault="009D6D4E" w:rsidP="00BF3B71">
            <w:pPr>
              <w:jc w:val="right"/>
              <w:rPr>
                <w:color w:val="000000"/>
                <w:sz w:val="18"/>
                <w:szCs w:val="18"/>
              </w:rPr>
            </w:pPr>
            <w:r>
              <w:rPr>
                <w:color w:val="000000"/>
                <w:sz w:val="18"/>
                <w:szCs w:val="18"/>
              </w:rPr>
              <w:t>0.00</w:t>
            </w:r>
          </w:p>
        </w:tc>
        <w:tc>
          <w:tcPr>
            <w:tcW w:w="974" w:type="dxa"/>
            <w:tcBorders>
              <w:top w:val="nil"/>
              <w:left w:val="nil"/>
              <w:bottom w:val="single" w:sz="8" w:space="0" w:color="auto"/>
              <w:right w:val="single" w:sz="8" w:space="0" w:color="auto"/>
            </w:tcBorders>
            <w:shd w:val="clear" w:color="auto" w:fill="auto"/>
            <w:vAlign w:val="center"/>
            <w:hideMark/>
          </w:tcPr>
          <w:p w14:paraId="417E7C9B" w14:textId="77777777" w:rsidR="009D6D4E" w:rsidRDefault="009D6D4E" w:rsidP="00BF3B71">
            <w:pPr>
              <w:jc w:val="right"/>
              <w:rPr>
                <w:color w:val="000000"/>
                <w:sz w:val="18"/>
                <w:szCs w:val="18"/>
              </w:rPr>
            </w:pPr>
            <w:r>
              <w:rPr>
                <w:color w:val="000000"/>
                <w:sz w:val="18"/>
                <w:szCs w:val="18"/>
              </w:rPr>
              <w:t>0.00</w:t>
            </w:r>
          </w:p>
        </w:tc>
        <w:tc>
          <w:tcPr>
            <w:tcW w:w="1601" w:type="dxa"/>
            <w:gridSpan w:val="2"/>
            <w:tcBorders>
              <w:top w:val="nil"/>
              <w:left w:val="nil"/>
              <w:bottom w:val="single" w:sz="8" w:space="0" w:color="auto"/>
              <w:right w:val="single" w:sz="8" w:space="0" w:color="auto"/>
            </w:tcBorders>
            <w:shd w:val="clear" w:color="auto" w:fill="auto"/>
            <w:vAlign w:val="center"/>
            <w:hideMark/>
          </w:tcPr>
          <w:p w14:paraId="2C7F18BB" w14:textId="77777777" w:rsidR="009D6D4E" w:rsidRDefault="009D6D4E" w:rsidP="00BF3B71">
            <w:pPr>
              <w:jc w:val="right"/>
              <w:rPr>
                <w:color w:val="000000"/>
                <w:sz w:val="18"/>
                <w:szCs w:val="18"/>
              </w:rPr>
            </w:pPr>
            <w:r>
              <w:rPr>
                <w:color w:val="000000"/>
                <w:sz w:val="18"/>
                <w:szCs w:val="18"/>
              </w:rPr>
              <w:t>286,000.00</w:t>
            </w:r>
          </w:p>
        </w:tc>
        <w:tc>
          <w:tcPr>
            <w:tcW w:w="878" w:type="dxa"/>
            <w:gridSpan w:val="2"/>
            <w:tcBorders>
              <w:top w:val="nil"/>
              <w:left w:val="nil"/>
              <w:bottom w:val="single" w:sz="8" w:space="0" w:color="auto"/>
              <w:right w:val="single" w:sz="8" w:space="0" w:color="auto"/>
            </w:tcBorders>
            <w:shd w:val="clear" w:color="auto" w:fill="auto"/>
            <w:vAlign w:val="center"/>
            <w:hideMark/>
          </w:tcPr>
          <w:p w14:paraId="22E49048" w14:textId="77777777" w:rsidR="009D6D4E" w:rsidRDefault="009D6D4E" w:rsidP="00BF3B71">
            <w:pPr>
              <w:jc w:val="right"/>
              <w:rPr>
                <w:color w:val="000000"/>
                <w:sz w:val="18"/>
                <w:szCs w:val="18"/>
              </w:rPr>
            </w:pPr>
            <w:r>
              <w:rPr>
                <w:color w:val="000000"/>
                <w:sz w:val="18"/>
                <w:szCs w:val="18"/>
              </w:rPr>
              <w:t>0.00</w:t>
            </w:r>
          </w:p>
        </w:tc>
        <w:tc>
          <w:tcPr>
            <w:tcW w:w="1588" w:type="dxa"/>
            <w:tcBorders>
              <w:top w:val="nil"/>
              <w:left w:val="nil"/>
              <w:bottom w:val="single" w:sz="8" w:space="0" w:color="auto"/>
              <w:right w:val="single" w:sz="8" w:space="0" w:color="auto"/>
            </w:tcBorders>
            <w:shd w:val="clear" w:color="auto" w:fill="auto"/>
            <w:vAlign w:val="center"/>
            <w:hideMark/>
          </w:tcPr>
          <w:p w14:paraId="357FE589" w14:textId="77777777" w:rsidR="009D6D4E" w:rsidRDefault="009D6D4E" w:rsidP="00BF3B71">
            <w:pPr>
              <w:jc w:val="right"/>
              <w:rPr>
                <w:color w:val="000000"/>
                <w:sz w:val="18"/>
                <w:szCs w:val="18"/>
              </w:rPr>
            </w:pPr>
            <w:r>
              <w:rPr>
                <w:color w:val="000000"/>
                <w:sz w:val="18"/>
                <w:szCs w:val="18"/>
              </w:rPr>
              <w:t>0.00</w:t>
            </w:r>
          </w:p>
        </w:tc>
        <w:tc>
          <w:tcPr>
            <w:tcW w:w="1026" w:type="dxa"/>
            <w:tcBorders>
              <w:top w:val="nil"/>
              <w:left w:val="nil"/>
              <w:bottom w:val="single" w:sz="8" w:space="0" w:color="auto"/>
              <w:right w:val="single" w:sz="4" w:space="0" w:color="auto"/>
            </w:tcBorders>
            <w:shd w:val="clear" w:color="auto" w:fill="auto"/>
            <w:vAlign w:val="center"/>
            <w:hideMark/>
          </w:tcPr>
          <w:p w14:paraId="06958846" w14:textId="77777777" w:rsidR="009D6D4E" w:rsidRDefault="009D6D4E" w:rsidP="00BF3B71">
            <w:pPr>
              <w:jc w:val="right"/>
              <w:rPr>
                <w:b/>
                <w:bCs/>
                <w:color w:val="000000"/>
                <w:sz w:val="18"/>
                <w:szCs w:val="18"/>
              </w:rPr>
            </w:pPr>
            <w:r>
              <w:rPr>
                <w:b/>
                <w:bCs/>
                <w:color w:val="000000"/>
                <w:sz w:val="18"/>
                <w:szCs w:val="18"/>
              </w:rPr>
              <w:t>306,000</w:t>
            </w:r>
          </w:p>
        </w:tc>
      </w:tr>
      <w:tr w:rsidR="009D6D4E" w14:paraId="52F7DC09" w14:textId="77777777" w:rsidTr="00BF3B71">
        <w:trPr>
          <w:trHeight w:val="272"/>
        </w:trPr>
        <w:tc>
          <w:tcPr>
            <w:tcW w:w="725" w:type="dxa"/>
            <w:gridSpan w:val="2"/>
            <w:tcBorders>
              <w:top w:val="nil"/>
              <w:left w:val="single" w:sz="8" w:space="0" w:color="auto"/>
              <w:bottom w:val="single" w:sz="8" w:space="0" w:color="auto"/>
              <w:right w:val="single" w:sz="8" w:space="0" w:color="auto"/>
            </w:tcBorders>
            <w:shd w:val="clear" w:color="auto" w:fill="auto"/>
            <w:vAlign w:val="center"/>
            <w:hideMark/>
          </w:tcPr>
          <w:p w14:paraId="6AF0C072" w14:textId="77777777" w:rsidR="009D6D4E" w:rsidRDefault="009D6D4E" w:rsidP="00BF3B71">
            <w:pPr>
              <w:jc w:val="right"/>
              <w:rPr>
                <w:color w:val="000000"/>
                <w:sz w:val="18"/>
                <w:szCs w:val="18"/>
              </w:rPr>
            </w:pPr>
            <w:r>
              <w:rPr>
                <w:color w:val="000000"/>
                <w:sz w:val="18"/>
                <w:szCs w:val="18"/>
              </w:rPr>
              <w:t>2021</w:t>
            </w:r>
          </w:p>
        </w:tc>
        <w:tc>
          <w:tcPr>
            <w:tcW w:w="968" w:type="dxa"/>
            <w:tcBorders>
              <w:top w:val="nil"/>
              <w:left w:val="nil"/>
              <w:bottom w:val="single" w:sz="8" w:space="0" w:color="auto"/>
              <w:right w:val="single" w:sz="8" w:space="0" w:color="auto"/>
            </w:tcBorders>
            <w:shd w:val="clear" w:color="auto" w:fill="auto"/>
            <w:vAlign w:val="center"/>
            <w:hideMark/>
          </w:tcPr>
          <w:p w14:paraId="3113BCAB" w14:textId="77777777" w:rsidR="009D6D4E" w:rsidRDefault="009D6D4E" w:rsidP="00BF3B71">
            <w:pPr>
              <w:jc w:val="right"/>
              <w:rPr>
                <w:color w:val="000000"/>
                <w:sz w:val="18"/>
                <w:szCs w:val="18"/>
              </w:rPr>
            </w:pPr>
            <w:r>
              <w:rPr>
                <w:color w:val="000000"/>
                <w:sz w:val="18"/>
                <w:szCs w:val="18"/>
              </w:rPr>
              <w:t>0.00</w:t>
            </w:r>
          </w:p>
        </w:tc>
        <w:tc>
          <w:tcPr>
            <w:tcW w:w="846" w:type="dxa"/>
            <w:tcBorders>
              <w:top w:val="nil"/>
              <w:left w:val="nil"/>
              <w:bottom w:val="single" w:sz="8" w:space="0" w:color="auto"/>
              <w:right w:val="single" w:sz="8" w:space="0" w:color="auto"/>
            </w:tcBorders>
            <w:shd w:val="clear" w:color="auto" w:fill="auto"/>
            <w:vAlign w:val="center"/>
            <w:hideMark/>
          </w:tcPr>
          <w:p w14:paraId="5D39AB49" w14:textId="77777777" w:rsidR="009D6D4E" w:rsidRDefault="009D6D4E" w:rsidP="00BF3B71">
            <w:pPr>
              <w:jc w:val="right"/>
              <w:rPr>
                <w:color w:val="000000"/>
                <w:sz w:val="18"/>
                <w:szCs w:val="18"/>
              </w:rPr>
            </w:pPr>
            <w:r>
              <w:rPr>
                <w:color w:val="000000"/>
                <w:sz w:val="18"/>
                <w:szCs w:val="18"/>
              </w:rPr>
              <w:t>0.00</w:t>
            </w:r>
          </w:p>
        </w:tc>
        <w:tc>
          <w:tcPr>
            <w:tcW w:w="1716" w:type="dxa"/>
            <w:gridSpan w:val="2"/>
            <w:tcBorders>
              <w:top w:val="nil"/>
              <w:left w:val="nil"/>
              <w:bottom w:val="single" w:sz="8" w:space="0" w:color="auto"/>
              <w:right w:val="single" w:sz="8" w:space="0" w:color="auto"/>
            </w:tcBorders>
            <w:shd w:val="clear" w:color="auto" w:fill="auto"/>
            <w:vAlign w:val="center"/>
            <w:hideMark/>
          </w:tcPr>
          <w:p w14:paraId="086CEE15" w14:textId="77777777" w:rsidR="009D6D4E" w:rsidRDefault="009D6D4E" w:rsidP="00BF3B71">
            <w:pPr>
              <w:jc w:val="right"/>
              <w:rPr>
                <w:color w:val="000000"/>
                <w:sz w:val="18"/>
                <w:szCs w:val="18"/>
              </w:rPr>
            </w:pPr>
            <w:r>
              <w:rPr>
                <w:color w:val="000000"/>
                <w:sz w:val="18"/>
                <w:szCs w:val="18"/>
              </w:rPr>
              <w:t>0.00</w:t>
            </w:r>
          </w:p>
        </w:tc>
        <w:tc>
          <w:tcPr>
            <w:tcW w:w="974" w:type="dxa"/>
            <w:tcBorders>
              <w:top w:val="nil"/>
              <w:left w:val="nil"/>
              <w:bottom w:val="single" w:sz="8" w:space="0" w:color="auto"/>
              <w:right w:val="single" w:sz="8" w:space="0" w:color="auto"/>
            </w:tcBorders>
            <w:shd w:val="clear" w:color="auto" w:fill="auto"/>
            <w:vAlign w:val="center"/>
            <w:hideMark/>
          </w:tcPr>
          <w:p w14:paraId="55F657F2" w14:textId="77777777" w:rsidR="009D6D4E" w:rsidRDefault="009D6D4E" w:rsidP="00BF3B71">
            <w:pPr>
              <w:jc w:val="right"/>
              <w:rPr>
                <w:color w:val="000000"/>
                <w:sz w:val="18"/>
                <w:szCs w:val="18"/>
              </w:rPr>
            </w:pPr>
            <w:r>
              <w:rPr>
                <w:color w:val="000000"/>
                <w:sz w:val="18"/>
                <w:szCs w:val="18"/>
              </w:rPr>
              <w:t>0.00</w:t>
            </w:r>
          </w:p>
        </w:tc>
        <w:tc>
          <w:tcPr>
            <w:tcW w:w="1601" w:type="dxa"/>
            <w:gridSpan w:val="2"/>
            <w:tcBorders>
              <w:top w:val="nil"/>
              <w:left w:val="nil"/>
              <w:bottom w:val="single" w:sz="8" w:space="0" w:color="auto"/>
              <w:right w:val="single" w:sz="8" w:space="0" w:color="auto"/>
            </w:tcBorders>
            <w:shd w:val="clear" w:color="auto" w:fill="auto"/>
            <w:vAlign w:val="center"/>
            <w:hideMark/>
          </w:tcPr>
          <w:p w14:paraId="6698C138" w14:textId="77777777" w:rsidR="009D6D4E" w:rsidRDefault="009D6D4E" w:rsidP="00BF3B71">
            <w:pPr>
              <w:jc w:val="right"/>
              <w:rPr>
                <w:color w:val="000000"/>
                <w:sz w:val="18"/>
                <w:szCs w:val="18"/>
              </w:rPr>
            </w:pPr>
            <w:r>
              <w:rPr>
                <w:color w:val="000000"/>
                <w:sz w:val="18"/>
                <w:szCs w:val="18"/>
              </w:rPr>
              <w:t>214,000.00</w:t>
            </w:r>
          </w:p>
        </w:tc>
        <w:tc>
          <w:tcPr>
            <w:tcW w:w="878" w:type="dxa"/>
            <w:gridSpan w:val="2"/>
            <w:tcBorders>
              <w:top w:val="nil"/>
              <w:left w:val="nil"/>
              <w:bottom w:val="single" w:sz="8" w:space="0" w:color="auto"/>
              <w:right w:val="single" w:sz="8" w:space="0" w:color="auto"/>
            </w:tcBorders>
            <w:shd w:val="clear" w:color="auto" w:fill="auto"/>
            <w:vAlign w:val="center"/>
            <w:hideMark/>
          </w:tcPr>
          <w:p w14:paraId="0D39672D" w14:textId="77777777" w:rsidR="009D6D4E" w:rsidRDefault="009D6D4E" w:rsidP="00BF3B71">
            <w:pPr>
              <w:jc w:val="right"/>
              <w:rPr>
                <w:color w:val="000000"/>
                <w:sz w:val="18"/>
                <w:szCs w:val="18"/>
              </w:rPr>
            </w:pPr>
            <w:r>
              <w:rPr>
                <w:color w:val="000000"/>
                <w:sz w:val="18"/>
                <w:szCs w:val="18"/>
              </w:rPr>
              <w:t>0.00</w:t>
            </w:r>
          </w:p>
        </w:tc>
        <w:tc>
          <w:tcPr>
            <w:tcW w:w="1588" w:type="dxa"/>
            <w:tcBorders>
              <w:top w:val="nil"/>
              <w:left w:val="nil"/>
              <w:bottom w:val="single" w:sz="8" w:space="0" w:color="auto"/>
              <w:right w:val="single" w:sz="8" w:space="0" w:color="auto"/>
            </w:tcBorders>
            <w:shd w:val="clear" w:color="auto" w:fill="auto"/>
            <w:vAlign w:val="center"/>
            <w:hideMark/>
          </w:tcPr>
          <w:p w14:paraId="6E37D70D" w14:textId="77777777" w:rsidR="009D6D4E" w:rsidRDefault="009D6D4E" w:rsidP="00BF3B71">
            <w:pPr>
              <w:jc w:val="right"/>
              <w:rPr>
                <w:color w:val="000000"/>
                <w:sz w:val="18"/>
                <w:szCs w:val="18"/>
              </w:rPr>
            </w:pPr>
            <w:r>
              <w:rPr>
                <w:color w:val="000000"/>
                <w:sz w:val="18"/>
                <w:szCs w:val="18"/>
              </w:rPr>
              <w:t>0.00</w:t>
            </w:r>
          </w:p>
        </w:tc>
        <w:tc>
          <w:tcPr>
            <w:tcW w:w="1026" w:type="dxa"/>
            <w:tcBorders>
              <w:top w:val="nil"/>
              <w:left w:val="nil"/>
              <w:bottom w:val="single" w:sz="8" w:space="0" w:color="auto"/>
              <w:right w:val="single" w:sz="4" w:space="0" w:color="auto"/>
            </w:tcBorders>
            <w:shd w:val="clear" w:color="auto" w:fill="auto"/>
            <w:vAlign w:val="center"/>
            <w:hideMark/>
          </w:tcPr>
          <w:p w14:paraId="6F420648" w14:textId="77777777" w:rsidR="009D6D4E" w:rsidRDefault="009D6D4E" w:rsidP="00BF3B71">
            <w:pPr>
              <w:jc w:val="right"/>
              <w:rPr>
                <w:b/>
                <w:bCs/>
                <w:color w:val="000000"/>
                <w:sz w:val="18"/>
                <w:szCs w:val="18"/>
              </w:rPr>
            </w:pPr>
            <w:r>
              <w:rPr>
                <w:b/>
                <w:bCs/>
                <w:color w:val="000000"/>
                <w:sz w:val="18"/>
                <w:szCs w:val="18"/>
              </w:rPr>
              <w:t>214,000</w:t>
            </w:r>
          </w:p>
        </w:tc>
      </w:tr>
    </w:tbl>
    <w:p w14:paraId="09C1240F" w14:textId="77777777" w:rsidR="009D6D4E" w:rsidRDefault="009D6D4E" w:rsidP="009D6D4E"/>
    <w:tbl>
      <w:tblPr>
        <w:tblW w:w="10388" w:type="dxa"/>
        <w:tblLook w:val="04A0" w:firstRow="1" w:lastRow="0" w:firstColumn="1" w:lastColumn="0" w:noHBand="0" w:noVBand="1"/>
      </w:tblPr>
      <w:tblGrid>
        <w:gridCol w:w="696"/>
        <w:gridCol w:w="56"/>
        <w:gridCol w:w="1037"/>
        <w:gridCol w:w="854"/>
        <w:gridCol w:w="501"/>
        <w:gridCol w:w="1180"/>
        <w:gridCol w:w="975"/>
        <w:gridCol w:w="69"/>
        <w:gridCol w:w="1217"/>
        <w:gridCol w:w="747"/>
        <w:gridCol w:w="474"/>
        <w:gridCol w:w="1291"/>
        <w:gridCol w:w="138"/>
        <w:gridCol w:w="1153"/>
      </w:tblGrid>
      <w:tr w:rsidR="009D6D4E" w:rsidRPr="00080097" w14:paraId="4278F2A4" w14:textId="77777777" w:rsidTr="00BF3B71">
        <w:trPr>
          <w:trHeight w:val="242"/>
        </w:trPr>
        <w:tc>
          <w:tcPr>
            <w:tcW w:w="10388"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5190FE4F" w14:textId="77777777" w:rsidR="009D6D4E" w:rsidRPr="00080097" w:rsidRDefault="009D6D4E" w:rsidP="00BF3B71">
            <w:pPr>
              <w:jc w:val="both"/>
              <w:rPr>
                <w:b/>
                <w:bCs/>
                <w:color w:val="000000"/>
                <w:sz w:val="18"/>
                <w:szCs w:val="18"/>
              </w:rPr>
            </w:pPr>
            <w:r w:rsidRPr="00080097">
              <w:rPr>
                <w:b/>
                <w:bCs/>
                <w:color w:val="000000"/>
                <w:sz w:val="18"/>
                <w:szCs w:val="18"/>
              </w:rPr>
              <w:t>Tabela 10 a.: Kostimi i masës së reformës strukturore : Masa #8 Reforma e përgjithshme e inspektimeve</w:t>
            </w:r>
          </w:p>
        </w:tc>
      </w:tr>
      <w:tr w:rsidR="009D6D4E" w:rsidRPr="00080097" w14:paraId="41C1DCBA" w14:textId="77777777" w:rsidTr="00BF3B71">
        <w:trPr>
          <w:trHeight w:val="394"/>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35016488" w14:textId="77777777" w:rsidR="009D6D4E" w:rsidRPr="00080097" w:rsidRDefault="009D6D4E" w:rsidP="00BF3B71">
            <w:pPr>
              <w:rPr>
                <w:rFonts w:ascii="Calibri" w:hAnsi="Calibri" w:cs="Calibri"/>
                <w:color w:val="000000"/>
              </w:rPr>
            </w:pPr>
            <w:r w:rsidRPr="00080097">
              <w:rPr>
                <w:rFonts w:ascii="Calibri" w:hAnsi="Calibri" w:cs="Calibri"/>
                <w:color w:val="000000"/>
              </w:rPr>
              <w:t>Viti</w:t>
            </w:r>
          </w:p>
        </w:tc>
        <w:tc>
          <w:tcPr>
            <w:tcW w:w="2449" w:type="dxa"/>
            <w:gridSpan w:val="4"/>
            <w:tcBorders>
              <w:top w:val="nil"/>
              <w:left w:val="nil"/>
              <w:bottom w:val="single" w:sz="4" w:space="0" w:color="auto"/>
              <w:right w:val="single" w:sz="4" w:space="0" w:color="auto"/>
            </w:tcBorders>
            <w:shd w:val="clear" w:color="auto" w:fill="auto"/>
            <w:vAlign w:val="center"/>
            <w:hideMark/>
          </w:tcPr>
          <w:p w14:paraId="117A7EEA" w14:textId="77777777" w:rsidR="009D6D4E" w:rsidRPr="00080097" w:rsidRDefault="009D6D4E" w:rsidP="00BF3B71">
            <w:pPr>
              <w:jc w:val="right"/>
              <w:rPr>
                <w:color w:val="000000"/>
                <w:sz w:val="18"/>
                <w:szCs w:val="18"/>
              </w:rPr>
            </w:pPr>
            <w:r w:rsidRPr="00080097">
              <w:rPr>
                <w:color w:val="000000"/>
                <w:sz w:val="18"/>
                <w:szCs w:val="18"/>
              </w:rPr>
              <w:t>Pagat</w:t>
            </w:r>
          </w:p>
        </w:tc>
        <w:tc>
          <w:tcPr>
            <w:tcW w:w="2250" w:type="dxa"/>
            <w:gridSpan w:val="3"/>
            <w:tcBorders>
              <w:top w:val="nil"/>
              <w:left w:val="nil"/>
              <w:bottom w:val="single" w:sz="4" w:space="0" w:color="auto"/>
              <w:right w:val="single" w:sz="4" w:space="0" w:color="auto"/>
            </w:tcBorders>
            <w:shd w:val="clear" w:color="auto" w:fill="auto"/>
            <w:vAlign w:val="center"/>
            <w:hideMark/>
          </w:tcPr>
          <w:p w14:paraId="236391C1" w14:textId="77777777" w:rsidR="009D6D4E" w:rsidRPr="00080097" w:rsidRDefault="009D6D4E" w:rsidP="00BF3B71">
            <w:pPr>
              <w:jc w:val="right"/>
              <w:rPr>
                <w:color w:val="000000"/>
                <w:sz w:val="18"/>
                <w:szCs w:val="18"/>
              </w:rPr>
            </w:pPr>
            <w:r w:rsidRPr="00080097">
              <w:rPr>
                <w:color w:val="000000"/>
                <w:sz w:val="18"/>
                <w:szCs w:val="18"/>
              </w:rPr>
              <w:t>Mallra dhe shërbime</w:t>
            </w:r>
          </w:p>
        </w:tc>
        <w:tc>
          <w:tcPr>
            <w:tcW w:w="1980" w:type="dxa"/>
            <w:gridSpan w:val="2"/>
            <w:tcBorders>
              <w:top w:val="nil"/>
              <w:left w:val="nil"/>
              <w:bottom w:val="single" w:sz="4" w:space="0" w:color="auto"/>
              <w:right w:val="single" w:sz="4" w:space="0" w:color="auto"/>
            </w:tcBorders>
            <w:shd w:val="clear" w:color="auto" w:fill="auto"/>
            <w:vAlign w:val="center"/>
            <w:hideMark/>
          </w:tcPr>
          <w:p w14:paraId="3DDB5C2D" w14:textId="77777777" w:rsidR="009D6D4E" w:rsidRPr="00080097" w:rsidRDefault="009D6D4E" w:rsidP="00BF3B71">
            <w:pPr>
              <w:jc w:val="right"/>
              <w:rPr>
                <w:color w:val="000000"/>
                <w:sz w:val="18"/>
                <w:szCs w:val="18"/>
              </w:rPr>
            </w:pPr>
            <w:r w:rsidRPr="00080097">
              <w:rPr>
                <w:color w:val="000000"/>
                <w:sz w:val="18"/>
                <w:szCs w:val="18"/>
              </w:rPr>
              <w:t>Subvencione dhe transfere</w:t>
            </w:r>
          </w:p>
        </w:tc>
        <w:tc>
          <w:tcPr>
            <w:tcW w:w="1710" w:type="dxa"/>
            <w:gridSpan w:val="2"/>
            <w:tcBorders>
              <w:top w:val="nil"/>
              <w:left w:val="nil"/>
              <w:bottom w:val="single" w:sz="4" w:space="0" w:color="auto"/>
              <w:right w:val="single" w:sz="4" w:space="0" w:color="auto"/>
            </w:tcBorders>
            <w:shd w:val="clear" w:color="auto" w:fill="auto"/>
            <w:vAlign w:val="center"/>
            <w:hideMark/>
          </w:tcPr>
          <w:p w14:paraId="236BF3A1" w14:textId="77777777" w:rsidR="009D6D4E" w:rsidRPr="00080097" w:rsidRDefault="009D6D4E" w:rsidP="00BF3B71">
            <w:pPr>
              <w:jc w:val="right"/>
              <w:rPr>
                <w:color w:val="000000"/>
                <w:sz w:val="18"/>
                <w:szCs w:val="18"/>
              </w:rPr>
            </w:pPr>
            <w:r w:rsidRPr="00080097">
              <w:rPr>
                <w:color w:val="000000"/>
                <w:sz w:val="18"/>
                <w:szCs w:val="18"/>
              </w:rPr>
              <w:t>Shpenzimet kapitale</w:t>
            </w:r>
          </w:p>
        </w:tc>
        <w:tc>
          <w:tcPr>
            <w:tcW w:w="1303" w:type="dxa"/>
            <w:gridSpan w:val="2"/>
            <w:tcBorders>
              <w:top w:val="nil"/>
              <w:left w:val="nil"/>
              <w:bottom w:val="single" w:sz="4" w:space="0" w:color="auto"/>
              <w:right w:val="single" w:sz="4" w:space="0" w:color="auto"/>
            </w:tcBorders>
            <w:shd w:val="clear" w:color="auto" w:fill="auto"/>
            <w:vAlign w:val="center"/>
            <w:hideMark/>
          </w:tcPr>
          <w:p w14:paraId="7F6E33B0" w14:textId="77777777" w:rsidR="009D6D4E" w:rsidRPr="00CB6955" w:rsidRDefault="009D6D4E" w:rsidP="00BF3B71">
            <w:pPr>
              <w:jc w:val="right"/>
              <w:rPr>
                <w:b/>
                <w:color w:val="000000"/>
                <w:sz w:val="18"/>
                <w:szCs w:val="18"/>
              </w:rPr>
            </w:pPr>
            <w:r w:rsidRPr="00CB6955">
              <w:rPr>
                <w:b/>
                <w:color w:val="000000"/>
                <w:sz w:val="18"/>
                <w:szCs w:val="18"/>
              </w:rPr>
              <w:t>Totali</w:t>
            </w:r>
          </w:p>
        </w:tc>
      </w:tr>
      <w:tr w:rsidR="009D6D4E" w:rsidRPr="00080097" w14:paraId="29A95B0D" w14:textId="77777777" w:rsidTr="00BF3B71">
        <w:trPr>
          <w:trHeight w:val="242"/>
        </w:trPr>
        <w:tc>
          <w:tcPr>
            <w:tcW w:w="696" w:type="dxa"/>
            <w:tcBorders>
              <w:top w:val="nil"/>
              <w:left w:val="single" w:sz="4" w:space="0" w:color="auto"/>
              <w:bottom w:val="single" w:sz="4" w:space="0" w:color="auto"/>
              <w:right w:val="single" w:sz="4" w:space="0" w:color="auto"/>
            </w:tcBorders>
            <w:shd w:val="clear" w:color="auto" w:fill="auto"/>
            <w:vAlign w:val="center"/>
            <w:hideMark/>
          </w:tcPr>
          <w:p w14:paraId="453D93BA" w14:textId="77777777" w:rsidR="009D6D4E" w:rsidRPr="00080097" w:rsidRDefault="009D6D4E" w:rsidP="00BF3B71">
            <w:pPr>
              <w:jc w:val="both"/>
              <w:rPr>
                <w:color w:val="000000"/>
                <w:sz w:val="18"/>
                <w:szCs w:val="18"/>
              </w:rPr>
            </w:pPr>
            <w:r w:rsidRPr="00080097">
              <w:rPr>
                <w:color w:val="000000"/>
                <w:sz w:val="18"/>
                <w:szCs w:val="18"/>
              </w:rPr>
              <w:t>2020</w:t>
            </w:r>
          </w:p>
        </w:tc>
        <w:tc>
          <w:tcPr>
            <w:tcW w:w="2449" w:type="dxa"/>
            <w:gridSpan w:val="4"/>
            <w:tcBorders>
              <w:top w:val="nil"/>
              <w:left w:val="nil"/>
              <w:bottom w:val="single" w:sz="4" w:space="0" w:color="auto"/>
              <w:right w:val="single" w:sz="4" w:space="0" w:color="auto"/>
            </w:tcBorders>
            <w:shd w:val="clear" w:color="auto" w:fill="auto"/>
            <w:vAlign w:val="center"/>
            <w:hideMark/>
          </w:tcPr>
          <w:p w14:paraId="66591D56" w14:textId="77777777" w:rsidR="009D6D4E" w:rsidRPr="00080097" w:rsidRDefault="009D6D4E" w:rsidP="00BF3B71">
            <w:pPr>
              <w:jc w:val="right"/>
              <w:rPr>
                <w:color w:val="000000"/>
                <w:sz w:val="18"/>
                <w:szCs w:val="18"/>
              </w:rPr>
            </w:pPr>
            <w:r w:rsidRPr="00080097">
              <w:rPr>
                <w:color w:val="000000"/>
                <w:sz w:val="18"/>
                <w:szCs w:val="18"/>
              </w:rPr>
              <w:t>77334.00</w:t>
            </w:r>
          </w:p>
        </w:tc>
        <w:tc>
          <w:tcPr>
            <w:tcW w:w="2250" w:type="dxa"/>
            <w:gridSpan w:val="3"/>
            <w:tcBorders>
              <w:top w:val="nil"/>
              <w:left w:val="nil"/>
              <w:bottom w:val="single" w:sz="4" w:space="0" w:color="auto"/>
              <w:right w:val="single" w:sz="4" w:space="0" w:color="auto"/>
            </w:tcBorders>
            <w:shd w:val="clear" w:color="auto" w:fill="auto"/>
            <w:vAlign w:val="center"/>
            <w:hideMark/>
          </w:tcPr>
          <w:p w14:paraId="03C7531F" w14:textId="77777777" w:rsidR="009D6D4E" w:rsidRPr="00080097" w:rsidRDefault="009D6D4E" w:rsidP="00BF3B71">
            <w:pPr>
              <w:jc w:val="right"/>
              <w:rPr>
                <w:color w:val="000000"/>
                <w:sz w:val="18"/>
                <w:szCs w:val="18"/>
              </w:rPr>
            </w:pPr>
            <w:r w:rsidRPr="00080097">
              <w:rPr>
                <w:color w:val="000000"/>
                <w:sz w:val="18"/>
                <w:szCs w:val="18"/>
              </w:rPr>
              <w:t>132000.00</w:t>
            </w:r>
          </w:p>
        </w:tc>
        <w:tc>
          <w:tcPr>
            <w:tcW w:w="1980" w:type="dxa"/>
            <w:gridSpan w:val="2"/>
            <w:tcBorders>
              <w:top w:val="nil"/>
              <w:left w:val="nil"/>
              <w:bottom w:val="single" w:sz="4" w:space="0" w:color="auto"/>
              <w:right w:val="single" w:sz="4" w:space="0" w:color="auto"/>
            </w:tcBorders>
            <w:shd w:val="clear" w:color="auto" w:fill="auto"/>
            <w:vAlign w:val="center"/>
            <w:hideMark/>
          </w:tcPr>
          <w:p w14:paraId="10CC8ECD" w14:textId="77777777" w:rsidR="009D6D4E" w:rsidRPr="00080097" w:rsidRDefault="009D6D4E" w:rsidP="00BF3B71">
            <w:pPr>
              <w:jc w:val="right"/>
              <w:rPr>
                <w:color w:val="000000"/>
                <w:sz w:val="18"/>
                <w:szCs w:val="18"/>
              </w:rPr>
            </w:pPr>
            <w:r w:rsidRPr="00080097">
              <w:rPr>
                <w:color w:val="000000"/>
                <w:sz w:val="18"/>
                <w:szCs w:val="18"/>
              </w:rPr>
              <w:t> </w:t>
            </w:r>
          </w:p>
        </w:tc>
        <w:tc>
          <w:tcPr>
            <w:tcW w:w="1710" w:type="dxa"/>
            <w:gridSpan w:val="2"/>
            <w:tcBorders>
              <w:top w:val="nil"/>
              <w:left w:val="nil"/>
              <w:bottom w:val="single" w:sz="4" w:space="0" w:color="auto"/>
              <w:right w:val="single" w:sz="4" w:space="0" w:color="auto"/>
            </w:tcBorders>
            <w:shd w:val="clear" w:color="auto" w:fill="auto"/>
            <w:vAlign w:val="center"/>
            <w:hideMark/>
          </w:tcPr>
          <w:p w14:paraId="128F0D57" w14:textId="77777777" w:rsidR="009D6D4E" w:rsidRPr="00080097" w:rsidRDefault="009D6D4E" w:rsidP="00BF3B71">
            <w:pPr>
              <w:jc w:val="right"/>
              <w:rPr>
                <w:color w:val="000000"/>
                <w:sz w:val="18"/>
                <w:szCs w:val="18"/>
              </w:rPr>
            </w:pPr>
            <w:r w:rsidRPr="00080097">
              <w:rPr>
                <w:color w:val="000000"/>
                <w:sz w:val="18"/>
                <w:szCs w:val="18"/>
              </w:rPr>
              <w:t> </w:t>
            </w:r>
          </w:p>
        </w:tc>
        <w:tc>
          <w:tcPr>
            <w:tcW w:w="1303" w:type="dxa"/>
            <w:gridSpan w:val="2"/>
            <w:tcBorders>
              <w:top w:val="nil"/>
              <w:left w:val="nil"/>
              <w:bottom w:val="single" w:sz="4" w:space="0" w:color="auto"/>
              <w:right w:val="single" w:sz="4" w:space="0" w:color="auto"/>
            </w:tcBorders>
            <w:shd w:val="clear" w:color="000000" w:fill="FFFFFF"/>
            <w:vAlign w:val="center"/>
            <w:hideMark/>
          </w:tcPr>
          <w:p w14:paraId="14FF854B" w14:textId="77777777" w:rsidR="009D6D4E" w:rsidRPr="00080097" w:rsidRDefault="009D6D4E" w:rsidP="00BF3B71">
            <w:pPr>
              <w:jc w:val="right"/>
              <w:rPr>
                <w:b/>
                <w:color w:val="000000"/>
                <w:sz w:val="18"/>
                <w:szCs w:val="18"/>
              </w:rPr>
            </w:pPr>
            <w:r w:rsidRPr="00080097">
              <w:rPr>
                <w:b/>
                <w:color w:val="000000"/>
                <w:sz w:val="18"/>
                <w:szCs w:val="18"/>
              </w:rPr>
              <w:t xml:space="preserve">                          209,334 </w:t>
            </w:r>
          </w:p>
        </w:tc>
      </w:tr>
      <w:tr w:rsidR="009D6D4E" w:rsidRPr="00080097" w14:paraId="184CF8AB" w14:textId="77777777" w:rsidTr="00BF3B71">
        <w:trPr>
          <w:trHeight w:val="242"/>
        </w:trPr>
        <w:tc>
          <w:tcPr>
            <w:tcW w:w="696" w:type="dxa"/>
            <w:tcBorders>
              <w:top w:val="nil"/>
              <w:left w:val="single" w:sz="4" w:space="0" w:color="auto"/>
              <w:bottom w:val="single" w:sz="4" w:space="0" w:color="auto"/>
              <w:right w:val="single" w:sz="4" w:space="0" w:color="auto"/>
            </w:tcBorders>
            <w:shd w:val="clear" w:color="auto" w:fill="auto"/>
            <w:vAlign w:val="center"/>
            <w:hideMark/>
          </w:tcPr>
          <w:p w14:paraId="6116BC2A" w14:textId="77777777" w:rsidR="009D6D4E" w:rsidRPr="00080097" w:rsidRDefault="009D6D4E" w:rsidP="00BF3B71">
            <w:pPr>
              <w:jc w:val="both"/>
              <w:rPr>
                <w:color w:val="000000"/>
                <w:sz w:val="18"/>
                <w:szCs w:val="18"/>
              </w:rPr>
            </w:pPr>
            <w:r w:rsidRPr="00080097">
              <w:rPr>
                <w:color w:val="000000"/>
                <w:sz w:val="18"/>
                <w:szCs w:val="18"/>
              </w:rPr>
              <w:t>2021</w:t>
            </w:r>
          </w:p>
        </w:tc>
        <w:tc>
          <w:tcPr>
            <w:tcW w:w="2449" w:type="dxa"/>
            <w:gridSpan w:val="4"/>
            <w:tcBorders>
              <w:top w:val="nil"/>
              <w:left w:val="nil"/>
              <w:bottom w:val="single" w:sz="4" w:space="0" w:color="auto"/>
              <w:right w:val="single" w:sz="4" w:space="0" w:color="auto"/>
            </w:tcBorders>
            <w:shd w:val="clear" w:color="auto" w:fill="auto"/>
            <w:vAlign w:val="center"/>
            <w:hideMark/>
          </w:tcPr>
          <w:p w14:paraId="403D8B2C" w14:textId="77777777" w:rsidR="009D6D4E" w:rsidRPr="00080097" w:rsidRDefault="009D6D4E" w:rsidP="00BF3B71">
            <w:pPr>
              <w:jc w:val="right"/>
              <w:rPr>
                <w:color w:val="000000"/>
                <w:sz w:val="18"/>
                <w:szCs w:val="18"/>
              </w:rPr>
            </w:pPr>
            <w:r w:rsidRPr="00080097">
              <w:rPr>
                <w:color w:val="000000"/>
                <w:sz w:val="18"/>
                <w:szCs w:val="18"/>
              </w:rPr>
              <w:t>80659.00</w:t>
            </w:r>
          </w:p>
        </w:tc>
        <w:tc>
          <w:tcPr>
            <w:tcW w:w="2250" w:type="dxa"/>
            <w:gridSpan w:val="3"/>
            <w:tcBorders>
              <w:top w:val="nil"/>
              <w:left w:val="nil"/>
              <w:bottom w:val="single" w:sz="4" w:space="0" w:color="auto"/>
              <w:right w:val="single" w:sz="4" w:space="0" w:color="auto"/>
            </w:tcBorders>
            <w:shd w:val="clear" w:color="auto" w:fill="auto"/>
            <w:vAlign w:val="center"/>
            <w:hideMark/>
          </w:tcPr>
          <w:p w14:paraId="1410F0C0" w14:textId="77777777" w:rsidR="009D6D4E" w:rsidRPr="00080097" w:rsidRDefault="009D6D4E" w:rsidP="00BF3B71">
            <w:pPr>
              <w:jc w:val="right"/>
              <w:rPr>
                <w:color w:val="000000"/>
                <w:sz w:val="18"/>
                <w:szCs w:val="18"/>
              </w:rPr>
            </w:pPr>
            <w:r w:rsidRPr="00080097">
              <w:rPr>
                <w:color w:val="000000"/>
                <w:sz w:val="18"/>
                <w:szCs w:val="18"/>
              </w:rPr>
              <w:t>122000.00</w:t>
            </w:r>
          </w:p>
        </w:tc>
        <w:tc>
          <w:tcPr>
            <w:tcW w:w="1980" w:type="dxa"/>
            <w:gridSpan w:val="2"/>
            <w:tcBorders>
              <w:top w:val="nil"/>
              <w:left w:val="nil"/>
              <w:bottom w:val="single" w:sz="4" w:space="0" w:color="auto"/>
              <w:right w:val="single" w:sz="4" w:space="0" w:color="auto"/>
            </w:tcBorders>
            <w:shd w:val="clear" w:color="auto" w:fill="auto"/>
            <w:vAlign w:val="center"/>
            <w:hideMark/>
          </w:tcPr>
          <w:p w14:paraId="68F0C074" w14:textId="77777777" w:rsidR="009D6D4E" w:rsidRPr="00080097" w:rsidRDefault="009D6D4E" w:rsidP="00BF3B71">
            <w:pPr>
              <w:jc w:val="right"/>
              <w:rPr>
                <w:color w:val="000000"/>
                <w:sz w:val="18"/>
                <w:szCs w:val="18"/>
              </w:rPr>
            </w:pPr>
            <w:r w:rsidRPr="00080097">
              <w:rPr>
                <w:color w:val="000000"/>
                <w:sz w:val="18"/>
                <w:szCs w:val="18"/>
              </w:rPr>
              <w:t> </w:t>
            </w:r>
          </w:p>
        </w:tc>
        <w:tc>
          <w:tcPr>
            <w:tcW w:w="1710" w:type="dxa"/>
            <w:gridSpan w:val="2"/>
            <w:tcBorders>
              <w:top w:val="nil"/>
              <w:left w:val="nil"/>
              <w:bottom w:val="single" w:sz="4" w:space="0" w:color="auto"/>
              <w:right w:val="single" w:sz="4" w:space="0" w:color="auto"/>
            </w:tcBorders>
            <w:shd w:val="clear" w:color="auto" w:fill="auto"/>
            <w:vAlign w:val="center"/>
            <w:hideMark/>
          </w:tcPr>
          <w:p w14:paraId="7713FFA6" w14:textId="77777777" w:rsidR="009D6D4E" w:rsidRPr="00080097" w:rsidRDefault="009D6D4E" w:rsidP="00BF3B71">
            <w:pPr>
              <w:jc w:val="right"/>
              <w:rPr>
                <w:color w:val="000000"/>
                <w:sz w:val="18"/>
                <w:szCs w:val="18"/>
              </w:rPr>
            </w:pPr>
            <w:r w:rsidRPr="00080097">
              <w:rPr>
                <w:color w:val="000000"/>
                <w:sz w:val="18"/>
                <w:szCs w:val="18"/>
              </w:rPr>
              <w:t>2677746.00</w:t>
            </w:r>
          </w:p>
        </w:tc>
        <w:tc>
          <w:tcPr>
            <w:tcW w:w="1303" w:type="dxa"/>
            <w:gridSpan w:val="2"/>
            <w:tcBorders>
              <w:top w:val="nil"/>
              <w:left w:val="nil"/>
              <w:bottom w:val="single" w:sz="4" w:space="0" w:color="auto"/>
              <w:right w:val="single" w:sz="4" w:space="0" w:color="auto"/>
            </w:tcBorders>
            <w:shd w:val="clear" w:color="000000" w:fill="FFFFFF"/>
            <w:vAlign w:val="center"/>
            <w:hideMark/>
          </w:tcPr>
          <w:p w14:paraId="55437784" w14:textId="77777777" w:rsidR="009D6D4E" w:rsidRPr="00080097" w:rsidRDefault="009D6D4E" w:rsidP="00BF3B71">
            <w:pPr>
              <w:jc w:val="right"/>
              <w:rPr>
                <w:b/>
                <w:color w:val="000000"/>
                <w:sz w:val="18"/>
                <w:szCs w:val="18"/>
              </w:rPr>
            </w:pPr>
            <w:r w:rsidRPr="00080097">
              <w:rPr>
                <w:b/>
                <w:color w:val="000000"/>
                <w:sz w:val="18"/>
                <w:szCs w:val="18"/>
              </w:rPr>
              <w:t xml:space="preserve">                      2,880,405 </w:t>
            </w:r>
          </w:p>
        </w:tc>
      </w:tr>
      <w:tr w:rsidR="009D6D4E" w:rsidRPr="00080097" w14:paraId="0BA83675" w14:textId="77777777" w:rsidTr="00BF3B71">
        <w:trPr>
          <w:trHeight w:val="242"/>
        </w:trPr>
        <w:tc>
          <w:tcPr>
            <w:tcW w:w="696" w:type="dxa"/>
            <w:tcBorders>
              <w:top w:val="nil"/>
              <w:left w:val="single" w:sz="4" w:space="0" w:color="auto"/>
              <w:bottom w:val="single" w:sz="4" w:space="0" w:color="auto"/>
              <w:right w:val="single" w:sz="4" w:space="0" w:color="auto"/>
            </w:tcBorders>
            <w:shd w:val="clear" w:color="auto" w:fill="auto"/>
            <w:vAlign w:val="center"/>
            <w:hideMark/>
          </w:tcPr>
          <w:p w14:paraId="5BEC794F" w14:textId="77777777" w:rsidR="009D6D4E" w:rsidRPr="00080097" w:rsidRDefault="009D6D4E" w:rsidP="00BF3B71">
            <w:pPr>
              <w:jc w:val="both"/>
              <w:rPr>
                <w:color w:val="000000"/>
                <w:sz w:val="18"/>
                <w:szCs w:val="18"/>
              </w:rPr>
            </w:pPr>
            <w:r w:rsidRPr="00080097">
              <w:rPr>
                <w:color w:val="000000"/>
                <w:sz w:val="18"/>
                <w:szCs w:val="18"/>
              </w:rPr>
              <w:t>2022</w:t>
            </w:r>
          </w:p>
        </w:tc>
        <w:tc>
          <w:tcPr>
            <w:tcW w:w="2449" w:type="dxa"/>
            <w:gridSpan w:val="4"/>
            <w:tcBorders>
              <w:top w:val="nil"/>
              <w:left w:val="nil"/>
              <w:bottom w:val="single" w:sz="4" w:space="0" w:color="auto"/>
              <w:right w:val="single" w:sz="4" w:space="0" w:color="auto"/>
            </w:tcBorders>
            <w:shd w:val="clear" w:color="auto" w:fill="auto"/>
            <w:vAlign w:val="center"/>
            <w:hideMark/>
          </w:tcPr>
          <w:p w14:paraId="19F6A697" w14:textId="77777777" w:rsidR="009D6D4E" w:rsidRPr="00080097" w:rsidRDefault="009D6D4E" w:rsidP="00BF3B71">
            <w:pPr>
              <w:jc w:val="right"/>
              <w:rPr>
                <w:color w:val="000000"/>
                <w:sz w:val="18"/>
                <w:szCs w:val="18"/>
              </w:rPr>
            </w:pPr>
            <w:r w:rsidRPr="00080097">
              <w:rPr>
                <w:color w:val="000000"/>
                <w:sz w:val="18"/>
                <w:szCs w:val="18"/>
              </w:rPr>
              <w:t>83079.00</w:t>
            </w:r>
          </w:p>
        </w:tc>
        <w:tc>
          <w:tcPr>
            <w:tcW w:w="2250" w:type="dxa"/>
            <w:gridSpan w:val="3"/>
            <w:tcBorders>
              <w:top w:val="nil"/>
              <w:left w:val="nil"/>
              <w:bottom w:val="single" w:sz="4" w:space="0" w:color="auto"/>
              <w:right w:val="single" w:sz="4" w:space="0" w:color="auto"/>
            </w:tcBorders>
            <w:shd w:val="clear" w:color="auto" w:fill="auto"/>
            <w:vAlign w:val="center"/>
            <w:hideMark/>
          </w:tcPr>
          <w:p w14:paraId="2661AEFF" w14:textId="77777777" w:rsidR="009D6D4E" w:rsidRPr="00080097" w:rsidRDefault="009D6D4E" w:rsidP="00BF3B71">
            <w:pPr>
              <w:jc w:val="right"/>
              <w:rPr>
                <w:color w:val="000000"/>
                <w:sz w:val="18"/>
                <w:szCs w:val="18"/>
              </w:rPr>
            </w:pPr>
            <w:r w:rsidRPr="00080097">
              <w:rPr>
                <w:color w:val="000000"/>
                <w:sz w:val="18"/>
                <w:szCs w:val="18"/>
              </w:rPr>
              <w:t>112000.00</w:t>
            </w:r>
          </w:p>
        </w:tc>
        <w:tc>
          <w:tcPr>
            <w:tcW w:w="1980" w:type="dxa"/>
            <w:gridSpan w:val="2"/>
            <w:tcBorders>
              <w:top w:val="nil"/>
              <w:left w:val="nil"/>
              <w:bottom w:val="single" w:sz="4" w:space="0" w:color="auto"/>
              <w:right w:val="single" w:sz="4" w:space="0" w:color="auto"/>
            </w:tcBorders>
            <w:shd w:val="clear" w:color="auto" w:fill="auto"/>
            <w:vAlign w:val="center"/>
            <w:hideMark/>
          </w:tcPr>
          <w:p w14:paraId="0C8332B3" w14:textId="77777777" w:rsidR="009D6D4E" w:rsidRPr="00080097" w:rsidRDefault="009D6D4E" w:rsidP="00BF3B71">
            <w:pPr>
              <w:jc w:val="right"/>
              <w:rPr>
                <w:color w:val="000000"/>
                <w:sz w:val="18"/>
                <w:szCs w:val="18"/>
              </w:rPr>
            </w:pPr>
            <w:r w:rsidRPr="00080097">
              <w:rPr>
                <w:color w:val="000000"/>
                <w:sz w:val="18"/>
                <w:szCs w:val="18"/>
              </w:rPr>
              <w:t> </w:t>
            </w:r>
          </w:p>
        </w:tc>
        <w:tc>
          <w:tcPr>
            <w:tcW w:w="1710" w:type="dxa"/>
            <w:gridSpan w:val="2"/>
            <w:tcBorders>
              <w:top w:val="nil"/>
              <w:left w:val="nil"/>
              <w:bottom w:val="single" w:sz="4" w:space="0" w:color="auto"/>
              <w:right w:val="single" w:sz="4" w:space="0" w:color="auto"/>
            </w:tcBorders>
            <w:shd w:val="clear" w:color="auto" w:fill="auto"/>
            <w:vAlign w:val="center"/>
            <w:hideMark/>
          </w:tcPr>
          <w:p w14:paraId="203CAA23" w14:textId="77777777" w:rsidR="009D6D4E" w:rsidRPr="00080097" w:rsidRDefault="009D6D4E" w:rsidP="00BF3B71">
            <w:pPr>
              <w:jc w:val="right"/>
              <w:rPr>
                <w:color w:val="000000"/>
                <w:sz w:val="18"/>
                <w:szCs w:val="18"/>
              </w:rPr>
            </w:pPr>
            <w:r w:rsidRPr="00080097">
              <w:rPr>
                <w:color w:val="000000"/>
                <w:sz w:val="18"/>
                <w:szCs w:val="18"/>
              </w:rPr>
              <w:t>971576.00</w:t>
            </w:r>
          </w:p>
        </w:tc>
        <w:tc>
          <w:tcPr>
            <w:tcW w:w="1303" w:type="dxa"/>
            <w:gridSpan w:val="2"/>
            <w:tcBorders>
              <w:top w:val="nil"/>
              <w:left w:val="nil"/>
              <w:bottom w:val="single" w:sz="4" w:space="0" w:color="auto"/>
              <w:right w:val="single" w:sz="4" w:space="0" w:color="auto"/>
            </w:tcBorders>
            <w:shd w:val="clear" w:color="000000" w:fill="FFFFFF"/>
            <w:vAlign w:val="center"/>
            <w:hideMark/>
          </w:tcPr>
          <w:p w14:paraId="5257C187" w14:textId="77777777" w:rsidR="009D6D4E" w:rsidRPr="00080097" w:rsidRDefault="009D6D4E" w:rsidP="00BF3B71">
            <w:pPr>
              <w:jc w:val="right"/>
              <w:rPr>
                <w:b/>
                <w:color w:val="000000"/>
                <w:sz w:val="18"/>
                <w:szCs w:val="18"/>
              </w:rPr>
            </w:pPr>
            <w:r w:rsidRPr="00080097">
              <w:rPr>
                <w:b/>
                <w:color w:val="000000"/>
                <w:sz w:val="18"/>
                <w:szCs w:val="18"/>
              </w:rPr>
              <w:t xml:space="preserve">                      1,166,655 </w:t>
            </w:r>
          </w:p>
        </w:tc>
      </w:tr>
      <w:tr w:rsidR="009D6D4E" w:rsidRPr="00080097" w14:paraId="121CCCA7" w14:textId="77777777" w:rsidTr="00BF3B71">
        <w:trPr>
          <w:trHeight w:val="258"/>
        </w:trPr>
        <w:tc>
          <w:tcPr>
            <w:tcW w:w="10388" w:type="dxa"/>
            <w:gridSpan w:val="14"/>
            <w:tcBorders>
              <w:top w:val="single" w:sz="8" w:space="0" w:color="auto"/>
              <w:left w:val="single" w:sz="8" w:space="0" w:color="auto"/>
              <w:bottom w:val="single" w:sz="8" w:space="0" w:color="auto"/>
              <w:right w:val="single" w:sz="8" w:space="0" w:color="000000"/>
            </w:tcBorders>
            <w:shd w:val="clear" w:color="auto" w:fill="auto"/>
            <w:vAlign w:val="center"/>
            <w:hideMark/>
          </w:tcPr>
          <w:p w14:paraId="4F3DD4E2" w14:textId="77777777" w:rsidR="009D6D4E" w:rsidRPr="00080097" w:rsidRDefault="009D6D4E" w:rsidP="00BF3B71">
            <w:pPr>
              <w:rPr>
                <w:b/>
                <w:bCs/>
                <w:color w:val="000000"/>
                <w:sz w:val="18"/>
                <w:szCs w:val="18"/>
              </w:rPr>
            </w:pPr>
            <w:r w:rsidRPr="00080097">
              <w:rPr>
                <w:b/>
                <w:bCs/>
                <w:color w:val="000000"/>
                <w:sz w:val="18"/>
                <w:szCs w:val="18"/>
              </w:rPr>
              <w:t>Tabela 10.b:Financimi i masës së reformës strukturore:  Masa #8 Reforma e përgjithshme e inspektimeve</w:t>
            </w:r>
          </w:p>
        </w:tc>
      </w:tr>
      <w:tr w:rsidR="009D6D4E" w:rsidRPr="00080097" w14:paraId="14A4AC0F" w14:textId="77777777" w:rsidTr="00BF3B71">
        <w:trPr>
          <w:trHeight w:val="409"/>
        </w:trPr>
        <w:tc>
          <w:tcPr>
            <w:tcW w:w="754" w:type="dxa"/>
            <w:gridSpan w:val="2"/>
            <w:tcBorders>
              <w:top w:val="nil"/>
              <w:left w:val="single" w:sz="8" w:space="0" w:color="auto"/>
              <w:bottom w:val="single" w:sz="8" w:space="0" w:color="auto"/>
              <w:right w:val="single" w:sz="8" w:space="0" w:color="auto"/>
            </w:tcBorders>
            <w:shd w:val="clear" w:color="auto" w:fill="auto"/>
            <w:vAlign w:val="center"/>
            <w:hideMark/>
          </w:tcPr>
          <w:p w14:paraId="75E3E161" w14:textId="77777777" w:rsidR="009D6D4E" w:rsidRPr="00080097" w:rsidRDefault="009D6D4E" w:rsidP="00BF3B71">
            <w:pPr>
              <w:rPr>
                <w:color w:val="000000"/>
                <w:sz w:val="18"/>
                <w:szCs w:val="18"/>
              </w:rPr>
            </w:pPr>
            <w:r w:rsidRPr="00080097">
              <w:rPr>
                <w:color w:val="000000"/>
                <w:sz w:val="18"/>
                <w:szCs w:val="18"/>
              </w:rPr>
              <w:t xml:space="preserve">Viti </w:t>
            </w:r>
          </w:p>
        </w:tc>
        <w:tc>
          <w:tcPr>
            <w:tcW w:w="1037" w:type="dxa"/>
            <w:tcBorders>
              <w:top w:val="nil"/>
              <w:left w:val="nil"/>
              <w:bottom w:val="single" w:sz="8" w:space="0" w:color="auto"/>
              <w:right w:val="single" w:sz="8" w:space="0" w:color="auto"/>
            </w:tcBorders>
            <w:shd w:val="clear" w:color="auto" w:fill="auto"/>
            <w:vAlign w:val="center"/>
            <w:hideMark/>
          </w:tcPr>
          <w:p w14:paraId="424A47B7" w14:textId="77777777" w:rsidR="009D6D4E" w:rsidRPr="00080097" w:rsidRDefault="009D6D4E" w:rsidP="00BF3B71">
            <w:pPr>
              <w:rPr>
                <w:color w:val="000000"/>
                <w:sz w:val="18"/>
                <w:szCs w:val="18"/>
              </w:rPr>
            </w:pPr>
            <w:r w:rsidRPr="00080097">
              <w:rPr>
                <w:color w:val="000000"/>
                <w:sz w:val="18"/>
                <w:szCs w:val="18"/>
              </w:rPr>
              <w:t>Buxheti Qendror</w:t>
            </w:r>
          </w:p>
        </w:tc>
        <w:tc>
          <w:tcPr>
            <w:tcW w:w="846" w:type="dxa"/>
            <w:tcBorders>
              <w:top w:val="nil"/>
              <w:left w:val="nil"/>
              <w:bottom w:val="single" w:sz="8" w:space="0" w:color="auto"/>
              <w:right w:val="single" w:sz="8" w:space="0" w:color="auto"/>
            </w:tcBorders>
            <w:shd w:val="clear" w:color="auto" w:fill="auto"/>
            <w:vAlign w:val="center"/>
            <w:hideMark/>
          </w:tcPr>
          <w:p w14:paraId="36AE0C86" w14:textId="77777777" w:rsidR="009D6D4E" w:rsidRPr="00080097" w:rsidRDefault="009D6D4E" w:rsidP="00BF3B71">
            <w:pPr>
              <w:rPr>
                <w:color w:val="000000"/>
                <w:sz w:val="18"/>
                <w:szCs w:val="18"/>
              </w:rPr>
            </w:pPr>
            <w:r w:rsidRPr="00080097">
              <w:rPr>
                <w:color w:val="000000"/>
                <w:sz w:val="18"/>
                <w:szCs w:val="18"/>
              </w:rPr>
              <w:t>Buxheti komunal</w:t>
            </w:r>
          </w:p>
        </w:tc>
        <w:tc>
          <w:tcPr>
            <w:tcW w:w="1708" w:type="dxa"/>
            <w:gridSpan w:val="2"/>
            <w:tcBorders>
              <w:top w:val="nil"/>
              <w:left w:val="nil"/>
              <w:bottom w:val="single" w:sz="8" w:space="0" w:color="auto"/>
              <w:right w:val="single" w:sz="8" w:space="0" w:color="auto"/>
            </w:tcBorders>
            <w:shd w:val="clear" w:color="auto" w:fill="auto"/>
            <w:vAlign w:val="center"/>
            <w:hideMark/>
          </w:tcPr>
          <w:p w14:paraId="4E2350BD" w14:textId="77777777" w:rsidR="009D6D4E" w:rsidRPr="00080097" w:rsidRDefault="009D6D4E" w:rsidP="00BF3B71">
            <w:pPr>
              <w:rPr>
                <w:color w:val="000000"/>
                <w:sz w:val="18"/>
                <w:szCs w:val="18"/>
              </w:rPr>
            </w:pPr>
            <w:r w:rsidRPr="00080097">
              <w:rPr>
                <w:color w:val="000000"/>
                <w:sz w:val="18"/>
                <w:szCs w:val="18"/>
              </w:rPr>
              <w:t xml:space="preserve">Burimet e tjera të financimit publik </w:t>
            </w:r>
          </w:p>
        </w:tc>
        <w:tc>
          <w:tcPr>
            <w:tcW w:w="980" w:type="dxa"/>
            <w:tcBorders>
              <w:top w:val="nil"/>
              <w:left w:val="nil"/>
              <w:bottom w:val="single" w:sz="8" w:space="0" w:color="auto"/>
              <w:right w:val="single" w:sz="8" w:space="0" w:color="auto"/>
            </w:tcBorders>
            <w:shd w:val="clear" w:color="auto" w:fill="auto"/>
            <w:vAlign w:val="center"/>
            <w:hideMark/>
          </w:tcPr>
          <w:p w14:paraId="3BDD3741" w14:textId="77777777" w:rsidR="009D6D4E" w:rsidRPr="00080097" w:rsidRDefault="009D6D4E" w:rsidP="00BF3B71">
            <w:pPr>
              <w:rPr>
                <w:color w:val="000000"/>
                <w:sz w:val="18"/>
                <w:szCs w:val="18"/>
              </w:rPr>
            </w:pPr>
            <w:r w:rsidRPr="00080097">
              <w:rPr>
                <w:color w:val="000000"/>
                <w:sz w:val="18"/>
                <w:szCs w:val="18"/>
              </w:rPr>
              <w:t xml:space="preserve">Fondet e IPA-së </w:t>
            </w:r>
          </w:p>
        </w:tc>
        <w:tc>
          <w:tcPr>
            <w:tcW w:w="1301" w:type="dxa"/>
            <w:gridSpan w:val="2"/>
            <w:tcBorders>
              <w:top w:val="nil"/>
              <w:left w:val="nil"/>
              <w:bottom w:val="single" w:sz="8" w:space="0" w:color="auto"/>
              <w:right w:val="single" w:sz="8" w:space="0" w:color="auto"/>
            </w:tcBorders>
            <w:shd w:val="clear" w:color="auto" w:fill="auto"/>
            <w:vAlign w:val="center"/>
            <w:hideMark/>
          </w:tcPr>
          <w:p w14:paraId="309D953A" w14:textId="77777777" w:rsidR="009D6D4E" w:rsidRPr="00080097" w:rsidRDefault="009D6D4E" w:rsidP="00BF3B71">
            <w:pPr>
              <w:rPr>
                <w:color w:val="000000"/>
                <w:sz w:val="18"/>
                <w:szCs w:val="18"/>
              </w:rPr>
            </w:pPr>
            <w:r w:rsidRPr="00080097">
              <w:rPr>
                <w:color w:val="000000"/>
                <w:sz w:val="18"/>
                <w:szCs w:val="18"/>
              </w:rPr>
              <w:t xml:space="preserve">Grante të tjera </w:t>
            </w:r>
          </w:p>
        </w:tc>
        <w:tc>
          <w:tcPr>
            <w:tcW w:w="1161" w:type="dxa"/>
            <w:gridSpan w:val="2"/>
            <w:tcBorders>
              <w:top w:val="nil"/>
              <w:left w:val="nil"/>
              <w:bottom w:val="single" w:sz="8" w:space="0" w:color="auto"/>
              <w:right w:val="single" w:sz="8" w:space="0" w:color="auto"/>
            </w:tcBorders>
            <w:shd w:val="clear" w:color="auto" w:fill="auto"/>
            <w:vAlign w:val="center"/>
            <w:hideMark/>
          </w:tcPr>
          <w:p w14:paraId="28729907" w14:textId="77777777" w:rsidR="009D6D4E" w:rsidRPr="00080097" w:rsidRDefault="009D6D4E" w:rsidP="00BF3B71">
            <w:pPr>
              <w:rPr>
                <w:color w:val="000000"/>
                <w:sz w:val="18"/>
                <w:szCs w:val="18"/>
              </w:rPr>
            </w:pPr>
            <w:r w:rsidRPr="00080097">
              <w:rPr>
                <w:color w:val="000000"/>
                <w:sz w:val="18"/>
                <w:szCs w:val="18"/>
              </w:rPr>
              <w:t xml:space="preserve">Kredi për projekte </w:t>
            </w:r>
          </w:p>
        </w:tc>
        <w:tc>
          <w:tcPr>
            <w:tcW w:w="1440" w:type="dxa"/>
            <w:gridSpan w:val="2"/>
            <w:tcBorders>
              <w:top w:val="nil"/>
              <w:left w:val="nil"/>
              <w:bottom w:val="single" w:sz="8" w:space="0" w:color="auto"/>
              <w:right w:val="single" w:sz="8" w:space="0" w:color="auto"/>
            </w:tcBorders>
            <w:shd w:val="clear" w:color="auto" w:fill="auto"/>
            <w:vAlign w:val="center"/>
            <w:hideMark/>
          </w:tcPr>
          <w:p w14:paraId="4F657BE8" w14:textId="77777777" w:rsidR="009D6D4E" w:rsidRPr="00080097" w:rsidRDefault="009D6D4E" w:rsidP="00BF3B71">
            <w:pPr>
              <w:rPr>
                <w:color w:val="000000"/>
                <w:sz w:val="18"/>
                <w:szCs w:val="18"/>
              </w:rPr>
            </w:pPr>
            <w:r w:rsidRPr="00080097">
              <w:rPr>
                <w:color w:val="000000"/>
                <w:sz w:val="18"/>
                <w:szCs w:val="18"/>
              </w:rPr>
              <w:t xml:space="preserve">Të përcaktohet </w:t>
            </w:r>
          </w:p>
        </w:tc>
        <w:tc>
          <w:tcPr>
            <w:tcW w:w="1161" w:type="dxa"/>
            <w:tcBorders>
              <w:top w:val="nil"/>
              <w:left w:val="nil"/>
              <w:bottom w:val="single" w:sz="8" w:space="0" w:color="auto"/>
              <w:right w:val="single" w:sz="8" w:space="0" w:color="auto"/>
            </w:tcBorders>
            <w:shd w:val="clear" w:color="auto" w:fill="auto"/>
            <w:vAlign w:val="center"/>
            <w:hideMark/>
          </w:tcPr>
          <w:p w14:paraId="034F4F5F" w14:textId="77777777" w:rsidR="009D6D4E" w:rsidRPr="00080097" w:rsidRDefault="009D6D4E" w:rsidP="00BF3B71">
            <w:pPr>
              <w:rPr>
                <w:color w:val="000000"/>
                <w:sz w:val="18"/>
                <w:szCs w:val="18"/>
              </w:rPr>
            </w:pPr>
            <w:r w:rsidRPr="00080097">
              <w:rPr>
                <w:color w:val="000000"/>
                <w:sz w:val="18"/>
                <w:szCs w:val="18"/>
              </w:rPr>
              <w:t xml:space="preserve">Totali </w:t>
            </w:r>
          </w:p>
        </w:tc>
      </w:tr>
      <w:tr w:rsidR="009D6D4E" w:rsidRPr="00080097" w14:paraId="7AC4F148" w14:textId="77777777" w:rsidTr="00BF3B71">
        <w:trPr>
          <w:trHeight w:val="409"/>
        </w:trPr>
        <w:tc>
          <w:tcPr>
            <w:tcW w:w="754" w:type="dxa"/>
            <w:gridSpan w:val="2"/>
            <w:tcBorders>
              <w:top w:val="nil"/>
              <w:left w:val="single" w:sz="8" w:space="0" w:color="auto"/>
              <w:bottom w:val="single" w:sz="8" w:space="0" w:color="auto"/>
              <w:right w:val="single" w:sz="8" w:space="0" w:color="auto"/>
            </w:tcBorders>
            <w:shd w:val="clear" w:color="auto" w:fill="auto"/>
            <w:vAlign w:val="center"/>
            <w:hideMark/>
          </w:tcPr>
          <w:p w14:paraId="0C6965F0" w14:textId="77777777" w:rsidR="009D6D4E" w:rsidRPr="00080097" w:rsidRDefault="009D6D4E" w:rsidP="00BF3B71">
            <w:pPr>
              <w:jc w:val="both"/>
              <w:rPr>
                <w:color w:val="000000"/>
                <w:sz w:val="18"/>
                <w:szCs w:val="18"/>
              </w:rPr>
            </w:pPr>
            <w:r w:rsidRPr="00080097">
              <w:rPr>
                <w:color w:val="000000"/>
                <w:sz w:val="18"/>
                <w:szCs w:val="18"/>
              </w:rPr>
              <w:t>2020</w:t>
            </w:r>
          </w:p>
        </w:tc>
        <w:tc>
          <w:tcPr>
            <w:tcW w:w="1037" w:type="dxa"/>
            <w:tcBorders>
              <w:top w:val="nil"/>
              <w:left w:val="nil"/>
              <w:bottom w:val="single" w:sz="8" w:space="0" w:color="auto"/>
              <w:right w:val="single" w:sz="8" w:space="0" w:color="auto"/>
            </w:tcBorders>
            <w:shd w:val="clear" w:color="auto" w:fill="auto"/>
            <w:vAlign w:val="center"/>
            <w:hideMark/>
          </w:tcPr>
          <w:p w14:paraId="4278724B" w14:textId="77777777" w:rsidR="009D6D4E" w:rsidRPr="00080097" w:rsidRDefault="009D6D4E" w:rsidP="00BF3B71">
            <w:pPr>
              <w:jc w:val="right"/>
              <w:rPr>
                <w:color w:val="000000"/>
                <w:sz w:val="18"/>
                <w:szCs w:val="18"/>
              </w:rPr>
            </w:pPr>
            <w:r w:rsidRPr="00080097">
              <w:rPr>
                <w:color w:val="000000"/>
                <w:sz w:val="18"/>
                <w:szCs w:val="18"/>
              </w:rPr>
              <w:t>209,334.00</w:t>
            </w:r>
          </w:p>
        </w:tc>
        <w:tc>
          <w:tcPr>
            <w:tcW w:w="846" w:type="dxa"/>
            <w:tcBorders>
              <w:top w:val="nil"/>
              <w:left w:val="nil"/>
              <w:bottom w:val="single" w:sz="8" w:space="0" w:color="auto"/>
              <w:right w:val="single" w:sz="8" w:space="0" w:color="auto"/>
            </w:tcBorders>
            <w:shd w:val="clear" w:color="auto" w:fill="auto"/>
            <w:vAlign w:val="center"/>
            <w:hideMark/>
          </w:tcPr>
          <w:p w14:paraId="21C57360" w14:textId="77777777" w:rsidR="009D6D4E" w:rsidRPr="00080097" w:rsidRDefault="009D6D4E" w:rsidP="00BF3B71">
            <w:pPr>
              <w:jc w:val="right"/>
              <w:rPr>
                <w:color w:val="000000"/>
                <w:sz w:val="18"/>
                <w:szCs w:val="18"/>
              </w:rPr>
            </w:pPr>
            <w:r w:rsidRPr="00080097">
              <w:rPr>
                <w:color w:val="000000"/>
                <w:sz w:val="18"/>
                <w:szCs w:val="18"/>
              </w:rPr>
              <w:t>0.00</w:t>
            </w:r>
          </w:p>
        </w:tc>
        <w:tc>
          <w:tcPr>
            <w:tcW w:w="1708" w:type="dxa"/>
            <w:gridSpan w:val="2"/>
            <w:tcBorders>
              <w:top w:val="nil"/>
              <w:left w:val="nil"/>
              <w:bottom w:val="single" w:sz="8" w:space="0" w:color="auto"/>
              <w:right w:val="single" w:sz="8" w:space="0" w:color="auto"/>
            </w:tcBorders>
            <w:shd w:val="clear" w:color="auto" w:fill="auto"/>
            <w:vAlign w:val="center"/>
            <w:hideMark/>
          </w:tcPr>
          <w:p w14:paraId="2EE7F255" w14:textId="77777777" w:rsidR="009D6D4E" w:rsidRPr="00080097" w:rsidRDefault="009D6D4E" w:rsidP="00BF3B71">
            <w:pPr>
              <w:jc w:val="right"/>
              <w:rPr>
                <w:color w:val="000000"/>
                <w:sz w:val="18"/>
                <w:szCs w:val="18"/>
              </w:rPr>
            </w:pPr>
            <w:r w:rsidRPr="00080097">
              <w:rPr>
                <w:color w:val="000000"/>
                <w:sz w:val="18"/>
                <w:szCs w:val="18"/>
              </w:rPr>
              <w:t>0.00</w:t>
            </w:r>
          </w:p>
        </w:tc>
        <w:tc>
          <w:tcPr>
            <w:tcW w:w="980" w:type="dxa"/>
            <w:tcBorders>
              <w:top w:val="nil"/>
              <w:left w:val="nil"/>
              <w:bottom w:val="single" w:sz="8" w:space="0" w:color="auto"/>
              <w:right w:val="single" w:sz="8" w:space="0" w:color="auto"/>
            </w:tcBorders>
            <w:shd w:val="clear" w:color="auto" w:fill="auto"/>
            <w:vAlign w:val="center"/>
            <w:hideMark/>
          </w:tcPr>
          <w:p w14:paraId="13487329" w14:textId="77777777" w:rsidR="009D6D4E" w:rsidRPr="00080097" w:rsidRDefault="009D6D4E" w:rsidP="00BF3B71">
            <w:pPr>
              <w:jc w:val="right"/>
              <w:rPr>
                <w:color w:val="000000"/>
                <w:sz w:val="18"/>
                <w:szCs w:val="18"/>
              </w:rPr>
            </w:pPr>
            <w:r w:rsidRPr="00080097">
              <w:rPr>
                <w:color w:val="000000"/>
                <w:sz w:val="18"/>
                <w:szCs w:val="18"/>
              </w:rPr>
              <w:t>0.00</w:t>
            </w:r>
          </w:p>
        </w:tc>
        <w:tc>
          <w:tcPr>
            <w:tcW w:w="1301" w:type="dxa"/>
            <w:gridSpan w:val="2"/>
            <w:tcBorders>
              <w:top w:val="nil"/>
              <w:left w:val="nil"/>
              <w:bottom w:val="single" w:sz="8" w:space="0" w:color="auto"/>
              <w:right w:val="single" w:sz="8" w:space="0" w:color="auto"/>
            </w:tcBorders>
            <w:shd w:val="clear" w:color="auto" w:fill="auto"/>
            <w:vAlign w:val="center"/>
            <w:hideMark/>
          </w:tcPr>
          <w:p w14:paraId="5D769BEC" w14:textId="77777777" w:rsidR="009D6D4E" w:rsidRPr="00080097" w:rsidRDefault="009D6D4E" w:rsidP="00BF3B71">
            <w:pPr>
              <w:jc w:val="right"/>
              <w:rPr>
                <w:color w:val="000000"/>
                <w:sz w:val="18"/>
                <w:szCs w:val="18"/>
              </w:rPr>
            </w:pPr>
            <w:r w:rsidRPr="00080097">
              <w:rPr>
                <w:color w:val="000000"/>
                <w:sz w:val="18"/>
                <w:szCs w:val="18"/>
              </w:rPr>
              <w:t>0.00</w:t>
            </w:r>
          </w:p>
        </w:tc>
        <w:tc>
          <w:tcPr>
            <w:tcW w:w="1161" w:type="dxa"/>
            <w:gridSpan w:val="2"/>
            <w:tcBorders>
              <w:top w:val="nil"/>
              <w:left w:val="nil"/>
              <w:bottom w:val="single" w:sz="8" w:space="0" w:color="auto"/>
              <w:right w:val="single" w:sz="8" w:space="0" w:color="auto"/>
            </w:tcBorders>
            <w:shd w:val="clear" w:color="auto" w:fill="auto"/>
            <w:vAlign w:val="center"/>
            <w:hideMark/>
          </w:tcPr>
          <w:p w14:paraId="2A489722" w14:textId="77777777" w:rsidR="009D6D4E" w:rsidRPr="00080097" w:rsidRDefault="009D6D4E" w:rsidP="00BF3B71">
            <w:pPr>
              <w:jc w:val="right"/>
              <w:rPr>
                <w:color w:val="000000"/>
                <w:sz w:val="18"/>
                <w:szCs w:val="18"/>
              </w:rPr>
            </w:pPr>
            <w:r w:rsidRPr="00080097">
              <w:rPr>
                <w:color w:val="000000"/>
                <w:sz w:val="18"/>
                <w:szCs w:val="18"/>
              </w:rPr>
              <w:t>0.00</w:t>
            </w:r>
          </w:p>
        </w:tc>
        <w:tc>
          <w:tcPr>
            <w:tcW w:w="1440" w:type="dxa"/>
            <w:gridSpan w:val="2"/>
            <w:tcBorders>
              <w:top w:val="nil"/>
              <w:left w:val="nil"/>
              <w:bottom w:val="single" w:sz="8" w:space="0" w:color="auto"/>
              <w:right w:val="single" w:sz="8" w:space="0" w:color="auto"/>
            </w:tcBorders>
            <w:shd w:val="clear" w:color="auto" w:fill="auto"/>
            <w:vAlign w:val="center"/>
            <w:hideMark/>
          </w:tcPr>
          <w:p w14:paraId="3DDACA7E" w14:textId="77777777" w:rsidR="009D6D4E" w:rsidRPr="00080097" w:rsidRDefault="009D6D4E" w:rsidP="00BF3B71">
            <w:pPr>
              <w:jc w:val="right"/>
              <w:rPr>
                <w:color w:val="000000"/>
                <w:sz w:val="18"/>
                <w:szCs w:val="18"/>
              </w:rPr>
            </w:pPr>
            <w:r w:rsidRPr="00080097">
              <w:rPr>
                <w:color w:val="000000"/>
                <w:sz w:val="18"/>
                <w:szCs w:val="18"/>
              </w:rPr>
              <w:t>0.00</w:t>
            </w:r>
          </w:p>
        </w:tc>
        <w:tc>
          <w:tcPr>
            <w:tcW w:w="1161" w:type="dxa"/>
            <w:tcBorders>
              <w:top w:val="nil"/>
              <w:left w:val="nil"/>
              <w:bottom w:val="single" w:sz="8" w:space="0" w:color="auto"/>
              <w:right w:val="single" w:sz="8" w:space="0" w:color="auto"/>
            </w:tcBorders>
            <w:shd w:val="clear" w:color="auto" w:fill="auto"/>
            <w:vAlign w:val="center"/>
            <w:hideMark/>
          </w:tcPr>
          <w:p w14:paraId="0D972722" w14:textId="77777777" w:rsidR="009D6D4E" w:rsidRPr="00080097" w:rsidRDefault="009D6D4E" w:rsidP="00BF3B71">
            <w:pPr>
              <w:jc w:val="right"/>
              <w:rPr>
                <w:b/>
                <w:bCs/>
                <w:color w:val="000000"/>
                <w:sz w:val="18"/>
                <w:szCs w:val="18"/>
              </w:rPr>
            </w:pPr>
            <w:r w:rsidRPr="00080097">
              <w:rPr>
                <w:b/>
                <w:bCs/>
                <w:color w:val="000000"/>
                <w:sz w:val="18"/>
                <w:szCs w:val="18"/>
              </w:rPr>
              <w:t>209,334</w:t>
            </w:r>
          </w:p>
        </w:tc>
      </w:tr>
      <w:tr w:rsidR="009D6D4E" w:rsidRPr="00080097" w14:paraId="3DCFB642" w14:textId="77777777" w:rsidTr="00BF3B71">
        <w:trPr>
          <w:trHeight w:val="258"/>
        </w:trPr>
        <w:tc>
          <w:tcPr>
            <w:tcW w:w="754" w:type="dxa"/>
            <w:gridSpan w:val="2"/>
            <w:tcBorders>
              <w:top w:val="nil"/>
              <w:left w:val="single" w:sz="8" w:space="0" w:color="auto"/>
              <w:bottom w:val="single" w:sz="8" w:space="0" w:color="auto"/>
              <w:right w:val="single" w:sz="8" w:space="0" w:color="auto"/>
            </w:tcBorders>
            <w:shd w:val="clear" w:color="auto" w:fill="auto"/>
            <w:vAlign w:val="center"/>
            <w:hideMark/>
          </w:tcPr>
          <w:p w14:paraId="70693E41" w14:textId="77777777" w:rsidR="009D6D4E" w:rsidRPr="00080097" w:rsidRDefault="009D6D4E" w:rsidP="00BF3B71">
            <w:pPr>
              <w:jc w:val="both"/>
              <w:rPr>
                <w:color w:val="000000"/>
                <w:sz w:val="18"/>
                <w:szCs w:val="18"/>
              </w:rPr>
            </w:pPr>
            <w:r w:rsidRPr="00080097">
              <w:rPr>
                <w:color w:val="000000"/>
                <w:sz w:val="18"/>
                <w:szCs w:val="18"/>
              </w:rPr>
              <w:t>2021</w:t>
            </w:r>
          </w:p>
        </w:tc>
        <w:tc>
          <w:tcPr>
            <w:tcW w:w="1037" w:type="dxa"/>
            <w:tcBorders>
              <w:top w:val="nil"/>
              <w:left w:val="nil"/>
              <w:bottom w:val="single" w:sz="8" w:space="0" w:color="auto"/>
              <w:right w:val="single" w:sz="8" w:space="0" w:color="auto"/>
            </w:tcBorders>
            <w:shd w:val="clear" w:color="auto" w:fill="auto"/>
            <w:vAlign w:val="center"/>
            <w:hideMark/>
          </w:tcPr>
          <w:p w14:paraId="1086416C" w14:textId="77777777" w:rsidR="009D6D4E" w:rsidRPr="00080097" w:rsidRDefault="009D6D4E" w:rsidP="00BF3B71">
            <w:pPr>
              <w:jc w:val="right"/>
              <w:rPr>
                <w:color w:val="000000"/>
                <w:sz w:val="18"/>
                <w:szCs w:val="18"/>
              </w:rPr>
            </w:pPr>
            <w:r w:rsidRPr="00080097">
              <w:rPr>
                <w:color w:val="000000"/>
                <w:sz w:val="18"/>
                <w:szCs w:val="18"/>
              </w:rPr>
              <w:t>202,659.00</w:t>
            </w:r>
          </w:p>
        </w:tc>
        <w:tc>
          <w:tcPr>
            <w:tcW w:w="846" w:type="dxa"/>
            <w:tcBorders>
              <w:top w:val="nil"/>
              <w:left w:val="nil"/>
              <w:bottom w:val="single" w:sz="8" w:space="0" w:color="auto"/>
              <w:right w:val="single" w:sz="8" w:space="0" w:color="auto"/>
            </w:tcBorders>
            <w:shd w:val="clear" w:color="auto" w:fill="auto"/>
            <w:vAlign w:val="center"/>
            <w:hideMark/>
          </w:tcPr>
          <w:p w14:paraId="09887ED1" w14:textId="77777777" w:rsidR="009D6D4E" w:rsidRPr="00080097" w:rsidRDefault="009D6D4E" w:rsidP="00BF3B71">
            <w:pPr>
              <w:jc w:val="right"/>
              <w:rPr>
                <w:color w:val="000000"/>
                <w:sz w:val="18"/>
                <w:szCs w:val="18"/>
              </w:rPr>
            </w:pPr>
            <w:r w:rsidRPr="00080097">
              <w:rPr>
                <w:color w:val="000000"/>
                <w:sz w:val="18"/>
                <w:szCs w:val="18"/>
              </w:rPr>
              <w:t>0.00</w:t>
            </w:r>
          </w:p>
        </w:tc>
        <w:tc>
          <w:tcPr>
            <w:tcW w:w="1708" w:type="dxa"/>
            <w:gridSpan w:val="2"/>
            <w:tcBorders>
              <w:top w:val="nil"/>
              <w:left w:val="nil"/>
              <w:bottom w:val="single" w:sz="8" w:space="0" w:color="auto"/>
              <w:right w:val="single" w:sz="8" w:space="0" w:color="auto"/>
            </w:tcBorders>
            <w:shd w:val="clear" w:color="auto" w:fill="auto"/>
            <w:vAlign w:val="center"/>
            <w:hideMark/>
          </w:tcPr>
          <w:p w14:paraId="5475BC57" w14:textId="77777777" w:rsidR="009D6D4E" w:rsidRPr="00080097" w:rsidRDefault="009D6D4E" w:rsidP="00BF3B71">
            <w:pPr>
              <w:jc w:val="right"/>
              <w:rPr>
                <w:color w:val="000000"/>
                <w:sz w:val="18"/>
                <w:szCs w:val="18"/>
              </w:rPr>
            </w:pPr>
            <w:r w:rsidRPr="00080097">
              <w:rPr>
                <w:color w:val="000000"/>
                <w:sz w:val="18"/>
                <w:szCs w:val="18"/>
              </w:rPr>
              <w:t>0.00</w:t>
            </w:r>
          </w:p>
        </w:tc>
        <w:tc>
          <w:tcPr>
            <w:tcW w:w="980" w:type="dxa"/>
            <w:tcBorders>
              <w:top w:val="nil"/>
              <w:left w:val="nil"/>
              <w:bottom w:val="single" w:sz="8" w:space="0" w:color="auto"/>
              <w:right w:val="single" w:sz="8" w:space="0" w:color="auto"/>
            </w:tcBorders>
            <w:shd w:val="clear" w:color="auto" w:fill="auto"/>
            <w:vAlign w:val="center"/>
            <w:hideMark/>
          </w:tcPr>
          <w:p w14:paraId="43C73A16" w14:textId="77777777" w:rsidR="009D6D4E" w:rsidRPr="00080097" w:rsidRDefault="009D6D4E" w:rsidP="00BF3B71">
            <w:pPr>
              <w:jc w:val="right"/>
              <w:rPr>
                <w:color w:val="000000"/>
                <w:sz w:val="18"/>
                <w:szCs w:val="18"/>
              </w:rPr>
            </w:pPr>
            <w:r w:rsidRPr="00080097">
              <w:rPr>
                <w:color w:val="000000"/>
                <w:sz w:val="18"/>
                <w:szCs w:val="18"/>
              </w:rPr>
              <w:t>0.00</w:t>
            </w:r>
          </w:p>
        </w:tc>
        <w:tc>
          <w:tcPr>
            <w:tcW w:w="1301" w:type="dxa"/>
            <w:gridSpan w:val="2"/>
            <w:tcBorders>
              <w:top w:val="nil"/>
              <w:left w:val="nil"/>
              <w:bottom w:val="single" w:sz="8" w:space="0" w:color="auto"/>
              <w:right w:val="single" w:sz="8" w:space="0" w:color="auto"/>
            </w:tcBorders>
            <w:shd w:val="clear" w:color="auto" w:fill="auto"/>
            <w:vAlign w:val="center"/>
            <w:hideMark/>
          </w:tcPr>
          <w:p w14:paraId="4D0C27B9" w14:textId="77777777" w:rsidR="009D6D4E" w:rsidRPr="00080097" w:rsidRDefault="009D6D4E" w:rsidP="00BF3B71">
            <w:pPr>
              <w:jc w:val="right"/>
              <w:rPr>
                <w:color w:val="000000"/>
                <w:sz w:val="18"/>
                <w:szCs w:val="18"/>
              </w:rPr>
            </w:pPr>
            <w:r w:rsidRPr="00080097">
              <w:rPr>
                <w:color w:val="000000"/>
                <w:sz w:val="18"/>
                <w:szCs w:val="18"/>
              </w:rPr>
              <w:t>0.00</w:t>
            </w:r>
          </w:p>
        </w:tc>
        <w:tc>
          <w:tcPr>
            <w:tcW w:w="1161" w:type="dxa"/>
            <w:gridSpan w:val="2"/>
            <w:tcBorders>
              <w:top w:val="nil"/>
              <w:left w:val="nil"/>
              <w:bottom w:val="single" w:sz="8" w:space="0" w:color="auto"/>
              <w:right w:val="single" w:sz="8" w:space="0" w:color="auto"/>
            </w:tcBorders>
            <w:shd w:val="clear" w:color="auto" w:fill="auto"/>
            <w:vAlign w:val="center"/>
            <w:hideMark/>
          </w:tcPr>
          <w:p w14:paraId="665CB3DB" w14:textId="77777777" w:rsidR="009D6D4E" w:rsidRPr="00080097" w:rsidRDefault="009D6D4E" w:rsidP="00BF3B71">
            <w:pPr>
              <w:jc w:val="right"/>
              <w:rPr>
                <w:color w:val="000000"/>
                <w:sz w:val="18"/>
                <w:szCs w:val="18"/>
              </w:rPr>
            </w:pPr>
            <w:r w:rsidRPr="00080097">
              <w:rPr>
                <w:color w:val="000000"/>
                <w:sz w:val="18"/>
                <w:szCs w:val="18"/>
              </w:rPr>
              <w:t>2,677,746.00</w:t>
            </w:r>
          </w:p>
        </w:tc>
        <w:tc>
          <w:tcPr>
            <w:tcW w:w="1440" w:type="dxa"/>
            <w:gridSpan w:val="2"/>
            <w:tcBorders>
              <w:top w:val="nil"/>
              <w:left w:val="nil"/>
              <w:bottom w:val="single" w:sz="8" w:space="0" w:color="auto"/>
              <w:right w:val="single" w:sz="8" w:space="0" w:color="auto"/>
            </w:tcBorders>
            <w:shd w:val="clear" w:color="auto" w:fill="auto"/>
            <w:vAlign w:val="center"/>
            <w:hideMark/>
          </w:tcPr>
          <w:p w14:paraId="0D6CB59F" w14:textId="77777777" w:rsidR="009D6D4E" w:rsidRPr="00080097" w:rsidRDefault="009D6D4E" w:rsidP="00BF3B71">
            <w:pPr>
              <w:jc w:val="right"/>
              <w:rPr>
                <w:color w:val="000000"/>
                <w:sz w:val="18"/>
                <w:szCs w:val="18"/>
              </w:rPr>
            </w:pPr>
            <w:r w:rsidRPr="00080097">
              <w:rPr>
                <w:color w:val="000000"/>
                <w:sz w:val="18"/>
                <w:szCs w:val="18"/>
              </w:rPr>
              <w:t>0.00</w:t>
            </w:r>
          </w:p>
        </w:tc>
        <w:tc>
          <w:tcPr>
            <w:tcW w:w="1161" w:type="dxa"/>
            <w:tcBorders>
              <w:top w:val="nil"/>
              <w:left w:val="nil"/>
              <w:bottom w:val="single" w:sz="8" w:space="0" w:color="auto"/>
              <w:right w:val="single" w:sz="8" w:space="0" w:color="auto"/>
            </w:tcBorders>
            <w:shd w:val="clear" w:color="auto" w:fill="auto"/>
            <w:vAlign w:val="center"/>
            <w:hideMark/>
          </w:tcPr>
          <w:p w14:paraId="1E805F2B" w14:textId="77777777" w:rsidR="009D6D4E" w:rsidRPr="00080097" w:rsidRDefault="009D6D4E" w:rsidP="00BF3B71">
            <w:pPr>
              <w:jc w:val="right"/>
              <w:rPr>
                <w:b/>
                <w:bCs/>
                <w:color w:val="000000"/>
                <w:sz w:val="18"/>
                <w:szCs w:val="18"/>
              </w:rPr>
            </w:pPr>
            <w:r w:rsidRPr="00080097">
              <w:rPr>
                <w:b/>
                <w:bCs/>
                <w:color w:val="000000"/>
                <w:sz w:val="18"/>
                <w:szCs w:val="18"/>
              </w:rPr>
              <w:t>2,880,405</w:t>
            </w:r>
          </w:p>
        </w:tc>
      </w:tr>
      <w:tr w:rsidR="009D6D4E" w:rsidRPr="00080097" w14:paraId="3C3B88D5" w14:textId="77777777" w:rsidTr="00BF3B71">
        <w:trPr>
          <w:trHeight w:val="258"/>
        </w:trPr>
        <w:tc>
          <w:tcPr>
            <w:tcW w:w="754" w:type="dxa"/>
            <w:gridSpan w:val="2"/>
            <w:tcBorders>
              <w:top w:val="nil"/>
              <w:left w:val="single" w:sz="8" w:space="0" w:color="auto"/>
              <w:bottom w:val="single" w:sz="8" w:space="0" w:color="auto"/>
              <w:right w:val="single" w:sz="8" w:space="0" w:color="auto"/>
            </w:tcBorders>
            <w:shd w:val="clear" w:color="auto" w:fill="auto"/>
            <w:vAlign w:val="center"/>
            <w:hideMark/>
          </w:tcPr>
          <w:p w14:paraId="648FE04F" w14:textId="77777777" w:rsidR="009D6D4E" w:rsidRPr="00080097" w:rsidRDefault="009D6D4E" w:rsidP="00BF3B71">
            <w:pPr>
              <w:jc w:val="both"/>
              <w:rPr>
                <w:color w:val="000000"/>
                <w:sz w:val="18"/>
                <w:szCs w:val="18"/>
              </w:rPr>
            </w:pPr>
            <w:r w:rsidRPr="00080097">
              <w:rPr>
                <w:color w:val="000000"/>
                <w:sz w:val="18"/>
                <w:szCs w:val="18"/>
              </w:rPr>
              <w:t>2022</w:t>
            </w:r>
          </w:p>
        </w:tc>
        <w:tc>
          <w:tcPr>
            <w:tcW w:w="1037" w:type="dxa"/>
            <w:tcBorders>
              <w:top w:val="nil"/>
              <w:left w:val="nil"/>
              <w:bottom w:val="single" w:sz="8" w:space="0" w:color="auto"/>
              <w:right w:val="single" w:sz="8" w:space="0" w:color="auto"/>
            </w:tcBorders>
            <w:shd w:val="clear" w:color="auto" w:fill="auto"/>
            <w:vAlign w:val="center"/>
            <w:hideMark/>
          </w:tcPr>
          <w:p w14:paraId="7E9D2AD6" w14:textId="77777777" w:rsidR="009D6D4E" w:rsidRPr="00080097" w:rsidRDefault="009D6D4E" w:rsidP="00BF3B71">
            <w:pPr>
              <w:jc w:val="right"/>
              <w:rPr>
                <w:color w:val="000000"/>
                <w:sz w:val="18"/>
                <w:szCs w:val="18"/>
              </w:rPr>
            </w:pPr>
            <w:r w:rsidRPr="00080097">
              <w:rPr>
                <w:color w:val="000000"/>
                <w:sz w:val="18"/>
                <w:szCs w:val="18"/>
              </w:rPr>
              <w:t>195,079.00</w:t>
            </w:r>
          </w:p>
        </w:tc>
        <w:tc>
          <w:tcPr>
            <w:tcW w:w="846" w:type="dxa"/>
            <w:tcBorders>
              <w:top w:val="nil"/>
              <w:left w:val="nil"/>
              <w:bottom w:val="single" w:sz="8" w:space="0" w:color="auto"/>
              <w:right w:val="single" w:sz="8" w:space="0" w:color="auto"/>
            </w:tcBorders>
            <w:shd w:val="clear" w:color="auto" w:fill="auto"/>
            <w:vAlign w:val="center"/>
            <w:hideMark/>
          </w:tcPr>
          <w:p w14:paraId="6E814269" w14:textId="77777777" w:rsidR="009D6D4E" w:rsidRPr="00080097" w:rsidRDefault="009D6D4E" w:rsidP="00BF3B71">
            <w:pPr>
              <w:jc w:val="right"/>
              <w:rPr>
                <w:color w:val="000000"/>
                <w:sz w:val="18"/>
                <w:szCs w:val="18"/>
              </w:rPr>
            </w:pPr>
            <w:r w:rsidRPr="00080097">
              <w:rPr>
                <w:color w:val="000000"/>
                <w:sz w:val="18"/>
                <w:szCs w:val="18"/>
              </w:rPr>
              <w:t>0.00</w:t>
            </w:r>
          </w:p>
        </w:tc>
        <w:tc>
          <w:tcPr>
            <w:tcW w:w="1708" w:type="dxa"/>
            <w:gridSpan w:val="2"/>
            <w:tcBorders>
              <w:top w:val="nil"/>
              <w:left w:val="nil"/>
              <w:bottom w:val="single" w:sz="8" w:space="0" w:color="auto"/>
              <w:right w:val="single" w:sz="8" w:space="0" w:color="auto"/>
            </w:tcBorders>
            <w:shd w:val="clear" w:color="auto" w:fill="auto"/>
            <w:vAlign w:val="center"/>
            <w:hideMark/>
          </w:tcPr>
          <w:p w14:paraId="6FDD9AEC" w14:textId="77777777" w:rsidR="009D6D4E" w:rsidRPr="00080097" w:rsidRDefault="009D6D4E" w:rsidP="00BF3B71">
            <w:pPr>
              <w:jc w:val="right"/>
              <w:rPr>
                <w:color w:val="000000"/>
                <w:sz w:val="18"/>
                <w:szCs w:val="18"/>
              </w:rPr>
            </w:pPr>
            <w:r w:rsidRPr="00080097">
              <w:rPr>
                <w:color w:val="000000"/>
                <w:sz w:val="18"/>
                <w:szCs w:val="18"/>
              </w:rPr>
              <w:t>0.00</w:t>
            </w:r>
          </w:p>
        </w:tc>
        <w:tc>
          <w:tcPr>
            <w:tcW w:w="980" w:type="dxa"/>
            <w:tcBorders>
              <w:top w:val="nil"/>
              <w:left w:val="nil"/>
              <w:bottom w:val="single" w:sz="8" w:space="0" w:color="auto"/>
              <w:right w:val="single" w:sz="8" w:space="0" w:color="auto"/>
            </w:tcBorders>
            <w:shd w:val="clear" w:color="auto" w:fill="auto"/>
            <w:vAlign w:val="center"/>
            <w:hideMark/>
          </w:tcPr>
          <w:p w14:paraId="238D356A" w14:textId="77777777" w:rsidR="009D6D4E" w:rsidRPr="00080097" w:rsidRDefault="009D6D4E" w:rsidP="00BF3B71">
            <w:pPr>
              <w:jc w:val="right"/>
              <w:rPr>
                <w:color w:val="000000"/>
                <w:sz w:val="18"/>
                <w:szCs w:val="18"/>
              </w:rPr>
            </w:pPr>
            <w:r w:rsidRPr="00080097">
              <w:rPr>
                <w:color w:val="000000"/>
                <w:sz w:val="18"/>
                <w:szCs w:val="18"/>
              </w:rPr>
              <w:t>0.00</w:t>
            </w:r>
          </w:p>
        </w:tc>
        <w:tc>
          <w:tcPr>
            <w:tcW w:w="1301" w:type="dxa"/>
            <w:gridSpan w:val="2"/>
            <w:tcBorders>
              <w:top w:val="nil"/>
              <w:left w:val="nil"/>
              <w:bottom w:val="single" w:sz="8" w:space="0" w:color="auto"/>
              <w:right w:val="single" w:sz="8" w:space="0" w:color="auto"/>
            </w:tcBorders>
            <w:shd w:val="clear" w:color="auto" w:fill="auto"/>
            <w:vAlign w:val="center"/>
            <w:hideMark/>
          </w:tcPr>
          <w:p w14:paraId="7B46E9B6" w14:textId="77777777" w:rsidR="009D6D4E" w:rsidRPr="00080097" w:rsidRDefault="009D6D4E" w:rsidP="00BF3B71">
            <w:pPr>
              <w:jc w:val="right"/>
              <w:rPr>
                <w:color w:val="000000"/>
                <w:sz w:val="18"/>
                <w:szCs w:val="18"/>
              </w:rPr>
            </w:pPr>
            <w:r w:rsidRPr="00080097">
              <w:rPr>
                <w:color w:val="000000"/>
                <w:sz w:val="18"/>
                <w:szCs w:val="18"/>
              </w:rPr>
              <w:t>0.00</w:t>
            </w:r>
          </w:p>
        </w:tc>
        <w:tc>
          <w:tcPr>
            <w:tcW w:w="1161" w:type="dxa"/>
            <w:gridSpan w:val="2"/>
            <w:tcBorders>
              <w:top w:val="nil"/>
              <w:left w:val="nil"/>
              <w:bottom w:val="single" w:sz="8" w:space="0" w:color="auto"/>
              <w:right w:val="single" w:sz="8" w:space="0" w:color="auto"/>
            </w:tcBorders>
            <w:shd w:val="clear" w:color="auto" w:fill="auto"/>
            <w:vAlign w:val="center"/>
            <w:hideMark/>
          </w:tcPr>
          <w:p w14:paraId="6A80F2E3" w14:textId="77777777" w:rsidR="009D6D4E" w:rsidRPr="00080097" w:rsidRDefault="009D6D4E" w:rsidP="00BF3B71">
            <w:pPr>
              <w:jc w:val="right"/>
              <w:rPr>
                <w:color w:val="000000"/>
                <w:sz w:val="18"/>
                <w:szCs w:val="18"/>
              </w:rPr>
            </w:pPr>
            <w:r w:rsidRPr="00080097">
              <w:rPr>
                <w:color w:val="000000"/>
                <w:sz w:val="18"/>
                <w:szCs w:val="18"/>
              </w:rPr>
              <w:t>971,576.00</w:t>
            </w:r>
          </w:p>
        </w:tc>
        <w:tc>
          <w:tcPr>
            <w:tcW w:w="1440" w:type="dxa"/>
            <w:gridSpan w:val="2"/>
            <w:tcBorders>
              <w:top w:val="nil"/>
              <w:left w:val="nil"/>
              <w:bottom w:val="single" w:sz="8" w:space="0" w:color="auto"/>
              <w:right w:val="single" w:sz="8" w:space="0" w:color="auto"/>
            </w:tcBorders>
            <w:shd w:val="clear" w:color="auto" w:fill="auto"/>
            <w:vAlign w:val="center"/>
            <w:hideMark/>
          </w:tcPr>
          <w:p w14:paraId="6FF2CD65" w14:textId="77777777" w:rsidR="009D6D4E" w:rsidRPr="00080097" w:rsidRDefault="009D6D4E" w:rsidP="00BF3B71">
            <w:pPr>
              <w:jc w:val="right"/>
              <w:rPr>
                <w:color w:val="000000"/>
                <w:sz w:val="18"/>
                <w:szCs w:val="18"/>
              </w:rPr>
            </w:pPr>
            <w:r w:rsidRPr="00080097">
              <w:rPr>
                <w:color w:val="000000"/>
                <w:sz w:val="18"/>
                <w:szCs w:val="18"/>
              </w:rPr>
              <w:t>0.00</w:t>
            </w:r>
          </w:p>
        </w:tc>
        <w:tc>
          <w:tcPr>
            <w:tcW w:w="1161" w:type="dxa"/>
            <w:tcBorders>
              <w:top w:val="nil"/>
              <w:left w:val="nil"/>
              <w:bottom w:val="single" w:sz="8" w:space="0" w:color="auto"/>
              <w:right w:val="single" w:sz="8" w:space="0" w:color="auto"/>
            </w:tcBorders>
            <w:shd w:val="clear" w:color="auto" w:fill="auto"/>
            <w:vAlign w:val="center"/>
            <w:hideMark/>
          </w:tcPr>
          <w:p w14:paraId="50BEA137" w14:textId="77777777" w:rsidR="009D6D4E" w:rsidRPr="00080097" w:rsidRDefault="009D6D4E" w:rsidP="00BF3B71">
            <w:pPr>
              <w:jc w:val="right"/>
              <w:rPr>
                <w:b/>
                <w:bCs/>
                <w:color w:val="000000"/>
                <w:sz w:val="18"/>
                <w:szCs w:val="18"/>
              </w:rPr>
            </w:pPr>
            <w:r w:rsidRPr="00080097">
              <w:rPr>
                <w:b/>
                <w:bCs/>
                <w:color w:val="000000"/>
                <w:sz w:val="18"/>
                <w:szCs w:val="18"/>
              </w:rPr>
              <w:t>1,166,655</w:t>
            </w:r>
          </w:p>
        </w:tc>
      </w:tr>
    </w:tbl>
    <w:p w14:paraId="52FD22A7" w14:textId="77777777" w:rsidR="009D6D4E" w:rsidRDefault="009D6D4E" w:rsidP="009D6D4E"/>
    <w:p w14:paraId="54274140" w14:textId="77777777" w:rsidR="009D6D4E" w:rsidRDefault="009D6D4E" w:rsidP="009D6D4E"/>
    <w:p w14:paraId="00FF1343" w14:textId="77777777" w:rsidR="009D6D4E" w:rsidRDefault="009D6D4E" w:rsidP="009D6D4E"/>
    <w:tbl>
      <w:tblPr>
        <w:tblW w:w="10255" w:type="dxa"/>
        <w:tblLook w:val="04A0" w:firstRow="1" w:lastRow="0" w:firstColumn="1" w:lastColumn="0" w:noHBand="0" w:noVBand="1"/>
      </w:tblPr>
      <w:tblGrid>
        <w:gridCol w:w="693"/>
        <w:gridCol w:w="741"/>
        <w:gridCol w:w="303"/>
        <w:gridCol w:w="854"/>
        <w:gridCol w:w="1764"/>
        <w:gridCol w:w="994"/>
        <w:gridCol w:w="769"/>
        <w:gridCol w:w="681"/>
        <w:gridCol w:w="851"/>
        <w:gridCol w:w="1257"/>
        <w:gridCol w:w="190"/>
        <w:gridCol w:w="1158"/>
      </w:tblGrid>
      <w:tr w:rsidR="009D6D4E" w:rsidRPr="006A5422" w14:paraId="1AA12264" w14:textId="77777777" w:rsidTr="00BF3B71">
        <w:trPr>
          <w:trHeight w:val="409"/>
        </w:trPr>
        <w:tc>
          <w:tcPr>
            <w:tcW w:w="10255"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5492B11A" w14:textId="77777777" w:rsidR="009D6D4E" w:rsidRPr="006A5422" w:rsidRDefault="009D6D4E" w:rsidP="00BF3B71">
            <w:pPr>
              <w:jc w:val="both"/>
              <w:rPr>
                <w:b/>
                <w:bCs/>
                <w:color w:val="000000"/>
                <w:sz w:val="18"/>
                <w:szCs w:val="18"/>
              </w:rPr>
            </w:pPr>
            <w:r w:rsidRPr="006A5422">
              <w:rPr>
                <w:b/>
                <w:bCs/>
                <w:color w:val="000000"/>
                <w:sz w:val="18"/>
                <w:szCs w:val="18"/>
              </w:rPr>
              <w:t>Tabela 10 a.: Kostimi i masës së reformës strukturore : Masa#9 Themelimi dhe Funksionalizimi i Gjykatws Komerciale</w:t>
            </w:r>
          </w:p>
        </w:tc>
      </w:tr>
      <w:tr w:rsidR="009D6D4E" w:rsidRPr="006A5422" w14:paraId="0E2E3C3C" w14:textId="77777777" w:rsidTr="00BF3B71">
        <w:trPr>
          <w:trHeight w:val="746"/>
        </w:trPr>
        <w:tc>
          <w:tcPr>
            <w:tcW w:w="1435" w:type="dxa"/>
            <w:gridSpan w:val="2"/>
            <w:tcBorders>
              <w:top w:val="nil"/>
              <w:left w:val="single" w:sz="4" w:space="0" w:color="auto"/>
              <w:bottom w:val="single" w:sz="4" w:space="0" w:color="auto"/>
              <w:right w:val="single" w:sz="4" w:space="0" w:color="auto"/>
            </w:tcBorders>
            <w:shd w:val="clear" w:color="auto" w:fill="auto"/>
            <w:vAlign w:val="center"/>
            <w:hideMark/>
          </w:tcPr>
          <w:p w14:paraId="32B12381" w14:textId="77777777" w:rsidR="009D6D4E" w:rsidRPr="006A5422" w:rsidRDefault="009D6D4E" w:rsidP="00BF3B71">
            <w:pPr>
              <w:jc w:val="both"/>
              <w:rPr>
                <w:b/>
                <w:bCs/>
                <w:color w:val="000000"/>
                <w:sz w:val="18"/>
                <w:szCs w:val="18"/>
              </w:rPr>
            </w:pPr>
            <w:r w:rsidRPr="006A5422">
              <w:rPr>
                <w:b/>
                <w:bCs/>
                <w:color w:val="000000"/>
                <w:sz w:val="18"/>
                <w:szCs w:val="18"/>
              </w:rPr>
              <w:t xml:space="preserve">Viti </w:t>
            </w:r>
          </w:p>
        </w:tc>
        <w:tc>
          <w:tcPr>
            <w:tcW w:w="2916" w:type="dxa"/>
            <w:gridSpan w:val="3"/>
            <w:tcBorders>
              <w:top w:val="nil"/>
              <w:left w:val="nil"/>
              <w:bottom w:val="single" w:sz="4" w:space="0" w:color="auto"/>
              <w:right w:val="single" w:sz="4" w:space="0" w:color="auto"/>
            </w:tcBorders>
            <w:shd w:val="clear" w:color="auto" w:fill="auto"/>
            <w:vAlign w:val="center"/>
            <w:hideMark/>
          </w:tcPr>
          <w:p w14:paraId="50ABE926" w14:textId="77777777" w:rsidR="009D6D4E" w:rsidRPr="006A5422" w:rsidRDefault="009D6D4E" w:rsidP="00BF3B71">
            <w:pPr>
              <w:jc w:val="both"/>
              <w:rPr>
                <w:b/>
                <w:bCs/>
                <w:color w:val="000000"/>
                <w:sz w:val="18"/>
                <w:szCs w:val="18"/>
              </w:rPr>
            </w:pPr>
            <w:r w:rsidRPr="006A5422">
              <w:rPr>
                <w:b/>
                <w:bCs/>
                <w:color w:val="000000"/>
                <w:sz w:val="18"/>
                <w:szCs w:val="18"/>
              </w:rPr>
              <w:t>Pagat</w:t>
            </w:r>
          </w:p>
        </w:tc>
        <w:tc>
          <w:tcPr>
            <w:tcW w:w="1764" w:type="dxa"/>
            <w:gridSpan w:val="2"/>
            <w:tcBorders>
              <w:top w:val="nil"/>
              <w:left w:val="nil"/>
              <w:bottom w:val="single" w:sz="4" w:space="0" w:color="auto"/>
              <w:right w:val="single" w:sz="4" w:space="0" w:color="auto"/>
            </w:tcBorders>
            <w:shd w:val="clear" w:color="auto" w:fill="auto"/>
            <w:vAlign w:val="center"/>
            <w:hideMark/>
          </w:tcPr>
          <w:p w14:paraId="6E1C361C" w14:textId="77777777" w:rsidR="009D6D4E" w:rsidRPr="006A5422" w:rsidRDefault="009D6D4E" w:rsidP="00BF3B71">
            <w:pPr>
              <w:jc w:val="both"/>
              <w:rPr>
                <w:b/>
                <w:bCs/>
                <w:color w:val="000000"/>
                <w:sz w:val="18"/>
                <w:szCs w:val="18"/>
              </w:rPr>
            </w:pPr>
            <w:r w:rsidRPr="006A5422">
              <w:rPr>
                <w:b/>
                <w:bCs/>
                <w:color w:val="000000"/>
                <w:sz w:val="18"/>
                <w:szCs w:val="18"/>
              </w:rPr>
              <w:t>Mallra dhe shërbime</w:t>
            </w:r>
          </w:p>
        </w:tc>
        <w:tc>
          <w:tcPr>
            <w:tcW w:w="1532" w:type="dxa"/>
            <w:gridSpan w:val="2"/>
            <w:tcBorders>
              <w:top w:val="nil"/>
              <w:left w:val="nil"/>
              <w:bottom w:val="single" w:sz="4" w:space="0" w:color="auto"/>
              <w:right w:val="single" w:sz="4" w:space="0" w:color="auto"/>
            </w:tcBorders>
            <w:shd w:val="clear" w:color="auto" w:fill="auto"/>
            <w:vAlign w:val="center"/>
            <w:hideMark/>
          </w:tcPr>
          <w:p w14:paraId="4B54D22C" w14:textId="77777777" w:rsidR="009D6D4E" w:rsidRPr="006A5422" w:rsidRDefault="009D6D4E" w:rsidP="00BF3B71">
            <w:pPr>
              <w:jc w:val="both"/>
              <w:rPr>
                <w:b/>
                <w:bCs/>
                <w:color w:val="000000"/>
                <w:sz w:val="18"/>
                <w:szCs w:val="18"/>
              </w:rPr>
            </w:pPr>
            <w:r w:rsidRPr="006A5422">
              <w:rPr>
                <w:b/>
                <w:bCs/>
                <w:color w:val="000000"/>
                <w:sz w:val="18"/>
                <w:szCs w:val="18"/>
              </w:rPr>
              <w:t xml:space="preserve">Subvencione dhe transfere </w:t>
            </w:r>
          </w:p>
        </w:tc>
        <w:tc>
          <w:tcPr>
            <w:tcW w:w="1258" w:type="dxa"/>
            <w:tcBorders>
              <w:top w:val="nil"/>
              <w:left w:val="nil"/>
              <w:bottom w:val="single" w:sz="4" w:space="0" w:color="auto"/>
              <w:right w:val="single" w:sz="4" w:space="0" w:color="auto"/>
            </w:tcBorders>
            <w:shd w:val="clear" w:color="auto" w:fill="auto"/>
            <w:vAlign w:val="center"/>
            <w:hideMark/>
          </w:tcPr>
          <w:p w14:paraId="100FC185" w14:textId="77777777" w:rsidR="009D6D4E" w:rsidRPr="006A5422" w:rsidRDefault="009D6D4E" w:rsidP="00BF3B71">
            <w:pPr>
              <w:jc w:val="both"/>
              <w:rPr>
                <w:b/>
                <w:bCs/>
                <w:color w:val="000000"/>
                <w:sz w:val="18"/>
                <w:szCs w:val="18"/>
              </w:rPr>
            </w:pPr>
            <w:r w:rsidRPr="006A5422">
              <w:rPr>
                <w:b/>
                <w:bCs/>
                <w:color w:val="000000"/>
                <w:sz w:val="18"/>
                <w:szCs w:val="18"/>
              </w:rPr>
              <w:t xml:space="preserve">Shpenzimet kapitale </w:t>
            </w:r>
          </w:p>
        </w:tc>
        <w:tc>
          <w:tcPr>
            <w:tcW w:w="1350" w:type="dxa"/>
            <w:gridSpan w:val="2"/>
            <w:tcBorders>
              <w:top w:val="nil"/>
              <w:left w:val="nil"/>
              <w:bottom w:val="single" w:sz="4" w:space="0" w:color="auto"/>
              <w:right w:val="single" w:sz="4" w:space="0" w:color="auto"/>
            </w:tcBorders>
            <w:shd w:val="clear" w:color="auto" w:fill="auto"/>
            <w:vAlign w:val="center"/>
            <w:hideMark/>
          </w:tcPr>
          <w:p w14:paraId="477FD57F" w14:textId="77777777" w:rsidR="009D6D4E" w:rsidRPr="006A5422" w:rsidRDefault="009D6D4E" w:rsidP="00BF3B71">
            <w:pPr>
              <w:jc w:val="both"/>
              <w:rPr>
                <w:b/>
                <w:bCs/>
                <w:color w:val="000000"/>
                <w:sz w:val="18"/>
                <w:szCs w:val="18"/>
              </w:rPr>
            </w:pPr>
            <w:r w:rsidRPr="006A5422">
              <w:rPr>
                <w:b/>
                <w:bCs/>
                <w:color w:val="000000"/>
                <w:sz w:val="18"/>
                <w:szCs w:val="18"/>
              </w:rPr>
              <w:t xml:space="preserve">Totali </w:t>
            </w:r>
          </w:p>
        </w:tc>
      </w:tr>
      <w:tr w:rsidR="009D6D4E" w:rsidRPr="006A5422" w14:paraId="6DE406D5" w14:textId="77777777" w:rsidTr="00BF3B71">
        <w:trPr>
          <w:trHeight w:val="161"/>
        </w:trPr>
        <w:tc>
          <w:tcPr>
            <w:tcW w:w="1435" w:type="dxa"/>
            <w:gridSpan w:val="2"/>
            <w:tcBorders>
              <w:top w:val="nil"/>
              <w:left w:val="single" w:sz="4" w:space="0" w:color="auto"/>
              <w:bottom w:val="single" w:sz="4" w:space="0" w:color="auto"/>
              <w:right w:val="single" w:sz="4" w:space="0" w:color="auto"/>
            </w:tcBorders>
            <w:shd w:val="clear" w:color="auto" w:fill="auto"/>
            <w:vAlign w:val="center"/>
            <w:hideMark/>
          </w:tcPr>
          <w:p w14:paraId="1EC98E22" w14:textId="77777777" w:rsidR="009D6D4E" w:rsidRPr="006A5422" w:rsidRDefault="009D6D4E" w:rsidP="00BF3B71">
            <w:pPr>
              <w:jc w:val="both"/>
              <w:rPr>
                <w:color w:val="000000"/>
                <w:sz w:val="18"/>
                <w:szCs w:val="18"/>
              </w:rPr>
            </w:pPr>
            <w:r w:rsidRPr="006A5422">
              <w:rPr>
                <w:color w:val="000000"/>
                <w:sz w:val="18"/>
                <w:szCs w:val="18"/>
              </w:rPr>
              <w:t>2020</w:t>
            </w:r>
          </w:p>
        </w:tc>
        <w:tc>
          <w:tcPr>
            <w:tcW w:w="2916" w:type="dxa"/>
            <w:gridSpan w:val="3"/>
            <w:tcBorders>
              <w:top w:val="nil"/>
              <w:left w:val="nil"/>
              <w:bottom w:val="single" w:sz="4" w:space="0" w:color="auto"/>
              <w:right w:val="single" w:sz="4" w:space="0" w:color="auto"/>
            </w:tcBorders>
            <w:shd w:val="clear" w:color="auto" w:fill="auto"/>
            <w:vAlign w:val="center"/>
            <w:hideMark/>
          </w:tcPr>
          <w:p w14:paraId="355E7B01" w14:textId="77777777" w:rsidR="009D6D4E" w:rsidRPr="006A5422" w:rsidRDefault="009D6D4E" w:rsidP="00BF3B71">
            <w:pPr>
              <w:jc w:val="both"/>
              <w:rPr>
                <w:color w:val="000000"/>
                <w:sz w:val="18"/>
                <w:szCs w:val="18"/>
              </w:rPr>
            </w:pPr>
            <w:r w:rsidRPr="006A5422">
              <w:rPr>
                <w:color w:val="000000"/>
                <w:sz w:val="18"/>
                <w:szCs w:val="18"/>
              </w:rPr>
              <w:t> </w:t>
            </w:r>
          </w:p>
        </w:tc>
        <w:tc>
          <w:tcPr>
            <w:tcW w:w="1764" w:type="dxa"/>
            <w:gridSpan w:val="2"/>
            <w:tcBorders>
              <w:top w:val="nil"/>
              <w:left w:val="nil"/>
              <w:bottom w:val="single" w:sz="4" w:space="0" w:color="auto"/>
              <w:right w:val="single" w:sz="4" w:space="0" w:color="auto"/>
            </w:tcBorders>
            <w:shd w:val="clear" w:color="auto" w:fill="auto"/>
            <w:vAlign w:val="center"/>
            <w:hideMark/>
          </w:tcPr>
          <w:p w14:paraId="04A1A83D" w14:textId="77777777" w:rsidR="009D6D4E" w:rsidRPr="006A5422" w:rsidRDefault="009D6D4E" w:rsidP="00BF3B71">
            <w:pPr>
              <w:jc w:val="both"/>
              <w:rPr>
                <w:color w:val="000000"/>
                <w:sz w:val="18"/>
                <w:szCs w:val="18"/>
              </w:rPr>
            </w:pPr>
            <w:r w:rsidRPr="006A5422">
              <w:rPr>
                <w:color w:val="000000"/>
                <w:sz w:val="18"/>
                <w:szCs w:val="18"/>
              </w:rPr>
              <w:t xml:space="preserve">                            25,440 </w:t>
            </w:r>
          </w:p>
        </w:tc>
        <w:tc>
          <w:tcPr>
            <w:tcW w:w="1532" w:type="dxa"/>
            <w:gridSpan w:val="2"/>
            <w:tcBorders>
              <w:top w:val="nil"/>
              <w:left w:val="nil"/>
              <w:bottom w:val="single" w:sz="4" w:space="0" w:color="auto"/>
              <w:right w:val="single" w:sz="4" w:space="0" w:color="auto"/>
            </w:tcBorders>
            <w:shd w:val="clear" w:color="auto" w:fill="auto"/>
            <w:vAlign w:val="center"/>
            <w:hideMark/>
          </w:tcPr>
          <w:p w14:paraId="48BFDB97" w14:textId="77777777" w:rsidR="009D6D4E" w:rsidRPr="006A5422" w:rsidRDefault="009D6D4E" w:rsidP="00BF3B71">
            <w:pPr>
              <w:jc w:val="both"/>
              <w:rPr>
                <w:color w:val="000000"/>
                <w:sz w:val="18"/>
                <w:szCs w:val="18"/>
              </w:rPr>
            </w:pPr>
            <w:r w:rsidRPr="006A5422">
              <w:rPr>
                <w:color w:val="000000"/>
                <w:sz w:val="18"/>
                <w:szCs w:val="18"/>
              </w:rPr>
              <w:t> </w:t>
            </w:r>
          </w:p>
        </w:tc>
        <w:tc>
          <w:tcPr>
            <w:tcW w:w="1258" w:type="dxa"/>
            <w:tcBorders>
              <w:top w:val="nil"/>
              <w:left w:val="nil"/>
              <w:bottom w:val="single" w:sz="4" w:space="0" w:color="auto"/>
              <w:right w:val="single" w:sz="4" w:space="0" w:color="auto"/>
            </w:tcBorders>
            <w:shd w:val="clear" w:color="auto" w:fill="auto"/>
            <w:vAlign w:val="center"/>
            <w:hideMark/>
          </w:tcPr>
          <w:p w14:paraId="035808E0" w14:textId="77777777" w:rsidR="009D6D4E" w:rsidRPr="006A5422" w:rsidRDefault="009D6D4E" w:rsidP="00BF3B71">
            <w:pPr>
              <w:jc w:val="both"/>
              <w:rPr>
                <w:color w:val="000000"/>
                <w:sz w:val="18"/>
                <w:szCs w:val="18"/>
              </w:rPr>
            </w:pPr>
            <w:r w:rsidRPr="006A5422">
              <w:rPr>
                <w:color w:val="000000"/>
                <w:sz w:val="18"/>
                <w:szCs w:val="18"/>
              </w:rPr>
              <w:t> </w:t>
            </w:r>
          </w:p>
        </w:tc>
        <w:tc>
          <w:tcPr>
            <w:tcW w:w="1350" w:type="dxa"/>
            <w:gridSpan w:val="2"/>
            <w:tcBorders>
              <w:top w:val="nil"/>
              <w:left w:val="nil"/>
              <w:bottom w:val="single" w:sz="4" w:space="0" w:color="auto"/>
              <w:right w:val="single" w:sz="4" w:space="0" w:color="auto"/>
            </w:tcBorders>
            <w:shd w:val="clear" w:color="000000" w:fill="FFFFFF"/>
            <w:vAlign w:val="center"/>
            <w:hideMark/>
          </w:tcPr>
          <w:p w14:paraId="635924C2" w14:textId="77777777" w:rsidR="009D6D4E" w:rsidRPr="006A5422" w:rsidRDefault="009D6D4E" w:rsidP="00BF3B71">
            <w:pPr>
              <w:jc w:val="right"/>
              <w:rPr>
                <w:b/>
                <w:color w:val="000000"/>
                <w:sz w:val="18"/>
                <w:szCs w:val="18"/>
              </w:rPr>
            </w:pPr>
            <w:r w:rsidRPr="006A5422">
              <w:rPr>
                <w:b/>
                <w:color w:val="000000"/>
                <w:sz w:val="18"/>
                <w:szCs w:val="18"/>
              </w:rPr>
              <w:t xml:space="preserve">                            25,440 </w:t>
            </w:r>
          </w:p>
        </w:tc>
      </w:tr>
      <w:tr w:rsidR="009D6D4E" w:rsidRPr="006A5422" w14:paraId="25F73A58" w14:textId="77777777" w:rsidTr="00BF3B71">
        <w:trPr>
          <w:trHeight w:val="179"/>
        </w:trPr>
        <w:tc>
          <w:tcPr>
            <w:tcW w:w="1435" w:type="dxa"/>
            <w:gridSpan w:val="2"/>
            <w:tcBorders>
              <w:top w:val="nil"/>
              <w:left w:val="single" w:sz="4" w:space="0" w:color="auto"/>
              <w:bottom w:val="single" w:sz="4" w:space="0" w:color="auto"/>
              <w:right w:val="single" w:sz="4" w:space="0" w:color="auto"/>
            </w:tcBorders>
            <w:shd w:val="clear" w:color="auto" w:fill="auto"/>
            <w:vAlign w:val="center"/>
            <w:hideMark/>
          </w:tcPr>
          <w:p w14:paraId="5FE709D8" w14:textId="77777777" w:rsidR="009D6D4E" w:rsidRPr="006A5422" w:rsidRDefault="009D6D4E" w:rsidP="00BF3B71">
            <w:pPr>
              <w:jc w:val="both"/>
              <w:rPr>
                <w:color w:val="000000"/>
                <w:sz w:val="18"/>
                <w:szCs w:val="18"/>
              </w:rPr>
            </w:pPr>
            <w:r w:rsidRPr="006A5422">
              <w:rPr>
                <w:color w:val="000000"/>
                <w:sz w:val="18"/>
                <w:szCs w:val="18"/>
              </w:rPr>
              <w:t>2021</w:t>
            </w:r>
          </w:p>
        </w:tc>
        <w:tc>
          <w:tcPr>
            <w:tcW w:w="2916" w:type="dxa"/>
            <w:gridSpan w:val="3"/>
            <w:tcBorders>
              <w:top w:val="nil"/>
              <w:left w:val="nil"/>
              <w:bottom w:val="single" w:sz="4" w:space="0" w:color="auto"/>
              <w:right w:val="single" w:sz="4" w:space="0" w:color="auto"/>
            </w:tcBorders>
            <w:shd w:val="clear" w:color="auto" w:fill="auto"/>
            <w:vAlign w:val="center"/>
            <w:hideMark/>
          </w:tcPr>
          <w:p w14:paraId="3D719609" w14:textId="77777777" w:rsidR="009D6D4E" w:rsidRPr="006A5422" w:rsidRDefault="009D6D4E" w:rsidP="00BF3B71">
            <w:pPr>
              <w:jc w:val="both"/>
              <w:rPr>
                <w:color w:val="000000"/>
                <w:sz w:val="18"/>
                <w:szCs w:val="18"/>
              </w:rPr>
            </w:pPr>
            <w:r w:rsidRPr="006A5422">
              <w:rPr>
                <w:color w:val="000000"/>
                <w:sz w:val="18"/>
                <w:szCs w:val="18"/>
              </w:rPr>
              <w:t xml:space="preserve">                   557,100 </w:t>
            </w:r>
          </w:p>
        </w:tc>
        <w:tc>
          <w:tcPr>
            <w:tcW w:w="1764" w:type="dxa"/>
            <w:gridSpan w:val="2"/>
            <w:tcBorders>
              <w:top w:val="nil"/>
              <w:left w:val="nil"/>
              <w:bottom w:val="single" w:sz="4" w:space="0" w:color="auto"/>
              <w:right w:val="single" w:sz="4" w:space="0" w:color="auto"/>
            </w:tcBorders>
            <w:shd w:val="clear" w:color="auto" w:fill="auto"/>
            <w:vAlign w:val="center"/>
            <w:hideMark/>
          </w:tcPr>
          <w:p w14:paraId="4995A6B1" w14:textId="77777777" w:rsidR="009D6D4E" w:rsidRPr="006A5422" w:rsidRDefault="009D6D4E" w:rsidP="00BF3B71">
            <w:pPr>
              <w:jc w:val="both"/>
              <w:rPr>
                <w:color w:val="000000"/>
                <w:sz w:val="18"/>
                <w:szCs w:val="18"/>
              </w:rPr>
            </w:pPr>
            <w:r w:rsidRPr="006A5422">
              <w:rPr>
                <w:color w:val="000000"/>
                <w:sz w:val="18"/>
                <w:szCs w:val="18"/>
              </w:rPr>
              <w:t xml:space="preserve">                         341,925 </w:t>
            </w:r>
          </w:p>
        </w:tc>
        <w:tc>
          <w:tcPr>
            <w:tcW w:w="1532" w:type="dxa"/>
            <w:gridSpan w:val="2"/>
            <w:tcBorders>
              <w:top w:val="nil"/>
              <w:left w:val="nil"/>
              <w:bottom w:val="single" w:sz="4" w:space="0" w:color="auto"/>
              <w:right w:val="single" w:sz="4" w:space="0" w:color="auto"/>
            </w:tcBorders>
            <w:shd w:val="clear" w:color="auto" w:fill="auto"/>
            <w:vAlign w:val="center"/>
            <w:hideMark/>
          </w:tcPr>
          <w:p w14:paraId="0D28C2D3" w14:textId="77777777" w:rsidR="009D6D4E" w:rsidRPr="006A5422" w:rsidRDefault="009D6D4E" w:rsidP="00BF3B71">
            <w:pPr>
              <w:jc w:val="both"/>
              <w:rPr>
                <w:color w:val="000000"/>
                <w:sz w:val="18"/>
                <w:szCs w:val="18"/>
              </w:rPr>
            </w:pPr>
            <w:r w:rsidRPr="006A5422">
              <w:rPr>
                <w:color w:val="000000"/>
                <w:sz w:val="18"/>
                <w:szCs w:val="18"/>
              </w:rPr>
              <w:t> </w:t>
            </w:r>
          </w:p>
        </w:tc>
        <w:tc>
          <w:tcPr>
            <w:tcW w:w="1258" w:type="dxa"/>
            <w:tcBorders>
              <w:top w:val="nil"/>
              <w:left w:val="nil"/>
              <w:bottom w:val="single" w:sz="4" w:space="0" w:color="auto"/>
              <w:right w:val="single" w:sz="4" w:space="0" w:color="auto"/>
            </w:tcBorders>
            <w:shd w:val="clear" w:color="auto" w:fill="auto"/>
            <w:vAlign w:val="center"/>
            <w:hideMark/>
          </w:tcPr>
          <w:p w14:paraId="6FC6C90E" w14:textId="77777777" w:rsidR="009D6D4E" w:rsidRPr="006A5422" w:rsidRDefault="009D6D4E" w:rsidP="00BF3B71">
            <w:pPr>
              <w:jc w:val="both"/>
              <w:rPr>
                <w:color w:val="000000"/>
                <w:sz w:val="18"/>
                <w:szCs w:val="18"/>
              </w:rPr>
            </w:pPr>
            <w:r w:rsidRPr="006A5422">
              <w:rPr>
                <w:color w:val="000000"/>
                <w:sz w:val="18"/>
                <w:szCs w:val="18"/>
              </w:rPr>
              <w:t> </w:t>
            </w:r>
          </w:p>
        </w:tc>
        <w:tc>
          <w:tcPr>
            <w:tcW w:w="1350" w:type="dxa"/>
            <w:gridSpan w:val="2"/>
            <w:tcBorders>
              <w:top w:val="nil"/>
              <w:left w:val="nil"/>
              <w:bottom w:val="single" w:sz="4" w:space="0" w:color="auto"/>
              <w:right w:val="single" w:sz="4" w:space="0" w:color="auto"/>
            </w:tcBorders>
            <w:shd w:val="clear" w:color="000000" w:fill="FFFFFF"/>
            <w:vAlign w:val="center"/>
            <w:hideMark/>
          </w:tcPr>
          <w:p w14:paraId="381C04F7" w14:textId="77777777" w:rsidR="009D6D4E" w:rsidRPr="006A5422" w:rsidRDefault="009D6D4E" w:rsidP="00BF3B71">
            <w:pPr>
              <w:jc w:val="right"/>
              <w:rPr>
                <w:b/>
                <w:color w:val="000000"/>
                <w:sz w:val="18"/>
                <w:szCs w:val="18"/>
              </w:rPr>
            </w:pPr>
            <w:r w:rsidRPr="006A5422">
              <w:rPr>
                <w:b/>
                <w:color w:val="000000"/>
                <w:sz w:val="18"/>
                <w:szCs w:val="18"/>
              </w:rPr>
              <w:t xml:space="preserve">                          899,025 </w:t>
            </w:r>
          </w:p>
        </w:tc>
      </w:tr>
      <w:tr w:rsidR="009D6D4E" w:rsidRPr="006A5422" w14:paraId="0F6A864C" w14:textId="77777777" w:rsidTr="00BF3B71">
        <w:trPr>
          <w:trHeight w:val="116"/>
        </w:trPr>
        <w:tc>
          <w:tcPr>
            <w:tcW w:w="1435" w:type="dxa"/>
            <w:gridSpan w:val="2"/>
            <w:tcBorders>
              <w:top w:val="nil"/>
              <w:left w:val="single" w:sz="4" w:space="0" w:color="auto"/>
              <w:bottom w:val="single" w:sz="4" w:space="0" w:color="auto"/>
              <w:right w:val="single" w:sz="4" w:space="0" w:color="auto"/>
            </w:tcBorders>
            <w:shd w:val="clear" w:color="auto" w:fill="auto"/>
            <w:vAlign w:val="center"/>
            <w:hideMark/>
          </w:tcPr>
          <w:p w14:paraId="188607CE" w14:textId="77777777" w:rsidR="009D6D4E" w:rsidRPr="006A5422" w:rsidRDefault="009D6D4E" w:rsidP="00BF3B71">
            <w:pPr>
              <w:jc w:val="both"/>
              <w:rPr>
                <w:color w:val="000000"/>
                <w:sz w:val="18"/>
                <w:szCs w:val="18"/>
              </w:rPr>
            </w:pPr>
            <w:r w:rsidRPr="006A5422">
              <w:rPr>
                <w:color w:val="000000"/>
                <w:sz w:val="18"/>
                <w:szCs w:val="18"/>
              </w:rPr>
              <w:t>2022</w:t>
            </w:r>
          </w:p>
        </w:tc>
        <w:tc>
          <w:tcPr>
            <w:tcW w:w="2916" w:type="dxa"/>
            <w:gridSpan w:val="3"/>
            <w:tcBorders>
              <w:top w:val="nil"/>
              <w:left w:val="nil"/>
              <w:bottom w:val="single" w:sz="4" w:space="0" w:color="auto"/>
              <w:right w:val="single" w:sz="4" w:space="0" w:color="auto"/>
            </w:tcBorders>
            <w:shd w:val="clear" w:color="auto" w:fill="auto"/>
            <w:vAlign w:val="center"/>
            <w:hideMark/>
          </w:tcPr>
          <w:p w14:paraId="68E62866" w14:textId="77777777" w:rsidR="009D6D4E" w:rsidRPr="006A5422" w:rsidRDefault="009D6D4E" w:rsidP="00BF3B71">
            <w:pPr>
              <w:jc w:val="both"/>
              <w:rPr>
                <w:color w:val="000000"/>
                <w:sz w:val="18"/>
                <w:szCs w:val="18"/>
              </w:rPr>
            </w:pPr>
            <w:r w:rsidRPr="006A5422">
              <w:rPr>
                <w:color w:val="000000"/>
                <w:sz w:val="18"/>
                <w:szCs w:val="18"/>
              </w:rPr>
              <w:t xml:space="preserve">                   557,100 </w:t>
            </w:r>
          </w:p>
        </w:tc>
        <w:tc>
          <w:tcPr>
            <w:tcW w:w="1764" w:type="dxa"/>
            <w:gridSpan w:val="2"/>
            <w:tcBorders>
              <w:top w:val="nil"/>
              <w:left w:val="nil"/>
              <w:bottom w:val="single" w:sz="4" w:space="0" w:color="auto"/>
              <w:right w:val="single" w:sz="4" w:space="0" w:color="auto"/>
            </w:tcBorders>
            <w:shd w:val="clear" w:color="auto" w:fill="auto"/>
            <w:vAlign w:val="center"/>
            <w:hideMark/>
          </w:tcPr>
          <w:p w14:paraId="60A8C498" w14:textId="77777777" w:rsidR="009D6D4E" w:rsidRPr="006A5422" w:rsidRDefault="009D6D4E" w:rsidP="00BF3B71">
            <w:pPr>
              <w:jc w:val="both"/>
              <w:rPr>
                <w:color w:val="000000"/>
                <w:sz w:val="18"/>
                <w:szCs w:val="18"/>
              </w:rPr>
            </w:pPr>
            <w:r w:rsidRPr="006A5422">
              <w:rPr>
                <w:color w:val="000000"/>
                <w:sz w:val="18"/>
                <w:szCs w:val="18"/>
              </w:rPr>
              <w:t xml:space="preserve">                         222,705 </w:t>
            </w:r>
          </w:p>
        </w:tc>
        <w:tc>
          <w:tcPr>
            <w:tcW w:w="1532" w:type="dxa"/>
            <w:gridSpan w:val="2"/>
            <w:tcBorders>
              <w:top w:val="nil"/>
              <w:left w:val="nil"/>
              <w:bottom w:val="single" w:sz="4" w:space="0" w:color="auto"/>
              <w:right w:val="single" w:sz="4" w:space="0" w:color="auto"/>
            </w:tcBorders>
            <w:shd w:val="clear" w:color="auto" w:fill="auto"/>
            <w:vAlign w:val="center"/>
            <w:hideMark/>
          </w:tcPr>
          <w:p w14:paraId="458AD881" w14:textId="77777777" w:rsidR="009D6D4E" w:rsidRPr="006A5422" w:rsidRDefault="009D6D4E" w:rsidP="00BF3B71">
            <w:pPr>
              <w:jc w:val="both"/>
              <w:rPr>
                <w:color w:val="000000"/>
                <w:sz w:val="18"/>
                <w:szCs w:val="18"/>
              </w:rPr>
            </w:pPr>
            <w:r w:rsidRPr="006A5422">
              <w:rPr>
                <w:color w:val="000000"/>
                <w:sz w:val="18"/>
                <w:szCs w:val="18"/>
              </w:rPr>
              <w:t> </w:t>
            </w:r>
          </w:p>
        </w:tc>
        <w:tc>
          <w:tcPr>
            <w:tcW w:w="1258" w:type="dxa"/>
            <w:tcBorders>
              <w:top w:val="nil"/>
              <w:left w:val="nil"/>
              <w:bottom w:val="single" w:sz="4" w:space="0" w:color="auto"/>
              <w:right w:val="single" w:sz="4" w:space="0" w:color="auto"/>
            </w:tcBorders>
            <w:shd w:val="clear" w:color="auto" w:fill="auto"/>
            <w:vAlign w:val="center"/>
            <w:hideMark/>
          </w:tcPr>
          <w:p w14:paraId="7AA0AC2B" w14:textId="77777777" w:rsidR="009D6D4E" w:rsidRPr="006A5422" w:rsidRDefault="009D6D4E" w:rsidP="00BF3B71">
            <w:pPr>
              <w:jc w:val="both"/>
              <w:rPr>
                <w:color w:val="000000"/>
                <w:sz w:val="18"/>
                <w:szCs w:val="18"/>
              </w:rPr>
            </w:pPr>
            <w:r w:rsidRPr="006A5422">
              <w:rPr>
                <w:color w:val="000000"/>
                <w:sz w:val="18"/>
                <w:szCs w:val="18"/>
              </w:rPr>
              <w:t xml:space="preserve">                                   -   </w:t>
            </w:r>
          </w:p>
        </w:tc>
        <w:tc>
          <w:tcPr>
            <w:tcW w:w="1350" w:type="dxa"/>
            <w:gridSpan w:val="2"/>
            <w:tcBorders>
              <w:top w:val="nil"/>
              <w:left w:val="nil"/>
              <w:bottom w:val="single" w:sz="4" w:space="0" w:color="auto"/>
              <w:right w:val="single" w:sz="4" w:space="0" w:color="auto"/>
            </w:tcBorders>
            <w:shd w:val="clear" w:color="000000" w:fill="FFFFFF"/>
            <w:vAlign w:val="center"/>
            <w:hideMark/>
          </w:tcPr>
          <w:p w14:paraId="00F9EFA0" w14:textId="77777777" w:rsidR="009D6D4E" w:rsidRPr="006A5422" w:rsidRDefault="009D6D4E" w:rsidP="00BF3B71">
            <w:pPr>
              <w:jc w:val="right"/>
              <w:rPr>
                <w:b/>
                <w:color w:val="000000"/>
                <w:sz w:val="18"/>
                <w:szCs w:val="18"/>
              </w:rPr>
            </w:pPr>
            <w:r w:rsidRPr="006A5422">
              <w:rPr>
                <w:b/>
                <w:color w:val="000000"/>
                <w:sz w:val="18"/>
                <w:szCs w:val="18"/>
              </w:rPr>
              <w:t xml:space="preserve">                          779,805 </w:t>
            </w:r>
          </w:p>
        </w:tc>
      </w:tr>
      <w:tr w:rsidR="009D6D4E" w:rsidRPr="006A5422" w14:paraId="4332B2FB" w14:textId="77777777" w:rsidTr="00BF3B71">
        <w:trPr>
          <w:trHeight w:val="289"/>
        </w:trPr>
        <w:tc>
          <w:tcPr>
            <w:tcW w:w="10255" w:type="dxa"/>
            <w:gridSpan w:val="12"/>
            <w:tcBorders>
              <w:top w:val="single" w:sz="8" w:space="0" w:color="auto"/>
              <w:left w:val="single" w:sz="8" w:space="0" w:color="auto"/>
              <w:bottom w:val="single" w:sz="8" w:space="0" w:color="auto"/>
              <w:right w:val="single" w:sz="8" w:space="0" w:color="000000"/>
            </w:tcBorders>
            <w:shd w:val="clear" w:color="auto" w:fill="auto"/>
            <w:vAlign w:val="center"/>
            <w:hideMark/>
          </w:tcPr>
          <w:p w14:paraId="04AEDBCB" w14:textId="77777777" w:rsidR="009D6D4E" w:rsidRPr="006A5422" w:rsidRDefault="009D6D4E" w:rsidP="00BF3B71">
            <w:pPr>
              <w:rPr>
                <w:b/>
                <w:bCs/>
                <w:color w:val="000000"/>
                <w:sz w:val="18"/>
                <w:szCs w:val="18"/>
              </w:rPr>
            </w:pPr>
            <w:r w:rsidRPr="006A5422">
              <w:rPr>
                <w:b/>
                <w:bCs/>
                <w:color w:val="000000"/>
                <w:sz w:val="18"/>
                <w:szCs w:val="18"/>
              </w:rPr>
              <w:t>Tabela 10.b:Financimi i masës së reformës strukturore:  Masa #9  Themelimi dhe Funksionalizimi i Gjykatws Komerciale</w:t>
            </w:r>
          </w:p>
        </w:tc>
      </w:tr>
      <w:tr w:rsidR="009D6D4E" w:rsidRPr="006A5422" w14:paraId="60CA9C3B" w14:textId="77777777" w:rsidTr="00BF3B71">
        <w:trPr>
          <w:trHeight w:val="460"/>
        </w:trPr>
        <w:tc>
          <w:tcPr>
            <w:tcW w:w="694" w:type="dxa"/>
            <w:tcBorders>
              <w:top w:val="nil"/>
              <w:left w:val="single" w:sz="8" w:space="0" w:color="auto"/>
              <w:bottom w:val="single" w:sz="8" w:space="0" w:color="auto"/>
              <w:right w:val="single" w:sz="8" w:space="0" w:color="auto"/>
            </w:tcBorders>
            <w:shd w:val="clear" w:color="auto" w:fill="auto"/>
            <w:vAlign w:val="center"/>
            <w:hideMark/>
          </w:tcPr>
          <w:p w14:paraId="0B091A2C" w14:textId="77777777" w:rsidR="009D6D4E" w:rsidRPr="006A5422" w:rsidRDefault="009D6D4E" w:rsidP="00BF3B71">
            <w:pPr>
              <w:rPr>
                <w:color w:val="000000"/>
                <w:sz w:val="18"/>
                <w:szCs w:val="18"/>
              </w:rPr>
            </w:pPr>
            <w:r w:rsidRPr="006A5422">
              <w:rPr>
                <w:color w:val="000000"/>
                <w:sz w:val="18"/>
                <w:szCs w:val="18"/>
              </w:rPr>
              <w:t xml:space="preserve">Viti </w:t>
            </w:r>
          </w:p>
        </w:tc>
        <w:tc>
          <w:tcPr>
            <w:tcW w:w="1044" w:type="dxa"/>
            <w:gridSpan w:val="2"/>
            <w:tcBorders>
              <w:top w:val="nil"/>
              <w:left w:val="nil"/>
              <w:bottom w:val="single" w:sz="8" w:space="0" w:color="auto"/>
              <w:right w:val="single" w:sz="8" w:space="0" w:color="auto"/>
            </w:tcBorders>
            <w:shd w:val="clear" w:color="auto" w:fill="auto"/>
            <w:vAlign w:val="center"/>
            <w:hideMark/>
          </w:tcPr>
          <w:p w14:paraId="773DB0A5" w14:textId="77777777" w:rsidR="009D6D4E" w:rsidRPr="006A5422" w:rsidRDefault="009D6D4E" w:rsidP="00BF3B71">
            <w:pPr>
              <w:rPr>
                <w:color w:val="000000"/>
                <w:sz w:val="18"/>
                <w:szCs w:val="18"/>
              </w:rPr>
            </w:pPr>
            <w:r w:rsidRPr="006A5422">
              <w:rPr>
                <w:color w:val="000000"/>
                <w:sz w:val="18"/>
                <w:szCs w:val="18"/>
              </w:rPr>
              <w:t>Buxheti Qendror</w:t>
            </w:r>
          </w:p>
        </w:tc>
        <w:tc>
          <w:tcPr>
            <w:tcW w:w="846" w:type="dxa"/>
            <w:tcBorders>
              <w:top w:val="nil"/>
              <w:left w:val="nil"/>
              <w:bottom w:val="single" w:sz="8" w:space="0" w:color="auto"/>
              <w:right w:val="single" w:sz="8" w:space="0" w:color="auto"/>
            </w:tcBorders>
            <w:shd w:val="clear" w:color="auto" w:fill="auto"/>
            <w:vAlign w:val="center"/>
            <w:hideMark/>
          </w:tcPr>
          <w:p w14:paraId="14AE9FA8" w14:textId="77777777" w:rsidR="009D6D4E" w:rsidRPr="006A5422" w:rsidRDefault="009D6D4E" w:rsidP="00BF3B71">
            <w:pPr>
              <w:rPr>
                <w:color w:val="000000"/>
                <w:sz w:val="18"/>
                <w:szCs w:val="18"/>
              </w:rPr>
            </w:pPr>
            <w:r w:rsidRPr="006A5422">
              <w:rPr>
                <w:color w:val="000000"/>
                <w:sz w:val="18"/>
                <w:szCs w:val="18"/>
              </w:rPr>
              <w:t>Buxheti komunal</w:t>
            </w:r>
          </w:p>
        </w:tc>
        <w:tc>
          <w:tcPr>
            <w:tcW w:w="1767" w:type="dxa"/>
            <w:tcBorders>
              <w:top w:val="nil"/>
              <w:left w:val="nil"/>
              <w:bottom w:val="single" w:sz="8" w:space="0" w:color="auto"/>
              <w:right w:val="single" w:sz="8" w:space="0" w:color="auto"/>
            </w:tcBorders>
            <w:shd w:val="clear" w:color="auto" w:fill="auto"/>
            <w:vAlign w:val="center"/>
            <w:hideMark/>
          </w:tcPr>
          <w:p w14:paraId="0A2FB14C" w14:textId="77777777" w:rsidR="009D6D4E" w:rsidRPr="006A5422" w:rsidRDefault="009D6D4E" w:rsidP="00BF3B71">
            <w:pPr>
              <w:rPr>
                <w:color w:val="000000"/>
                <w:sz w:val="18"/>
                <w:szCs w:val="18"/>
              </w:rPr>
            </w:pPr>
            <w:r w:rsidRPr="006A5422">
              <w:rPr>
                <w:color w:val="000000"/>
                <w:sz w:val="18"/>
                <w:szCs w:val="18"/>
              </w:rPr>
              <w:t xml:space="preserve">Burimet e tjera të financimit publik </w:t>
            </w:r>
          </w:p>
        </w:tc>
        <w:tc>
          <w:tcPr>
            <w:tcW w:w="994" w:type="dxa"/>
            <w:tcBorders>
              <w:top w:val="nil"/>
              <w:left w:val="nil"/>
              <w:bottom w:val="single" w:sz="8" w:space="0" w:color="auto"/>
              <w:right w:val="single" w:sz="8" w:space="0" w:color="auto"/>
            </w:tcBorders>
            <w:shd w:val="clear" w:color="auto" w:fill="auto"/>
            <w:vAlign w:val="center"/>
            <w:hideMark/>
          </w:tcPr>
          <w:p w14:paraId="62B16C1A" w14:textId="77777777" w:rsidR="009D6D4E" w:rsidRPr="006A5422" w:rsidRDefault="009D6D4E" w:rsidP="00BF3B71">
            <w:pPr>
              <w:rPr>
                <w:color w:val="000000"/>
                <w:sz w:val="18"/>
                <w:szCs w:val="18"/>
              </w:rPr>
            </w:pPr>
            <w:r w:rsidRPr="006A5422">
              <w:rPr>
                <w:color w:val="000000"/>
                <w:sz w:val="18"/>
                <w:szCs w:val="18"/>
              </w:rPr>
              <w:t xml:space="preserve">Fondet e IPA-së </w:t>
            </w:r>
          </w:p>
        </w:tc>
        <w:tc>
          <w:tcPr>
            <w:tcW w:w="1451" w:type="dxa"/>
            <w:gridSpan w:val="2"/>
            <w:tcBorders>
              <w:top w:val="nil"/>
              <w:left w:val="nil"/>
              <w:bottom w:val="single" w:sz="8" w:space="0" w:color="auto"/>
              <w:right w:val="single" w:sz="8" w:space="0" w:color="auto"/>
            </w:tcBorders>
            <w:shd w:val="clear" w:color="auto" w:fill="auto"/>
            <w:vAlign w:val="center"/>
            <w:hideMark/>
          </w:tcPr>
          <w:p w14:paraId="4B8D03D3" w14:textId="77777777" w:rsidR="009D6D4E" w:rsidRPr="006A5422" w:rsidRDefault="009D6D4E" w:rsidP="00BF3B71">
            <w:pPr>
              <w:rPr>
                <w:color w:val="000000"/>
                <w:sz w:val="18"/>
                <w:szCs w:val="18"/>
              </w:rPr>
            </w:pPr>
            <w:r w:rsidRPr="006A5422">
              <w:rPr>
                <w:color w:val="000000"/>
                <w:sz w:val="18"/>
                <w:szCs w:val="18"/>
              </w:rPr>
              <w:t xml:space="preserve">Grante të tjera </w:t>
            </w:r>
          </w:p>
        </w:tc>
        <w:tc>
          <w:tcPr>
            <w:tcW w:w="851" w:type="dxa"/>
            <w:tcBorders>
              <w:top w:val="nil"/>
              <w:left w:val="nil"/>
              <w:bottom w:val="single" w:sz="8" w:space="0" w:color="auto"/>
              <w:right w:val="single" w:sz="8" w:space="0" w:color="auto"/>
            </w:tcBorders>
            <w:shd w:val="clear" w:color="auto" w:fill="auto"/>
            <w:vAlign w:val="center"/>
            <w:hideMark/>
          </w:tcPr>
          <w:p w14:paraId="7BD8A272" w14:textId="77777777" w:rsidR="009D6D4E" w:rsidRPr="006A5422" w:rsidRDefault="009D6D4E" w:rsidP="00BF3B71">
            <w:pPr>
              <w:rPr>
                <w:color w:val="000000"/>
                <w:sz w:val="18"/>
                <w:szCs w:val="18"/>
              </w:rPr>
            </w:pPr>
            <w:r w:rsidRPr="006A5422">
              <w:rPr>
                <w:color w:val="000000"/>
                <w:sz w:val="18"/>
                <w:szCs w:val="18"/>
              </w:rPr>
              <w:t xml:space="preserve">Kredi për projekte </w:t>
            </w:r>
          </w:p>
        </w:tc>
        <w:tc>
          <w:tcPr>
            <w:tcW w:w="1449" w:type="dxa"/>
            <w:gridSpan w:val="2"/>
            <w:tcBorders>
              <w:top w:val="nil"/>
              <w:left w:val="nil"/>
              <w:bottom w:val="single" w:sz="8" w:space="0" w:color="auto"/>
              <w:right w:val="single" w:sz="8" w:space="0" w:color="auto"/>
            </w:tcBorders>
            <w:shd w:val="clear" w:color="auto" w:fill="auto"/>
            <w:vAlign w:val="center"/>
            <w:hideMark/>
          </w:tcPr>
          <w:p w14:paraId="40DCE5BA" w14:textId="77777777" w:rsidR="009D6D4E" w:rsidRPr="006A5422" w:rsidRDefault="009D6D4E" w:rsidP="00BF3B71">
            <w:pPr>
              <w:rPr>
                <w:color w:val="000000"/>
                <w:sz w:val="18"/>
                <w:szCs w:val="18"/>
              </w:rPr>
            </w:pPr>
            <w:r w:rsidRPr="006A5422">
              <w:rPr>
                <w:color w:val="000000"/>
                <w:sz w:val="18"/>
                <w:szCs w:val="18"/>
              </w:rPr>
              <w:t xml:space="preserve">Të përcaktohet </w:t>
            </w:r>
          </w:p>
        </w:tc>
        <w:tc>
          <w:tcPr>
            <w:tcW w:w="1159" w:type="dxa"/>
            <w:tcBorders>
              <w:top w:val="nil"/>
              <w:left w:val="nil"/>
              <w:bottom w:val="single" w:sz="8" w:space="0" w:color="auto"/>
              <w:right w:val="single" w:sz="8" w:space="0" w:color="auto"/>
            </w:tcBorders>
            <w:shd w:val="clear" w:color="auto" w:fill="auto"/>
            <w:vAlign w:val="center"/>
            <w:hideMark/>
          </w:tcPr>
          <w:p w14:paraId="7565E337" w14:textId="77777777" w:rsidR="009D6D4E" w:rsidRPr="00CB6955" w:rsidRDefault="009D6D4E" w:rsidP="00BF3B71">
            <w:pPr>
              <w:jc w:val="right"/>
              <w:rPr>
                <w:b/>
                <w:color w:val="000000"/>
                <w:sz w:val="18"/>
                <w:szCs w:val="18"/>
              </w:rPr>
            </w:pPr>
            <w:r w:rsidRPr="00CB6955">
              <w:rPr>
                <w:b/>
                <w:color w:val="000000"/>
                <w:sz w:val="18"/>
                <w:szCs w:val="18"/>
              </w:rPr>
              <w:t xml:space="preserve">Totali </w:t>
            </w:r>
          </w:p>
        </w:tc>
      </w:tr>
      <w:tr w:rsidR="009D6D4E" w:rsidRPr="006A5422" w14:paraId="70980A04" w14:textId="77777777" w:rsidTr="00BF3B71">
        <w:trPr>
          <w:trHeight w:val="460"/>
        </w:trPr>
        <w:tc>
          <w:tcPr>
            <w:tcW w:w="694" w:type="dxa"/>
            <w:tcBorders>
              <w:top w:val="nil"/>
              <w:left w:val="single" w:sz="8" w:space="0" w:color="auto"/>
              <w:bottom w:val="single" w:sz="8" w:space="0" w:color="auto"/>
              <w:right w:val="single" w:sz="8" w:space="0" w:color="auto"/>
            </w:tcBorders>
            <w:shd w:val="clear" w:color="auto" w:fill="auto"/>
            <w:vAlign w:val="center"/>
            <w:hideMark/>
          </w:tcPr>
          <w:p w14:paraId="57D868F6" w14:textId="77777777" w:rsidR="009D6D4E" w:rsidRPr="006A5422" w:rsidRDefault="009D6D4E" w:rsidP="00BF3B71">
            <w:pPr>
              <w:jc w:val="both"/>
              <w:rPr>
                <w:color w:val="000000"/>
                <w:sz w:val="18"/>
                <w:szCs w:val="18"/>
              </w:rPr>
            </w:pPr>
            <w:r w:rsidRPr="006A5422">
              <w:rPr>
                <w:color w:val="000000"/>
                <w:sz w:val="18"/>
                <w:szCs w:val="18"/>
              </w:rPr>
              <w:t>2020</w:t>
            </w:r>
          </w:p>
        </w:tc>
        <w:tc>
          <w:tcPr>
            <w:tcW w:w="1044" w:type="dxa"/>
            <w:gridSpan w:val="2"/>
            <w:tcBorders>
              <w:top w:val="nil"/>
              <w:left w:val="nil"/>
              <w:bottom w:val="single" w:sz="8" w:space="0" w:color="auto"/>
              <w:right w:val="single" w:sz="8" w:space="0" w:color="auto"/>
            </w:tcBorders>
            <w:shd w:val="clear" w:color="auto" w:fill="auto"/>
            <w:vAlign w:val="center"/>
            <w:hideMark/>
          </w:tcPr>
          <w:p w14:paraId="243F83EE" w14:textId="77777777" w:rsidR="009D6D4E" w:rsidRPr="006A5422" w:rsidRDefault="009D6D4E" w:rsidP="00BF3B71">
            <w:pPr>
              <w:jc w:val="both"/>
              <w:rPr>
                <w:color w:val="000000"/>
                <w:sz w:val="18"/>
                <w:szCs w:val="18"/>
              </w:rPr>
            </w:pPr>
            <w:r w:rsidRPr="006A5422">
              <w:rPr>
                <w:color w:val="000000"/>
                <w:sz w:val="18"/>
                <w:szCs w:val="18"/>
              </w:rPr>
              <w:t>0.00</w:t>
            </w:r>
          </w:p>
        </w:tc>
        <w:tc>
          <w:tcPr>
            <w:tcW w:w="846" w:type="dxa"/>
            <w:tcBorders>
              <w:top w:val="nil"/>
              <w:left w:val="nil"/>
              <w:bottom w:val="single" w:sz="8" w:space="0" w:color="auto"/>
              <w:right w:val="single" w:sz="8" w:space="0" w:color="auto"/>
            </w:tcBorders>
            <w:shd w:val="clear" w:color="auto" w:fill="auto"/>
            <w:vAlign w:val="center"/>
            <w:hideMark/>
          </w:tcPr>
          <w:p w14:paraId="33B4FDC7" w14:textId="77777777" w:rsidR="009D6D4E" w:rsidRPr="006A5422" w:rsidRDefault="009D6D4E" w:rsidP="00BF3B71">
            <w:pPr>
              <w:jc w:val="right"/>
              <w:rPr>
                <w:color w:val="000000"/>
                <w:sz w:val="18"/>
                <w:szCs w:val="18"/>
              </w:rPr>
            </w:pPr>
            <w:r w:rsidRPr="006A5422">
              <w:rPr>
                <w:color w:val="000000"/>
                <w:sz w:val="18"/>
                <w:szCs w:val="18"/>
              </w:rPr>
              <w:t>0.00</w:t>
            </w:r>
          </w:p>
        </w:tc>
        <w:tc>
          <w:tcPr>
            <w:tcW w:w="1767" w:type="dxa"/>
            <w:tcBorders>
              <w:top w:val="nil"/>
              <w:left w:val="nil"/>
              <w:bottom w:val="single" w:sz="8" w:space="0" w:color="auto"/>
              <w:right w:val="single" w:sz="8" w:space="0" w:color="auto"/>
            </w:tcBorders>
            <w:shd w:val="clear" w:color="auto" w:fill="auto"/>
            <w:vAlign w:val="center"/>
            <w:hideMark/>
          </w:tcPr>
          <w:p w14:paraId="41789D99" w14:textId="77777777" w:rsidR="009D6D4E" w:rsidRPr="006A5422" w:rsidRDefault="009D6D4E" w:rsidP="00BF3B71">
            <w:pPr>
              <w:jc w:val="right"/>
              <w:rPr>
                <w:color w:val="000000"/>
                <w:sz w:val="18"/>
                <w:szCs w:val="18"/>
              </w:rPr>
            </w:pPr>
            <w:r w:rsidRPr="006A5422">
              <w:rPr>
                <w:color w:val="000000"/>
                <w:sz w:val="18"/>
                <w:szCs w:val="18"/>
              </w:rPr>
              <w:t>0.00</w:t>
            </w:r>
          </w:p>
        </w:tc>
        <w:tc>
          <w:tcPr>
            <w:tcW w:w="994" w:type="dxa"/>
            <w:tcBorders>
              <w:top w:val="nil"/>
              <w:left w:val="nil"/>
              <w:bottom w:val="single" w:sz="8" w:space="0" w:color="auto"/>
              <w:right w:val="single" w:sz="8" w:space="0" w:color="auto"/>
            </w:tcBorders>
            <w:shd w:val="clear" w:color="auto" w:fill="auto"/>
            <w:vAlign w:val="center"/>
            <w:hideMark/>
          </w:tcPr>
          <w:p w14:paraId="4B42DC69" w14:textId="77777777" w:rsidR="009D6D4E" w:rsidRPr="006A5422" w:rsidRDefault="009D6D4E" w:rsidP="00BF3B71">
            <w:pPr>
              <w:jc w:val="right"/>
              <w:rPr>
                <w:color w:val="000000"/>
                <w:sz w:val="18"/>
                <w:szCs w:val="18"/>
              </w:rPr>
            </w:pPr>
            <w:r w:rsidRPr="006A5422">
              <w:rPr>
                <w:color w:val="000000"/>
                <w:sz w:val="18"/>
                <w:szCs w:val="18"/>
              </w:rPr>
              <w:t>0.00</w:t>
            </w:r>
          </w:p>
        </w:tc>
        <w:tc>
          <w:tcPr>
            <w:tcW w:w="1451" w:type="dxa"/>
            <w:gridSpan w:val="2"/>
            <w:tcBorders>
              <w:top w:val="nil"/>
              <w:left w:val="nil"/>
              <w:bottom w:val="single" w:sz="8" w:space="0" w:color="auto"/>
              <w:right w:val="single" w:sz="8" w:space="0" w:color="auto"/>
            </w:tcBorders>
            <w:shd w:val="clear" w:color="auto" w:fill="auto"/>
            <w:vAlign w:val="center"/>
            <w:hideMark/>
          </w:tcPr>
          <w:p w14:paraId="5F0E7C36" w14:textId="77777777" w:rsidR="009D6D4E" w:rsidRPr="006A5422" w:rsidRDefault="009D6D4E" w:rsidP="00BF3B71">
            <w:pPr>
              <w:jc w:val="right"/>
              <w:rPr>
                <w:color w:val="000000"/>
                <w:sz w:val="18"/>
                <w:szCs w:val="18"/>
              </w:rPr>
            </w:pPr>
            <w:r w:rsidRPr="006A5422">
              <w:rPr>
                <w:color w:val="000000"/>
                <w:sz w:val="18"/>
                <w:szCs w:val="18"/>
              </w:rPr>
              <w:t>25,440.00</w:t>
            </w:r>
          </w:p>
        </w:tc>
        <w:tc>
          <w:tcPr>
            <w:tcW w:w="851" w:type="dxa"/>
            <w:tcBorders>
              <w:top w:val="nil"/>
              <w:left w:val="nil"/>
              <w:bottom w:val="single" w:sz="8" w:space="0" w:color="auto"/>
              <w:right w:val="single" w:sz="8" w:space="0" w:color="auto"/>
            </w:tcBorders>
            <w:shd w:val="clear" w:color="auto" w:fill="auto"/>
            <w:vAlign w:val="center"/>
            <w:hideMark/>
          </w:tcPr>
          <w:p w14:paraId="49C01C2D" w14:textId="77777777" w:rsidR="009D6D4E" w:rsidRPr="006A5422" w:rsidRDefault="009D6D4E" w:rsidP="00BF3B71">
            <w:pPr>
              <w:jc w:val="right"/>
              <w:rPr>
                <w:color w:val="000000"/>
                <w:sz w:val="18"/>
                <w:szCs w:val="18"/>
              </w:rPr>
            </w:pPr>
            <w:r w:rsidRPr="006A5422">
              <w:rPr>
                <w:color w:val="000000"/>
                <w:sz w:val="18"/>
                <w:szCs w:val="18"/>
              </w:rPr>
              <w:t>0.00</w:t>
            </w:r>
          </w:p>
        </w:tc>
        <w:tc>
          <w:tcPr>
            <w:tcW w:w="1449" w:type="dxa"/>
            <w:gridSpan w:val="2"/>
            <w:tcBorders>
              <w:top w:val="nil"/>
              <w:left w:val="nil"/>
              <w:bottom w:val="single" w:sz="8" w:space="0" w:color="auto"/>
              <w:right w:val="single" w:sz="8" w:space="0" w:color="auto"/>
            </w:tcBorders>
            <w:shd w:val="clear" w:color="auto" w:fill="auto"/>
            <w:vAlign w:val="center"/>
            <w:hideMark/>
          </w:tcPr>
          <w:p w14:paraId="6A05CE26" w14:textId="77777777" w:rsidR="009D6D4E" w:rsidRPr="006A5422" w:rsidRDefault="009D6D4E" w:rsidP="00BF3B71">
            <w:pPr>
              <w:jc w:val="right"/>
              <w:rPr>
                <w:color w:val="000000"/>
                <w:sz w:val="18"/>
                <w:szCs w:val="18"/>
              </w:rPr>
            </w:pPr>
            <w:r w:rsidRPr="006A5422">
              <w:rPr>
                <w:color w:val="000000"/>
                <w:sz w:val="18"/>
                <w:szCs w:val="18"/>
              </w:rPr>
              <w:t>0.00</w:t>
            </w:r>
          </w:p>
        </w:tc>
        <w:tc>
          <w:tcPr>
            <w:tcW w:w="1159" w:type="dxa"/>
            <w:tcBorders>
              <w:top w:val="nil"/>
              <w:left w:val="nil"/>
              <w:bottom w:val="single" w:sz="8" w:space="0" w:color="auto"/>
              <w:right w:val="single" w:sz="8" w:space="0" w:color="auto"/>
            </w:tcBorders>
            <w:shd w:val="clear" w:color="auto" w:fill="auto"/>
            <w:vAlign w:val="center"/>
            <w:hideMark/>
          </w:tcPr>
          <w:p w14:paraId="7BC285E8" w14:textId="77777777" w:rsidR="009D6D4E" w:rsidRPr="00CB6955" w:rsidRDefault="009D6D4E" w:rsidP="00BF3B71">
            <w:pPr>
              <w:jc w:val="right"/>
              <w:rPr>
                <w:b/>
                <w:bCs/>
                <w:color w:val="000000"/>
                <w:sz w:val="18"/>
                <w:szCs w:val="18"/>
              </w:rPr>
            </w:pPr>
            <w:r w:rsidRPr="00CB6955">
              <w:rPr>
                <w:b/>
                <w:bCs/>
                <w:color w:val="000000"/>
                <w:sz w:val="18"/>
                <w:szCs w:val="18"/>
              </w:rPr>
              <w:t>25,440</w:t>
            </w:r>
          </w:p>
        </w:tc>
      </w:tr>
      <w:tr w:rsidR="009D6D4E" w:rsidRPr="006A5422" w14:paraId="3F6D2702" w14:textId="77777777" w:rsidTr="00BF3B71">
        <w:trPr>
          <w:trHeight w:val="289"/>
        </w:trPr>
        <w:tc>
          <w:tcPr>
            <w:tcW w:w="694" w:type="dxa"/>
            <w:tcBorders>
              <w:top w:val="nil"/>
              <w:left w:val="single" w:sz="8" w:space="0" w:color="auto"/>
              <w:bottom w:val="single" w:sz="8" w:space="0" w:color="auto"/>
              <w:right w:val="single" w:sz="8" w:space="0" w:color="auto"/>
            </w:tcBorders>
            <w:shd w:val="clear" w:color="auto" w:fill="auto"/>
            <w:vAlign w:val="center"/>
            <w:hideMark/>
          </w:tcPr>
          <w:p w14:paraId="13C53BA9" w14:textId="77777777" w:rsidR="009D6D4E" w:rsidRPr="006A5422" w:rsidRDefault="009D6D4E" w:rsidP="00BF3B71">
            <w:pPr>
              <w:jc w:val="both"/>
              <w:rPr>
                <w:color w:val="000000"/>
                <w:sz w:val="18"/>
                <w:szCs w:val="18"/>
              </w:rPr>
            </w:pPr>
            <w:r w:rsidRPr="006A5422">
              <w:rPr>
                <w:color w:val="000000"/>
                <w:sz w:val="18"/>
                <w:szCs w:val="18"/>
              </w:rPr>
              <w:t>2021</w:t>
            </w:r>
          </w:p>
        </w:tc>
        <w:tc>
          <w:tcPr>
            <w:tcW w:w="1044" w:type="dxa"/>
            <w:gridSpan w:val="2"/>
            <w:tcBorders>
              <w:top w:val="nil"/>
              <w:left w:val="nil"/>
              <w:bottom w:val="single" w:sz="8" w:space="0" w:color="auto"/>
              <w:right w:val="single" w:sz="8" w:space="0" w:color="auto"/>
            </w:tcBorders>
            <w:shd w:val="clear" w:color="auto" w:fill="auto"/>
            <w:vAlign w:val="center"/>
            <w:hideMark/>
          </w:tcPr>
          <w:p w14:paraId="108E6DC8" w14:textId="77777777" w:rsidR="009D6D4E" w:rsidRPr="006A5422" w:rsidRDefault="009D6D4E" w:rsidP="00BF3B71">
            <w:pPr>
              <w:jc w:val="both"/>
              <w:rPr>
                <w:color w:val="000000"/>
                <w:sz w:val="18"/>
                <w:szCs w:val="18"/>
              </w:rPr>
            </w:pPr>
            <w:r w:rsidRPr="006A5422">
              <w:rPr>
                <w:color w:val="000000"/>
                <w:sz w:val="18"/>
                <w:szCs w:val="18"/>
              </w:rPr>
              <w:t>758,000.00</w:t>
            </w:r>
          </w:p>
        </w:tc>
        <w:tc>
          <w:tcPr>
            <w:tcW w:w="846" w:type="dxa"/>
            <w:tcBorders>
              <w:top w:val="nil"/>
              <w:left w:val="nil"/>
              <w:bottom w:val="single" w:sz="8" w:space="0" w:color="auto"/>
              <w:right w:val="single" w:sz="8" w:space="0" w:color="auto"/>
            </w:tcBorders>
            <w:shd w:val="clear" w:color="auto" w:fill="auto"/>
            <w:vAlign w:val="center"/>
            <w:hideMark/>
          </w:tcPr>
          <w:p w14:paraId="43164BA7" w14:textId="77777777" w:rsidR="009D6D4E" w:rsidRPr="006A5422" w:rsidRDefault="009D6D4E" w:rsidP="00BF3B71">
            <w:pPr>
              <w:jc w:val="right"/>
              <w:rPr>
                <w:color w:val="000000"/>
                <w:sz w:val="18"/>
                <w:szCs w:val="18"/>
              </w:rPr>
            </w:pPr>
            <w:r w:rsidRPr="006A5422">
              <w:rPr>
                <w:color w:val="000000"/>
                <w:sz w:val="18"/>
                <w:szCs w:val="18"/>
              </w:rPr>
              <w:t>0.00</w:t>
            </w:r>
          </w:p>
        </w:tc>
        <w:tc>
          <w:tcPr>
            <w:tcW w:w="1767" w:type="dxa"/>
            <w:tcBorders>
              <w:top w:val="nil"/>
              <w:left w:val="nil"/>
              <w:bottom w:val="single" w:sz="8" w:space="0" w:color="auto"/>
              <w:right w:val="single" w:sz="8" w:space="0" w:color="auto"/>
            </w:tcBorders>
            <w:shd w:val="clear" w:color="auto" w:fill="auto"/>
            <w:vAlign w:val="center"/>
            <w:hideMark/>
          </w:tcPr>
          <w:p w14:paraId="49610FC6" w14:textId="77777777" w:rsidR="009D6D4E" w:rsidRPr="006A5422" w:rsidRDefault="009D6D4E" w:rsidP="00BF3B71">
            <w:pPr>
              <w:jc w:val="right"/>
              <w:rPr>
                <w:color w:val="000000"/>
                <w:sz w:val="18"/>
                <w:szCs w:val="18"/>
              </w:rPr>
            </w:pPr>
            <w:r w:rsidRPr="006A5422">
              <w:rPr>
                <w:color w:val="000000"/>
                <w:sz w:val="18"/>
                <w:szCs w:val="18"/>
              </w:rPr>
              <w:t>0.00</w:t>
            </w:r>
          </w:p>
        </w:tc>
        <w:tc>
          <w:tcPr>
            <w:tcW w:w="994" w:type="dxa"/>
            <w:tcBorders>
              <w:top w:val="nil"/>
              <w:left w:val="nil"/>
              <w:bottom w:val="single" w:sz="8" w:space="0" w:color="auto"/>
              <w:right w:val="single" w:sz="8" w:space="0" w:color="auto"/>
            </w:tcBorders>
            <w:shd w:val="clear" w:color="auto" w:fill="auto"/>
            <w:vAlign w:val="center"/>
            <w:hideMark/>
          </w:tcPr>
          <w:p w14:paraId="2BA6EB0F" w14:textId="77777777" w:rsidR="009D6D4E" w:rsidRPr="006A5422" w:rsidRDefault="009D6D4E" w:rsidP="00BF3B71">
            <w:pPr>
              <w:jc w:val="right"/>
              <w:rPr>
                <w:color w:val="000000"/>
                <w:sz w:val="18"/>
                <w:szCs w:val="18"/>
              </w:rPr>
            </w:pPr>
            <w:r w:rsidRPr="006A5422">
              <w:rPr>
                <w:color w:val="000000"/>
                <w:sz w:val="18"/>
                <w:szCs w:val="18"/>
              </w:rPr>
              <w:t>0.00</w:t>
            </w:r>
          </w:p>
        </w:tc>
        <w:tc>
          <w:tcPr>
            <w:tcW w:w="1451" w:type="dxa"/>
            <w:gridSpan w:val="2"/>
            <w:tcBorders>
              <w:top w:val="nil"/>
              <w:left w:val="nil"/>
              <w:bottom w:val="single" w:sz="8" w:space="0" w:color="auto"/>
              <w:right w:val="single" w:sz="8" w:space="0" w:color="auto"/>
            </w:tcBorders>
            <w:shd w:val="clear" w:color="auto" w:fill="auto"/>
            <w:vAlign w:val="center"/>
            <w:hideMark/>
          </w:tcPr>
          <w:p w14:paraId="3D9466E8" w14:textId="77777777" w:rsidR="009D6D4E" w:rsidRPr="006A5422" w:rsidRDefault="009D6D4E" w:rsidP="00BF3B71">
            <w:pPr>
              <w:jc w:val="right"/>
              <w:rPr>
                <w:color w:val="000000"/>
                <w:sz w:val="18"/>
                <w:szCs w:val="18"/>
              </w:rPr>
            </w:pPr>
            <w:r w:rsidRPr="006A5422">
              <w:rPr>
                <w:color w:val="000000"/>
                <w:sz w:val="18"/>
                <w:szCs w:val="18"/>
              </w:rPr>
              <w:t>141,025.00</w:t>
            </w:r>
          </w:p>
        </w:tc>
        <w:tc>
          <w:tcPr>
            <w:tcW w:w="851" w:type="dxa"/>
            <w:tcBorders>
              <w:top w:val="nil"/>
              <w:left w:val="nil"/>
              <w:bottom w:val="single" w:sz="8" w:space="0" w:color="auto"/>
              <w:right w:val="single" w:sz="8" w:space="0" w:color="auto"/>
            </w:tcBorders>
            <w:shd w:val="clear" w:color="auto" w:fill="auto"/>
            <w:vAlign w:val="center"/>
            <w:hideMark/>
          </w:tcPr>
          <w:p w14:paraId="013C9E90" w14:textId="77777777" w:rsidR="009D6D4E" w:rsidRPr="006A5422" w:rsidRDefault="009D6D4E" w:rsidP="00BF3B71">
            <w:pPr>
              <w:jc w:val="right"/>
              <w:rPr>
                <w:color w:val="000000"/>
                <w:sz w:val="18"/>
                <w:szCs w:val="18"/>
              </w:rPr>
            </w:pPr>
            <w:r w:rsidRPr="006A5422">
              <w:rPr>
                <w:color w:val="000000"/>
                <w:sz w:val="18"/>
                <w:szCs w:val="18"/>
              </w:rPr>
              <w:t>0.00</w:t>
            </w:r>
          </w:p>
        </w:tc>
        <w:tc>
          <w:tcPr>
            <w:tcW w:w="1449" w:type="dxa"/>
            <w:gridSpan w:val="2"/>
            <w:tcBorders>
              <w:top w:val="nil"/>
              <w:left w:val="nil"/>
              <w:bottom w:val="single" w:sz="8" w:space="0" w:color="auto"/>
              <w:right w:val="single" w:sz="8" w:space="0" w:color="auto"/>
            </w:tcBorders>
            <w:shd w:val="clear" w:color="auto" w:fill="auto"/>
            <w:vAlign w:val="center"/>
            <w:hideMark/>
          </w:tcPr>
          <w:p w14:paraId="0D9BAA58" w14:textId="77777777" w:rsidR="009D6D4E" w:rsidRPr="006A5422" w:rsidRDefault="009D6D4E" w:rsidP="00BF3B71">
            <w:pPr>
              <w:jc w:val="right"/>
              <w:rPr>
                <w:color w:val="000000"/>
                <w:sz w:val="18"/>
                <w:szCs w:val="18"/>
              </w:rPr>
            </w:pPr>
            <w:r w:rsidRPr="006A5422">
              <w:rPr>
                <w:color w:val="000000"/>
                <w:sz w:val="18"/>
                <w:szCs w:val="18"/>
              </w:rPr>
              <w:t>0.00</w:t>
            </w:r>
          </w:p>
        </w:tc>
        <w:tc>
          <w:tcPr>
            <w:tcW w:w="1159" w:type="dxa"/>
            <w:tcBorders>
              <w:top w:val="nil"/>
              <w:left w:val="nil"/>
              <w:bottom w:val="single" w:sz="8" w:space="0" w:color="auto"/>
              <w:right w:val="single" w:sz="8" w:space="0" w:color="auto"/>
            </w:tcBorders>
            <w:shd w:val="clear" w:color="auto" w:fill="auto"/>
            <w:vAlign w:val="center"/>
            <w:hideMark/>
          </w:tcPr>
          <w:p w14:paraId="27E2B602" w14:textId="77777777" w:rsidR="009D6D4E" w:rsidRPr="00CB6955" w:rsidRDefault="009D6D4E" w:rsidP="00BF3B71">
            <w:pPr>
              <w:jc w:val="right"/>
              <w:rPr>
                <w:b/>
                <w:bCs/>
                <w:color w:val="000000"/>
                <w:sz w:val="18"/>
                <w:szCs w:val="18"/>
              </w:rPr>
            </w:pPr>
            <w:r w:rsidRPr="00CB6955">
              <w:rPr>
                <w:b/>
                <w:bCs/>
                <w:color w:val="000000"/>
                <w:sz w:val="18"/>
                <w:szCs w:val="18"/>
              </w:rPr>
              <w:t>899,025</w:t>
            </w:r>
          </w:p>
        </w:tc>
      </w:tr>
      <w:tr w:rsidR="009D6D4E" w:rsidRPr="006A5422" w14:paraId="076B91E6" w14:textId="77777777" w:rsidTr="00BF3B71">
        <w:trPr>
          <w:trHeight w:val="289"/>
        </w:trPr>
        <w:tc>
          <w:tcPr>
            <w:tcW w:w="694" w:type="dxa"/>
            <w:tcBorders>
              <w:top w:val="nil"/>
              <w:left w:val="single" w:sz="8" w:space="0" w:color="auto"/>
              <w:bottom w:val="single" w:sz="8" w:space="0" w:color="auto"/>
              <w:right w:val="single" w:sz="8" w:space="0" w:color="auto"/>
            </w:tcBorders>
            <w:shd w:val="clear" w:color="auto" w:fill="auto"/>
            <w:vAlign w:val="center"/>
            <w:hideMark/>
          </w:tcPr>
          <w:p w14:paraId="597E435E" w14:textId="77777777" w:rsidR="009D6D4E" w:rsidRPr="006A5422" w:rsidRDefault="009D6D4E" w:rsidP="00BF3B71">
            <w:pPr>
              <w:jc w:val="both"/>
              <w:rPr>
                <w:color w:val="000000"/>
                <w:sz w:val="18"/>
                <w:szCs w:val="18"/>
              </w:rPr>
            </w:pPr>
            <w:r w:rsidRPr="006A5422">
              <w:rPr>
                <w:color w:val="000000"/>
                <w:sz w:val="18"/>
                <w:szCs w:val="18"/>
              </w:rPr>
              <w:t>2022</w:t>
            </w:r>
          </w:p>
        </w:tc>
        <w:tc>
          <w:tcPr>
            <w:tcW w:w="1044" w:type="dxa"/>
            <w:gridSpan w:val="2"/>
            <w:tcBorders>
              <w:top w:val="nil"/>
              <w:left w:val="nil"/>
              <w:bottom w:val="single" w:sz="8" w:space="0" w:color="auto"/>
              <w:right w:val="single" w:sz="8" w:space="0" w:color="auto"/>
            </w:tcBorders>
            <w:shd w:val="clear" w:color="auto" w:fill="auto"/>
            <w:vAlign w:val="center"/>
            <w:hideMark/>
          </w:tcPr>
          <w:p w14:paraId="5BEB41D1" w14:textId="77777777" w:rsidR="009D6D4E" w:rsidRPr="006A5422" w:rsidRDefault="009D6D4E" w:rsidP="00BF3B71">
            <w:pPr>
              <w:jc w:val="both"/>
              <w:rPr>
                <w:color w:val="000000"/>
                <w:sz w:val="18"/>
                <w:szCs w:val="18"/>
              </w:rPr>
            </w:pPr>
            <w:r w:rsidRPr="006A5422">
              <w:rPr>
                <w:color w:val="000000"/>
                <w:sz w:val="18"/>
                <w:szCs w:val="18"/>
              </w:rPr>
              <w:t>701,600.00</w:t>
            </w:r>
          </w:p>
        </w:tc>
        <w:tc>
          <w:tcPr>
            <w:tcW w:w="846" w:type="dxa"/>
            <w:tcBorders>
              <w:top w:val="nil"/>
              <w:left w:val="nil"/>
              <w:bottom w:val="single" w:sz="8" w:space="0" w:color="auto"/>
              <w:right w:val="single" w:sz="8" w:space="0" w:color="auto"/>
            </w:tcBorders>
            <w:shd w:val="clear" w:color="auto" w:fill="auto"/>
            <w:vAlign w:val="center"/>
            <w:hideMark/>
          </w:tcPr>
          <w:p w14:paraId="6B48D281" w14:textId="77777777" w:rsidR="009D6D4E" w:rsidRPr="006A5422" w:rsidRDefault="009D6D4E" w:rsidP="00BF3B71">
            <w:pPr>
              <w:jc w:val="right"/>
              <w:rPr>
                <w:color w:val="000000"/>
                <w:sz w:val="18"/>
                <w:szCs w:val="18"/>
              </w:rPr>
            </w:pPr>
            <w:r w:rsidRPr="006A5422">
              <w:rPr>
                <w:color w:val="000000"/>
                <w:sz w:val="18"/>
                <w:szCs w:val="18"/>
              </w:rPr>
              <w:t>0.00</w:t>
            </w:r>
          </w:p>
        </w:tc>
        <w:tc>
          <w:tcPr>
            <w:tcW w:w="1767" w:type="dxa"/>
            <w:tcBorders>
              <w:top w:val="nil"/>
              <w:left w:val="nil"/>
              <w:bottom w:val="single" w:sz="8" w:space="0" w:color="auto"/>
              <w:right w:val="single" w:sz="8" w:space="0" w:color="auto"/>
            </w:tcBorders>
            <w:shd w:val="clear" w:color="auto" w:fill="auto"/>
            <w:vAlign w:val="center"/>
            <w:hideMark/>
          </w:tcPr>
          <w:p w14:paraId="63C08810" w14:textId="77777777" w:rsidR="009D6D4E" w:rsidRPr="006A5422" w:rsidRDefault="009D6D4E" w:rsidP="00BF3B71">
            <w:pPr>
              <w:jc w:val="right"/>
              <w:rPr>
                <w:color w:val="000000"/>
                <w:sz w:val="18"/>
                <w:szCs w:val="18"/>
              </w:rPr>
            </w:pPr>
            <w:r w:rsidRPr="006A5422">
              <w:rPr>
                <w:color w:val="000000"/>
                <w:sz w:val="18"/>
                <w:szCs w:val="18"/>
              </w:rPr>
              <w:t>0.00</w:t>
            </w:r>
          </w:p>
        </w:tc>
        <w:tc>
          <w:tcPr>
            <w:tcW w:w="994" w:type="dxa"/>
            <w:tcBorders>
              <w:top w:val="nil"/>
              <w:left w:val="nil"/>
              <w:bottom w:val="single" w:sz="8" w:space="0" w:color="auto"/>
              <w:right w:val="single" w:sz="8" w:space="0" w:color="auto"/>
            </w:tcBorders>
            <w:shd w:val="clear" w:color="auto" w:fill="auto"/>
            <w:vAlign w:val="center"/>
            <w:hideMark/>
          </w:tcPr>
          <w:p w14:paraId="6C30A88C" w14:textId="77777777" w:rsidR="009D6D4E" w:rsidRPr="006A5422" w:rsidRDefault="009D6D4E" w:rsidP="00BF3B71">
            <w:pPr>
              <w:jc w:val="right"/>
              <w:rPr>
                <w:color w:val="000000"/>
                <w:sz w:val="18"/>
                <w:szCs w:val="18"/>
              </w:rPr>
            </w:pPr>
            <w:r w:rsidRPr="006A5422">
              <w:rPr>
                <w:color w:val="000000"/>
                <w:sz w:val="18"/>
                <w:szCs w:val="18"/>
              </w:rPr>
              <w:t>0.00</w:t>
            </w:r>
          </w:p>
        </w:tc>
        <w:tc>
          <w:tcPr>
            <w:tcW w:w="1451" w:type="dxa"/>
            <w:gridSpan w:val="2"/>
            <w:tcBorders>
              <w:top w:val="nil"/>
              <w:left w:val="nil"/>
              <w:bottom w:val="single" w:sz="8" w:space="0" w:color="auto"/>
              <w:right w:val="single" w:sz="8" w:space="0" w:color="auto"/>
            </w:tcBorders>
            <w:shd w:val="clear" w:color="auto" w:fill="auto"/>
            <w:vAlign w:val="center"/>
            <w:hideMark/>
          </w:tcPr>
          <w:p w14:paraId="21BF01CA" w14:textId="77777777" w:rsidR="009D6D4E" w:rsidRPr="006A5422" w:rsidRDefault="009D6D4E" w:rsidP="00BF3B71">
            <w:pPr>
              <w:jc w:val="right"/>
              <w:rPr>
                <w:color w:val="000000"/>
                <w:sz w:val="18"/>
                <w:szCs w:val="18"/>
              </w:rPr>
            </w:pPr>
            <w:r w:rsidRPr="006A5422">
              <w:rPr>
                <w:color w:val="000000"/>
                <w:sz w:val="18"/>
                <w:szCs w:val="18"/>
              </w:rPr>
              <w:t>78,205.00</w:t>
            </w:r>
          </w:p>
        </w:tc>
        <w:tc>
          <w:tcPr>
            <w:tcW w:w="851" w:type="dxa"/>
            <w:tcBorders>
              <w:top w:val="nil"/>
              <w:left w:val="nil"/>
              <w:bottom w:val="single" w:sz="8" w:space="0" w:color="auto"/>
              <w:right w:val="single" w:sz="8" w:space="0" w:color="auto"/>
            </w:tcBorders>
            <w:shd w:val="clear" w:color="auto" w:fill="auto"/>
            <w:vAlign w:val="center"/>
            <w:hideMark/>
          </w:tcPr>
          <w:p w14:paraId="37B470D5" w14:textId="77777777" w:rsidR="009D6D4E" w:rsidRPr="006A5422" w:rsidRDefault="009D6D4E" w:rsidP="00BF3B71">
            <w:pPr>
              <w:jc w:val="right"/>
              <w:rPr>
                <w:color w:val="000000"/>
                <w:sz w:val="18"/>
                <w:szCs w:val="18"/>
              </w:rPr>
            </w:pPr>
            <w:r w:rsidRPr="006A5422">
              <w:rPr>
                <w:color w:val="000000"/>
                <w:sz w:val="18"/>
                <w:szCs w:val="18"/>
              </w:rPr>
              <w:t>0.00</w:t>
            </w:r>
          </w:p>
        </w:tc>
        <w:tc>
          <w:tcPr>
            <w:tcW w:w="1449" w:type="dxa"/>
            <w:gridSpan w:val="2"/>
            <w:tcBorders>
              <w:top w:val="nil"/>
              <w:left w:val="nil"/>
              <w:bottom w:val="single" w:sz="8" w:space="0" w:color="auto"/>
              <w:right w:val="single" w:sz="8" w:space="0" w:color="auto"/>
            </w:tcBorders>
            <w:shd w:val="clear" w:color="auto" w:fill="auto"/>
            <w:vAlign w:val="center"/>
            <w:hideMark/>
          </w:tcPr>
          <w:p w14:paraId="20597C0A" w14:textId="77777777" w:rsidR="009D6D4E" w:rsidRPr="006A5422" w:rsidRDefault="009D6D4E" w:rsidP="00BF3B71">
            <w:pPr>
              <w:jc w:val="right"/>
              <w:rPr>
                <w:color w:val="000000"/>
                <w:sz w:val="18"/>
                <w:szCs w:val="18"/>
              </w:rPr>
            </w:pPr>
            <w:r w:rsidRPr="006A5422">
              <w:rPr>
                <w:color w:val="000000"/>
                <w:sz w:val="18"/>
                <w:szCs w:val="18"/>
              </w:rPr>
              <w:t>0.00</w:t>
            </w:r>
          </w:p>
        </w:tc>
        <w:tc>
          <w:tcPr>
            <w:tcW w:w="1159" w:type="dxa"/>
            <w:tcBorders>
              <w:top w:val="nil"/>
              <w:left w:val="nil"/>
              <w:bottom w:val="single" w:sz="8" w:space="0" w:color="auto"/>
              <w:right w:val="single" w:sz="8" w:space="0" w:color="auto"/>
            </w:tcBorders>
            <w:shd w:val="clear" w:color="auto" w:fill="auto"/>
            <w:vAlign w:val="center"/>
            <w:hideMark/>
          </w:tcPr>
          <w:p w14:paraId="23F84B40" w14:textId="77777777" w:rsidR="009D6D4E" w:rsidRPr="00CB6955" w:rsidRDefault="009D6D4E" w:rsidP="00BF3B71">
            <w:pPr>
              <w:jc w:val="right"/>
              <w:rPr>
                <w:b/>
                <w:bCs/>
                <w:color w:val="000000"/>
                <w:sz w:val="18"/>
                <w:szCs w:val="18"/>
              </w:rPr>
            </w:pPr>
            <w:r w:rsidRPr="00CB6955">
              <w:rPr>
                <w:b/>
                <w:bCs/>
                <w:color w:val="000000"/>
                <w:sz w:val="18"/>
                <w:szCs w:val="18"/>
              </w:rPr>
              <w:t>779,805</w:t>
            </w:r>
          </w:p>
        </w:tc>
      </w:tr>
    </w:tbl>
    <w:p w14:paraId="44C8C825" w14:textId="77777777" w:rsidR="009D6D4E" w:rsidRDefault="009D6D4E" w:rsidP="009D6D4E"/>
    <w:tbl>
      <w:tblPr>
        <w:tblW w:w="10277" w:type="dxa"/>
        <w:tblLook w:val="04A0" w:firstRow="1" w:lastRow="0" w:firstColumn="1" w:lastColumn="0" w:noHBand="0" w:noVBand="1"/>
      </w:tblPr>
      <w:tblGrid>
        <w:gridCol w:w="691"/>
        <w:gridCol w:w="52"/>
        <w:gridCol w:w="934"/>
        <w:gridCol w:w="854"/>
        <w:gridCol w:w="414"/>
        <w:gridCol w:w="1229"/>
        <w:gridCol w:w="950"/>
        <w:gridCol w:w="1100"/>
        <w:gridCol w:w="437"/>
        <w:gridCol w:w="875"/>
        <w:gridCol w:w="1192"/>
        <w:gridCol w:w="387"/>
        <w:gridCol w:w="1162"/>
      </w:tblGrid>
      <w:tr w:rsidR="009D6D4E" w:rsidRPr="006A5422" w14:paraId="22AC6256" w14:textId="77777777" w:rsidTr="00BF3B71">
        <w:trPr>
          <w:trHeight w:val="411"/>
        </w:trPr>
        <w:tc>
          <w:tcPr>
            <w:tcW w:w="10277"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65B317FE" w14:textId="77777777" w:rsidR="009D6D4E" w:rsidRPr="006A5422" w:rsidRDefault="009D6D4E" w:rsidP="00BF3B71">
            <w:pPr>
              <w:jc w:val="both"/>
              <w:rPr>
                <w:b/>
                <w:bCs/>
                <w:color w:val="000000"/>
                <w:sz w:val="18"/>
                <w:szCs w:val="18"/>
              </w:rPr>
            </w:pPr>
            <w:r w:rsidRPr="006A5422">
              <w:rPr>
                <w:b/>
                <w:bCs/>
                <w:color w:val="000000"/>
                <w:sz w:val="18"/>
                <w:szCs w:val="18"/>
              </w:rPr>
              <w:t>Tabela 10 a.: Kostimi i masës së reformës strukturore : Masa #10 Ulja e informalitetit nw sektorin e pronave tw paluajtshme</w:t>
            </w:r>
          </w:p>
        </w:tc>
      </w:tr>
      <w:tr w:rsidR="009D6D4E" w:rsidRPr="006A5422" w14:paraId="570DA5AF" w14:textId="77777777" w:rsidTr="00BF3B71">
        <w:trPr>
          <w:trHeight w:val="260"/>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4A4548C5" w14:textId="77777777" w:rsidR="009D6D4E" w:rsidRPr="006A5422" w:rsidRDefault="009D6D4E" w:rsidP="00BF3B71">
            <w:pPr>
              <w:rPr>
                <w:rFonts w:ascii="Calibri" w:hAnsi="Calibri" w:cs="Calibri"/>
                <w:color w:val="000000"/>
              </w:rPr>
            </w:pPr>
            <w:r w:rsidRPr="006A5422">
              <w:rPr>
                <w:rFonts w:ascii="Calibri" w:hAnsi="Calibri" w:cs="Calibri"/>
                <w:color w:val="000000"/>
              </w:rPr>
              <w:t>Viti</w:t>
            </w:r>
          </w:p>
        </w:tc>
        <w:tc>
          <w:tcPr>
            <w:tcW w:w="2275" w:type="dxa"/>
            <w:gridSpan w:val="4"/>
            <w:tcBorders>
              <w:top w:val="nil"/>
              <w:left w:val="nil"/>
              <w:bottom w:val="single" w:sz="4" w:space="0" w:color="auto"/>
              <w:right w:val="single" w:sz="4" w:space="0" w:color="auto"/>
            </w:tcBorders>
            <w:shd w:val="clear" w:color="auto" w:fill="auto"/>
            <w:vAlign w:val="center"/>
            <w:hideMark/>
          </w:tcPr>
          <w:p w14:paraId="5F058B00" w14:textId="77777777" w:rsidR="009D6D4E" w:rsidRPr="006A5422" w:rsidRDefault="009D6D4E" w:rsidP="00BF3B71">
            <w:pPr>
              <w:jc w:val="both"/>
              <w:rPr>
                <w:color w:val="000000"/>
                <w:sz w:val="18"/>
                <w:szCs w:val="18"/>
              </w:rPr>
            </w:pPr>
            <w:r w:rsidRPr="006A5422">
              <w:rPr>
                <w:color w:val="000000"/>
                <w:sz w:val="18"/>
                <w:szCs w:val="18"/>
              </w:rPr>
              <w:t>Pagat</w:t>
            </w:r>
          </w:p>
        </w:tc>
        <w:tc>
          <w:tcPr>
            <w:tcW w:w="3420" w:type="dxa"/>
            <w:gridSpan w:val="3"/>
            <w:tcBorders>
              <w:top w:val="nil"/>
              <w:left w:val="nil"/>
              <w:bottom w:val="single" w:sz="4" w:space="0" w:color="auto"/>
              <w:right w:val="single" w:sz="4" w:space="0" w:color="auto"/>
            </w:tcBorders>
            <w:shd w:val="clear" w:color="auto" w:fill="auto"/>
            <w:vAlign w:val="center"/>
            <w:hideMark/>
          </w:tcPr>
          <w:p w14:paraId="72B26C3E" w14:textId="77777777" w:rsidR="009D6D4E" w:rsidRPr="006A5422" w:rsidRDefault="009D6D4E" w:rsidP="00BF3B71">
            <w:pPr>
              <w:jc w:val="both"/>
              <w:rPr>
                <w:color w:val="000000"/>
                <w:sz w:val="18"/>
                <w:szCs w:val="18"/>
              </w:rPr>
            </w:pPr>
            <w:r w:rsidRPr="006A5422">
              <w:rPr>
                <w:color w:val="000000"/>
                <w:sz w:val="18"/>
                <w:szCs w:val="18"/>
              </w:rPr>
              <w:t>Mallra dhe shërbime</w:t>
            </w:r>
          </w:p>
        </w:tc>
        <w:tc>
          <w:tcPr>
            <w:tcW w:w="1316" w:type="dxa"/>
            <w:gridSpan w:val="2"/>
            <w:tcBorders>
              <w:top w:val="nil"/>
              <w:left w:val="nil"/>
              <w:bottom w:val="single" w:sz="4" w:space="0" w:color="auto"/>
              <w:right w:val="single" w:sz="4" w:space="0" w:color="auto"/>
            </w:tcBorders>
            <w:shd w:val="clear" w:color="auto" w:fill="auto"/>
            <w:vAlign w:val="center"/>
            <w:hideMark/>
          </w:tcPr>
          <w:p w14:paraId="41EF8048" w14:textId="77777777" w:rsidR="009D6D4E" w:rsidRPr="006A5422" w:rsidRDefault="009D6D4E" w:rsidP="00BF3B71">
            <w:pPr>
              <w:jc w:val="both"/>
              <w:rPr>
                <w:color w:val="000000"/>
                <w:sz w:val="18"/>
                <w:szCs w:val="18"/>
              </w:rPr>
            </w:pPr>
            <w:r w:rsidRPr="006A5422">
              <w:rPr>
                <w:color w:val="000000"/>
                <w:sz w:val="18"/>
                <w:szCs w:val="18"/>
              </w:rPr>
              <w:t xml:space="preserve">Subvencione dhe transfere </w:t>
            </w:r>
          </w:p>
        </w:tc>
        <w:tc>
          <w:tcPr>
            <w:tcW w:w="1204" w:type="dxa"/>
            <w:tcBorders>
              <w:top w:val="nil"/>
              <w:left w:val="nil"/>
              <w:bottom w:val="single" w:sz="4" w:space="0" w:color="auto"/>
              <w:right w:val="single" w:sz="4" w:space="0" w:color="auto"/>
            </w:tcBorders>
            <w:shd w:val="clear" w:color="auto" w:fill="auto"/>
            <w:vAlign w:val="center"/>
            <w:hideMark/>
          </w:tcPr>
          <w:p w14:paraId="1C192A71" w14:textId="77777777" w:rsidR="009D6D4E" w:rsidRPr="006A5422" w:rsidRDefault="009D6D4E" w:rsidP="00BF3B71">
            <w:pPr>
              <w:jc w:val="both"/>
              <w:rPr>
                <w:color w:val="000000"/>
                <w:sz w:val="18"/>
                <w:szCs w:val="18"/>
              </w:rPr>
            </w:pPr>
            <w:r w:rsidRPr="006A5422">
              <w:rPr>
                <w:color w:val="000000"/>
                <w:sz w:val="18"/>
                <w:szCs w:val="18"/>
              </w:rPr>
              <w:t xml:space="preserve">Shpenzimet kapitale </w:t>
            </w:r>
          </w:p>
        </w:tc>
        <w:tc>
          <w:tcPr>
            <w:tcW w:w="1372" w:type="dxa"/>
            <w:gridSpan w:val="2"/>
            <w:tcBorders>
              <w:top w:val="nil"/>
              <w:left w:val="nil"/>
              <w:bottom w:val="single" w:sz="4" w:space="0" w:color="auto"/>
              <w:right w:val="single" w:sz="4" w:space="0" w:color="auto"/>
            </w:tcBorders>
            <w:shd w:val="clear" w:color="auto" w:fill="auto"/>
            <w:vAlign w:val="center"/>
            <w:hideMark/>
          </w:tcPr>
          <w:p w14:paraId="0C7DF431" w14:textId="77777777" w:rsidR="009D6D4E" w:rsidRPr="00CB6955" w:rsidRDefault="009D6D4E" w:rsidP="00BF3B71">
            <w:pPr>
              <w:jc w:val="both"/>
              <w:rPr>
                <w:b/>
                <w:color w:val="000000"/>
                <w:sz w:val="18"/>
                <w:szCs w:val="18"/>
              </w:rPr>
            </w:pPr>
            <w:r w:rsidRPr="00CB6955">
              <w:rPr>
                <w:b/>
                <w:color w:val="000000"/>
                <w:sz w:val="18"/>
                <w:szCs w:val="18"/>
              </w:rPr>
              <w:t xml:space="preserve">Totali </w:t>
            </w:r>
          </w:p>
        </w:tc>
      </w:tr>
      <w:tr w:rsidR="009D6D4E" w:rsidRPr="006A5422" w14:paraId="31D00126" w14:textId="77777777" w:rsidTr="00BF3B71">
        <w:trPr>
          <w:trHeight w:val="274"/>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419A1905" w14:textId="77777777" w:rsidR="009D6D4E" w:rsidRPr="006A5422" w:rsidRDefault="009D6D4E" w:rsidP="00BF3B71">
            <w:pPr>
              <w:jc w:val="both"/>
              <w:rPr>
                <w:color w:val="000000"/>
                <w:sz w:val="18"/>
                <w:szCs w:val="18"/>
              </w:rPr>
            </w:pPr>
            <w:r w:rsidRPr="006A5422">
              <w:rPr>
                <w:color w:val="000000"/>
                <w:sz w:val="18"/>
                <w:szCs w:val="18"/>
              </w:rPr>
              <w:t>2020</w:t>
            </w:r>
          </w:p>
        </w:tc>
        <w:tc>
          <w:tcPr>
            <w:tcW w:w="2275" w:type="dxa"/>
            <w:gridSpan w:val="4"/>
            <w:tcBorders>
              <w:top w:val="nil"/>
              <w:left w:val="nil"/>
              <w:bottom w:val="single" w:sz="4" w:space="0" w:color="auto"/>
              <w:right w:val="single" w:sz="4" w:space="0" w:color="auto"/>
            </w:tcBorders>
            <w:shd w:val="clear" w:color="auto" w:fill="auto"/>
            <w:vAlign w:val="center"/>
            <w:hideMark/>
          </w:tcPr>
          <w:p w14:paraId="4FBEA49D" w14:textId="77777777" w:rsidR="009D6D4E" w:rsidRPr="006A5422" w:rsidRDefault="009D6D4E" w:rsidP="00BF3B71">
            <w:pPr>
              <w:jc w:val="right"/>
              <w:rPr>
                <w:color w:val="000000"/>
                <w:sz w:val="18"/>
                <w:szCs w:val="18"/>
              </w:rPr>
            </w:pPr>
            <w:r w:rsidRPr="006A5422">
              <w:rPr>
                <w:color w:val="000000"/>
                <w:sz w:val="18"/>
                <w:szCs w:val="18"/>
              </w:rPr>
              <w:t>0.00</w:t>
            </w:r>
          </w:p>
        </w:tc>
        <w:tc>
          <w:tcPr>
            <w:tcW w:w="3420" w:type="dxa"/>
            <w:gridSpan w:val="3"/>
            <w:tcBorders>
              <w:top w:val="nil"/>
              <w:left w:val="nil"/>
              <w:bottom w:val="single" w:sz="4" w:space="0" w:color="auto"/>
              <w:right w:val="single" w:sz="4" w:space="0" w:color="auto"/>
            </w:tcBorders>
            <w:shd w:val="clear" w:color="auto" w:fill="auto"/>
            <w:vAlign w:val="center"/>
            <w:hideMark/>
          </w:tcPr>
          <w:p w14:paraId="5FBE0608" w14:textId="77777777" w:rsidR="009D6D4E" w:rsidRPr="006A5422" w:rsidRDefault="009D6D4E" w:rsidP="00BF3B71">
            <w:pPr>
              <w:rPr>
                <w:color w:val="000000"/>
                <w:sz w:val="18"/>
                <w:szCs w:val="18"/>
              </w:rPr>
            </w:pPr>
            <w:r w:rsidRPr="006A5422">
              <w:rPr>
                <w:color w:val="000000"/>
                <w:sz w:val="18"/>
                <w:szCs w:val="18"/>
              </w:rPr>
              <w:t xml:space="preserve">                            55,205 </w:t>
            </w:r>
          </w:p>
        </w:tc>
        <w:tc>
          <w:tcPr>
            <w:tcW w:w="1316" w:type="dxa"/>
            <w:gridSpan w:val="2"/>
            <w:tcBorders>
              <w:top w:val="nil"/>
              <w:left w:val="nil"/>
              <w:bottom w:val="single" w:sz="4" w:space="0" w:color="auto"/>
              <w:right w:val="single" w:sz="4" w:space="0" w:color="auto"/>
            </w:tcBorders>
            <w:shd w:val="clear" w:color="auto" w:fill="auto"/>
            <w:vAlign w:val="center"/>
            <w:hideMark/>
          </w:tcPr>
          <w:p w14:paraId="17FA496F" w14:textId="77777777" w:rsidR="009D6D4E" w:rsidRPr="006A5422" w:rsidRDefault="009D6D4E" w:rsidP="00BF3B71">
            <w:pPr>
              <w:jc w:val="both"/>
              <w:rPr>
                <w:color w:val="000000"/>
                <w:sz w:val="18"/>
                <w:szCs w:val="18"/>
              </w:rPr>
            </w:pPr>
            <w:r w:rsidRPr="006A5422">
              <w:rPr>
                <w:color w:val="000000"/>
                <w:sz w:val="18"/>
                <w:szCs w:val="18"/>
              </w:rPr>
              <w:t> </w:t>
            </w:r>
          </w:p>
        </w:tc>
        <w:tc>
          <w:tcPr>
            <w:tcW w:w="1204" w:type="dxa"/>
            <w:tcBorders>
              <w:top w:val="nil"/>
              <w:left w:val="nil"/>
              <w:bottom w:val="single" w:sz="4" w:space="0" w:color="auto"/>
              <w:right w:val="single" w:sz="4" w:space="0" w:color="auto"/>
            </w:tcBorders>
            <w:shd w:val="clear" w:color="auto" w:fill="auto"/>
            <w:vAlign w:val="center"/>
            <w:hideMark/>
          </w:tcPr>
          <w:p w14:paraId="77DFE9B5" w14:textId="77777777" w:rsidR="009D6D4E" w:rsidRPr="006A5422" w:rsidRDefault="009D6D4E" w:rsidP="00BF3B71">
            <w:pPr>
              <w:jc w:val="both"/>
              <w:rPr>
                <w:color w:val="000000"/>
                <w:sz w:val="18"/>
                <w:szCs w:val="18"/>
              </w:rPr>
            </w:pPr>
            <w:r w:rsidRPr="006A5422">
              <w:rPr>
                <w:color w:val="000000"/>
                <w:sz w:val="18"/>
                <w:szCs w:val="18"/>
              </w:rPr>
              <w:t> </w:t>
            </w:r>
          </w:p>
        </w:tc>
        <w:tc>
          <w:tcPr>
            <w:tcW w:w="1372" w:type="dxa"/>
            <w:gridSpan w:val="2"/>
            <w:tcBorders>
              <w:top w:val="nil"/>
              <w:left w:val="nil"/>
              <w:bottom w:val="single" w:sz="4" w:space="0" w:color="auto"/>
              <w:right w:val="single" w:sz="4" w:space="0" w:color="auto"/>
            </w:tcBorders>
            <w:shd w:val="clear" w:color="000000" w:fill="FFFFFF"/>
            <w:vAlign w:val="center"/>
            <w:hideMark/>
          </w:tcPr>
          <w:p w14:paraId="6415C268" w14:textId="77777777" w:rsidR="009D6D4E" w:rsidRPr="00CB6955" w:rsidRDefault="009D6D4E" w:rsidP="00BF3B71">
            <w:pPr>
              <w:ind w:left="720"/>
              <w:jc w:val="both"/>
              <w:rPr>
                <w:b/>
                <w:color w:val="000000"/>
                <w:sz w:val="18"/>
                <w:szCs w:val="18"/>
              </w:rPr>
            </w:pPr>
            <w:r w:rsidRPr="00CB6955">
              <w:rPr>
                <w:b/>
                <w:color w:val="000000"/>
                <w:sz w:val="18"/>
                <w:szCs w:val="18"/>
              </w:rPr>
              <w:t xml:space="preserve">                            55,205 </w:t>
            </w:r>
          </w:p>
        </w:tc>
      </w:tr>
      <w:tr w:rsidR="009D6D4E" w:rsidRPr="006A5422" w14:paraId="70D0824D" w14:textId="77777777" w:rsidTr="00BF3B71">
        <w:trPr>
          <w:trHeight w:val="314"/>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13C8E1D4" w14:textId="77777777" w:rsidR="009D6D4E" w:rsidRPr="006A5422" w:rsidRDefault="009D6D4E" w:rsidP="00BF3B71">
            <w:pPr>
              <w:jc w:val="both"/>
              <w:rPr>
                <w:color w:val="000000"/>
                <w:sz w:val="18"/>
                <w:szCs w:val="18"/>
              </w:rPr>
            </w:pPr>
            <w:r w:rsidRPr="006A5422">
              <w:rPr>
                <w:color w:val="000000"/>
                <w:sz w:val="18"/>
                <w:szCs w:val="18"/>
              </w:rPr>
              <w:t>2021</w:t>
            </w:r>
          </w:p>
        </w:tc>
        <w:tc>
          <w:tcPr>
            <w:tcW w:w="2275" w:type="dxa"/>
            <w:gridSpan w:val="4"/>
            <w:tcBorders>
              <w:top w:val="nil"/>
              <w:left w:val="nil"/>
              <w:bottom w:val="single" w:sz="4" w:space="0" w:color="auto"/>
              <w:right w:val="single" w:sz="4" w:space="0" w:color="auto"/>
            </w:tcBorders>
            <w:shd w:val="clear" w:color="auto" w:fill="auto"/>
            <w:vAlign w:val="center"/>
            <w:hideMark/>
          </w:tcPr>
          <w:p w14:paraId="1C8C3F62" w14:textId="77777777" w:rsidR="009D6D4E" w:rsidRPr="006A5422" w:rsidRDefault="009D6D4E" w:rsidP="00BF3B71">
            <w:pPr>
              <w:jc w:val="right"/>
              <w:rPr>
                <w:color w:val="000000"/>
                <w:sz w:val="18"/>
                <w:szCs w:val="18"/>
              </w:rPr>
            </w:pPr>
            <w:r w:rsidRPr="006A5422">
              <w:rPr>
                <w:color w:val="000000"/>
                <w:sz w:val="18"/>
                <w:szCs w:val="18"/>
              </w:rPr>
              <w:t>0.00</w:t>
            </w:r>
          </w:p>
        </w:tc>
        <w:tc>
          <w:tcPr>
            <w:tcW w:w="3420" w:type="dxa"/>
            <w:gridSpan w:val="3"/>
            <w:tcBorders>
              <w:top w:val="nil"/>
              <w:left w:val="nil"/>
              <w:bottom w:val="single" w:sz="4" w:space="0" w:color="auto"/>
              <w:right w:val="single" w:sz="4" w:space="0" w:color="auto"/>
            </w:tcBorders>
            <w:shd w:val="clear" w:color="auto" w:fill="auto"/>
            <w:vAlign w:val="center"/>
            <w:hideMark/>
          </w:tcPr>
          <w:p w14:paraId="4B686360" w14:textId="77777777" w:rsidR="009D6D4E" w:rsidRPr="006A5422" w:rsidRDefault="009D6D4E" w:rsidP="00BF3B71">
            <w:pPr>
              <w:rPr>
                <w:color w:val="000000"/>
                <w:sz w:val="18"/>
                <w:szCs w:val="18"/>
              </w:rPr>
            </w:pPr>
            <w:r w:rsidRPr="006A5422">
              <w:rPr>
                <w:color w:val="000000"/>
                <w:sz w:val="18"/>
                <w:szCs w:val="18"/>
              </w:rPr>
              <w:t xml:space="preserve">                            28,205 </w:t>
            </w:r>
          </w:p>
        </w:tc>
        <w:tc>
          <w:tcPr>
            <w:tcW w:w="1316" w:type="dxa"/>
            <w:gridSpan w:val="2"/>
            <w:tcBorders>
              <w:top w:val="nil"/>
              <w:left w:val="nil"/>
              <w:bottom w:val="single" w:sz="4" w:space="0" w:color="auto"/>
              <w:right w:val="single" w:sz="4" w:space="0" w:color="auto"/>
            </w:tcBorders>
            <w:shd w:val="clear" w:color="auto" w:fill="auto"/>
            <w:vAlign w:val="center"/>
            <w:hideMark/>
          </w:tcPr>
          <w:p w14:paraId="7EB92C5E" w14:textId="77777777" w:rsidR="009D6D4E" w:rsidRPr="006A5422" w:rsidRDefault="009D6D4E" w:rsidP="00BF3B71">
            <w:pPr>
              <w:jc w:val="both"/>
              <w:rPr>
                <w:color w:val="000000"/>
                <w:sz w:val="18"/>
                <w:szCs w:val="18"/>
              </w:rPr>
            </w:pPr>
            <w:r w:rsidRPr="006A5422">
              <w:rPr>
                <w:color w:val="000000"/>
                <w:sz w:val="18"/>
                <w:szCs w:val="18"/>
              </w:rPr>
              <w:t> </w:t>
            </w:r>
          </w:p>
        </w:tc>
        <w:tc>
          <w:tcPr>
            <w:tcW w:w="1204" w:type="dxa"/>
            <w:tcBorders>
              <w:top w:val="nil"/>
              <w:left w:val="nil"/>
              <w:bottom w:val="single" w:sz="4" w:space="0" w:color="auto"/>
              <w:right w:val="single" w:sz="4" w:space="0" w:color="auto"/>
            </w:tcBorders>
            <w:shd w:val="clear" w:color="auto" w:fill="auto"/>
            <w:vAlign w:val="center"/>
            <w:hideMark/>
          </w:tcPr>
          <w:p w14:paraId="20E811D4" w14:textId="77777777" w:rsidR="009D6D4E" w:rsidRPr="006A5422" w:rsidRDefault="009D6D4E" w:rsidP="00BF3B71">
            <w:pPr>
              <w:jc w:val="both"/>
              <w:rPr>
                <w:color w:val="000000"/>
                <w:sz w:val="18"/>
                <w:szCs w:val="18"/>
              </w:rPr>
            </w:pPr>
            <w:r w:rsidRPr="006A5422">
              <w:rPr>
                <w:color w:val="000000"/>
                <w:sz w:val="18"/>
                <w:szCs w:val="18"/>
              </w:rPr>
              <w:t> </w:t>
            </w:r>
          </w:p>
        </w:tc>
        <w:tc>
          <w:tcPr>
            <w:tcW w:w="1372" w:type="dxa"/>
            <w:gridSpan w:val="2"/>
            <w:tcBorders>
              <w:top w:val="nil"/>
              <w:left w:val="nil"/>
              <w:bottom w:val="single" w:sz="4" w:space="0" w:color="auto"/>
              <w:right w:val="single" w:sz="4" w:space="0" w:color="auto"/>
            </w:tcBorders>
            <w:shd w:val="clear" w:color="000000" w:fill="FFFFFF"/>
            <w:vAlign w:val="center"/>
            <w:hideMark/>
          </w:tcPr>
          <w:p w14:paraId="0200B947" w14:textId="77777777" w:rsidR="009D6D4E" w:rsidRPr="00CB6955" w:rsidRDefault="009D6D4E" w:rsidP="00BF3B71">
            <w:pPr>
              <w:ind w:left="720"/>
              <w:jc w:val="both"/>
              <w:rPr>
                <w:b/>
                <w:color w:val="000000"/>
                <w:sz w:val="18"/>
                <w:szCs w:val="18"/>
              </w:rPr>
            </w:pPr>
            <w:r w:rsidRPr="00CB6955">
              <w:rPr>
                <w:b/>
                <w:color w:val="000000"/>
                <w:sz w:val="18"/>
                <w:szCs w:val="18"/>
              </w:rPr>
              <w:t xml:space="preserve">                            28,205 </w:t>
            </w:r>
          </w:p>
        </w:tc>
      </w:tr>
      <w:tr w:rsidR="009D6D4E" w:rsidRPr="006A5422" w14:paraId="1707B399" w14:textId="77777777" w:rsidTr="00BF3B71">
        <w:trPr>
          <w:trHeight w:val="291"/>
        </w:trPr>
        <w:tc>
          <w:tcPr>
            <w:tcW w:w="10277" w:type="dxa"/>
            <w:gridSpan w:val="13"/>
            <w:tcBorders>
              <w:top w:val="single" w:sz="8" w:space="0" w:color="auto"/>
              <w:left w:val="single" w:sz="8" w:space="0" w:color="auto"/>
              <w:bottom w:val="single" w:sz="8" w:space="0" w:color="auto"/>
              <w:right w:val="single" w:sz="8" w:space="0" w:color="000000"/>
            </w:tcBorders>
            <w:shd w:val="clear" w:color="auto" w:fill="auto"/>
            <w:vAlign w:val="center"/>
            <w:hideMark/>
          </w:tcPr>
          <w:p w14:paraId="0A23B5F2" w14:textId="77777777" w:rsidR="009D6D4E" w:rsidRPr="006A5422" w:rsidRDefault="009D6D4E" w:rsidP="00BF3B71">
            <w:pPr>
              <w:rPr>
                <w:b/>
                <w:bCs/>
                <w:color w:val="000000"/>
                <w:sz w:val="18"/>
                <w:szCs w:val="18"/>
              </w:rPr>
            </w:pPr>
            <w:r w:rsidRPr="006A5422">
              <w:rPr>
                <w:b/>
                <w:bCs/>
                <w:color w:val="000000"/>
                <w:sz w:val="18"/>
                <w:szCs w:val="18"/>
              </w:rPr>
              <w:t>Tabela 10.b:Financimi i masës së reformës strukturore:  Masa #10 Ulja e informalitetit nw sektorin e pronave tw paluajtshme</w:t>
            </w:r>
          </w:p>
        </w:tc>
      </w:tr>
      <w:tr w:rsidR="009D6D4E" w:rsidRPr="006A5422" w14:paraId="5DEC9666" w14:textId="77777777" w:rsidTr="00BF3B71">
        <w:trPr>
          <w:trHeight w:val="462"/>
        </w:trPr>
        <w:tc>
          <w:tcPr>
            <w:tcW w:w="747" w:type="dxa"/>
            <w:gridSpan w:val="2"/>
            <w:tcBorders>
              <w:top w:val="nil"/>
              <w:left w:val="single" w:sz="8" w:space="0" w:color="auto"/>
              <w:bottom w:val="single" w:sz="8" w:space="0" w:color="auto"/>
              <w:right w:val="single" w:sz="8" w:space="0" w:color="auto"/>
            </w:tcBorders>
            <w:shd w:val="clear" w:color="auto" w:fill="auto"/>
            <w:vAlign w:val="center"/>
            <w:hideMark/>
          </w:tcPr>
          <w:p w14:paraId="1D81AE47" w14:textId="77777777" w:rsidR="009D6D4E" w:rsidRPr="006A5422" w:rsidRDefault="009D6D4E" w:rsidP="00BF3B71">
            <w:pPr>
              <w:rPr>
                <w:color w:val="000000"/>
                <w:sz w:val="18"/>
                <w:szCs w:val="18"/>
              </w:rPr>
            </w:pPr>
            <w:r w:rsidRPr="006A5422">
              <w:rPr>
                <w:color w:val="000000"/>
                <w:sz w:val="18"/>
                <w:szCs w:val="18"/>
              </w:rPr>
              <w:t xml:space="preserve">Viti </w:t>
            </w:r>
          </w:p>
        </w:tc>
        <w:tc>
          <w:tcPr>
            <w:tcW w:w="945" w:type="dxa"/>
            <w:tcBorders>
              <w:top w:val="nil"/>
              <w:left w:val="nil"/>
              <w:bottom w:val="single" w:sz="8" w:space="0" w:color="auto"/>
              <w:right w:val="single" w:sz="8" w:space="0" w:color="auto"/>
            </w:tcBorders>
            <w:shd w:val="clear" w:color="auto" w:fill="auto"/>
            <w:vAlign w:val="center"/>
            <w:hideMark/>
          </w:tcPr>
          <w:p w14:paraId="1307AE64" w14:textId="77777777" w:rsidR="009D6D4E" w:rsidRPr="006A5422" w:rsidRDefault="009D6D4E" w:rsidP="00BF3B71">
            <w:pPr>
              <w:rPr>
                <w:color w:val="000000"/>
                <w:sz w:val="18"/>
                <w:szCs w:val="18"/>
              </w:rPr>
            </w:pPr>
            <w:r w:rsidRPr="006A5422">
              <w:rPr>
                <w:color w:val="000000"/>
                <w:sz w:val="18"/>
                <w:szCs w:val="18"/>
              </w:rPr>
              <w:t>Buxheti Qendror</w:t>
            </w:r>
          </w:p>
        </w:tc>
        <w:tc>
          <w:tcPr>
            <w:tcW w:w="846" w:type="dxa"/>
            <w:tcBorders>
              <w:top w:val="nil"/>
              <w:left w:val="nil"/>
              <w:bottom w:val="single" w:sz="8" w:space="0" w:color="auto"/>
              <w:right w:val="single" w:sz="8" w:space="0" w:color="auto"/>
            </w:tcBorders>
            <w:shd w:val="clear" w:color="auto" w:fill="auto"/>
            <w:vAlign w:val="center"/>
            <w:hideMark/>
          </w:tcPr>
          <w:p w14:paraId="28B9E894" w14:textId="77777777" w:rsidR="009D6D4E" w:rsidRPr="006A5422" w:rsidRDefault="009D6D4E" w:rsidP="00BF3B71">
            <w:pPr>
              <w:rPr>
                <w:color w:val="000000"/>
                <w:sz w:val="18"/>
                <w:szCs w:val="18"/>
              </w:rPr>
            </w:pPr>
            <w:r w:rsidRPr="006A5422">
              <w:rPr>
                <w:color w:val="000000"/>
                <w:sz w:val="18"/>
                <w:szCs w:val="18"/>
              </w:rPr>
              <w:t>Buxheti komunal</w:t>
            </w:r>
          </w:p>
        </w:tc>
        <w:tc>
          <w:tcPr>
            <w:tcW w:w="1718" w:type="dxa"/>
            <w:gridSpan w:val="2"/>
            <w:tcBorders>
              <w:top w:val="nil"/>
              <w:left w:val="nil"/>
              <w:bottom w:val="single" w:sz="8" w:space="0" w:color="auto"/>
              <w:right w:val="single" w:sz="8" w:space="0" w:color="auto"/>
            </w:tcBorders>
            <w:shd w:val="clear" w:color="auto" w:fill="auto"/>
            <w:vAlign w:val="center"/>
            <w:hideMark/>
          </w:tcPr>
          <w:p w14:paraId="7F1C3CB8" w14:textId="77777777" w:rsidR="009D6D4E" w:rsidRPr="006A5422" w:rsidRDefault="009D6D4E" w:rsidP="00BF3B71">
            <w:pPr>
              <w:rPr>
                <w:color w:val="000000"/>
                <w:sz w:val="18"/>
                <w:szCs w:val="18"/>
              </w:rPr>
            </w:pPr>
            <w:r w:rsidRPr="006A5422">
              <w:rPr>
                <w:color w:val="000000"/>
                <w:sz w:val="18"/>
                <w:szCs w:val="18"/>
              </w:rPr>
              <w:t xml:space="preserve">Burimet e tjera të financimit publik </w:t>
            </w:r>
          </w:p>
        </w:tc>
        <w:tc>
          <w:tcPr>
            <w:tcW w:w="967" w:type="dxa"/>
            <w:tcBorders>
              <w:top w:val="nil"/>
              <w:left w:val="nil"/>
              <w:bottom w:val="single" w:sz="8" w:space="0" w:color="auto"/>
              <w:right w:val="single" w:sz="8" w:space="0" w:color="auto"/>
            </w:tcBorders>
            <w:shd w:val="clear" w:color="auto" w:fill="auto"/>
            <w:vAlign w:val="center"/>
            <w:hideMark/>
          </w:tcPr>
          <w:p w14:paraId="79525F91" w14:textId="77777777" w:rsidR="009D6D4E" w:rsidRPr="006A5422" w:rsidRDefault="009D6D4E" w:rsidP="00BF3B71">
            <w:pPr>
              <w:rPr>
                <w:color w:val="000000"/>
                <w:sz w:val="18"/>
                <w:szCs w:val="18"/>
              </w:rPr>
            </w:pPr>
            <w:r w:rsidRPr="006A5422">
              <w:rPr>
                <w:color w:val="000000"/>
                <w:sz w:val="18"/>
                <w:szCs w:val="18"/>
              </w:rPr>
              <w:t xml:space="preserve">Fondet e IPA-së </w:t>
            </w:r>
          </w:p>
        </w:tc>
        <w:tc>
          <w:tcPr>
            <w:tcW w:w="1601" w:type="dxa"/>
            <w:gridSpan w:val="2"/>
            <w:tcBorders>
              <w:top w:val="nil"/>
              <w:left w:val="nil"/>
              <w:bottom w:val="single" w:sz="8" w:space="0" w:color="auto"/>
              <w:right w:val="single" w:sz="8" w:space="0" w:color="auto"/>
            </w:tcBorders>
            <w:shd w:val="clear" w:color="auto" w:fill="auto"/>
            <w:vAlign w:val="center"/>
            <w:hideMark/>
          </w:tcPr>
          <w:p w14:paraId="68294046" w14:textId="77777777" w:rsidR="009D6D4E" w:rsidRPr="006A5422" w:rsidRDefault="009D6D4E" w:rsidP="00BF3B71">
            <w:pPr>
              <w:rPr>
                <w:color w:val="000000"/>
                <w:sz w:val="18"/>
                <w:szCs w:val="18"/>
              </w:rPr>
            </w:pPr>
            <w:r w:rsidRPr="006A5422">
              <w:rPr>
                <w:color w:val="000000"/>
                <w:sz w:val="18"/>
                <w:szCs w:val="18"/>
              </w:rPr>
              <w:t xml:space="preserve">Grante të tjera </w:t>
            </w:r>
          </w:p>
        </w:tc>
        <w:tc>
          <w:tcPr>
            <w:tcW w:w="877" w:type="dxa"/>
            <w:tcBorders>
              <w:top w:val="nil"/>
              <w:left w:val="nil"/>
              <w:bottom w:val="single" w:sz="8" w:space="0" w:color="auto"/>
              <w:right w:val="single" w:sz="8" w:space="0" w:color="auto"/>
            </w:tcBorders>
            <w:shd w:val="clear" w:color="auto" w:fill="auto"/>
            <w:vAlign w:val="center"/>
            <w:hideMark/>
          </w:tcPr>
          <w:p w14:paraId="1193AE5A" w14:textId="77777777" w:rsidR="009D6D4E" w:rsidRPr="006A5422" w:rsidRDefault="009D6D4E" w:rsidP="00BF3B71">
            <w:pPr>
              <w:rPr>
                <w:color w:val="000000"/>
                <w:sz w:val="18"/>
                <w:szCs w:val="18"/>
              </w:rPr>
            </w:pPr>
            <w:r w:rsidRPr="006A5422">
              <w:rPr>
                <w:color w:val="000000"/>
                <w:sz w:val="18"/>
                <w:szCs w:val="18"/>
              </w:rPr>
              <w:t xml:space="preserve">Kredi për projekte </w:t>
            </w:r>
          </w:p>
        </w:tc>
        <w:tc>
          <w:tcPr>
            <w:tcW w:w="1603" w:type="dxa"/>
            <w:gridSpan w:val="2"/>
            <w:tcBorders>
              <w:top w:val="nil"/>
              <w:left w:val="nil"/>
              <w:bottom w:val="single" w:sz="8" w:space="0" w:color="auto"/>
              <w:right w:val="single" w:sz="8" w:space="0" w:color="auto"/>
            </w:tcBorders>
            <w:shd w:val="clear" w:color="auto" w:fill="auto"/>
            <w:vAlign w:val="center"/>
            <w:hideMark/>
          </w:tcPr>
          <w:p w14:paraId="69945BE7" w14:textId="77777777" w:rsidR="009D6D4E" w:rsidRPr="006A5422" w:rsidRDefault="009D6D4E" w:rsidP="00BF3B71">
            <w:pPr>
              <w:rPr>
                <w:color w:val="000000"/>
                <w:sz w:val="18"/>
                <w:szCs w:val="18"/>
              </w:rPr>
            </w:pPr>
            <w:r w:rsidRPr="006A5422">
              <w:rPr>
                <w:color w:val="000000"/>
                <w:sz w:val="18"/>
                <w:szCs w:val="18"/>
              </w:rPr>
              <w:t xml:space="preserve">Të përcaktohet </w:t>
            </w:r>
          </w:p>
        </w:tc>
        <w:tc>
          <w:tcPr>
            <w:tcW w:w="973" w:type="dxa"/>
            <w:tcBorders>
              <w:top w:val="nil"/>
              <w:left w:val="nil"/>
              <w:bottom w:val="single" w:sz="8" w:space="0" w:color="auto"/>
              <w:right w:val="single" w:sz="8" w:space="0" w:color="auto"/>
            </w:tcBorders>
            <w:shd w:val="clear" w:color="auto" w:fill="auto"/>
            <w:vAlign w:val="center"/>
            <w:hideMark/>
          </w:tcPr>
          <w:p w14:paraId="7B96A95F" w14:textId="77777777" w:rsidR="009D6D4E" w:rsidRPr="006A5422" w:rsidRDefault="009D6D4E" w:rsidP="00BF3B71">
            <w:pPr>
              <w:rPr>
                <w:color w:val="000000"/>
                <w:sz w:val="18"/>
                <w:szCs w:val="18"/>
              </w:rPr>
            </w:pPr>
            <w:r w:rsidRPr="006A5422">
              <w:rPr>
                <w:color w:val="000000"/>
                <w:sz w:val="18"/>
                <w:szCs w:val="18"/>
              </w:rPr>
              <w:t xml:space="preserve">Totali </w:t>
            </w:r>
          </w:p>
        </w:tc>
      </w:tr>
      <w:tr w:rsidR="009D6D4E" w:rsidRPr="006A5422" w14:paraId="7A0BD707" w14:textId="77777777" w:rsidTr="00BF3B71">
        <w:trPr>
          <w:trHeight w:val="462"/>
        </w:trPr>
        <w:tc>
          <w:tcPr>
            <w:tcW w:w="747" w:type="dxa"/>
            <w:gridSpan w:val="2"/>
            <w:tcBorders>
              <w:top w:val="nil"/>
              <w:left w:val="single" w:sz="8" w:space="0" w:color="auto"/>
              <w:bottom w:val="single" w:sz="8" w:space="0" w:color="auto"/>
              <w:right w:val="single" w:sz="8" w:space="0" w:color="auto"/>
            </w:tcBorders>
            <w:shd w:val="clear" w:color="auto" w:fill="auto"/>
            <w:vAlign w:val="center"/>
            <w:hideMark/>
          </w:tcPr>
          <w:p w14:paraId="5852AEAE" w14:textId="77777777" w:rsidR="009D6D4E" w:rsidRPr="006A5422" w:rsidRDefault="009D6D4E" w:rsidP="00BF3B71">
            <w:pPr>
              <w:jc w:val="both"/>
              <w:rPr>
                <w:color w:val="000000"/>
                <w:sz w:val="18"/>
                <w:szCs w:val="18"/>
              </w:rPr>
            </w:pPr>
            <w:r w:rsidRPr="006A5422">
              <w:rPr>
                <w:color w:val="000000"/>
                <w:sz w:val="18"/>
                <w:szCs w:val="18"/>
              </w:rPr>
              <w:t>2020</w:t>
            </w:r>
          </w:p>
        </w:tc>
        <w:tc>
          <w:tcPr>
            <w:tcW w:w="945" w:type="dxa"/>
            <w:tcBorders>
              <w:top w:val="nil"/>
              <w:left w:val="nil"/>
              <w:bottom w:val="single" w:sz="8" w:space="0" w:color="auto"/>
              <w:right w:val="single" w:sz="8" w:space="0" w:color="auto"/>
            </w:tcBorders>
            <w:shd w:val="clear" w:color="auto" w:fill="auto"/>
            <w:vAlign w:val="center"/>
            <w:hideMark/>
          </w:tcPr>
          <w:p w14:paraId="77042B10" w14:textId="77777777" w:rsidR="009D6D4E" w:rsidRPr="006A5422" w:rsidRDefault="009D6D4E" w:rsidP="00BF3B71">
            <w:pPr>
              <w:jc w:val="right"/>
              <w:rPr>
                <w:color w:val="000000"/>
                <w:sz w:val="18"/>
                <w:szCs w:val="18"/>
              </w:rPr>
            </w:pPr>
            <w:r w:rsidRPr="006A5422">
              <w:rPr>
                <w:color w:val="000000"/>
                <w:sz w:val="18"/>
                <w:szCs w:val="18"/>
              </w:rPr>
              <w:t>0.00</w:t>
            </w:r>
          </w:p>
        </w:tc>
        <w:tc>
          <w:tcPr>
            <w:tcW w:w="846" w:type="dxa"/>
            <w:tcBorders>
              <w:top w:val="nil"/>
              <w:left w:val="nil"/>
              <w:bottom w:val="single" w:sz="8" w:space="0" w:color="auto"/>
              <w:right w:val="single" w:sz="8" w:space="0" w:color="auto"/>
            </w:tcBorders>
            <w:shd w:val="clear" w:color="auto" w:fill="auto"/>
            <w:vAlign w:val="center"/>
            <w:hideMark/>
          </w:tcPr>
          <w:p w14:paraId="75F50D8E" w14:textId="77777777" w:rsidR="009D6D4E" w:rsidRPr="006A5422" w:rsidRDefault="009D6D4E" w:rsidP="00BF3B71">
            <w:pPr>
              <w:jc w:val="right"/>
              <w:rPr>
                <w:color w:val="000000"/>
                <w:sz w:val="18"/>
                <w:szCs w:val="18"/>
              </w:rPr>
            </w:pPr>
            <w:r w:rsidRPr="006A5422">
              <w:rPr>
                <w:color w:val="000000"/>
                <w:sz w:val="18"/>
                <w:szCs w:val="18"/>
              </w:rPr>
              <w:t>0.00</w:t>
            </w:r>
          </w:p>
        </w:tc>
        <w:tc>
          <w:tcPr>
            <w:tcW w:w="1718" w:type="dxa"/>
            <w:gridSpan w:val="2"/>
            <w:tcBorders>
              <w:top w:val="nil"/>
              <w:left w:val="nil"/>
              <w:bottom w:val="single" w:sz="8" w:space="0" w:color="auto"/>
              <w:right w:val="single" w:sz="8" w:space="0" w:color="auto"/>
            </w:tcBorders>
            <w:shd w:val="clear" w:color="auto" w:fill="auto"/>
            <w:vAlign w:val="center"/>
            <w:hideMark/>
          </w:tcPr>
          <w:p w14:paraId="5515ED75" w14:textId="77777777" w:rsidR="009D6D4E" w:rsidRPr="006A5422" w:rsidRDefault="009D6D4E" w:rsidP="00BF3B71">
            <w:pPr>
              <w:jc w:val="right"/>
              <w:rPr>
                <w:color w:val="000000"/>
                <w:sz w:val="18"/>
                <w:szCs w:val="18"/>
              </w:rPr>
            </w:pPr>
            <w:r w:rsidRPr="006A5422">
              <w:rPr>
                <w:color w:val="000000"/>
                <w:sz w:val="18"/>
                <w:szCs w:val="18"/>
              </w:rPr>
              <w:t>0.00</w:t>
            </w:r>
          </w:p>
        </w:tc>
        <w:tc>
          <w:tcPr>
            <w:tcW w:w="967" w:type="dxa"/>
            <w:tcBorders>
              <w:top w:val="nil"/>
              <w:left w:val="nil"/>
              <w:bottom w:val="single" w:sz="8" w:space="0" w:color="auto"/>
              <w:right w:val="single" w:sz="8" w:space="0" w:color="auto"/>
            </w:tcBorders>
            <w:shd w:val="clear" w:color="auto" w:fill="auto"/>
            <w:vAlign w:val="center"/>
            <w:hideMark/>
          </w:tcPr>
          <w:p w14:paraId="4543787F" w14:textId="77777777" w:rsidR="009D6D4E" w:rsidRPr="006A5422" w:rsidRDefault="009D6D4E" w:rsidP="00BF3B71">
            <w:pPr>
              <w:jc w:val="right"/>
              <w:rPr>
                <w:color w:val="000000"/>
                <w:sz w:val="18"/>
                <w:szCs w:val="18"/>
              </w:rPr>
            </w:pPr>
            <w:r w:rsidRPr="006A5422">
              <w:rPr>
                <w:color w:val="000000"/>
                <w:sz w:val="18"/>
                <w:szCs w:val="18"/>
              </w:rPr>
              <w:t>0.00</w:t>
            </w:r>
          </w:p>
        </w:tc>
        <w:tc>
          <w:tcPr>
            <w:tcW w:w="1601" w:type="dxa"/>
            <w:gridSpan w:val="2"/>
            <w:tcBorders>
              <w:top w:val="nil"/>
              <w:left w:val="nil"/>
              <w:bottom w:val="single" w:sz="8" w:space="0" w:color="auto"/>
              <w:right w:val="single" w:sz="8" w:space="0" w:color="auto"/>
            </w:tcBorders>
            <w:shd w:val="clear" w:color="auto" w:fill="auto"/>
            <w:vAlign w:val="center"/>
            <w:hideMark/>
          </w:tcPr>
          <w:p w14:paraId="4872758E" w14:textId="77777777" w:rsidR="009D6D4E" w:rsidRPr="006A5422" w:rsidRDefault="009D6D4E" w:rsidP="00BF3B71">
            <w:pPr>
              <w:jc w:val="right"/>
              <w:rPr>
                <w:color w:val="000000"/>
                <w:sz w:val="18"/>
                <w:szCs w:val="18"/>
              </w:rPr>
            </w:pPr>
            <w:r w:rsidRPr="006A5422">
              <w:rPr>
                <w:color w:val="000000"/>
                <w:sz w:val="18"/>
                <w:szCs w:val="18"/>
              </w:rPr>
              <w:t>55,205.00</w:t>
            </w:r>
          </w:p>
        </w:tc>
        <w:tc>
          <w:tcPr>
            <w:tcW w:w="877" w:type="dxa"/>
            <w:tcBorders>
              <w:top w:val="nil"/>
              <w:left w:val="nil"/>
              <w:bottom w:val="single" w:sz="8" w:space="0" w:color="auto"/>
              <w:right w:val="single" w:sz="8" w:space="0" w:color="auto"/>
            </w:tcBorders>
            <w:shd w:val="clear" w:color="auto" w:fill="auto"/>
            <w:vAlign w:val="center"/>
            <w:hideMark/>
          </w:tcPr>
          <w:p w14:paraId="6A14A51F" w14:textId="77777777" w:rsidR="009D6D4E" w:rsidRPr="006A5422" w:rsidRDefault="009D6D4E" w:rsidP="00BF3B71">
            <w:pPr>
              <w:jc w:val="right"/>
              <w:rPr>
                <w:color w:val="000000"/>
                <w:sz w:val="18"/>
                <w:szCs w:val="18"/>
              </w:rPr>
            </w:pPr>
            <w:r w:rsidRPr="006A5422">
              <w:rPr>
                <w:color w:val="000000"/>
                <w:sz w:val="18"/>
                <w:szCs w:val="18"/>
              </w:rPr>
              <w:t>0.00</w:t>
            </w:r>
          </w:p>
        </w:tc>
        <w:tc>
          <w:tcPr>
            <w:tcW w:w="1603" w:type="dxa"/>
            <w:gridSpan w:val="2"/>
            <w:tcBorders>
              <w:top w:val="nil"/>
              <w:left w:val="nil"/>
              <w:bottom w:val="single" w:sz="8" w:space="0" w:color="auto"/>
              <w:right w:val="single" w:sz="8" w:space="0" w:color="auto"/>
            </w:tcBorders>
            <w:shd w:val="clear" w:color="auto" w:fill="auto"/>
            <w:vAlign w:val="center"/>
            <w:hideMark/>
          </w:tcPr>
          <w:p w14:paraId="350F7C9D" w14:textId="77777777" w:rsidR="009D6D4E" w:rsidRPr="006A5422" w:rsidRDefault="009D6D4E" w:rsidP="00BF3B71">
            <w:pPr>
              <w:jc w:val="right"/>
              <w:rPr>
                <w:color w:val="000000"/>
                <w:sz w:val="18"/>
                <w:szCs w:val="18"/>
              </w:rPr>
            </w:pPr>
            <w:r w:rsidRPr="006A5422">
              <w:rPr>
                <w:color w:val="000000"/>
                <w:sz w:val="18"/>
                <w:szCs w:val="18"/>
              </w:rPr>
              <w:t>0.00</w:t>
            </w:r>
          </w:p>
        </w:tc>
        <w:tc>
          <w:tcPr>
            <w:tcW w:w="973" w:type="dxa"/>
            <w:tcBorders>
              <w:top w:val="nil"/>
              <w:left w:val="nil"/>
              <w:bottom w:val="single" w:sz="8" w:space="0" w:color="auto"/>
              <w:right w:val="single" w:sz="8" w:space="0" w:color="auto"/>
            </w:tcBorders>
            <w:shd w:val="clear" w:color="auto" w:fill="auto"/>
            <w:vAlign w:val="center"/>
            <w:hideMark/>
          </w:tcPr>
          <w:p w14:paraId="2E2C7185" w14:textId="77777777" w:rsidR="009D6D4E" w:rsidRPr="006A5422" w:rsidRDefault="009D6D4E" w:rsidP="00BF3B71">
            <w:pPr>
              <w:jc w:val="right"/>
              <w:rPr>
                <w:b/>
                <w:bCs/>
                <w:color w:val="000000"/>
                <w:sz w:val="18"/>
                <w:szCs w:val="18"/>
              </w:rPr>
            </w:pPr>
            <w:r w:rsidRPr="006A5422">
              <w:rPr>
                <w:b/>
                <w:bCs/>
                <w:color w:val="000000"/>
                <w:sz w:val="18"/>
                <w:szCs w:val="18"/>
              </w:rPr>
              <w:t>55,205</w:t>
            </w:r>
          </w:p>
        </w:tc>
      </w:tr>
      <w:tr w:rsidR="009D6D4E" w:rsidRPr="006A5422" w14:paraId="311CC781" w14:textId="77777777" w:rsidTr="00BF3B71">
        <w:trPr>
          <w:trHeight w:val="291"/>
        </w:trPr>
        <w:tc>
          <w:tcPr>
            <w:tcW w:w="747" w:type="dxa"/>
            <w:gridSpan w:val="2"/>
            <w:tcBorders>
              <w:top w:val="nil"/>
              <w:left w:val="single" w:sz="8" w:space="0" w:color="auto"/>
              <w:bottom w:val="single" w:sz="8" w:space="0" w:color="auto"/>
              <w:right w:val="single" w:sz="8" w:space="0" w:color="auto"/>
            </w:tcBorders>
            <w:shd w:val="clear" w:color="auto" w:fill="auto"/>
            <w:vAlign w:val="center"/>
            <w:hideMark/>
          </w:tcPr>
          <w:p w14:paraId="33450DF9" w14:textId="77777777" w:rsidR="009D6D4E" w:rsidRPr="006A5422" w:rsidRDefault="009D6D4E" w:rsidP="00BF3B71">
            <w:pPr>
              <w:jc w:val="both"/>
              <w:rPr>
                <w:color w:val="000000"/>
                <w:sz w:val="18"/>
                <w:szCs w:val="18"/>
              </w:rPr>
            </w:pPr>
            <w:r w:rsidRPr="006A5422">
              <w:rPr>
                <w:color w:val="000000"/>
                <w:sz w:val="18"/>
                <w:szCs w:val="18"/>
              </w:rPr>
              <w:t>2021</w:t>
            </w:r>
          </w:p>
        </w:tc>
        <w:tc>
          <w:tcPr>
            <w:tcW w:w="945" w:type="dxa"/>
            <w:tcBorders>
              <w:top w:val="nil"/>
              <w:left w:val="nil"/>
              <w:bottom w:val="single" w:sz="8" w:space="0" w:color="auto"/>
              <w:right w:val="single" w:sz="8" w:space="0" w:color="auto"/>
            </w:tcBorders>
            <w:shd w:val="clear" w:color="auto" w:fill="auto"/>
            <w:vAlign w:val="center"/>
            <w:hideMark/>
          </w:tcPr>
          <w:p w14:paraId="7B35C89E" w14:textId="77777777" w:rsidR="009D6D4E" w:rsidRPr="006A5422" w:rsidRDefault="009D6D4E" w:rsidP="00BF3B71">
            <w:pPr>
              <w:jc w:val="right"/>
              <w:rPr>
                <w:color w:val="000000"/>
                <w:sz w:val="18"/>
                <w:szCs w:val="18"/>
              </w:rPr>
            </w:pPr>
            <w:r w:rsidRPr="006A5422">
              <w:rPr>
                <w:color w:val="000000"/>
                <w:sz w:val="18"/>
                <w:szCs w:val="18"/>
              </w:rPr>
              <w:t>0.00</w:t>
            </w:r>
          </w:p>
        </w:tc>
        <w:tc>
          <w:tcPr>
            <w:tcW w:w="846" w:type="dxa"/>
            <w:tcBorders>
              <w:top w:val="nil"/>
              <w:left w:val="nil"/>
              <w:bottom w:val="single" w:sz="8" w:space="0" w:color="auto"/>
              <w:right w:val="single" w:sz="8" w:space="0" w:color="auto"/>
            </w:tcBorders>
            <w:shd w:val="clear" w:color="auto" w:fill="auto"/>
            <w:vAlign w:val="center"/>
            <w:hideMark/>
          </w:tcPr>
          <w:p w14:paraId="595E5A52" w14:textId="77777777" w:rsidR="009D6D4E" w:rsidRPr="006A5422" w:rsidRDefault="009D6D4E" w:rsidP="00BF3B71">
            <w:pPr>
              <w:jc w:val="right"/>
              <w:rPr>
                <w:color w:val="000000"/>
                <w:sz w:val="18"/>
                <w:szCs w:val="18"/>
              </w:rPr>
            </w:pPr>
            <w:r w:rsidRPr="006A5422">
              <w:rPr>
                <w:color w:val="000000"/>
                <w:sz w:val="18"/>
                <w:szCs w:val="18"/>
              </w:rPr>
              <w:t>0.00</w:t>
            </w:r>
          </w:p>
        </w:tc>
        <w:tc>
          <w:tcPr>
            <w:tcW w:w="1718" w:type="dxa"/>
            <w:gridSpan w:val="2"/>
            <w:tcBorders>
              <w:top w:val="nil"/>
              <w:left w:val="nil"/>
              <w:bottom w:val="single" w:sz="8" w:space="0" w:color="auto"/>
              <w:right w:val="single" w:sz="8" w:space="0" w:color="auto"/>
            </w:tcBorders>
            <w:shd w:val="clear" w:color="auto" w:fill="auto"/>
            <w:vAlign w:val="center"/>
            <w:hideMark/>
          </w:tcPr>
          <w:p w14:paraId="13BBDE9F" w14:textId="77777777" w:rsidR="009D6D4E" w:rsidRPr="006A5422" w:rsidRDefault="009D6D4E" w:rsidP="00BF3B71">
            <w:pPr>
              <w:jc w:val="right"/>
              <w:rPr>
                <w:color w:val="000000"/>
                <w:sz w:val="18"/>
                <w:szCs w:val="18"/>
              </w:rPr>
            </w:pPr>
            <w:r w:rsidRPr="006A5422">
              <w:rPr>
                <w:color w:val="000000"/>
                <w:sz w:val="18"/>
                <w:szCs w:val="18"/>
              </w:rPr>
              <w:t>0.00</w:t>
            </w:r>
          </w:p>
        </w:tc>
        <w:tc>
          <w:tcPr>
            <w:tcW w:w="967" w:type="dxa"/>
            <w:tcBorders>
              <w:top w:val="nil"/>
              <w:left w:val="nil"/>
              <w:bottom w:val="single" w:sz="8" w:space="0" w:color="auto"/>
              <w:right w:val="single" w:sz="8" w:space="0" w:color="auto"/>
            </w:tcBorders>
            <w:shd w:val="clear" w:color="auto" w:fill="auto"/>
            <w:vAlign w:val="center"/>
            <w:hideMark/>
          </w:tcPr>
          <w:p w14:paraId="295843A5" w14:textId="77777777" w:rsidR="009D6D4E" w:rsidRPr="006A5422" w:rsidRDefault="009D6D4E" w:rsidP="00BF3B71">
            <w:pPr>
              <w:jc w:val="right"/>
              <w:rPr>
                <w:color w:val="000000"/>
                <w:sz w:val="18"/>
                <w:szCs w:val="18"/>
              </w:rPr>
            </w:pPr>
            <w:r w:rsidRPr="006A5422">
              <w:rPr>
                <w:color w:val="000000"/>
                <w:sz w:val="18"/>
                <w:szCs w:val="18"/>
              </w:rPr>
              <w:t>0.00</w:t>
            </w:r>
          </w:p>
        </w:tc>
        <w:tc>
          <w:tcPr>
            <w:tcW w:w="1601" w:type="dxa"/>
            <w:gridSpan w:val="2"/>
            <w:tcBorders>
              <w:top w:val="nil"/>
              <w:left w:val="nil"/>
              <w:bottom w:val="single" w:sz="8" w:space="0" w:color="auto"/>
              <w:right w:val="single" w:sz="8" w:space="0" w:color="auto"/>
            </w:tcBorders>
            <w:shd w:val="clear" w:color="auto" w:fill="auto"/>
            <w:vAlign w:val="center"/>
            <w:hideMark/>
          </w:tcPr>
          <w:p w14:paraId="3A27C82A" w14:textId="77777777" w:rsidR="009D6D4E" w:rsidRPr="006A5422" w:rsidRDefault="009D6D4E" w:rsidP="00BF3B71">
            <w:pPr>
              <w:jc w:val="right"/>
              <w:rPr>
                <w:color w:val="000000"/>
                <w:sz w:val="18"/>
                <w:szCs w:val="18"/>
              </w:rPr>
            </w:pPr>
            <w:r w:rsidRPr="006A5422">
              <w:rPr>
                <w:color w:val="000000"/>
                <w:sz w:val="18"/>
                <w:szCs w:val="18"/>
              </w:rPr>
              <w:t>28,205.00</w:t>
            </w:r>
          </w:p>
        </w:tc>
        <w:tc>
          <w:tcPr>
            <w:tcW w:w="877" w:type="dxa"/>
            <w:tcBorders>
              <w:top w:val="nil"/>
              <w:left w:val="nil"/>
              <w:bottom w:val="single" w:sz="8" w:space="0" w:color="auto"/>
              <w:right w:val="single" w:sz="8" w:space="0" w:color="auto"/>
            </w:tcBorders>
            <w:shd w:val="clear" w:color="auto" w:fill="auto"/>
            <w:vAlign w:val="center"/>
            <w:hideMark/>
          </w:tcPr>
          <w:p w14:paraId="2336C814" w14:textId="77777777" w:rsidR="009D6D4E" w:rsidRPr="006A5422" w:rsidRDefault="009D6D4E" w:rsidP="00BF3B71">
            <w:pPr>
              <w:jc w:val="right"/>
              <w:rPr>
                <w:color w:val="000000"/>
                <w:sz w:val="18"/>
                <w:szCs w:val="18"/>
              </w:rPr>
            </w:pPr>
            <w:r w:rsidRPr="006A5422">
              <w:rPr>
                <w:color w:val="000000"/>
                <w:sz w:val="18"/>
                <w:szCs w:val="18"/>
              </w:rPr>
              <w:t>0.00</w:t>
            </w:r>
          </w:p>
        </w:tc>
        <w:tc>
          <w:tcPr>
            <w:tcW w:w="1603" w:type="dxa"/>
            <w:gridSpan w:val="2"/>
            <w:tcBorders>
              <w:top w:val="nil"/>
              <w:left w:val="nil"/>
              <w:bottom w:val="single" w:sz="8" w:space="0" w:color="auto"/>
              <w:right w:val="single" w:sz="8" w:space="0" w:color="auto"/>
            </w:tcBorders>
            <w:shd w:val="clear" w:color="auto" w:fill="auto"/>
            <w:vAlign w:val="center"/>
            <w:hideMark/>
          </w:tcPr>
          <w:p w14:paraId="07A6726C" w14:textId="77777777" w:rsidR="009D6D4E" w:rsidRPr="006A5422" w:rsidRDefault="009D6D4E" w:rsidP="00BF3B71">
            <w:pPr>
              <w:jc w:val="right"/>
              <w:rPr>
                <w:color w:val="000000"/>
                <w:sz w:val="18"/>
                <w:szCs w:val="18"/>
              </w:rPr>
            </w:pPr>
            <w:r w:rsidRPr="006A5422">
              <w:rPr>
                <w:color w:val="000000"/>
                <w:sz w:val="18"/>
                <w:szCs w:val="18"/>
              </w:rPr>
              <w:t>0.00</w:t>
            </w:r>
          </w:p>
        </w:tc>
        <w:tc>
          <w:tcPr>
            <w:tcW w:w="973" w:type="dxa"/>
            <w:tcBorders>
              <w:top w:val="nil"/>
              <w:left w:val="nil"/>
              <w:bottom w:val="single" w:sz="8" w:space="0" w:color="auto"/>
              <w:right w:val="single" w:sz="8" w:space="0" w:color="auto"/>
            </w:tcBorders>
            <w:shd w:val="clear" w:color="auto" w:fill="auto"/>
            <w:vAlign w:val="center"/>
            <w:hideMark/>
          </w:tcPr>
          <w:p w14:paraId="178053D5" w14:textId="77777777" w:rsidR="009D6D4E" w:rsidRPr="006A5422" w:rsidRDefault="009D6D4E" w:rsidP="00BF3B71">
            <w:pPr>
              <w:jc w:val="right"/>
              <w:rPr>
                <w:b/>
                <w:bCs/>
                <w:color w:val="000000"/>
                <w:sz w:val="18"/>
                <w:szCs w:val="18"/>
              </w:rPr>
            </w:pPr>
            <w:r w:rsidRPr="006A5422">
              <w:rPr>
                <w:b/>
                <w:bCs/>
                <w:color w:val="000000"/>
                <w:sz w:val="18"/>
                <w:szCs w:val="18"/>
              </w:rPr>
              <w:t>28,205</w:t>
            </w:r>
          </w:p>
        </w:tc>
      </w:tr>
    </w:tbl>
    <w:p w14:paraId="381E7163" w14:textId="77777777" w:rsidR="009D6D4E" w:rsidRDefault="009D6D4E" w:rsidP="009D6D4E"/>
    <w:tbl>
      <w:tblPr>
        <w:tblW w:w="10387" w:type="dxa"/>
        <w:tblLook w:val="04A0" w:firstRow="1" w:lastRow="0" w:firstColumn="1" w:lastColumn="0" w:noHBand="0" w:noVBand="1"/>
      </w:tblPr>
      <w:tblGrid>
        <w:gridCol w:w="717"/>
        <w:gridCol w:w="999"/>
        <w:gridCol w:w="134"/>
        <w:gridCol w:w="889"/>
        <w:gridCol w:w="1500"/>
        <w:gridCol w:w="142"/>
        <w:gridCol w:w="945"/>
        <w:gridCol w:w="1298"/>
        <w:gridCol w:w="103"/>
        <w:gridCol w:w="786"/>
        <w:gridCol w:w="622"/>
        <w:gridCol w:w="740"/>
        <w:gridCol w:w="438"/>
        <w:gridCol w:w="1074"/>
      </w:tblGrid>
      <w:tr w:rsidR="009D6D4E" w:rsidRPr="00FD5486" w14:paraId="66601556" w14:textId="77777777" w:rsidTr="00BF3B71">
        <w:trPr>
          <w:trHeight w:val="500"/>
        </w:trPr>
        <w:tc>
          <w:tcPr>
            <w:tcW w:w="10387"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02F0AE6C" w14:textId="77777777" w:rsidR="009D6D4E" w:rsidRPr="00FD5486" w:rsidRDefault="009D6D4E" w:rsidP="00BF3B71">
            <w:pPr>
              <w:jc w:val="both"/>
              <w:rPr>
                <w:b/>
                <w:bCs/>
                <w:color w:val="000000"/>
                <w:sz w:val="18"/>
                <w:szCs w:val="18"/>
              </w:rPr>
            </w:pPr>
            <w:r w:rsidRPr="00FD5486">
              <w:rPr>
                <w:b/>
                <w:bCs/>
                <w:color w:val="000000"/>
                <w:sz w:val="18"/>
                <w:szCs w:val="18"/>
              </w:rPr>
              <w:t>Tabela 10 a.: Kostimi i masës së reformës strukturore: Masa # 11Ulja e ekonomisw jo-formale</w:t>
            </w:r>
          </w:p>
        </w:tc>
      </w:tr>
      <w:tr w:rsidR="009D6D4E" w:rsidRPr="00FD5486" w14:paraId="09533527" w14:textId="77777777" w:rsidTr="00BF3B71">
        <w:trPr>
          <w:trHeight w:val="366"/>
        </w:trPr>
        <w:tc>
          <w:tcPr>
            <w:tcW w:w="17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0F1F759D" w14:textId="77777777" w:rsidR="009D6D4E" w:rsidRPr="00FD5486" w:rsidRDefault="009D6D4E" w:rsidP="00BF3B71">
            <w:pPr>
              <w:rPr>
                <w:rFonts w:ascii="Calibri" w:hAnsi="Calibri" w:cs="Calibri"/>
                <w:color w:val="000000"/>
              </w:rPr>
            </w:pPr>
            <w:r w:rsidRPr="00FD5486">
              <w:rPr>
                <w:rFonts w:ascii="Calibri" w:hAnsi="Calibri" w:cs="Calibri"/>
                <w:color w:val="000000"/>
              </w:rPr>
              <w:t> </w:t>
            </w:r>
          </w:p>
        </w:tc>
        <w:tc>
          <w:tcPr>
            <w:tcW w:w="2523" w:type="dxa"/>
            <w:gridSpan w:val="3"/>
            <w:tcBorders>
              <w:top w:val="nil"/>
              <w:left w:val="nil"/>
              <w:bottom w:val="single" w:sz="4" w:space="0" w:color="auto"/>
              <w:right w:val="single" w:sz="4" w:space="0" w:color="auto"/>
            </w:tcBorders>
            <w:shd w:val="clear" w:color="auto" w:fill="auto"/>
            <w:vAlign w:val="center"/>
            <w:hideMark/>
          </w:tcPr>
          <w:p w14:paraId="44EFCBB2" w14:textId="77777777" w:rsidR="009D6D4E" w:rsidRPr="00FD5486" w:rsidRDefault="009D6D4E" w:rsidP="00BF3B71">
            <w:pPr>
              <w:jc w:val="both"/>
              <w:rPr>
                <w:color w:val="000000"/>
                <w:sz w:val="18"/>
                <w:szCs w:val="18"/>
              </w:rPr>
            </w:pPr>
            <w:r w:rsidRPr="00FD5486">
              <w:rPr>
                <w:color w:val="000000"/>
                <w:sz w:val="18"/>
                <w:szCs w:val="18"/>
              </w:rPr>
              <w:t>Pagat</w:t>
            </w:r>
          </w:p>
        </w:tc>
        <w:tc>
          <w:tcPr>
            <w:tcW w:w="2488" w:type="dxa"/>
            <w:gridSpan w:val="4"/>
            <w:tcBorders>
              <w:top w:val="nil"/>
              <w:left w:val="nil"/>
              <w:bottom w:val="single" w:sz="4" w:space="0" w:color="auto"/>
              <w:right w:val="single" w:sz="4" w:space="0" w:color="auto"/>
            </w:tcBorders>
            <w:shd w:val="clear" w:color="auto" w:fill="auto"/>
            <w:vAlign w:val="center"/>
            <w:hideMark/>
          </w:tcPr>
          <w:p w14:paraId="3E664654" w14:textId="77777777" w:rsidR="009D6D4E" w:rsidRPr="00FD5486" w:rsidRDefault="009D6D4E" w:rsidP="00BF3B71">
            <w:pPr>
              <w:jc w:val="both"/>
              <w:rPr>
                <w:color w:val="000000"/>
                <w:sz w:val="18"/>
                <w:szCs w:val="18"/>
              </w:rPr>
            </w:pPr>
            <w:r w:rsidRPr="00FD5486">
              <w:rPr>
                <w:color w:val="000000"/>
                <w:sz w:val="18"/>
                <w:szCs w:val="18"/>
              </w:rPr>
              <w:t>Mallra dhe shërbime</w:t>
            </w:r>
          </w:p>
        </w:tc>
        <w:tc>
          <w:tcPr>
            <w:tcW w:w="1408" w:type="dxa"/>
            <w:gridSpan w:val="2"/>
            <w:tcBorders>
              <w:top w:val="nil"/>
              <w:left w:val="nil"/>
              <w:bottom w:val="single" w:sz="4" w:space="0" w:color="auto"/>
              <w:right w:val="single" w:sz="4" w:space="0" w:color="auto"/>
            </w:tcBorders>
            <w:shd w:val="clear" w:color="auto" w:fill="auto"/>
            <w:vAlign w:val="center"/>
            <w:hideMark/>
          </w:tcPr>
          <w:p w14:paraId="74A4D61C" w14:textId="77777777" w:rsidR="009D6D4E" w:rsidRPr="00FD5486" w:rsidRDefault="009D6D4E" w:rsidP="00BF3B71">
            <w:pPr>
              <w:jc w:val="both"/>
              <w:rPr>
                <w:color w:val="000000"/>
                <w:sz w:val="18"/>
                <w:szCs w:val="18"/>
              </w:rPr>
            </w:pPr>
            <w:r w:rsidRPr="00FD5486">
              <w:rPr>
                <w:color w:val="000000"/>
                <w:sz w:val="18"/>
                <w:szCs w:val="18"/>
              </w:rPr>
              <w:t xml:space="preserve">Subvencione dhe transfere </w:t>
            </w:r>
          </w:p>
        </w:tc>
        <w:tc>
          <w:tcPr>
            <w:tcW w:w="1178" w:type="dxa"/>
            <w:gridSpan w:val="2"/>
            <w:tcBorders>
              <w:top w:val="nil"/>
              <w:left w:val="nil"/>
              <w:bottom w:val="single" w:sz="4" w:space="0" w:color="auto"/>
              <w:right w:val="single" w:sz="4" w:space="0" w:color="auto"/>
            </w:tcBorders>
            <w:shd w:val="clear" w:color="auto" w:fill="auto"/>
            <w:vAlign w:val="center"/>
            <w:hideMark/>
          </w:tcPr>
          <w:p w14:paraId="72B6E8F4" w14:textId="77777777" w:rsidR="009D6D4E" w:rsidRPr="00FD5486" w:rsidRDefault="009D6D4E" w:rsidP="00BF3B71">
            <w:pPr>
              <w:jc w:val="both"/>
              <w:rPr>
                <w:color w:val="000000"/>
                <w:sz w:val="18"/>
                <w:szCs w:val="18"/>
              </w:rPr>
            </w:pPr>
            <w:r w:rsidRPr="00FD5486">
              <w:rPr>
                <w:color w:val="000000"/>
                <w:sz w:val="18"/>
                <w:szCs w:val="18"/>
              </w:rPr>
              <w:t xml:space="preserve">Shpenzimet kapitale </w:t>
            </w:r>
          </w:p>
        </w:tc>
        <w:tc>
          <w:tcPr>
            <w:tcW w:w="1072" w:type="dxa"/>
            <w:tcBorders>
              <w:top w:val="nil"/>
              <w:left w:val="nil"/>
              <w:bottom w:val="single" w:sz="4" w:space="0" w:color="auto"/>
              <w:right w:val="single" w:sz="4" w:space="0" w:color="auto"/>
            </w:tcBorders>
            <w:shd w:val="clear" w:color="auto" w:fill="auto"/>
            <w:vAlign w:val="center"/>
            <w:hideMark/>
          </w:tcPr>
          <w:p w14:paraId="6E13D159" w14:textId="77777777" w:rsidR="009D6D4E" w:rsidRPr="00CB6955" w:rsidRDefault="009D6D4E" w:rsidP="00BF3B71">
            <w:pPr>
              <w:jc w:val="both"/>
              <w:rPr>
                <w:b/>
                <w:color w:val="000000"/>
                <w:sz w:val="18"/>
                <w:szCs w:val="18"/>
              </w:rPr>
            </w:pPr>
            <w:r w:rsidRPr="00CB6955">
              <w:rPr>
                <w:b/>
                <w:color w:val="000000"/>
                <w:sz w:val="18"/>
                <w:szCs w:val="18"/>
              </w:rPr>
              <w:t xml:space="preserve">Totali </w:t>
            </w:r>
          </w:p>
        </w:tc>
      </w:tr>
      <w:tr w:rsidR="009D6D4E" w:rsidRPr="00FD5486" w14:paraId="37BB5DC4" w14:textId="77777777" w:rsidTr="00BF3B71">
        <w:trPr>
          <w:trHeight w:val="332"/>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14:paraId="582AC959" w14:textId="77777777" w:rsidR="009D6D4E" w:rsidRPr="00FD5486" w:rsidRDefault="009D6D4E" w:rsidP="00BF3B71">
            <w:pPr>
              <w:jc w:val="both"/>
              <w:rPr>
                <w:color w:val="000000"/>
                <w:sz w:val="18"/>
                <w:szCs w:val="18"/>
              </w:rPr>
            </w:pPr>
            <w:r w:rsidRPr="00FD5486">
              <w:rPr>
                <w:color w:val="000000"/>
                <w:sz w:val="18"/>
                <w:szCs w:val="18"/>
              </w:rPr>
              <w:t>2020</w:t>
            </w:r>
          </w:p>
        </w:tc>
        <w:tc>
          <w:tcPr>
            <w:tcW w:w="2523" w:type="dxa"/>
            <w:gridSpan w:val="3"/>
            <w:tcBorders>
              <w:top w:val="nil"/>
              <w:left w:val="nil"/>
              <w:bottom w:val="single" w:sz="4" w:space="0" w:color="auto"/>
              <w:right w:val="single" w:sz="4" w:space="0" w:color="auto"/>
            </w:tcBorders>
            <w:shd w:val="clear" w:color="auto" w:fill="auto"/>
            <w:vAlign w:val="center"/>
            <w:hideMark/>
          </w:tcPr>
          <w:p w14:paraId="7C7B2D4D" w14:textId="77777777" w:rsidR="009D6D4E" w:rsidRPr="00FD5486" w:rsidRDefault="009D6D4E" w:rsidP="00BF3B71">
            <w:pPr>
              <w:rPr>
                <w:color w:val="000000"/>
                <w:sz w:val="18"/>
                <w:szCs w:val="18"/>
              </w:rPr>
            </w:pPr>
            <w:r w:rsidRPr="00FD5486">
              <w:rPr>
                <w:color w:val="000000"/>
                <w:sz w:val="18"/>
                <w:szCs w:val="18"/>
              </w:rPr>
              <w:t xml:space="preserve">                   294,000 </w:t>
            </w:r>
          </w:p>
        </w:tc>
        <w:tc>
          <w:tcPr>
            <w:tcW w:w="2488" w:type="dxa"/>
            <w:gridSpan w:val="4"/>
            <w:tcBorders>
              <w:top w:val="nil"/>
              <w:left w:val="nil"/>
              <w:bottom w:val="single" w:sz="4" w:space="0" w:color="auto"/>
              <w:right w:val="single" w:sz="4" w:space="0" w:color="auto"/>
            </w:tcBorders>
            <w:shd w:val="clear" w:color="auto" w:fill="auto"/>
            <w:vAlign w:val="center"/>
            <w:hideMark/>
          </w:tcPr>
          <w:p w14:paraId="1C85D83D" w14:textId="77777777" w:rsidR="009D6D4E" w:rsidRPr="00FD5486" w:rsidRDefault="009D6D4E" w:rsidP="00BF3B71">
            <w:pPr>
              <w:rPr>
                <w:color w:val="000000"/>
                <w:sz w:val="18"/>
                <w:szCs w:val="18"/>
              </w:rPr>
            </w:pPr>
            <w:r w:rsidRPr="00FD5486">
              <w:rPr>
                <w:color w:val="000000"/>
                <w:sz w:val="18"/>
                <w:szCs w:val="18"/>
              </w:rPr>
              <w:t xml:space="preserve">                            87,500 </w:t>
            </w:r>
          </w:p>
        </w:tc>
        <w:tc>
          <w:tcPr>
            <w:tcW w:w="1408" w:type="dxa"/>
            <w:gridSpan w:val="2"/>
            <w:tcBorders>
              <w:top w:val="nil"/>
              <w:left w:val="nil"/>
              <w:bottom w:val="single" w:sz="4" w:space="0" w:color="auto"/>
              <w:right w:val="single" w:sz="4" w:space="0" w:color="auto"/>
            </w:tcBorders>
            <w:shd w:val="clear" w:color="auto" w:fill="auto"/>
            <w:vAlign w:val="center"/>
            <w:hideMark/>
          </w:tcPr>
          <w:p w14:paraId="55C559FA" w14:textId="77777777" w:rsidR="009D6D4E" w:rsidRPr="00FD5486" w:rsidRDefault="009D6D4E" w:rsidP="00BF3B71">
            <w:pPr>
              <w:jc w:val="both"/>
              <w:rPr>
                <w:color w:val="000000"/>
                <w:sz w:val="18"/>
                <w:szCs w:val="18"/>
              </w:rPr>
            </w:pPr>
            <w:r w:rsidRPr="00FD5486">
              <w:rPr>
                <w:color w:val="000000"/>
                <w:sz w:val="18"/>
                <w:szCs w:val="18"/>
              </w:rPr>
              <w:t> </w:t>
            </w:r>
          </w:p>
        </w:tc>
        <w:tc>
          <w:tcPr>
            <w:tcW w:w="1178" w:type="dxa"/>
            <w:gridSpan w:val="2"/>
            <w:tcBorders>
              <w:top w:val="nil"/>
              <w:left w:val="nil"/>
              <w:bottom w:val="single" w:sz="4" w:space="0" w:color="auto"/>
              <w:right w:val="single" w:sz="4" w:space="0" w:color="auto"/>
            </w:tcBorders>
            <w:shd w:val="clear" w:color="auto" w:fill="auto"/>
            <w:vAlign w:val="center"/>
            <w:hideMark/>
          </w:tcPr>
          <w:p w14:paraId="0F19A00B" w14:textId="77777777" w:rsidR="009D6D4E" w:rsidRPr="00FD5486" w:rsidRDefault="009D6D4E" w:rsidP="00BF3B71">
            <w:pPr>
              <w:jc w:val="both"/>
              <w:rPr>
                <w:color w:val="000000"/>
                <w:sz w:val="18"/>
                <w:szCs w:val="18"/>
              </w:rPr>
            </w:pPr>
            <w:r w:rsidRPr="00FD5486">
              <w:rPr>
                <w:color w:val="000000"/>
                <w:sz w:val="18"/>
                <w:szCs w:val="18"/>
              </w:rPr>
              <w:t> </w:t>
            </w:r>
          </w:p>
        </w:tc>
        <w:tc>
          <w:tcPr>
            <w:tcW w:w="1072" w:type="dxa"/>
            <w:tcBorders>
              <w:top w:val="nil"/>
              <w:left w:val="nil"/>
              <w:bottom w:val="single" w:sz="4" w:space="0" w:color="auto"/>
              <w:right w:val="single" w:sz="4" w:space="0" w:color="auto"/>
            </w:tcBorders>
            <w:shd w:val="clear" w:color="000000" w:fill="FFFFFF"/>
            <w:vAlign w:val="center"/>
            <w:hideMark/>
          </w:tcPr>
          <w:p w14:paraId="651D7FC4" w14:textId="77777777" w:rsidR="009D6D4E" w:rsidRPr="00CB6955" w:rsidRDefault="009D6D4E" w:rsidP="00BF3B71">
            <w:pPr>
              <w:jc w:val="both"/>
              <w:rPr>
                <w:b/>
                <w:color w:val="000000"/>
                <w:sz w:val="18"/>
                <w:szCs w:val="18"/>
              </w:rPr>
            </w:pPr>
            <w:r w:rsidRPr="00CB6955">
              <w:rPr>
                <w:b/>
                <w:color w:val="000000"/>
                <w:sz w:val="18"/>
                <w:szCs w:val="18"/>
              </w:rPr>
              <w:t xml:space="preserve">                          381,500 </w:t>
            </w:r>
          </w:p>
        </w:tc>
      </w:tr>
      <w:tr w:rsidR="009D6D4E" w:rsidRPr="00FD5486" w14:paraId="212B7C53" w14:textId="77777777" w:rsidTr="00BF3B71">
        <w:trPr>
          <w:trHeight w:val="269"/>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14:paraId="2A0900B2" w14:textId="77777777" w:rsidR="009D6D4E" w:rsidRPr="00FD5486" w:rsidRDefault="009D6D4E" w:rsidP="00BF3B71">
            <w:pPr>
              <w:jc w:val="both"/>
              <w:rPr>
                <w:color w:val="000000"/>
                <w:sz w:val="18"/>
                <w:szCs w:val="18"/>
              </w:rPr>
            </w:pPr>
            <w:r w:rsidRPr="00FD5486">
              <w:rPr>
                <w:color w:val="000000"/>
                <w:sz w:val="18"/>
                <w:szCs w:val="18"/>
              </w:rPr>
              <w:t>2021</w:t>
            </w:r>
          </w:p>
        </w:tc>
        <w:tc>
          <w:tcPr>
            <w:tcW w:w="2523" w:type="dxa"/>
            <w:gridSpan w:val="3"/>
            <w:tcBorders>
              <w:top w:val="nil"/>
              <w:left w:val="nil"/>
              <w:bottom w:val="single" w:sz="4" w:space="0" w:color="auto"/>
              <w:right w:val="single" w:sz="4" w:space="0" w:color="auto"/>
            </w:tcBorders>
            <w:shd w:val="clear" w:color="auto" w:fill="auto"/>
            <w:vAlign w:val="center"/>
            <w:hideMark/>
          </w:tcPr>
          <w:p w14:paraId="366C73FF" w14:textId="77777777" w:rsidR="009D6D4E" w:rsidRPr="00FD5486" w:rsidRDefault="009D6D4E" w:rsidP="00BF3B71">
            <w:pPr>
              <w:rPr>
                <w:color w:val="000000"/>
                <w:sz w:val="18"/>
                <w:szCs w:val="18"/>
              </w:rPr>
            </w:pPr>
            <w:r w:rsidRPr="00FD5486">
              <w:rPr>
                <w:color w:val="000000"/>
                <w:sz w:val="18"/>
                <w:szCs w:val="18"/>
              </w:rPr>
              <w:t xml:space="preserve">                   420,000 </w:t>
            </w:r>
          </w:p>
        </w:tc>
        <w:tc>
          <w:tcPr>
            <w:tcW w:w="2488" w:type="dxa"/>
            <w:gridSpan w:val="4"/>
            <w:tcBorders>
              <w:top w:val="nil"/>
              <w:left w:val="nil"/>
              <w:bottom w:val="single" w:sz="4" w:space="0" w:color="auto"/>
              <w:right w:val="single" w:sz="4" w:space="0" w:color="auto"/>
            </w:tcBorders>
            <w:shd w:val="clear" w:color="auto" w:fill="auto"/>
            <w:vAlign w:val="center"/>
            <w:hideMark/>
          </w:tcPr>
          <w:p w14:paraId="79AAD47A" w14:textId="77777777" w:rsidR="009D6D4E" w:rsidRPr="00FD5486" w:rsidRDefault="009D6D4E" w:rsidP="00BF3B71">
            <w:pPr>
              <w:rPr>
                <w:color w:val="000000"/>
                <w:sz w:val="18"/>
                <w:szCs w:val="18"/>
              </w:rPr>
            </w:pPr>
            <w:r w:rsidRPr="00FD5486">
              <w:rPr>
                <w:color w:val="000000"/>
                <w:sz w:val="18"/>
                <w:szCs w:val="18"/>
              </w:rPr>
              <w:t xml:space="preserve">                            21,640 </w:t>
            </w:r>
          </w:p>
        </w:tc>
        <w:tc>
          <w:tcPr>
            <w:tcW w:w="1408" w:type="dxa"/>
            <w:gridSpan w:val="2"/>
            <w:tcBorders>
              <w:top w:val="nil"/>
              <w:left w:val="nil"/>
              <w:bottom w:val="single" w:sz="4" w:space="0" w:color="auto"/>
              <w:right w:val="single" w:sz="4" w:space="0" w:color="auto"/>
            </w:tcBorders>
            <w:shd w:val="clear" w:color="auto" w:fill="auto"/>
            <w:vAlign w:val="center"/>
            <w:hideMark/>
          </w:tcPr>
          <w:p w14:paraId="29A63A2B" w14:textId="77777777" w:rsidR="009D6D4E" w:rsidRPr="00FD5486" w:rsidRDefault="009D6D4E" w:rsidP="00BF3B71">
            <w:pPr>
              <w:jc w:val="both"/>
              <w:rPr>
                <w:color w:val="000000"/>
                <w:sz w:val="18"/>
                <w:szCs w:val="18"/>
              </w:rPr>
            </w:pPr>
            <w:r w:rsidRPr="00FD5486">
              <w:rPr>
                <w:color w:val="000000"/>
                <w:sz w:val="18"/>
                <w:szCs w:val="18"/>
              </w:rPr>
              <w:t> </w:t>
            </w:r>
          </w:p>
        </w:tc>
        <w:tc>
          <w:tcPr>
            <w:tcW w:w="1178" w:type="dxa"/>
            <w:gridSpan w:val="2"/>
            <w:tcBorders>
              <w:top w:val="nil"/>
              <w:left w:val="nil"/>
              <w:bottom w:val="single" w:sz="4" w:space="0" w:color="auto"/>
              <w:right w:val="single" w:sz="4" w:space="0" w:color="auto"/>
            </w:tcBorders>
            <w:shd w:val="clear" w:color="auto" w:fill="auto"/>
            <w:vAlign w:val="center"/>
            <w:hideMark/>
          </w:tcPr>
          <w:p w14:paraId="6912422F" w14:textId="77777777" w:rsidR="009D6D4E" w:rsidRPr="00FD5486" w:rsidRDefault="009D6D4E" w:rsidP="00BF3B71">
            <w:pPr>
              <w:jc w:val="both"/>
              <w:rPr>
                <w:color w:val="000000"/>
                <w:sz w:val="18"/>
                <w:szCs w:val="18"/>
              </w:rPr>
            </w:pPr>
            <w:r w:rsidRPr="00FD5486">
              <w:rPr>
                <w:color w:val="000000"/>
                <w:sz w:val="18"/>
                <w:szCs w:val="18"/>
              </w:rPr>
              <w:t> </w:t>
            </w:r>
          </w:p>
        </w:tc>
        <w:tc>
          <w:tcPr>
            <w:tcW w:w="1072" w:type="dxa"/>
            <w:tcBorders>
              <w:top w:val="nil"/>
              <w:left w:val="nil"/>
              <w:bottom w:val="single" w:sz="4" w:space="0" w:color="auto"/>
              <w:right w:val="single" w:sz="4" w:space="0" w:color="auto"/>
            </w:tcBorders>
            <w:shd w:val="clear" w:color="000000" w:fill="FFFFFF"/>
            <w:vAlign w:val="center"/>
            <w:hideMark/>
          </w:tcPr>
          <w:p w14:paraId="7C81F89C" w14:textId="77777777" w:rsidR="009D6D4E" w:rsidRPr="00CB6955" w:rsidRDefault="009D6D4E" w:rsidP="00BF3B71">
            <w:pPr>
              <w:jc w:val="both"/>
              <w:rPr>
                <w:b/>
                <w:color w:val="000000"/>
                <w:sz w:val="18"/>
                <w:szCs w:val="18"/>
              </w:rPr>
            </w:pPr>
            <w:r w:rsidRPr="00CB6955">
              <w:rPr>
                <w:b/>
                <w:color w:val="000000"/>
                <w:sz w:val="18"/>
                <w:szCs w:val="18"/>
              </w:rPr>
              <w:t xml:space="preserve">                          441,640 </w:t>
            </w:r>
          </w:p>
        </w:tc>
      </w:tr>
      <w:tr w:rsidR="009D6D4E" w:rsidRPr="00FD5486" w14:paraId="44B6EA45" w14:textId="77777777" w:rsidTr="00BF3B71">
        <w:trPr>
          <w:trHeight w:val="500"/>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14:paraId="1C4D352D" w14:textId="77777777" w:rsidR="009D6D4E" w:rsidRPr="00FD5486" w:rsidRDefault="009D6D4E" w:rsidP="00BF3B71">
            <w:pPr>
              <w:jc w:val="both"/>
              <w:rPr>
                <w:color w:val="000000"/>
                <w:sz w:val="18"/>
                <w:szCs w:val="18"/>
              </w:rPr>
            </w:pPr>
            <w:r w:rsidRPr="00FD5486">
              <w:rPr>
                <w:color w:val="000000"/>
                <w:sz w:val="18"/>
                <w:szCs w:val="18"/>
              </w:rPr>
              <w:t>2022</w:t>
            </w:r>
          </w:p>
        </w:tc>
        <w:tc>
          <w:tcPr>
            <w:tcW w:w="2523" w:type="dxa"/>
            <w:gridSpan w:val="3"/>
            <w:tcBorders>
              <w:top w:val="nil"/>
              <w:left w:val="nil"/>
              <w:bottom w:val="single" w:sz="4" w:space="0" w:color="auto"/>
              <w:right w:val="single" w:sz="4" w:space="0" w:color="auto"/>
            </w:tcBorders>
            <w:shd w:val="clear" w:color="auto" w:fill="auto"/>
            <w:vAlign w:val="center"/>
            <w:hideMark/>
          </w:tcPr>
          <w:p w14:paraId="58FDBB97" w14:textId="77777777" w:rsidR="009D6D4E" w:rsidRPr="00FD5486" w:rsidRDefault="009D6D4E" w:rsidP="00BF3B71">
            <w:pPr>
              <w:rPr>
                <w:color w:val="000000"/>
                <w:sz w:val="18"/>
                <w:szCs w:val="18"/>
              </w:rPr>
            </w:pPr>
            <w:r w:rsidRPr="00FD5486">
              <w:rPr>
                <w:color w:val="000000"/>
                <w:sz w:val="18"/>
                <w:szCs w:val="18"/>
              </w:rPr>
              <w:t xml:space="preserve">                   462,000 </w:t>
            </w:r>
          </w:p>
        </w:tc>
        <w:tc>
          <w:tcPr>
            <w:tcW w:w="2488" w:type="dxa"/>
            <w:gridSpan w:val="4"/>
            <w:tcBorders>
              <w:top w:val="nil"/>
              <w:left w:val="nil"/>
              <w:bottom w:val="single" w:sz="4" w:space="0" w:color="auto"/>
              <w:right w:val="single" w:sz="4" w:space="0" w:color="auto"/>
            </w:tcBorders>
            <w:shd w:val="clear" w:color="auto" w:fill="auto"/>
            <w:vAlign w:val="center"/>
            <w:hideMark/>
          </w:tcPr>
          <w:p w14:paraId="19126B32" w14:textId="77777777" w:rsidR="009D6D4E" w:rsidRPr="00FD5486" w:rsidRDefault="009D6D4E" w:rsidP="00BF3B71">
            <w:pPr>
              <w:rPr>
                <w:color w:val="000000"/>
                <w:sz w:val="18"/>
                <w:szCs w:val="18"/>
              </w:rPr>
            </w:pPr>
            <w:r w:rsidRPr="00FD5486">
              <w:rPr>
                <w:color w:val="000000"/>
                <w:sz w:val="18"/>
                <w:szCs w:val="18"/>
              </w:rPr>
              <w:t xml:space="preserve">                            11,510 </w:t>
            </w:r>
          </w:p>
        </w:tc>
        <w:tc>
          <w:tcPr>
            <w:tcW w:w="1408" w:type="dxa"/>
            <w:gridSpan w:val="2"/>
            <w:tcBorders>
              <w:top w:val="nil"/>
              <w:left w:val="nil"/>
              <w:bottom w:val="single" w:sz="4" w:space="0" w:color="auto"/>
              <w:right w:val="single" w:sz="4" w:space="0" w:color="auto"/>
            </w:tcBorders>
            <w:shd w:val="clear" w:color="auto" w:fill="auto"/>
            <w:vAlign w:val="center"/>
            <w:hideMark/>
          </w:tcPr>
          <w:p w14:paraId="72A720BF" w14:textId="77777777" w:rsidR="009D6D4E" w:rsidRPr="00FD5486" w:rsidRDefault="009D6D4E" w:rsidP="00BF3B71">
            <w:pPr>
              <w:jc w:val="both"/>
              <w:rPr>
                <w:color w:val="000000"/>
                <w:sz w:val="18"/>
                <w:szCs w:val="18"/>
              </w:rPr>
            </w:pPr>
            <w:r w:rsidRPr="00FD5486">
              <w:rPr>
                <w:color w:val="000000"/>
                <w:sz w:val="18"/>
                <w:szCs w:val="18"/>
              </w:rPr>
              <w:t> </w:t>
            </w:r>
          </w:p>
        </w:tc>
        <w:tc>
          <w:tcPr>
            <w:tcW w:w="1178" w:type="dxa"/>
            <w:gridSpan w:val="2"/>
            <w:tcBorders>
              <w:top w:val="nil"/>
              <w:left w:val="nil"/>
              <w:bottom w:val="single" w:sz="4" w:space="0" w:color="auto"/>
              <w:right w:val="single" w:sz="4" w:space="0" w:color="auto"/>
            </w:tcBorders>
            <w:shd w:val="clear" w:color="auto" w:fill="auto"/>
            <w:vAlign w:val="center"/>
            <w:hideMark/>
          </w:tcPr>
          <w:p w14:paraId="10A03973" w14:textId="77777777" w:rsidR="009D6D4E" w:rsidRPr="00FD5486" w:rsidRDefault="009D6D4E" w:rsidP="00BF3B71">
            <w:pPr>
              <w:jc w:val="both"/>
              <w:rPr>
                <w:color w:val="000000"/>
                <w:sz w:val="18"/>
                <w:szCs w:val="18"/>
              </w:rPr>
            </w:pPr>
            <w:r w:rsidRPr="00FD5486">
              <w:rPr>
                <w:color w:val="000000"/>
                <w:sz w:val="18"/>
                <w:szCs w:val="18"/>
              </w:rPr>
              <w:t> </w:t>
            </w:r>
          </w:p>
        </w:tc>
        <w:tc>
          <w:tcPr>
            <w:tcW w:w="1072" w:type="dxa"/>
            <w:tcBorders>
              <w:top w:val="nil"/>
              <w:left w:val="nil"/>
              <w:bottom w:val="single" w:sz="4" w:space="0" w:color="auto"/>
              <w:right w:val="single" w:sz="4" w:space="0" w:color="auto"/>
            </w:tcBorders>
            <w:shd w:val="clear" w:color="000000" w:fill="FFFFFF"/>
            <w:vAlign w:val="center"/>
            <w:hideMark/>
          </w:tcPr>
          <w:p w14:paraId="6DC8A034" w14:textId="77777777" w:rsidR="009D6D4E" w:rsidRPr="00CB6955" w:rsidRDefault="009D6D4E" w:rsidP="00BF3B71">
            <w:pPr>
              <w:jc w:val="both"/>
              <w:rPr>
                <w:b/>
                <w:color w:val="000000"/>
                <w:sz w:val="18"/>
                <w:szCs w:val="18"/>
              </w:rPr>
            </w:pPr>
            <w:r w:rsidRPr="00CB6955">
              <w:rPr>
                <w:b/>
                <w:color w:val="000000"/>
                <w:sz w:val="18"/>
                <w:szCs w:val="18"/>
              </w:rPr>
              <w:t xml:space="preserve">                          473,510 </w:t>
            </w:r>
          </w:p>
        </w:tc>
      </w:tr>
      <w:tr w:rsidR="009D6D4E" w:rsidRPr="00FD5486" w14:paraId="76E54DEB" w14:textId="77777777" w:rsidTr="00BF3B71">
        <w:trPr>
          <w:trHeight w:val="254"/>
        </w:trPr>
        <w:tc>
          <w:tcPr>
            <w:tcW w:w="10387" w:type="dxa"/>
            <w:gridSpan w:val="14"/>
            <w:tcBorders>
              <w:top w:val="single" w:sz="8" w:space="0" w:color="auto"/>
              <w:left w:val="single" w:sz="8" w:space="0" w:color="auto"/>
              <w:bottom w:val="single" w:sz="8" w:space="0" w:color="auto"/>
              <w:right w:val="single" w:sz="8" w:space="0" w:color="000000"/>
            </w:tcBorders>
            <w:shd w:val="clear" w:color="auto" w:fill="auto"/>
            <w:vAlign w:val="center"/>
            <w:hideMark/>
          </w:tcPr>
          <w:p w14:paraId="38462AD0" w14:textId="77777777" w:rsidR="009D6D4E" w:rsidRPr="00FD5486" w:rsidRDefault="009D6D4E" w:rsidP="00BF3B71">
            <w:pPr>
              <w:rPr>
                <w:b/>
                <w:bCs/>
                <w:color w:val="000000"/>
                <w:sz w:val="18"/>
                <w:szCs w:val="18"/>
              </w:rPr>
            </w:pPr>
            <w:r w:rsidRPr="00FD5486">
              <w:rPr>
                <w:b/>
                <w:bCs/>
                <w:color w:val="000000"/>
                <w:sz w:val="18"/>
                <w:szCs w:val="18"/>
              </w:rPr>
              <w:t>Tabela 10.b:Financimi i masës së reformës strukturore:  Masa # 11 Ulja e ekonomisw jo-formale</w:t>
            </w:r>
          </w:p>
        </w:tc>
      </w:tr>
      <w:tr w:rsidR="009D6D4E" w:rsidRPr="00FD5486" w14:paraId="346C7E6A" w14:textId="77777777" w:rsidTr="00BF3B71">
        <w:trPr>
          <w:trHeight w:val="291"/>
        </w:trPr>
        <w:tc>
          <w:tcPr>
            <w:tcW w:w="717" w:type="dxa"/>
            <w:tcBorders>
              <w:top w:val="nil"/>
              <w:left w:val="single" w:sz="8" w:space="0" w:color="auto"/>
              <w:bottom w:val="single" w:sz="8" w:space="0" w:color="auto"/>
              <w:right w:val="single" w:sz="8" w:space="0" w:color="auto"/>
            </w:tcBorders>
            <w:shd w:val="clear" w:color="auto" w:fill="auto"/>
            <w:vAlign w:val="center"/>
            <w:hideMark/>
          </w:tcPr>
          <w:p w14:paraId="55EB20D6" w14:textId="77777777" w:rsidR="009D6D4E" w:rsidRPr="00FD5486" w:rsidRDefault="009D6D4E" w:rsidP="00BF3B71">
            <w:pPr>
              <w:rPr>
                <w:color w:val="000000"/>
                <w:sz w:val="18"/>
                <w:szCs w:val="18"/>
              </w:rPr>
            </w:pPr>
            <w:r w:rsidRPr="00FD5486">
              <w:rPr>
                <w:color w:val="000000"/>
                <w:sz w:val="18"/>
                <w:szCs w:val="18"/>
              </w:rPr>
              <w:t xml:space="preserve">Viti </w:t>
            </w:r>
          </w:p>
        </w:tc>
        <w:tc>
          <w:tcPr>
            <w:tcW w:w="1133" w:type="dxa"/>
            <w:gridSpan w:val="2"/>
            <w:tcBorders>
              <w:top w:val="nil"/>
              <w:left w:val="nil"/>
              <w:bottom w:val="single" w:sz="8" w:space="0" w:color="auto"/>
              <w:right w:val="single" w:sz="8" w:space="0" w:color="auto"/>
            </w:tcBorders>
            <w:shd w:val="clear" w:color="auto" w:fill="auto"/>
            <w:vAlign w:val="center"/>
            <w:hideMark/>
          </w:tcPr>
          <w:p w14:paraId="3857A44F" w14:textId="77777777" w:rsidR="009D6D4E" w:rsidRPr="00FD5486" w:rsidRDefault="009D6D4E" w:rsidP="00BF3B71">
            <w:pPr>
              <w:rPr>
                <w:color w:val="000000"/>
                <w:sz w:val="18"/>
                <w:szCs w:val="18"/>
              </w:rPr>
            </w:pPr>
            <w:r w:rsidRPr="00FD5486">
              <w:rPr>
                <w:color w:val="000000"/>
                <w:sz w:val="18"/>
                <w:szCs w:val="18"/>
              </w:rPr>
              <w:t>Buxheti Qendror</w:t>
            </w:r>
          </w:p>
        </w:tc>
        <w:tc>
          <w:tcPr>
            <w:tcW w:w="889" w:type="dxa"/>
            <w:tcBorders>
              <w:top w:val="nil"/>
              <w:left w:val="nil"/>
              <w:bottom w:val="single" w:sz="8" w:space="0" w:color="auto"/>
              <w:right w:val="single" w:sz="8" w:space="0" w:color="auto"/>
            </w:tcBorders>
            <w:shd w:val="clear" w:color="auto" w:fill="auto"/>
            <w:vAlign w:val="center"/>
            <w:hideMark/>
          </w:tcPr>
          <w:p w14:paraId="15473A20" w14:textId="77777777" w:rsidR="009D6D4E" w:rsidRPr="00FD5486" w:rsidRDefault="009D6D4E" w:rsidP="00BF3B71">
            <w:pPr>
              <w:rPr>
                <w:color w:val="000000"/>
                <w:sz w:val="18"/>
                <w:szCs w:val="18"/>
              </w:rPr>
            </w:pPr>
            <w:r w:rsidRPr="00FD5486">
              <w:rPr>
                <w:color w:val="000000"/>
                <w:sz w:val="18"/>
                <w:szCs w:val="18"/>
              </w:rPr>
              <w:t>Buxheti komunal</w:t>
            </w:r>
          </w:p>
        </w:tc>
        <w:tc>
          <w:tcPr>
            <w:tcW w:w="1642" w:type="dxa"/>
            <w:gridSpan w:val="2"/>
            <w:tcBorders>
              <w:top w:val="nil"/>
              <w:left w:val="nil"/>
              <w:bottom w:val="single" w:sz="8" w:space="0" w:color="auto"/>
              <w:right w:val="single" w:sz="8" w:space="0" w:color="auto"/>
            </w:tcBorders>
            <w:shd w:val="clear" w:color="auto" w:fill="auto"/>
            <w:vAlign w:val="center"/>
            <w:hideMark/>
          </w:tcPr>
          <w:p w14:paraId="688DA5C7" w14:textId="77777777" w:rsidR="009D6D4E" w:rsidRPr="00FD5486" w:rsidRDefault="009D6D4E" w:rsidP="00BF3B71">
            <w:pPr>
              <w:rPr>
                <w:color w:val="000000"/>
                <w:sz w:val="18"/>
                <w:szCs w:val="18"/>
              </w:rPr>
            </w:pPr>
            <w:r w:rsidRPr="00FD5486">
              <w:rPr>
                <w:color w:val="000000"/>
                <w:sz w:val="18"/>
                <w:szCs w:val="18"/>
              </w:rPr>
              <w:t xml:space="preserve">Burimet e tjera të financimit publik </w:t>
            </w:r>
          </w:p>
        </w:tc>
        <w:tc>
          <w:tcPr>
            <w:tcW w:w="945" w:type="dxa"/>
            <w:tcBorders>
              <w:top w:val="nil"/>
              <w:left w:val="nil"/>
              <w:bottom w:val="single" w:sz="8" w:space="0" w:color="auto"/>
              <w:right w:val="single" w:sz="8" w:space="0" w:color="auto"/>
            </w:tcBorders>
            <w:shd w:val="clear" w:color="auto" w:fill="auto"/>
            <w:vAlign w:val="center"/>
            <w:hideMark/>
          </w:tcPr>
          <w:p w14:paraId="1D1DC06D" w14:textId="77777777" w:rsidR="009D6D4E" w:rsidRPr="00FD5486" w:rsidRDefault="009D6D4E" w:rsidP="00BF3B71">
            <w:pPr>
              <w:rPr>
                <w:color w:val="000000"/>
                <w:sz w:val="18"/>
                <w:szCs w:val="18"/>
              </w:rPr>
            </w:pPr>
            <w:r w:rsidRPr="00FD5486">
              <w:rPr>
                <w:color w:val="000000"/>
                <w:sz w:val="18"/>
                <w:szCs w:val="18"/>
              </w:rPr>
              <w:t xml:space="preserve">Fondet e IPA-së </w:t>
            </w:r>
          </w:p>
        </w:tc>
        <w:tc>
          <w:tcPr>
            <w:tcW w:w="1298" w:type="dxa"/>
            <w:tcBorders>
              <w:top w:val="nil"/>
              <w:left w:val="nil"/>
              <w:bottom w:val="single" w:sz="8" w:space="0" w:color="auto"/>
              <w:right w:val="single" w:sz="8" w:space="0" w:color="auto"/>
            </w:tcBorders>
            <w:shd w:val="clear" w:color="auto" w:fill="auto"/>
            <w:vAlign w:val="center"/>
            <w:hideMark/>
          </w:tcPr>
          <w:p w14:paraId="196BD61D" w14:textId="77777777" w:rsidR="009D6D4E" w:rsidRPr="00FD5486" w:rsidRDefault="009D6D4E" w:rsidP="00BF3B71">
            <w:pPr>
              <w:rPr>
                <w:color w:val="000000"/>
                <w:sz w:val="18"/>
                <w:szCs w:val="18"/>
              </w:rPr>
            </w:pPr>
            <w:r w:rsidRPr="00FD5486">
              <w:rPr>
                <w:color w:val="000000"/>
                <w:sz w:val="18"/>
                <w:szCs w:val="18"/>
              </w:rPr>
              <w:t xml:space="preserve">Grante të tjera </w:t>
            </w:r>
          </w:p>
        </w:tc>
        <w:tc>
          <w:tcPr>
            <w:tcW w:w="889" w:type="dxa"/>
            <w:gridSpan w:val="2"/>
            <w:tcBorders>
              <w:top w:val="nil"/>
              <w:left w:val="nil"/>
              <w:bottom w:val="single" w:sz="8" w:space="0" w:color="auto"/>
              <w:right w:val="single" w:sz="8" w:space="0" w:color="auto"/>
            </w:tcBorders>
            <w:shd w:val="clear" w:color="auto" w:fill="auto"/>
            <w:vAlign w:val="center"/>
            <w:hideMark/>
          </w:tcPr>
          <w:p w14:paraId="5901D912" w14:textId="77777777" w:rsidR="009D6D4E" w:rsidRPr="00FD5486" w:rsidRDefault="009D6D4E" w:rsidP="00BF3B71">
            <w:pPr>
              <w:rPr>
                <w:color w:val="000000"/>
                <w:sz w:val="18"/>
                <w:szCs w:val="18"/>
              </w:rPr>
            </w:pPr>
            <w:r w:rsidRPr="00FD5486">
              <w:rPr>
                <w:color w:val="000000"/>
                <w:sz w:val="18"/>
                <w:szCs w:val="18"/>
              </w:rPr>
              <w:t xml:space="preserve">Kredi për projekte </w:t>
            </w:r>
          </w:p>
        </w:tc>
        <w:tc>
          <w:tcPr>
            <w:tcW w:w="1362" w:type="dxa"/>
            <w:gridSpan w:val="2"/>
            <w:tcBorders>
              <w:top w:val="nil"/>
              <w:left w:val="nil"/>
              <w:bottom w:val="single" w:sz="8" w:space="0" w:color="auto"/>
              <w:right w:val="single" w:sz="8" w:space="0" w:color="auto"/>
            </w:tcBorders>
            <w:shd w:val="clear" w:color="auto" w:fill="auto"/>
            <w:vAlign w:val="center"/>
            <w:hideMark/>
          </w:tcPr>
          <w:p w14:paraId="36F16CC5" w14:textId="77777777" w:rsidR="009D6D4E" w:rsidRPr="00FD5486" w:rsidRDefault="009D6D4E" w:rsidP="00BF3B71">
            <w:pPr>
              <w:rPr>
                <w:color w:val="000000"/>
                <w:sz w:val="18"/>
                <w:szCs w:val="18"/>
              </w:rPr>
            </w:pPr>
            <w:r w:rsidRPr="00FD5486">
              <w:rPr>
                <w:color w:val="000000"/>
                <w:sz w:val="18"/>
                <w:szCs w:val="18"/>
              </w:rPr>
              <w:t xml:space="preserve">Të përcaktohet </w:t>
            </w:r>
          </w:p>
        </w:tc>
        <w:tc>
          <w:tcPr>
            <w:tcW w:w="1508" w:type="dxa"/>
            <w:gridSpan w:val="2"/>
            <w:tcBorders>
              <w:top w:val="nil"/>
              <w:left w:val="nil"/>
              <w:bottom w:val="single" w:sz="8" w:space="0" w:color="auto"/>
              <w:right w:val="single" w:sz="8" w:space="0" w:color="auto"/>
            </w:tcBorders>
            <w:shd w:val="clear" w:color="auto" w:fill="auto"/>
            <w:vAlign w:val="center"/>
            <w:hideMark/>
          </w:tcPr>
          <w:p w14:paraId="66E68440" w14:textId="77777777" w:rsidR="009D6D4E" w:rsidRPr="00CB6955" w:rsidRDefault="009D6D4E" w:rsidP="00BF3B71">
            <w:pPr>
              <w:jc w:val="right"/>
              <w:rPr>
                <w:b/>
                <w:color w:val="000000"/>
                <w:sz w:val="18"/>
                <w:szCs w:val="18"/>
              </w:rPr>
            </w:pPr>
            <w:r w:rsidRPr="00CB6955">
              <w:rPr>
                <w:b/>
                <w:color w:val="000000"/>
                <w:sz w:val="18"/>
                <w:szCs w:val="18"/>
              </w:rPr>
              <w:t xml:space="preserve">Totali </w:t>
            </w:r>
          </w:p>
        </w:tc>
      </w:tr>
      <w:tr w:rsidR="009D6D4E" w:rsidRPr="00FD5486" w14:paraId="6FAD7A86" w14:textId="77777777" w:rsidTr="00BF3B71">
        <w:trPr>
          <w:trHeight w:val="84"/>
        </w:trPr>
        <w:tc>
          <w:tcPr>
            <w:tcW w:w="717" w:type="dxa"/>
            <w:tcBorders>
              <w:top w:val="nil"/>
              <w:left w:val="single" w:sz="8" w:space="0" w:color="auto"/>
              <w:bottom w:val="single" w:sz="8" w:space="0" w:color="auto"/>
              <w:right w:val="single" w:sz="8" w:space="0" w:color="auto"/>
            </w:tcBorders>
            <w:shd w:val="clear" w:color="auto" w:fill="auto"/>
            <w:vAlign w:val="center"/>
            <w:hideMark/>
          </w:tcPr>
          <w:p w14:paraId="413A8951" w14:textId="77777777" w:rsidR="009D6D4E" w:rsidRPr="00FD5486" w:rsidRDefault="009D6D4E" w:rsidP="00BF3B71">
            <w:pPr>
              <w:jc w:val="both"/>
              <w:rPr>
                <w:color w:val="000000"/>
                <w:sz w:val="18"/>
                <w:szCs w:val="18"/>
              </w:rPr>
            </w:pPr>
            <w:r w:rsidRPr="00FD5486">
              <w:rPr>
                <w:color w:val="000000"/>
                <w:sz w:val="18"/>
                <w:szCs w:val="18"/>
              </w:rPr>
              <w:t>2020</w:t>
            </w:r>
          </w:p>
        </w:tc>
        <w:tc>
          <w:tcPr>
            <w:tcW w:w="1133" w:type="dxa"/>
            <w:gridSpan w:val="2"/>
            <w:tcBorders>
              <w:top w:val="nil"/>
              <w:left w:val="nil"/>
              <w:bottom w:val="single" w:sz="8" w:space="0" w:color="auto"/>
              <w:right w:val="single" w:sz="8" w:space="0" w:color="auto"/>
            </w:tcBorders>
            <w:shd w:val="clear" w:color="auto" w:fill="auto"/>
            <w:vAlign w:val="center"/>
            <w:hideMark/>
          </w:tcPr>
          <w:p w14:paraId="7DB2B5F9" w14:textId="77777777" w:rsidR="009D6D4E" w:rsidRPr="00FD5486" w:rsidRDefault="009D6D4E" w:rsidP="00BF3B71">
            <w:pPr>
              <w:jc w:val="right"/>
              <w:rPr>
                <w:color w:val="000000"/>
                <w:sz w:val="18"/>
                <w:szCs w:val="18"/>
              </w:rPr>
            </w:pPr>
            <w:r w:rsidRPr="00FD5486">
              <w:rPr>
                <w:color w:val="000000"/>
                <w:sz w:val="18"/>
                <w:szCs w:val="18"/>
              </w:rPr>
              <w:t>381,500.00</w:t>
            </w:r>
          </w:p>
        </w:tc>
        <w:tc>
          <w:tcPr>
            <w:tcW w:w="889" w:type="dxa"/>
            <w:tcBorders>
              <w:top w:val="nil"/>
              <w:left w:val="nil"/>
              <w:bottom w:val="single" w:sz="8" w:space="0" w:color="auto"/>
              <w:right w:val="single" w:sz="8" w:space="0" w:color="auto"/>
            </w:tcBorders>
            <w:shd w:val="clear" w:color="auto" w:fill="auto"/>
            <w:vAlign w:val="center"/>
            <w:hideMark/>
          </w:tcPr>
          <w:p w14:paraId="4BFC1196" w14:textId="77777777" w:rsidR="009D6D4E" w:rsidRPr="00FD5486" w:rsidRDefault="009D6D4E" w:rsidP="00BF3B71">
            <w:pPr>
              <w:jc w:val="right"/>
              <w:rPr>
                <w:color w:val="000000"/>
                <w:sz w:val="18"/>
                <w:szCs w:val="18"/>
              </w:rPr>
            </w:pPr>
            <w:r w:rsidRPr="00FD5486">
              <w:rPr>
                <w:color w:val="000000"/>
                <w:sz w:val="18"/>
                <w:szCs w:val="18"/>
              </w:rPr>
              <w:t>0.00</w:t>
            </w:r>
          </w:p>
        </w:tc>
        <w:tc>
          <w:tcPr>
            <w:tcW w:w="1642" w:type="dxa"/>
            <w:gridSpan w:val="2"/>
            <w:tcBorders>
              <w:top w:val="nil"/>
              <w:left w:val="nil"/>
              <w:bottom w:val="single" w:sz="8" w:space="0" w:color="auto"/>
              <w:right w:val="single" w:sz="8" w:space="0" w:color="auto"/>
            </w:tcBorders>
            <w:shd w:val="clear" w:color="auto" w:fill="auto"/>
            <w:vAlign w:val="center"/>
            <w:hideMark/>
          </w:tcPr>
          <w:p w14:paraId="203B7259" w14:textId="77777777" w:rsidR="009D6D4E" w:rsidRPr="00FD5486" w:rsidRDefault="009D6D4E" w:rsidP="00BF3B71">
            <w:pPr>
              <w:jc w:val="right"/>
              <w:rPr>
                <w:color w:val="000000"/>
                <w:sz w:val="18"/>
                <w:szCs w:val="18"/>
              </w:rPr>
            </w:pPr>
            <w:r w:rsidRPr="00FD5486">
              <w:rPr>
                <w:color w:val="000000"/>
                <w:sz w:val="18"/>
                <w:szCs w:val="18"/>
              </w:rPr>
              <w:t>0.00</w:t>
            </w:r>
          </w:p>
        </w:tc>
        <w:tc>
          <w:tcPr>
            <w:tcW w:w="945" w:type="dxa"/>
            <w:tcBorders>
              <w:top w:val="nil"/>
              <w:left w:val="nil"/>
              <w:bottom w:val="single" w:sz="8" w:space="0" w:color="auto"/>
              <w:right w:val="single" w:sz="8" w:space="0" w:color="auto"/>
            </w:tcBorders>
            <w:shd w:val="clear" w:color="auto" w:fill="auto"/>
            <w:vAlign w:val="center"/>
            <w:hideMark/>
          </w:tcPr>
          <w:p w14:paraId="239E856B" w14:textId="77777777" w:rsidR="009D6D4E" w:rsidRPr="00FD5486" w:rsidRDefault="009D6D4E" w:rsidP="00BF3B71">
            <w:pPr>
              <w:jc w:val="right"/>
              <w:rPr>
                <w:color w:val="000000"/>
                <w:sz w:val="18"/>
                <w:szCs w:val="18"/>
              </w:rPr>
            </w:pPr>
            <w:r w:rsidRPr="00FD5486">
              <w:rPr>
                <w:color w:val="000000"/>
                <w:sz w:val="18"/>
                <w:szCs w:val="18"/>
              </w:rPr>
              <w:t>0.00</w:t>
            </w:r>
          </w:p>
        </w:tc>
        <w:tc>
          <w:tcPr>
            <w:tcW w:w="1298" w:type="dxa"/>
            <w:tcBorders>
              <w:top w:val="nil"/>
              <w:left w:val="nil"/>
              <w:bottom w:val="single" w:sz="8" w:space="0" w:color="auto"/>
              <w:right w:val="single" w:sz="8" w:space="0" w:color="auto"/>
            </w:tcBorders>
            <w:shd w:val="clear" w:color="auto" w:fill="auto"/>
            <w:vAlign w:val="center"/>
            <w:hideMark/>
          </w:tcPr>
          <w:p w14:paraId="13711F7C" w14:textId="77777777" w:rsidR="009D6D4E" w:rsidRPr="00FD5486" w:rsidRDefault="009D6D4E" w:rsidP="00BF3B71">
            <w:pPr>
              <w:jc w:val="right"/>
              <w:rPr>
                <w:color w:val="000000"/>
                <w:sz w:val="18"/>
                <w:szCs w:val="18"/>
              </w:rPr>
            </w:pPr>
            <w:r w:rsidRPr="00FD5486">
              <w:rPr>
                <w:color w:val="000000"/>
                <w:sz w:val="18"/>
                <w:szCs w:val="18"/>
              </w:rPr>
              <w:t>0.00</w:t>
            </w:r>
          </w:p>
        </w:tc>
        <w:tc>
          <w:tcPr>
            <w:tcW w:w="889" w:type="dxa"/>
            <w:gridSpan w:val="2"/>
            <w:tcBorders>
              <w:top w:val="nil"/>
              <w:left w:val="nil"/>
              <w:bottom w:val="single" w:sz="8" w:space="0" w:color="auto"/>
              <w:right w:val="single" w:sz="8" w:space="0" w:color="auto"/>
            </w:tcBorders>
            <w:shd w:val="clear" w:color="auto" w:fill="auto"/>
            <w:vAlign w:val="center"/>
            <w:hideMark/>
          </w:tcPr>
          <w:p w14:paraId="75D181B4" w14:textId="77777777" w:rsidR="009D6D4E" w:rsidRPr="00FD5486" w:rsidRDefault="009D6D4E" w:rsidP="00BF3B71">
            <w:pPr>
              <w:jc w:val="right"/>
              <w:rPr>
                <w:color w:val="000000"/>
                <w:sz w:val="18"/>
                <w:szCs w:val="18"/>
              </w:rPr>
            </w:pPr>
            <w:r w:rsidRPr="00FD5486">
              <w:rPr>
                <w:color w:val="000000"/>
                <w:sz w:val="18"/>
                <w:szCs w:val="18"/>
              </w:rPr>
              <w:t>0.00</w:t>
            </w:r>
          </w:p>
        </w:tc>
        <w:tc>
          <w:tcPr>
            <w:tcW w:w="1362" w:type="dxa"/>
            <w:gridSpan w:val="2"/>
            <w:tcBorders>
              <w:top w:val="nil"/>
              <w:left w:val="nil"/>
              <w:bottom w:val="single" w:sz="8" w:space="0" w:color="auto"/>
              <w:right w:val="single" w:sz="8" w:space="0" w:color="auto"/>
            </w:tcBorders>
            <w:shd w:val="clear" w:color="auto" w:fill="auto"/>
            <w:vAlign w:val="center"/>
            <w:hideMark/>
          </w:tcPr>
          <w:p w14:paraId="0169D64C" w14:textId="77777777" w:rsidR="009D6D4E" w:rsidRPr="00FD5486" w:rsidRDefault="009D6D4E" w:rsidP="00BF3B71">
            <w:pPr>
              <w:jc w:val="right"/>
              <w:rPr>
                <w:color w:val="000000"/>
                <w:sz w:val="18"/>
                <w:szCs w:val="18"/>
              </w:rPr>
            </w:pPr>
            <w:r w:rsidRPr="00FD5486">
              <w:rPr>
                <w:color w:val="000000"/>
                <w:sz w:val="18"/>
                <w:szCs w:val="18"/>
              </w:rPr>
              <w:t>0.00</w:t>
            </w:r>
          </w:p>
        </w:tc>
        <w:tc>
          <w:tcPr>
            <w:tcW w:w="1508" w:type="dxa"/>
            <w:gridSpan w:val="2"/>
            <w:tcBorders>
              <w:top w:val="nil"/>
              <w:left w:val="nil"/>
              <w:bottom w:val="single" w:sz="8" w:space="0" w:color="auto"/>
              <w:right w:val="single" w:sz="8" w:space="0" w:color="auto"/>
            </w:tcBorders>
            <w:shd w:val="clear" w:color="auto" w:fill="auto"/>
            <w:vAlign w:val="center"/>
            <w:hideMark/>
          </w:tcPr>
          <w:p w14:paraId="544ED77B" w14:textId="77777777" w:rsidR="009D6D4E" w:rsidRPr="00CB6955" w:rsidRDefault="009D6D4E" w:rsidP="00BF3B71">
            <w:pPr>
              <w:jc w:val="right"/>
              <w:rPr>
                <w:b/>
                <w:bCs/>
                <w:color w:val="000000"/>
                <w:sz w:val="18"/>
                <w:szCs w:val="18"/>
              </w:rPr>
            </w:pPr>
            <w:r w:rsidRPr="00CB6955">
              <w:rPr>
                <w:b/>
                <w:bCs/>
                <w:color w:val="000000"/>
                <w:sz w:val="18"/>
                <w:szCs w:val="18"/>
              </w:rPr>
              <w:t>381,500</w:t>
            </w:r>
          </w:p>
        </w:tc>
      </w:tr>
      <w:tr w:rsidR="009D6D4E" w:rsidRPr="00FD5486" w14:paraId="0E83B8F1" w14:textId="77777777" w:rsidTr="00BF3B71">
        <w:trPr>
          <w:trHeight w:val="103"/>
        </w:trPr>
        <w:tc>
          <w:tcPr>
            <w:tcW w:w="717" w:type="dxa"/>
            <w:tcBorders>
              <w:top w:val="nil"/>
              <w:left w:val="single" w:sz="8" w:space="0" w:color="auto"/>
              <w:bottom w:val="single" w:sz="8" w:space="0" w:color="auto"/>
              <w:right w:val="single" w:sz="8" w:space="0" w:color="auto"/>
            </w:tcBorders>
            <w:shd w:val="clear" w:color="auto" w:fill="auto"/>
            <w:vAlign w:val="center"/>
            <w:hideMark/>
          </w:tcPr>
          <w:p w14:paraId="6D42611C" w14:textId="77777777" w:rsidR="009D6D4E" w:rsidRPr="00FD5486" w:rsidRDefault="009D6D4E" w:rsidP="00BF3B71">
            <w:pPr>
              <w:jc w:val="both"/>
              <w:rPr>
                <w:color w:val="000000"/>
                <w:sz w:val="18"/>
                <w:szCs w:val="18"/>
              </w:rPr>
            </w:pPr>
            <w:r w:rsidRPr="00FD5486">
              <w:rPr>
                <w:color w:val="000000"/>
                <w:sz w:val="18"/>
                <w:szCs w:val="18"/>
              </w:rPr>
              <w:t>2021</w:t>
            </w:r>
          </w:p>
        </w:tc>
        <w:tc>
          <w:tcPr>
            <w:tcW w:w="1133" w:type="dxa"/>
            <w:gridSpan w:val="2"/>
            <w:tcBorders>
              <w:top w:val="nil"/>
              <w:left w:val="nil"/>
              <w:bottom w:val="single" w:sz="8" w:space="0" w:color="auto"/>
              <w:right w:val="single" w:sz="8" w:space="0" w:color="auto"/>
            </w:tcBorders>
            <w:shd w:val="clear" w:color="auto" w:fill="auto"/>
            <w:vAlign w:val="center"/>
            <w:hideMark/>
          </w:tcPr>
          <w:p w14:paraId="269467E2" w14:textId="77777777" w:rsidR="009D6D4E" w:rsidRPr="00FD5486" w:rsidRDefault="009D6D4E" w:rsidP="00BF3B71">
            <w:pPr>
              <w:jc w:val="right"/>
              <w:rPr>
                <w:color w:val="000000"/>
                <w:sz w:val="18"/>
                <w:szCs w:val="18"/>
              </w:rPr>
            </w:pPr>
            <w:r w:rsidRPr="00FD5486">
              <w:rPr>
                <w:color w:val="000000"/>
                <w:sz w:val="18"/>
                <w:szCs w:val="18"/>
              </w:rPr>
              <w:t>430,000.00</w:t>
            </w:r>
          </w:p>
        </w:tc>
        <w:tc>
          <w:tcPr>
            <w:tcW w:w="889" w:type="dxa"/>
            <w:tcBorders>
              <w:top w:val="nil"/>
              <w:left w:val="nil"/>
              <w:bottom w:val="single" w:sz="8" w:space="0" w:color="auto"/>
              <w:right w:val="single" w:sz="8" w:space="0" w:color="auto"/>
            </w:tcBorders>
            <w:shd w:val="clear" w:color="auto" w:fill="auto"/>
            <w:vAlign w:val="center"/>
            <w:hideMark/>
          </w:tcPr>
          <w:p w14:paraId="2662148E" w14:textId="77777777" w:rsidR="009D6D4E" w:rsidRPr="00FD5486" w:rsidRDefault="009D6D4E" w:rsidP="00BF3B71">
            <w:pPr>
              <w:jc w:val="right"/>
              <w:rPr>
                <w:color w:val="000000"/>
                <w:sz w:val="18"/>
                <w:szCs w:val="18"/>
              </w:rPr>
            </w:pPr>
            <w:r w:rsidRPr="00FD5486">
              <w:rPr>
                <w:color w:val="000000"/>
                <w:sz w:val="18"/>
                <w:szCs w:val="18"/>
              </w:rPr>
              <w:t>0.00</w:t>
            </w:r>
          </w:p>
        </w:tc>
        <w:tc>
          <w:tcPr>
            <w:tcW w:w="1642" w:type="dxa"/>
            <w:gridSpan w:val="2"/>
            <w:tcBorders>
              <w:top w:val="nil"/>
              <w:left w:val="nil"/>
              <w:bottom w:val="single" w:sz="8" w:space="0" w:color="auto"/>
              <w:right w:val="single" w:sz="8" w:space="0" w:color="auto"/>
            </w:tcBorders>
            <w:shd w:val="clear" w:color="auto" w:fill="auto"/>
            <w:vAlign w:val="center"/>
            <w:hideMark/>
          </w:tcPr>
          <w:p w14:paraId="1BBB620E" w14:textId="77777777" w:rsidR="009D6D4E" w:rsidRPr="00FD5486" w:rsidRDefault="009D6D4E" w:rsidP="00BF3B71">
            <w:pPr>
              <w:jc w:val="right"/>
              <w:rPr>
                <w:color w:val="000000"/>
                <w:sz w:val="18"/>
                <w:szCs w:val="18"/>
              </w:rPr>
            </w:pPr>
            <w:r w:rsidRPr="00FD5486">
              <w:rPr>
                <w:color w:val="000000"/>
                <w:sz w:val="18"/>
                <w:szCs w:val="18"/>
              </w:rPr>
              <w:t>0.00</w:t>
            </w:r>
          </w:p>
        </w:tc>
        <w:tc>
          <w:tcPr>
            <w:tcW w:w="945" w:type="dxa"/>
            <w:tcBorders>
              <w:top w:val="nil"/>
              <w:left w:val="nil"/>
              <w:bottom w:val="single" w:sz="8" w:space="0" w:color="auto"/>
              <w:right w:val="single" w:sz="8" w:space="0" w:color="auto"/>
            </w:tcBorders>
            <w:shd w:val="clear" w:color="auto" w:fill="auto"/>
            <w:vAlign w:val="center"/>
            <w:hideMark/>
          </w:tcPr>
          <w:p w14:paraId="7EAD7E16" w14:textId="77777777" w:rsidR="009D6D4E" w:rsidRPr="00FD5486" w:rsidRDefault="009D6D4E" w:rsidP="00BF3B71">
            <w:pPr>
              <w:jc w:val="right"/>
              <w:rPr>
                <w:color w:val="000000"/>
                <w:sz w:val="18"/>
                <w:szCs w:val="18"/>
              </w:rPr>
            </w:pPr>
            <w:r w:rsidRPr="00FD5486">
              <w:rPr>
                <w:color w:val="000000"/>
                <w:sz w:val="18"/>
                <w:szCs w:val="18"/>
              </w:rPr>
              <w:t>0.00</w:t>
            </w:r>
          </w:p>
        </w:tc>
        <w:tc>
          <w:tcPr>
            <w:tcW w:w="1298" w:type="dxa"/>
            <w:tcBorders>
              <w:top w:val="nil"/>
              <w:left w:val="nil"/>
              <w:bottom w:val="single" w:sz="8" w:space="0" w:color="auto"/>
              <w:right w:val="single" w:sz="8" w:space="0" w:color="auto"/>
            </w:tcBorders>
            <w:shd w:val="clear" w:color="auto" w:fill="auto"/>
            <w:vAlign w:val="center"/>
            <w:hideMark/>
          </w:tcPr>
          <w:p w14:paraId="60CB0B60" w14:textId="77777777" w:rsidR="009D6D4E" w:rsidRPr="00FD5486" w:rsidRDefault="009D6D4E" w:rsidP="00BF3B71">
            <w:pPr>
              <w:jc w:val="right"/>
              <w:rPr>
                <w:color w:val="000000"/>
                <w:sz w:val="18"/>
                <w:szCs w:val="18"/>
              </w:rPr>
            </w:pPr>
            <w:r w:rsidRPr="00FD5486">
              <w:rPr>
                <w:color w:val="000000"/>
                <w:sz w:val="18"/>
                <w:szCs w:val="18"/>
              </w:rPr>
              <w:t>11,640.00</w:t>
            </w:r>
          </w:p>
        </w:tc>
        <w:tc>
          <w:tcPr>
            <w:tcW w:w="889" w:type="dxa"/>
            <w:gridSpan w:val="2"/>
            <w:tcBorders>
              <w:top w:val="nil"/>
              <w:left w:val="nil"/>
              <w:bottom w:val="single" w:sz="8" w:space="0" w:color="auto"/>
              <w:right w:val="single" w:sz="8" w:space="0" w:color="auto"/>
            </w:tcBorders>
            <w:shd w:val="clear" w:color="auto" w:fill="auto"/>
            <w:vAlign w:val="center"/>
            <w:hideMark/>
          </w:tcPr>
          <w:p w14:paraId="6880459A" w14:textId="77777777" w:rsidR="009D6D4E" w:rsidRPr="00FD5486" w:rsidRDefault="009D6D4E" w:rsidP="00BF3B71">
            <w:pPr>
              <w:jc w:val="right"/>
              <w:rPr>
                <w:color w:val="000000"/>
                <w:sz w:val="18"/>
                <w:szCs w:val="18"/>
              </w:rPr>
            </w:pPr>
            <w:r w:rsidRPr="00FD5486">
              <w:rPr>
                <w:color w:val="000000"/>
                <w:sz w:val="18"/>
                <w:szCs w:val="18"/>
              </w:rPr>
              <w:t>0.00</w:t>
            </w:r>
          </w:p>
        </w:tc>
        <w:tc>
          <w:tcPr>
            <w:tcW w:w="1362" w:type="dxa"/>
            <w:gridSpan w:val="2"/>
            <w:tcBorders>
              <w:top w:val="nil"/>
              <w:left w:val="nil"/>
              <w:bottom w:val="single" w:sz="8" w:space="0" w:color="auto"/>
              <w:right w:val="single" w:sz="8" w:space="0" w:color="auto"/>
            </w:tcBorders>
            <w:shd w:val="clear" w:color="auto" w:fill="auto"/>
            <w:vAlign w:val="center"/>
            <w:hideMark/>
          </w:tcPr>
          <w:p w14:paraId="1BFB1C15" w14:textId="77777777" w:rsidR="009D6D4E" w:rsidRPr="00FD5486" w:rsidRDefault="009D6D4E" w:rsidP="00BF3B71">
            <w:pPr>
              <w:jc w:val="right"/>
              <w:rPr>
                <w:color w:val="000000"/>
                <w:sz w:val="18"/>
                <w:szCs w:val="18"/>
              </w:rPr>
            </w:pPr>
            <w:r w:rsidRPr="00FD5486">
              <w:rPr>
                <w:color w:val="000000"/>
                <w:sz w:val="18"/>
                <w:szCs w:val="18"/>
              </w:rPr>
              <w:t>0.00</w:t>
            </w:r>
          </w:p>
        </w:tc>
        <w:tc>
          <w:tcPr>
            <w:tcW w:w="1508" w:type="dxa"/>
            <w:gridSpan w:val="2"/>
            <w:tcBorders>
              <w:top w:val="nil"/>
              <w:left w:val="nil"/>
              <w:bottom w:val="single" w:sz="8" w:space="0" w:color="auto"/>
              <w:right w:val="single" w:sz="8" w:space="0" w:color="auto"/>
            </w:tcBorders>
            <w:shd w:val="clear" w:color="auto" w:fill="auto"/>
            <w:vAlign w:val="center"/>
            <w:hideMark/>
          </w:tcPr>
          <w:p w14:paraId="0B712421" w14:textId="77777777" w:rsidR="009D6D4E" w:rsidRPr="00CB6955" w:rsidRDefault="009D6D4E" w:rsidP="00BF3B71">
            <w:pPr>
              <w:jc w:val="right"/>
              <w:rPr>
                <w:b/>
                <w:bCs/>
                <w:color w:val="000000"/>
                <w:sz w:val="18"/>
                <w:szCs w:val="18"/>
              </w:rPr>
            </w:pPr>
            <w:r w:rsidRPr="00CB6955">
              <w:rPr>
                <w:b/>
                <w:bCs/>
                <w:color w:val="000000"/>
                <w:sz w:val="18"/>
                <w:szCs w:val="18"/>
              </w:rPr>
              <w:t>441,640</w:t>
            </w:r>
          </w:p>
        </w:tc>
      </w:tr>
      <w:tr w:rsidR="009D6D4E" w:rsidRPr="00FD5486" w14:paraId="7B5F8648" w14:textId="77777777" w:rsidTr="00BF3B71">
        <w:trPr>
          <w:trHeight w:val="84"/>
        </w:trPr>
        <w:tc>
          <w:tcPr>
            <w:tcW w:w="717" w:type="dxa"/>
            <w:tcBorders>
              <w:top w:val="nil"/>
              <w:left w:val="single" w:sz="8" w:space="0" w:color="auto"/>
              <w:bottom w:val="single" w:sz="8" w:space="0" w:color="auto"/>
              <w:right w:val="single" w:sz="8" w:space="0" w:color="auto"/>
            </w:tcBorders>
            <w:shd w:val="clear" w:color="auto" w:fill="auto"/>
            <w:vAlign w:val="center"/>
            <w:hideMark/>
          </w:tcPr>
          <w:p w14:paraId="6E5ABCCE" w14:textId="77777777" w:rsidR="009D6D4E" w:rsidRPr="00FD5486" w:rsidRDefault="009D6D4E" w:rsidP="00BF3B71">
            <w:pPr>
              <w:jc w:val="both"/>
              <w:rPr>
                <w:color w:val="000000"/>
                <w:sz w:val="18"/>
                <w:szCs w:val="18"/>
              </w:rPr>
            </w:pPr>
            <w:r w:rsidRPr="00FD5486">
              <w:rPr>
                <w:color w:val="000000"/>
                <w:sz w:val="18"/>
                <w:szCs w:val="18"/>
              </w:rPr>
              <w:t>2022</w:t>
            </w:r>
          </w:p>
        </w:tc>
        <w:tc>
          <w:tcPr>
            <w:tcW w:w="1133" w:type="dxa"/>
            <w:gridSpan w:val="2"/>
            <w:tcBorders>
              <w:top w:val="nil"/>
              <w:left w:val="nil"/>
              <w:bottom w:val="single" w:sz="8" w:space="0" w:color="auto"/>
              <w:right w:val="single" w:sz="8" w:space="0" w:color="auto"/>
            </w:tcBorders>
            <w:shd w:val="clear" w:color="auto" w:fill="auto"/>
            <w:vAlign w:val="center"/>
            <w:hideMark/>
          </w:tcPr>
          <w:p w14:paraId="2A0A2113" w14:textId="77777777" w:rsidR="009D6D4E" w:rsidRPr="00FD5486" w:rsidRDefault="009D6D4E" w:rsidP="00BF3B71">
            <w:pPr>
              <w:jc w:val="right"/>
              <w:rPr>
                <w:color w:val="000000"/>
                <w:sz w:val="18"/>
                <w:szCs w:val="18"/>
              </w:rPr>
            </w:pPr>
            <w:r w:rsidRPr="00FD5486">
              <w:rPr>
                <w:color w:val="000000"/>
                <w:sz w:val="18"/>
                <w:szCs w:val="18"/>
              </w:rPr>
              <w:t>473,510.00</w:t>
            </w:r>
          </w:p>
        </w:tc>
        <w:tc>
          <w:tcPr>
            <w:tcW w:w="889" w:type="dxa"/>
            <w:tcBorders>
              <w:top w:val="nil"/>
              <w:left w:val="nil"/>
              <w:bottom w:val="single" w:sz="8" w:space="0" w:color="auto"/>
              <w:right w:val="single" w:sz="8" w:space="0" w:color="auto"/>
            </w:tcBorders>
            <w:shd w:val="clear" w:color="auto" w:fill="auto"/>
            <w:vAlign w:val="center"/>
            <w:hideMark/>
          </w:tcPr>
          <w:p w14:paraId="61A3A1A7" w14:textId="77777777" w:rsidR="009D6D4E" w:rsidRPr="00FD5486" w:rsidRDefault="009D6D4E" w:rsidP="00BF3B71">
            <w:pPr>
              <w:jc w:val="right"/>
              <w:rPr>
                <w:color w:val="000000"/>
                <w:sz w:val="18"/>
                <w:szCs w:val="18"/>
              </w:rPr>
            </w:pPr>
            <w:r w:rsidRPr="00FD5486">
              <w:rPr>
                <w:color w:val="000000"/>
                <w:sz w:val="18"/>
                <w:szCs w:val="18"/>
              </w:rPr>
              <w:t>0.00</w:t>
            </w:r>
          </w:p>
        </w:tc>
        <w:tc>
          <w:tcPr>
            <w:tcW w:w="1642" w:type="dxa"/>
            <w:gridSpan w:val="2"/>
            <w:tcBorders>
              <w:top w:val="nil"/>
              <w:left w:val="nil"/>
              <w:bottom w:val="single" w:sz="8" w:space="0" w:color="auto"/>
              <w:right w:val="single" w:sz="8" w:space="0" w:color="auto"/>
            </w:tcBorders>
            <w:shd w:val="clear" w:color="auto" w:fill="auto"/>
            <w:vAlign w:val="center"/>
            <w:hideMark/>
          </w:tcPr>
          <w:p w14:paraId="5D7D7602" w14:textId="77777777" w:rsidR="009D6D4E" w:rsidRPr="00FD5486" w:rsidRDefault="009D6D4E" w:rsidP="00BF3B71">
            <w:pPr>
              <w:jc w:val="right"/>
              <w:rPr>
                <w:color w:val="000000"/>
                <w:sz w:val="18"/>
                <w:szCs w:val="18"/>
              </w:rPr>
            </w:pPr>
            <w:r w:rsidRPr="00FD5486">
              <w:rPr>
                <w:color w:val="000000"/>
                <w:sz w:val="18"/>
                <w:szCs w:val="18"/>
              </w:rPr>
              <w:t>0.00</w:t>
            </w:r>
          </w:p>
        </w:tc>
        <w:tc>
          <w:tcPr>
            <w:tcW w:w="945" w:type="dxa"/>
            <w:tcBorders>
              <w:top w:val="nil"/>
              <w:left w:val="nil"/>
              <w:bottom w:val="single" w:sz="8" w:space="0" w:color="auto"/>
              <w:right w:val="single" w:sz="8" w:space="0" w:color="auto"/>
            </w:tcBorders>
            <w:shd w:val="clear" w:color="auto" w:fill="auto"/>
            <w:vAlign w:val="center"/>
            <w:hideMark/>
          </w:tcPr>
          <w:p w14:paraId="31250B9C" w14:textId="77777777" w:rsidR="009D6D4E" w:rsidRPr="00FD5486" w:rsidRDefault="009D6D4E" w:rsidP="00BF3B71">
            <w:pPr>
              <w:jc w:val="right"/>
              <w:rPr>
                <w:color w:val="000000"/>
                <w:sz w:val="18"/>
                <w:szCs w:val="18"/>
              </w:rPr>
            </w:pPr>
            <w:r w:rsidRPr="00FD5486">
              <w:rPr>
                <w:color w:val="000000"/>
                <w:sz w:val="18"/>
                <w:szCs w:val="18"/>
              </w:rPr>
              <w:t>0.00</w:t>
            </w:r>
          </w:p>
        </w:tc>
        <w:tc>
          <w:tcPr>
            <w:tcW w:w="1298" w:type="dxa"/>
            <w:tcBorders>
              <w:top w:val="nil"/>
              <w:left w:val="nil"/>
              <w:bottom w:val="single" w:sz="8" w:space="0" w:color="auto"/>
              <w:right w:val="single" w:sz="8" w:space="0" w:color="auto"/>
            </w:tcBorders>
            <w:shd w:val="clear" w:color="auto" w:fill="auto"/>
            <w:vAlign w:val="center"/>
            <w:hideMark/>
          </w:tcPr>
          <w:p w14:paraId="753B3430" w14:textId="77777777" w:rsidR="009D6D4E" w:rsidRPr="00FD5486" w:rsidRDefault="009D6D4E" w:rsidP="00BF3B71">
            <w:pPr>
              <w:jc w:val="right"/>
              <w:rPr>
                <w:color w:val="000000"/>
                <w:sz w:val="18"/>
                <w:szCs w:val="18"/>
              </w:rPr>
            </w:pPr>
            <w:r w:rsidRPr="00FD5486">
              <w:rPr>
                <w:color w:val="000000"/>
                <w:sz w:val="18"/>
                <w:szCs w:val="18"/>
              </w:rPr>
              <w:t>0.00</w:t>
            </w:r>
          </w:p>
        </w:tc>
        <w:tc>
          <w:tcPr>
            <w:tcW w:w="889" w:type="dxa"/>
            <w:gridSpan w:val="2"/>
            <w:tcBorders>
              <w:top w:val="nil"/>
              <w:left w:val="nil"/>
              <w:bottom w:val="single" w:sz="8" w:space="0" w:color="auto"/>
              <w:right w:val="single" w:sz="8" w:space="0" w:color="auto"/>
            </w:tcBorders>
            <w:shd w:val="clear" w:color="auto" w:fill="auto"/>
            <w:vAlign w:val="center"/>
            <w:hideMark/>
          </w:tcPr>
          <w:p w14:paraId="7B4E1171" w14:textId="77777777" w:rsidR="009D6D4E" w:rsidRPr="00FD5486" w:rsidRDefault="009D6D4E" w:rsidP="00BF3B71">
            <w:pPr>
              <w:jc w:val="right"/>
              <w:rPr>
                <w:color w:val="000000"/>
                <w:sz w:val="18"/>
                <w:szCs w:val="18"/>
              </w:rPr>
            </w:pPr>
            <w:r w:rsidRPr="00FD5486">
              <w:rPr>
                <w:color w:val="000000"/>
                <w:sz w:val="18"/>
                <w:szCs w:val="18"/>
              </w:rPr>
              <w:t>0.00</w:t>
            </w:r>
          </w:p>
        </w:tc>
        <w:tc>
          <w:tcPr>
            <w:tcW w:w="1362" w:type="dxa"/>
            <w:gridSpan w:val="2"/>
            <w:tcBorders>
              <w:top w:val="nil"/>
              <w:left w:val="nil"/>
              <w:bottom w:val="single" w:sz="8" w:space="0" w:color="auto"/>
              <w:right w:val="single" w:sz="8" w:space="0" w:color="auto"/>
            </w:tcBorders>
            <w:shd w:val="clear" w:color="auto" w:fill="auto"/>
            <w:vAlign w:val="center"/>
            <w:hideMark/>
          </w:tcPr>
          <w:p w14:paraId="7D000D90" w14:textId="77777777" w:rsidR="009D6D4E" w:rsidRPr="00FD5486" w:rsidRDefault="009D6D4E" w:rsidP="00BF3B71">
            <w:pPr>
              <w:jc w:val="right"/>
              <w:rPr>
                <w:color w:val="000000"/>
                <w:sz w:val="18"/>
                <w:szCs w:val="18"/>
              </w:rPr>
            </w:pPr>
            <w:r w:rsidRPr="00FD5486">
              <w:rPr>
                <w:color w:val="000000"/>
                <w:sz w:val="18"/>
                <w:szCs w:val="18"/>
              </w:rPr>
              <w:t>0.00</w:t>
            </w:r>
          </w:p>
        </w:tc>
        <w:tc>
          <w:tcPr>
            <w:tcW w:w="1508" w:type="dxa"/>
            <w:gridSpan w:val="2"/>
            <w:tcBorders>
              <w:top w:val="nil"/>
              <w:left w:val="nil"/>
              <w:bottom w:val="single" w:sz="8" w:space="0" w:color="auto"/>
              <w:right w:val="single" w:sz="8" w:space="0" w:color="auto"/>
            </w:tcBorders>
            <w:shd w:val="clear" w:color="auto" w:fill="auto"/>
            <w:vAlign w:val="center"/>
            <w:hideMark/>
          </w:tcPr>
          <w:p w14:paraId="061554B6" w14:textId="77777777" w:rsidR="009D6D4E" w:rsidRPr="00FD5486" w:rsidRDefault="009D6D4E" w:rsidP="00BF3B71">
            <w:pPr>
              <w:jc w:val="right"/>
              <w:rPr>
                <w:b/>
                <w:bCs/>
                <w:color w:val="000000"/>
                <w:sz w:val="18"/>
                <w:szCs w:val="18"/>
              </w:rPr>
            </w:pPr>
            <w:r w:rsidRPr="00FD5486">
              <w:rPr>
                <w:b/>
                <w:bCs/>
                <w:color w:val="000000"/>
                <w:sz w:val="18"/>
                <w:szCs w:val="18"/>
              </w:rPr>
              <w:t>473,510</w:t>
            </w:r>
          </w:p>
        </w:tc>
      </w:tr>
    </w:tbl>
    <w:p w14:paraId="1AAF72E4" w14:textId="77777777" w:rsidR="009D6D4E" w:rsidRDefault="009D6D4E" w:rsidP="009D6D4E"/>
    <w:tbl>
      <w:tblPr>
        <w:tblW w:w="10233" w:type="dxa"/>
        <w:tblLook w:val="04A0" w:firstRow="1" w:lastRow="0" w:firstColumn="1" w:lastColumn="0" w:noHBand="0" w:noVBand="1"/>
      </w:tblPr>
      <w:tblGrid>
        <w:gridCol w:w="687"/>
        <w:gridCol w:w="56"/>
        <w:gridCol w:w="1157"/>
        <w:gridCol w:w="142"/>
        <w:gridCol w:w="854"/>
        <w:gridCol w:w="1656"/>
        <w:gridCol w:w="963"/>
        <w:gridCol w:w="1289"/>
        <w:gridCol w:w="843"/>
        <w:gridCol w:w="643"/>
        <w:gridCol w:w="699"/>
        <w:gridCol w:w="1244"/>
      </w:tblGrid>
      <w:tr w:rsidR="009D6D4E" w:rsidRPr="003A1F45" w14:paraId="7C0B86D4" w14:textId="77777777" w:rsidTr="00BF3B71">
        <w:trPr>
          <w:trHeight w:val="315"/>
        </w:trPr>
        <w:tc>
          <w:tcPr>
            <w:tcW w:w="1023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57D75CAF" w14:textId="77777777" w:rsidR="009D6D4E" w:rsidRPr="003A1F45" w:rsidRDefault="009D6D4E" w:rsidP="00BF3B71">
            <w:pPr>
              <w:jc w:val="both"/>
              <w:rPr>
                <w:b/>
                <w:bCs/>
                <w:color w:val="000000"/>
                <w:sz w:val="18"/>
                <w:szCs w:val="18"/>
              </w:rPr>
            </w:pPr>
            <w:r w:rsidRPr="003A1F45">
              <w:rPr>
                <w:b/>
                <w:bCs/>
                <w:color w:val="000000"/>
                <w:sz w:val="18"/>
                <w:szCs w:val="18"/>
              </w:rPr>
              <w:t>Tabela 10 a.: Kostimi i masës së reformës strukturore : Masa # 12Përmirësimi i mjedisit për Inovacion dhe Ndërmarrësi</w:t>
            </w:r>
          </w:p>
        </w:tc>
      </w:tr>
      <w:tr w:rsidR="009D6D4E" w:rsidRPr="003A1F45" w14:paraId="1362B58C" w14:textId="77777777" w:rsidTr="00BF3B71">
        <w:trPr>
          <w:trHeight w:val="341"/>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14:paraId="61406A60" w14:textId="77777777" w:rsidR="009D6D4E" w:rsidRPr="003A1F45" w:rsidRDefault="009D6D4E" w:rsidP="00BF3B71">
            <w:pPr>
              <w:rPr>
                <w:rFonts w:ascii="Calibri" w:hAnsi="Calibri" w:cs="Calibri"/>
                <w:color w:val="000000"/>
              </w:rPr>
            </w:pPr>
            <w:r w:rsidRPr="003A1F45">
              <w:rPr>
                <w:rFonts w:ascii="Calibri" w:hAnsi="Calibri" w:cs="Calibri"/>
                <w:color w:val="000000"/>
              </w:rPr>
              <w:t xml:space="preserve">Viti </w:t>
            </w:r>
          </w:p>
        </w:tc>
        <w:tc>
          <w:tcPr>
            <w:tcW w:w="1167" w:type="dxa"/>
            <w:gridSpan w:val="2"/>
            <w:tcBorders>
              <w:top w:val="nil"/>
              <w:left w:val="nil"/>
              <w:bottom w:val="single" w:sz="4" w:space="0" w:color="auto"/>
              <w:right w:val="single" w:sz="4" w:space="0" w:color="auto"/>
            </w:tcBorders>
            <w:shd w:val="clear" w:color="auto" w:fill="auto"/>
            <w:vAlign w:val="center"/>
            <w:hideMark/>
          </w:tcPr>
          <w:p w14:paraId="7F3DCC59" w14:textId="77777777" w:rsidR="009D6D4E" w:rsidRPr="003A1F45" w:rsidRDefault="009D6D4E" w:rsidP="00BF3B71">
            <w:pPr>
              <w:jc w:val="both"/>
              <w:rPr>
                <w:color w:val="000000"/>
                <w:sz w:val="18"/>
                <w:szCs w:val="18"/>
              </w:rPr>
            </w:pPr>
            <w:r w:rsidRPr="003A1F45">
              <w:rPr>
                <w:color w:val="000000"/>
                <w:sz w:val="18"/>
                <w:szCs w:val="18"/>
              </w:rPr>
              <w:t>Pagat</w:t>
            </w:r>
          </w:p>
        </w:tc>
        <w:tc>
          <w:tcPr>
            <w:tcW w:w="3641" w:type="dxa"/>
            <w:gridSpan w:val="4"/>
            <w:tcBorders>
              <w:top w:val="nil"/>
              <w:left w:val="nil"/>
              <w:bottom w:val="single" w:sz="4" w:space="0" w:color="auto"/>
              <w:right w:val="single" w:sz="4" w:space="0" w:color="auto"/>
            </w:tcBorders>
            <w:shd w:val="clear" w:color="auto" w:fill="auto"/>
            <w:vAlign w:val="center"/>
            <w:hideMark/>
          </w:tcPr>
          <w:p w14:paraId="00D56C9F" w14:textId="77777777" w:rsidR="009D6D4E" w:rsidRPr="003A1F45" w:rsidRDefault="009D6D4E" w:rsidP="00BF3B71">
            <w:pPr>
              <w:jc w:val="both"/>
              <w:rPr>
                <w:color w:val="000000"/>
                <w:sz w:val="18"/>
                <w:szCs w:val="18"/>
              </w:rPr>
            </w:pPr>
            <w:r w:rsidRPr="003A1F45">
              <w:rPr>
                <w:color w:val="000000"/>
                <w:sz w:val="18"/>
                <w:szCs w:val="18"/>
              </w:rPr>
              <w:t>Mallra dhe shërbime</w:t>
            </w:r>
          </w:p>
        </w:tc>
        <w:tc>
          <w:tcPr>
            <w:tcW w:w="1294" w:type="dxa"/>
            <w:tcBorders>
              <w:top w:val="nil"/>
              <w:left w:val="nil"/>
              <w:bottom w:val="single" w:sz="4" w:space="0" w:color="auto"/>
              <w:right w:val="single" w:sz="4" w:space="0" w:color="auto"/>
            </w:tcBorders>
            <w:shd w:val="clear" w:color="auto" w:fill="auto"/>
            <w:vAlign w:val="center"/>
            <w:hideMark/>
          </w:tcPr>
          <w:p w14:paraId="16B4ADA9" w14:textId="77777777" w:rsidR="009D6D4E" w:rsidRPr="003A1F45" w:rsidRDefault="009D6D4E" w:rsidP="00BF3B71">
            <w:pPr>
              <w:jc w:val="both"/>
              <w:rPr>
                <w:color w:val="000000"/>
                <w:sz w:val="18"/>
                <w:szCs w:val="18"/>
              </w:rPr>
            </w:pPr>
            <w:r w:rsidRPr="003A1F45">
              <w:rPr>
                <w:color w:val="000000"/>
                <w:sz w:val="18"/>
                <w:szCs w:val="18"/>
              </w:rPr>
              <w:t xml:space="preserve">Subvencione dhe transfere </w:t>
            </w:r>
          </w:p>
        </w:tc>
        <w:tc>
          <w:tcPr>
            <w:tcW w:w="1486" w:type="dxa"/>
            <w:gridSpan w:val="2"/>
            <w:tcBorders>
              <w:top w:val="nil"/>
              <w:left w:val="nil"/>
              <w:bottom w:val="single" w:sz="4" w:space="0" w:color="auto"/>
              <w:right w:val="single" w:sz="4" w:space="0" w:color="auto"/>
            </w:tcBorders>
            <w:shd w:val="clear" w:color="auto" w:fill="auto"/>
            <w:vAlign w:val="center"/>
            <w:hideMark/>
          </w:tcPr>
          <w:p w14:paraId="2C76F215" w14:textId="77777777" w:rsidR="009D6D4E" w:rsidRPr="003A1F45" w:rsidRDefault="009D6D4E" w:rsidP="00BF3B71">
            <w:pPr>
              <w:jc w:val="both"/>
              <w:rPr>
                <w:color w:val="000000"/>
                <w:sz w:val="18"/>
                <w:szCs w:val="18"/>
              </w:rPr>
            </w:pPr>
            <w:r w:rsidRPr="003A1F45">
              <w:rPr>
                <w:color w:val="000000"/>
                <w:sz w:val="18"/>
                <w:szCs w:val="18"/>
              </w:rPr>
              <w:t xml:space="preserve">Shpenzimet kapitale </w:t>
            </w:r>
          </w:p>
        </w:tc>
        <w:tc>
          <w:tcPr>
            <w:tcW w:w="1958" w:type="dxa"/>
            <w:gridSpan w:val="2"/>
            <w:tcBorders>
              <w:top w:val="nil"/>
              <w:left w:val="nil"/>
              <w:bottom w:val="single" w:sz="4" w:space="0" w:color="auto"/>
              <w:right w:val="single" w:sz="4" w:space="0" w:color="auto"/>
            </w:tcBorders>
            <w:shd w:val="clear" w:color="auto" w:fill="auto"/>
            <w:vAlign w:val="center"/>
            <w:hideMark/>
          </w:tcPr>
          <w:p w14:paraId="6A31CBC2" w14:textId="77777777" w:rsidR="009D6D4E" w:rsidRPr="003A1F45" w:rsidRDefault="009D6D4E" w:rsidP="00BF3B71">
            <w:pPr>
              <w:jc w:val="both"/>
              <w:rPr>
                <w:color w:val="000000"/>
                <w:sz w:val="18"/>
                <w:szCs w:val="18"/>
              </w:rPr>
            </w:pPr>
            <w:r w:rsidRPr="003A1F45">
              <w:rPr>
                <w:color w:val="000000"/>
                <w:sz w:val="18"/>
                <w:szCs w:val="18"/>
              </w:rPr>
              <w:t xml:space="preserve">Totali </w:t>
            </w:r>
          </w:p>
        </w:tc>
      </w:tr>
      <w:tr w:rsidR="009D6D4E" w:rsidRPr="003A1F45" w14:paraId="0DB78DFB" w14:textId="77777777" w:rsidTr="00BF3B71">
        <w:trPr>
          <w:trHeight w:val="210"/>
        </w:trPr>
        <w:tc>
          <w:tcPr>
            <w:tcW w:w="687" w:type="dxa"/>
            <w:tcBorders>
              <w:top w:val="nil"/>
              <w:left w:val="single" w:sz="4" w:space="0" w:color="auto"/>
              <w:bottom w:val="single" w:sz="4" w:space="0" w:color="auto"/>
              <w:right w:val="single" w:sz="4" w:space="0" w:color="auto"/>
            </w:tcBorders>
            <w:shd w:val="clear" w:color="auto" w:fill="auto"/>
            <w:vAlign w:val="center"/>
            <w:hideMark/>
          </w:tcPr>
          <w:p w14:paraId="4CDB7268" w14:textId="77777777" w:rsidR="009D6D4E" w:rsidRPr="003A1F45" w:rsidRDefault="009D6D4E" w:rsidP="00BF3B71">
            <w:pPr>
              <w:jc w:val="both"/>
              <w:rPr>
                <w:color w:val="000000"/>
                <w:sz w:val="18"/>
                <w:szCs w:val="18"/>
              </w:rPr>
            </w:pPr>
            <w:r w:rsidRPr="003A1F45">
              <w:rPr>
                <w:color w:val="000000"/>
                <w:sz w:val="18"/>
                <w:szCs w:val="18"/>
              </w:rPr>
              <w:t>2020</w:t>
            </w:r>
          </w:p>
        </w:tc>
        <w:tc>
          <w:tcPr>
            <w:tcW w:w="1167" w:type="dxa"/>
            <w:gridSpan w:val="2"/>
            <w:tcBorders>
              <w:top w:val="nil"/>
              <w:left w:val="nil"/>
              <w:bottom w:val="single" w:sz="4" w:space="0" w:color="auto"/>
              <w:right w:val="single" w:sz="4" w:space="0" w:color="auto"/>
            </w:tcBorders>
            <w:shd w:val="clear" w:color="auto" w:fill="auto"/>
            <w:vAlign w:val="center"/>
            <w:hideMark/>
          </w:tcPr>
          <w:p w14:paraId="19C0E29D" w14:textId="77777777" w:rsidR="009D6D4E" w:rsidRPr="003A1F45" w:rsidRDefault="009D6D4E" w:rsidP="00BF3B71">
            <w:pPr>
              <w:jc w:val="right"/>
              <w:rPr>
                <w:color w:val="000000"/>
                <w:sz w:val="18"/>
                <w:szCs w:val="18"/>
              </w:rPr>
            </w:pPr>
            <w:r w:rsidRPr="003A1F45">
              <w:rPr>
                <w:color w:val="000000"/>
                <w:sz w:val="18"/>
                <w:szCs w:val="18"/>
              </w:rPr>
              <w:t xml:space="preserve">                                -   </w:t>
            </w:r>
          </w:p>
        </w:tc>
        <w:tc>
          <w:tcPr>
            <w:tcW w:w="3641" w:type="dxa"/>
            <w:gridSpan w:val="4"/>
            <w:tcBorders>
              <w:top w:val="nil"/>
              <w:left w:val="nil"/>
              <w:bottom w:val="single" w:sz="4" w:space="0" w:color="auto"/>
              <w:right w:val="single" w:sz="4" w:space="0" w:color="auto"/>
            </w:tcBorders>
            <w:shd w:val="clear" w:color="auto" w:fill="auto"/>
            <w:vAlign w:val="center"/>
            <w:hideMark/>
          </w:tcPr>
          <w:p w14:paraId="17C26AEB" w14:textId="77777777" w:rsidR="009D6D4E" w:rsidRPr="003A1F45" w:rsidRDefault="009D6D4E" w:rsidP="00BF3B71">
            <w:pPr>
              <w:jc w:val="right"/>
              <w:rPr>
                <w:color w:val="000000"/>
                <w:sz w:val="18"/>
                <w:szCs w:val="18"/>
              </w:rPr>
            </w:pPr>
            <w:r w:rsidRPr="003A1F45">
              <w:rPr>
                <w:color w:val="000000"/>
                <w:sz w:val="18"/>
                <w:szCs w:val="18"/>
              </w:rPr>
              <w:t xml:space="preserve">                            90,000 </w:t>
            </w:r>
          </w:p>
        </w:tc>
        <w:tc>
          <w:tcPr>
            <w:tcW w:w="1294" w:type="dxa"/>
            <w:tcBorders>
              <w:top w:val="nil"/>
              <w:left w:val="nil"/>
              <w:bottom w:val="single" w:sz="4" w:space="0" w:color="auto"/>
              <w:right w:val="single" w:sz="4" w:space="0" w:color="auto"/>
            </w:tcBorders>
            <w:shd w:val="clear" w:color="auto" w:fill="auto"/>
            <w:vAlign w:val="center"/>
            <w:hideMark/>
          </w:tcPr>
          <w:p w14:paraId="188C7099" w14:textId="77777777" w:rsidR="009D6D4E" w:rsidRPr="003A1F45" w:rsidRDefault="009D6D4E" w:rsidP="00BF3B71">
            <w:pPr>
              <w:jc w:val="right"/>
              <w:rPr>
                <w:color w:val="000000"/>
                <w:sz w:val="18"/>
                <w:szCs w:val="18"/>
              </w:rPr>
            </w:pPr>
            <w:r w:rsidRPr="003A1F45">
              <w:rPr>
                <w:color w:val="000000"/>
                <w:sz w:val="18"/>
                <w:szCs w:val="18"/>
              </w:rPr>
              <w:t xml:space="preserve">                      7,500,000 </w:t>
            </w:r>
          </w:p>
        </w:tc>
        <w:tc>
          <w:tcPr>
            <w:tcW w:w="1486" w:type="dxa"/>
            <w:gridSpan w:val="2"/>
            <w:tcBorders>
              <w:top w:val="nil"/>
              <w:left w:val="nil"/>
              <w:bottom w:val="single" w:sz="4" w:space="0" w:color="auto"/>
              <w:right w:val="single" w:sz="4" w:space="0" w:color="auto"/>
            </w:tcBorders>
            <w:shd w:val="clear" w:color="auto" w:fill="auto"/>
            <w:vAlign w:val="center"/>
            <w:hideMark/>
          </w:tcPr>
          <w:p w14:paraId="5EC84C09" w14:textId="77777777" w:rsidR="009D6D4E" w:rsidRPr="003A1F45" w:rsidRDefault="009D6D4E" w:rsidP="00BF3B71">
            <w:pPr>
              <w:jc w:val="right"/>
              <w:rPr>
                <w:color w:val="000000"/>
                <w:sz w:val="18"/>
                <w:szCs w:val="18"/>
              </w:rPr>
            </w:pPr>
            <w:r w:rsidRPr="003A1F45">
              <w:rPr>
                <w:color w:val="000000"/>
                <w:sz w:val="18"/>
                <w:szCs w:val="18"/>
              </w:rPr>
              <w:t> </w:t>
            </w:r>
          </w:p>
        </w:tc>
        <w:tc>
          <w:tcPr>
            <w:tcW w:w="1958" w:type="dxa"/>
            <w:gridSpan w:val="2"/>
            <w:tcBorders>
              <w:top w:val="nil"/>
              <w:left w:val="nil"/>
              <w:bottom w:val="single" w:sz="4" w:space="0" w:color="auto"/>
              <w:right w:val="single" w:sz="4" w:space="0" w:color="auto"/>
            </w:tcBorders>
            <w:shd w:val="clear" w:color="000000" w:fill="FFFFFF"/>
            <w:vAlign w:val="center"/>
            <w:hideMark/>
          </w:tcPr>
          <w:p w14:paraId="4519E6C9" w14:textId="77777777" w:rsidR="009D6D4E" w:rsidRPr="003A1F45" w:rsidRDefault="009D6D4E" w:rsidP="00BF3B71">
            <w:pPr>
              <w:jc w:val="both"/>
              <w:rPr>
                <w:color w:val="000000"/>
                <w:sz w:val="18"/>
                <w:szCs w:val="18"/>
              </w:rPr>
            </w:pPr>
            <w:r w:rsidRPr="003A1F45">
              <w:rPr>
                <w:color w:val="000000"/>
                <w:sz w:val="18"/>
                <w:szCs w:val="18"/>
              </w:rPr>
              <w:t xml:space="preserve">                      7,590,000 </w:t>
            </w:r>
          </w:p>
        </w:tc>
      </w:tr>
      <w:tr w:rsidR="009D6D4E" w:rsidRPr="003A1F45" w14:paraId="24B99D5A" w14:textId="77777777" w:rsidTr="00BF3B71">
        <w:trPr>
          <w:trHeight w:val="210"/>
        </w:trPr>
        <w:tc>
          <w:tcPr>
            <w:tcW w:w="687" w:type="dxa"/>
            <w:tcBorders>
              <w:top w:val="nil"/>
              <w:left w:val="single" w:sz="4" w:space="0" w:color="auto"/>
              <w:bottom w:val="single" w:sz="4" w:space="0" w:color="auto"/>
              <w:right w:val="single" w:sz="4" w:space="0" w:color="auto"/>
            </w:tcBorders>
            <w:shd w:val="clear" w:color="auto" w:fill="auto"/>
            <w:vAlign w:val="center"/>
            <w:hideMark/>
          </w:tcPr>
          <w:p w14:paraId="55CE8B4F" w14:textId="77777777" w:rsidR="009D6D4E" w:rsidRPr="003A1F45" w:rsidRDefault="009D6D4E" w:rsidP="00BF3B71">
            <w:pPr>
              <w:jc w:val="both"/>
              <w:rPr>
                <w:color w:val="000000"/>
                <w:sz w:val="18"/>
                <w:szCs w:val="18"/>
              </w:rPr>
            </w:pPr>
            <w:r w:rsidRPr="003A1F45">
              <w:rPr>
                <w:color w:val="000000"/>
                <w:sz w:val="18"/>
                <w:szCs w:val="18"/>
              </w:rPr>
              <w:t>2021</w:t>
            </w:r>
          </w:p>
        </w:tc>
        <w:tc>
          <w:tcPr>
            <w:tcW w:w="1167" w:type="dxa"/>
            <w:gridSpan w:val="2"/>
            <w:tcBorders>
              <w:top w:val="nil"/>
              <w:left w:val="nil"/>
              <w:bottom w:val="single" w:sz="4" w:space="0" w:color="auto"/>
              <w:right w:val="single" w:sz="4" w:space="0" w:color="auto"/>
            </w:tcBorders>
            <w:shd w:val="clear" w:color="auto" w:fill="auto"/>
            <w:vAlign w:val="center"/>
            <w:hideMark/>
          </w:tcPr>
          <w:p w14:paraId="6FC32738" w14:textId="77777777" w:rsidR="009D6D4E" w:rsidRPr="003A1F45" w:rsidRDefault="009D6D4E" w:rsidP="00BF3B71">
            <w:pPr>
              <w:jc w:val="right"/>
              <w:rPr>
                <w:color w:val="000000"/>
                <w:sz w:val="18"/>
                <w:szCs w:val="18"/>
              </w:rPr>
            </w:pPr>
            <w:r w:rsidRPr="003A1F45">
              <w:rPr>
                <w:color w:val="000000"/>
                <w:sz w:val="18"/>
                <w:szCs w:val="18"/>
              </w:rPr>
              <w:t xml:space="preserve">                                -   </w:t>
            </w:r>
          </w:p>
        </w:tc>
        <w:tc>
          <w:tcPr>
            <w:tcW w:w="3641" w:type="dxa"/>
            <w:gridSpan w:val="4"/>
            <w:tcBorders>
              <w:top w:val="nil"/>
              <w:left w:val="nil"/>
              <w:bottom w:val="single" w:sz="4" w:space="0" w:color="auto"/>
              <w:right w:val="single" w:sz="4" w:space="0" w:color="auto"/>
            </w:tcBorders>
            <w:shd w:val="clear" w:color="auto" w:fill="auto"/>
            <w:vAlign w:val="center"/>
            <w:hideMark/>
          </w:tcPr>
          <w:p w14:paraId="2CC48129" w14:textId="77777777" w:rsidR="009D6D4E" w:rsidRPr="003A1F45" w:rsidRDefault="009D6D4E" w:rsidP="00BF3B71">
            <w:pPr>
              <w:jc w:val="right"/>
              <w:rPr>
                <w:color w:val="000000"/>
                <w:sz w:val="18"/>
                <w:szCs w:val="18"/>
              </w:rPr>
            </w:pPr>
            <w:r w:rsidRPr="003A1F45">
              <w:rPr>
                <w:color w:val="000000"/>
                <w:sz w:val="18"/>
                <w:szCs w:val="18"/>
              </w:rPr>
              <w:t xml:space="preserve">                            48,000 </w:t>
            </w:r>
          </w:p>
        </w:tc>
        <w:tc>
          <w:tcPr>
            <w:tcW w:w="1294" w:type="dxa"/>
            <w:tcBorders>
              <w:top w:val="nil"/>
              <w:left w:val="nil"/>
              <w:bottom w:val="single" w:sz="4" w:space="0" w:color="auto"/>
              <w:right w:val="single" w:sz="4" w:space="0" w:color="auto"/>
            </w:tcBorders>
            <w:shd w:val="clear" w:color="auto" w:fill="auto"/>
            <w:vAlign w:val="center"/>
            <w:hideMark/>
          </w:tcPr>
          <w:p w14:paraId="099BD871" w14:textId="77777777" w:rsidR="009D6D4E" w:rsidRPr="003A1F45" w:rsidRDefault="009D6D4E" w:rsidP="00BF3B71">
            <w:pPr>
              <w:jc w:val="right"/>
              <w:rPr>
                <w:color w:val="000000"/>
                <w:sz w:val="18"/>
                <w:szCs w:val="18"/>
              </w:rPr>
            </w:pPr>
            <w:r w:rsidRPr="003A1F45">
              <w:rPr>
                <w:color w:val="000000"/>
                <w:sz w:val="18"/>
                <w:szCs w:val="18"/>
              </w:rPr>
              <w:t xml:space="preserve">                      8,500,000 </w:t>
            </w:r>
          </w:p>
        </w:tc>
        <w:tc>
          <w:tcPr>
            <w:tcW w:w="1486" w:type="dxa"/>
            <w:gridSpan w:val="2"/>
            <w:tcBorders>
              <w:top w:val="nil"/>
              <w:left w:val="nil"/>
              <w:bottom w:val="single" w:sz="4" w:space="0" w:color="auto"/>
              <w:right w:val="single" w:sz="4" w:space="0" w:color="auto"/>
            </w:tcBorders>
            <w:shd w:val="clear" w:color="auto" w:fill="auto"/>
            <w:vAlign w:val="center"/>
            <w:hideMark/>
          </w:tcPr>
          <w:p w14:paraId="3ACB12A9" w14:textId="77777777" w:rsidR="009D6D4E" w:rsidRPr="003A1F45" w:rsidRDefault="009D6D4E" w:rsidP="00BF3B71">
            <w:pPr>
              <w:jc w:val="right"/>
              <w:rPr>
                <w:color w:val="000000"/>
                <w:sz w:val="18"/>
                <w:szCs w:val="18"/>
              </w:rPr>
            </w:pPr>
            <w:r w:rsidRPr="003A1F45">
              <w:rPr>
                <w:color w:val="000000"/>
                <w:sz w:val="18"/>
                <w:szCs w:val="18"/>
              </w:rPr>
              <w:t xml:space="preserve">                   1,550,000 </w:t>
            </w:r>
          </w:p>
        </w:tc>
        <w:tc>
          <w:tcPr>
            <w:tcW w:w="1958" w:type="dxa"/>
            <w:gridSpan w:val="2"/>
            <w:tcBorders>
              <w:top w:val="nil"/>
              <w:left w:val="nil"/>
              <w:bottom w:val="single" w:sz="4" w:space="0" w:color="auto"/>
              <w:right w:val="single" w:sz="4" w:space="0" w:color="auto"/>
            </w:tcBorders>
            <w:shd w:val="clear" w:color="000000" w:fill="FFFFFF"/>
            <w:vAlign w:val="center"/>
            <w:hideMark/>
          </w:tcPr>
          <w:p w14:paraId="1B97AC4C" w14:textId="77777777" w:rsidR="009D6D4E" w:rsidRPr="003A1F45" w:rsidRDefault="009D6D4E" w:rsidP="00BF3B71">
            <w:pPr>
              <w:jc w:val="both"/>
              <w:rPr>
                <w:color w:val="000000"/>
                <w:sz w:val="18"/>
                <w:szCs w:val="18"/>
              </w:rPr>
            </w:pPr>
            <w:r w:rsidRPr="003A1F45">
              <w:rPr>
                <w:color w:val="000000"/>
                <w:sz w:val="18"/>
                <w:szCs w:val="18"/>
              </w:rPr>
              <w:t xml:space="preserve">                    10,098,000 </w:t>
            </w:r>
          </w:p>
        </w:tc>
      </w:tr>
      <w:tr w:rsidR="009D6D4E" w:rsidRPr="003A1F45" w14:paraId="6B324169" w14:textId="77777777" w:rsidTr="00BF3B71">
        <w:trPr>
          <w:trHeight w:val="210"/>
        </w:trPr>
        <w:tc>
          <w:tcPr>
            <w:tcW w:w="687" w:type="dxa"/>
            <w:tcBorders>
              <w:top w:val="nil"/>
              <w:left w:val="single" w:sz="4" w:space="0" w:color="auto"/>
              <w:bottom w:val="single" w:sz="4" w:space="0" w:color="auto"/>
              <w:right w:val="single" w:sz="4" w:space="0" w:color="auto"/>
            </w:tcBorders>
            <w:shd w:val="clear" w:color="auto" w:fill="auto"/>
            <w:vAlign w:val="center"/>
            <w:hideMark/>
          </w:tcPr>
          <w:p w14:paraId="7FD652F1" w14:textId="77777777" w:rsidR="009D6D4E" w:rsidRPr="003A1F45" w:rsidRDefault="009D6D4E" w:rsidP="00BF3B71">
            <w:pPr>
              <w:jc w:val="both"/>
              <w:rPr>
                <w:color w:val="000000"/>
                <w:sz w:val="18"/>
                <w:szCs w:val="18"/>
              </w:rPr>
            </w:pPr>
            <w:r w:rsidRPr="003A1F45">
              <w:rPr>
                <w:color w:val="000000"/>
                <w:sz w:val="18"/>
                <w:szCs w:val="18"/>
              </w:rPr>
              <w:t>2022</w:t>
            </w:r>
          </w:p>
        </w:tc>
        <w:tc>
          <w:tcPr>
            <w:tcW w:w="1167" w:type="dxa"/>
            <w:gridSpan w:val="2"/>
            <w:tcBorders>
              <w:top w:val="nil"/>
              <w:left w:val="nil"/>
              <w:bottom w:val="single" w:sz="4" w:space="0" w:color="auto"/>
              <w:right w:val="single" w:sz="4" w:space="0" w:color="auto"/>
            </w:tcBorders>
            <w:shd w:val="clear" w:color="auto" w:fill="auto"/>
            <w:vAlign w:val="center"/>
            <w:hideMark/>
          </w:tcPr>
          <w:p w14:paraId="5C38F22B" w14:textId="77777777" w:rsidR="009D6D4E" w:rsidRPr="003A1F45" w:rsidRDefault="009D6D4E" w:rsidP="00BF3B71">
            <w:pPr>
              <w:jc w:val="right"/>
              <w:rPr>
                <w:color w:val="000000"/>
                <w:sz w:val="18"/>
                <w:szCs w:val="18"/>
              </w:rPr>
            </w:pPr>
            <w:r w:rsidRPr="003A1F45">
              <w:rPr>
                <w:color w:val="000000"/>
                <w:sz w:val="18"/>
                <w:szCs w:val="18"/>
              </w:rPr>
              <w:t xml:space="preserve">                                -   </w:t>
            </w:r>
          </w:p>
        </w:tc>
        <w:tc>
          <w:tcPr>
            <w:tcW w:w="3641" w:type="dxa"/>
            <w:gridSpan w:val="4"/>
            <w:tcBorders>
              <w:top w:val="nil"/>
              <w:left w:val="nil"/>
              <w:bottom w:val="single" w:sz="4" w:space="0" w:color="auto"/>
              <w:right w:val="single" w:sz="4" w:space="0" w:color="auto"/>
            </w:tcBorders>
            <w:shd w:val="clear" w:color="auto" w:fill="auto"/>
            <w:vAlign w:val="center"/>
            <w:hideMark/>
          </w:tcPr>
          <w:p w14:paraId="0FAF36F6" w14:textId="77777777" w:rsidR="009D6D4E" w:rsidRPr="003A1F45" w:rsidRDefault="009D6D4E" w:rsidP="00BF3B71">
            <w:pPr>
              <w:jc w:val="right"/>
              <w:rPr>
                <w:color w:val="000000"/>
                <w:sz w:val="18"/>
                <w:szCs w:val="18"/>
              </w:rPr>
            </w:pPr>
            <w:r w:rsidRPr="003A1F45">
              <w:rPr>
                <w:color w:val="000000"/>
                <w:sz w:val="18"/>
                <w:szCs w:val="18"/>
              </w:rPr>
              <w:t xml:space="preserve">                         145,000 </w:t>
            </w:r>
          </w:p>
        </w:tc>
        <w:tc>
          <w:tcPr>
            <w:tcW w:w="1294" w:type="dxa"/>
            <w:tcBorders>
              <w:top w:val="nil"/>
              <w:left w:val="nil"/>
              <w:bottom w:val="single" w:sz="4" w:space="0" w:color="auto"/>
              <w:right w:val="single" w:sz="4" w:space="0" w:color="auto"/>
            </w:tcBorders>
            <w:shd w:val="clear" w:color="auto" w:fill="auto"/>
            <w:vAlign w:val="center"/>
            <w:hideMark/>
          </w:tcPr>
          <w:p w14:paraId="4FDC3EF4" w14:textId="77777777" w:rsidR="009D6D4E" w:rsidRPr="003A1F45" w:rsidRDefault="009D6D4E" w:rsidP="00BF3B71">
            <w:pPr>
              <w:jc w:val="right"/>
              <w:rPr>
                <w:color w:val="000000"/>
                <w:sz w:val="18"/>
                <w:szCs w:val="18"/>
              </w:rPr>
            </w:pPr>
            <w:r w:rsidRPr="003A1F45">
              <w:rPr>
                <w:color w:val="000000"/>
                <w:sz w:val="18"/>
                <w:szCs w:val="18"/>
              </w:rPr>
              <w:t xml:space="preserve">                      6,500,000 </w:t>
            </w:r>
          </w:p>
        </w:tc>
        <w:tc>
          <w:tcPr>
            <w:tcW w:w="1486" w:type="dxa"/>
            <w:gridSpan w:val="2"/>
            <w:tcBorders>
              <w:top w:val="nil"/>
              <w:left w:val="nil"/>
              <w:bottom w:val="single" w:sz="4" w:space="0" w:color="auto"/>
              <w:right w:val="single" w:sz="4" w:space="0" w:color="auto"/>
            </w:tcBorders>
            <w:shd w:val="clear" w:color="auto" w:fill="auto"/>
            <w:vAlign w:val="center"/>
            <w:hideMark/>
          </w:tcPr>
          <w:p w14:paraId="4F67EA56" w14:textId="77777777" w:rsidR="009D6D4E" w:rsidRPr="003A1F45" w:rsidRDefault="009D6D4E" w:rsidP="00BF3B71">
            <w:pPr>
              <w:jc w:val="right"/>
              <w:rPr>
                <w:color w:val="000000"/>
                <w:sz w:val="18"/>
                <w:szCs w:val="18"/>
              </w:rPr>
            </w:pPr>
            <w:r w:rsidRPr="003A1F45">
              <w:rPr>
                <w:color w:val="000000"/>
                <w:sz w:val="18"/>
                <w:szCs w:val="18"/>
              </w:rPr>
              <w:t xml:space="preserve">                   1,500,000 </w:t>
            </w:r>
          </w:p>
        </w:tc>
        <w:tc>
          <w:tcPr>
            <w:tcW w:w="1958" w:type="dxa"/>
            <w:gridSpan w:val="2"/>
            <w:tcBorders>
              <w:top w:val="nil"/>
              <w:left w:val="nil"/>
              <w:bottom w:val="single" w:sz="4" w:space="0" w:color="auto"/>
              <w:right w:val="single" w:sz="4" w:space="0" w:color="auto"/>
            </w:tcBorders>
            <w:shd w:val="clear" w:color="000000" w:fill="FFFFFF"/>
            <w:vAlign w:val="center"/>
            <w:hideMark/>
          </w:tcPr>
          <w:p w14:paraId="6095BAF5" w14:textId="77777777" w:rsidR="009D6D4E" w:rsidRPr="003A1F45" w:rsidRDefault="009D6D4E" w:rsidP="00BF3B71">
            <w:pPr>
              <w:jc w:val="both"/>
              <w:rPr>
                <w:color w:val="000000"/>
                <w:sz w:val="18"/>
                <w:szCs w:val="18"/>
              </w:rPr>
            </w:pPr>
            <w:r w:rsidRPr="003A1F45">
              <w:rPr>
                <w:color w:val="000000"/>
                <w:sz w:val="18"/>
                <w:szCs w:val="18"/>
              </w:rPr>
              <w:t xml:space="preserve">                      8,145,000 </w:t>
            </w:r>
          </w:p>
        </w:tc>
      </w:tr>
      <w:tr w:rsidR="009D6D4E" w:rsidRPr="003A1F45" w14:paraId="7B4C2401" w14:textId="77777777" w:rsidTr="00BF3B71">
        <w:trPr>
          <w:trHeight w:val="223"/>
        </w:trPr>
        <w:tc>
          <w:tcPr>
            <w:tcW w:w="10233" w:type="dxa"/>
            <w:gridSpan w:val="12"/>
            <w:tcBorders>
              <w:top w:val="single" w:sz="8" w:space="0" w:color="auto"/>
              <w:left w:val="single" w:sz="8" w:space="0" w:color="auto"/>
              <w:bottom w:val="single" w:sz="8" w:space="0" w:color="auto"/>
              <w:right w:val="single" w:sz="8" w:space="0" w:color="000000"/>
            </w:tcBorders>
            <w:shd w:val="clear" w:color="auto" w:fill="auto"/>
            <w:vAlign w:val="center"/>
            <w:hideMark/>
          </w:tcPr>
          <w:p w14:paraId="02045561" w14:textId="77777777" w:rsidR="009D6D4E" w:rsidRPr="003A1F45" w:rsidRDefault="009D6D4E" w:rsidP="00BF3B71">
            <w:pPr>
              <w:rPr>
                <w:b/>
                <w:bCs/>
                <w:color w:val="000000"/>
                <w:sz w:val="18"/>
                <w:szCs w:val="18"/>
              </w:rPr>
            </w:pPr>
            <w:r w:rsidRPr="003A1F45">
              <w:rPr>
                <w:b/>
                <w:bCs/>
                <w:color w:val="000000"/>
                <w:sz w:val="18"/>
                <w:szCs w:val="18"/>
              </w:rPr>
              <w:t>Tabela 10.b:Financimi i masës së reformës strukturore: Masa #12 Përmirësimi i mjedisit për Inovacion dhe Ndërmarrësi</w:t>
            </w:r>
          </w:p>
        </w:tc>
      </w:tr>
      <w:tr w:rsidR="009D6D4E" w:rsidRPr="003A1F45" w14:paraId="5E978CE1" w14:textId="77777777" w:rsidTr="00BF3B71">
        <w:trPr>
          <w:trHeight w:val="354"/>
        </w:trPr>
        <w:tc>
          <w:tcPr>
            <w:tcW w:w="743" w:type="dxa"/>
            <w:gridSpan w:val="2"/>
            <w:tcBorders>
              <w:top w:val="nil"/>
              <w:left w:val="single" w:sz="8" w:space="0" w:color="auto"/>
              <w:bottom w:val="single" w:sz="8" w:space="0" w:color="auto"/>
              <w:right w:val="single" w:sz="8" w:space="0" w:color="auto"/>
            </w:tcBorders>
            <w:shd w:val="clear" w:color="auto" w:fill="auto"/>
            <w:vAlign w:val="center"/>
            <w:hideMark/>
          </w:tcPr>
          <w:p w14:paraId="330E3C4B" w14:textId="77777777" w:rsidR="009D6D4E" w:rsidRPr="003A1F45" w:rsidRDefault="009D6D4E" w:rsidP="00BF3B71">
            <w:pPr>
              <w:rPr>
                <w:color w:val="000000"/>
                <w:sz w:val="18"/>
                <w:szCs w:val="18"/>
              </w:rPr>
            </w:pPr>
            <w:r w:rsidRPr="003A1F45">
              <w:rPr>
                <w:color w:val="000000"/>
                <w:sz w:val="18"/>
                <w:szCs w:val="18"/>
              </w:rPr>
              <w:t xml:space="preserve">Viti </w:t>
            </w:r>
          </w:p>
        </w:tc>
        <w:tc>
          <w:tcPr>
            <w:tcW w:w="1254" w:type="dxa"/>
            <w:gridSpan w:val="2"/>
            <w:tcBorders>
              <w:top w:val="nil"/>
              <w:left w:val="nil"/>
              <w:bottom w:val="single" w:sz="8" w:space="0" w:color="auto"/>
              <w:right w:val="single" w:sz="8" w:space="0" w:color="auto"/>
            </w:tcBorders>
            <w:shd w:val="clear" w:color="auto" w:fill="auto"/>
            <w:vAlign w:val="center"/>
            <w:hideMark/>
          </w:tcPr>
          <w:p w14:paraId="442BD273" w14:textId="77777777" w:rsidR="009D6D4E" w:rsidRPr="003A1F45" w:rsidRDefault="009D6D4E" w:rsidP="00BF3B71">
            <w:pPr>
              <w:rPr>
                <w:color w:val="000000"/>
                <w:sz w:val="18"/>
                <w:szCs w:val="18"/>
              </w:rPr>
            </w:pPr>
            <w:r w:rsidRPr="003A1F45">
              <w:rPr>
                <w:color w:val="000000"/>
                <w:sz w:val="18"/>
                <w:szCs w:val="18"/>
              </w:rPr>
              <w:t>Buxheti Qendror</w:t>
            </w:r>
          </w:p>
        </w:tc>
        <w:tc>
          <w:tcPr>
            <w:tcW w:w="846" w:type="dxa"/>
            <w:tcBorders>
              <w:top w:val="nil"/>
              <w:left w:val="nil"/>
              <w:bottom w:val="single" w:sz="8" w:space="0" w:color="auto"/>
              <w:right w:val="single" w:sz="8" w:space="0" w:color="auto"/>
            </w:tcBorders>
            <w:shd w:val="clear" w:color="auto" w:fill="auto"/>
            <w:vAlign w:val="center"/>
            <w:hideMark/>
          </w:tcPr>
          <w:p w14:paraId="6035715F" w14:textId="77777777" w:rsidR="009D6D4E" w:rsidRPr="003A1F45" w:rsidRDefault="009D6D4E" w:rsidP="00BF3B71">
            <w:pPr>
              <w:rPr>
                <w:color w:val="000000"/>
                <w:sz w:val="18"/>
                <w:szCs w:val="18"/>
              </w:rPr>
            </w:pPr>
            <w:r w:rsidRPr="003A1F45">
              <w:rPr>
                <w:color w:val="000000"/>
                <w:sz w:val="18"/>
                <w:szCs w:val="18"/>
              </w:rPr>
              <w:t>Buxheti komunal</w:t>
            </w:r>
          </w:p>
        </w:tc>
        <w:tc>
          <w:tcPr>
            <w:tcW w:w="1681" w:type="dxa"/>
            <w:tcBorders>
              <w:top w:val="nil"/>
              <w:left w:val="nil"/>
              <w:bottom w:val="single" w:sz="8" w:space="0" w:color="auto"/>
              <w:right w:val="single" w:sz="8" w:space="0" w:color="auto"/>
            </w:tcBorders>
            <w:shd w:val="clear" w:color="auto" w:fill="auto"/>
            <w:vAlign w:val="center"/>
            <w:hideMark/>
          </w:tcPr>
          <w:p w14:paraId="7D4B436B" w14:textId="77777777" w:rsidR="009D6D4E" w:rsidRPr="003A1F45" w:rsidRDefault="009D6D4E" w:rsidP="00BF3B71">
            <w:pPr>
              <w:rPr>
                <w:color w:val="000000"/>
                <w:sz w:val="18"/>
                <w:szCs w:val="18"/>
              </w:rPr>
            </w:pPr>
            <w:r w:rsidRPr="003A1F45">
              <w:rPr>
                <w:color w:val="000000"/>
                <w:sz w:val="18"/>
                <w:szCs w:val="18"/>
              </w:rPr>
              <w:t xml:space="preserve">Burimet e tjera të financimit publik </w:t>
            </w:r>
          </w:p>
        </w:tc>
        <w:tc>
          <w:tcPr>
            <w:tcW w:w="971" w:type="dxa"/>
            <w:tcBorders>
              <w:top w:val="nil"/>
              <w:left w:val="nil"/>
              <w:bottom w:val="single" w:sz="8" w:space="0" w:color="auto"/>
              <w:right w:val="single" w:sz="8" w:space="0" w:color="auto"/>
            </w:tcBorders>
            <w:shd w:val="clear" w:color="auto" w:fill="auto"/>
            <w:vAlign w:val="center"/>
            <w:hideMark/>
          </w:tcPr>
          <w:p w14:paraId="4B664E04" w14:textId="77777777" w:rsidR="009D6D4E" w:rsidRPr="003A1F45" w:rsidRDefault="009D6D4E" w:rsidP="00BF3B71">
            <w:pPr>
              <w:rPr>
                <w:color w:val="000000"/>
                <w:sz w:val="18"/>
                <w:szCs w:val="18"/>
              </w:rPr>
            </w:pPr>
            <w:r w:rsidRPr="003A1F45">
              <w:rPr>
                <w:color w:val="000000"/>
                <w:sz w:val="18"/>
                <w:szCs w:val="18"/>
              </w:rPr>
              <w:t xml:space="preserve">Fondet e IPA-së </w:t>
            </w:r>
          </w:p>
        </w:tc>
        <w:tc>
          <w:tcPr>
            <w:tcW w:w="1294" w:type="dxa"/>
            <w:tcBorders>
              <w:top w:val="nil"/>
              <w:left w:val="nil"/>
              <w:bottom w:val="single" w:sz="8" w:space="0" w:color="auto"/>
              <w:right w:val="single" w:sz="8" w:space="0" w:color="auto"/>
            </w:tcBorders>
            <w:shd w:val="clear" w:color="auto" w:fill="auto"/>
            <w:vAlign w:val="center"/>
            <w:hideMark/>
          </w:tcPr>
          <w:p w14:paraId="2ECBC9E5" w14:textId="77777777" w:rsidR="009D6D4E" w:rsidRPr="003A1F45" w:rsidRDefault="009D6D4E" w:rsidP="00BF3B71">
            <w:pPr>
              <w:rPr>
                <w:color w:val="000000"/>
                <w:sz w:val="18"/>
                <w:szCs w:val="18"/>
              </w:rPr>
            </w:pPr>
            <w:r w:rsidRPr="003A1F45">
              <w:rPr>
                <w:color w:val="000000"/>
                <w:sz w:val="18"/>
                <w:szCs w:val="18"/>
              </w:rPr>
              <w:t xml:space="preserve">Grante të tjera </w:t>
            </w:r>
          </w:p>
        </w:tc>
        <w:tc>
          <w:tcPr>
            <w:tcW w:w="843" w:type="dxa"/>
            <w:tcBorders>
              <w:top w:val="nil"/>
              <w:left w:val="nil"/>
              <w:bottom w:val="single" w:sz="8" w:space="0" w:color="auto"/>
              <w:right w:val="single" w:sz="8" w:space="0" w:color="auto"/>
            </w:tcBorders>
            <w:shd w:val="clear" w:color="auto" w:fill="auto"/>
            <w:vAlign w:val="center"/>
            <w:hideMark/>
          </w:tcPr>
          <w:p w14:paraId="5B0D12E2" w14:textId="77777777" w:rsidR="009D6D4E" w:rsidRPr="003A1F45" w:rsidRDefault="009D6D4E" w:rsidP="00BF3B71">
            <w:pPr>
              <w:rPr>
                <w:color w:val="000000"/>
                <w:sz w:val="18"/>
                <w:szCs w:val="18"/>
              </w:rPr>
            </w:pPr>
            <w:r w:rsidRPr="003A1F45">
              <w:rPr>
                <w:color w:val="000000"/>
                <w:sz w:val="18"/>
                <w:szCs w:val="18"/>
              </w:rPr>
              <w:t xml:space="preserve">Kredi për projekte </w:t>
            </w:r>
          </w:p>
        </w:tc>
        <w:tc>
          <w:tcPr>
            <w:tcW w:w="1350" w:type="dxa"/>
            <w:gridSpan w:val="2"/>
            <w:tcBorders>
              <w:top w:val="nil"/>
              <w:left w:val="nil"/>
              <w:bottom w:val="single" w:sz="8" w:space="0" w:color="auto"/>
              <w:right w:val="single" w:sz="8" w:space="0" w:color="auto"/>
            </w:tcBorders>
            <w:shd w:val="clear" w:color="auto" w:fill="auto"/>
            <w:vAlign w:val="center"/>
            <w:hideMark/>
          </w:tcPr>
          <w:p w14:paraId="1F9A46E3" w14:textId="77777777" w:rsidR="009D6D4E" w:rsidRPr="003A1F45" w:rsidRDefault="009D6D4E" w:rsidP="00BF3B71">
            <w:pPr>
              <w:rPr>
                <w:color w:val="000000"/>
                <w:sz w:val="18"/>
                <w:szCs w:val="18"/>
              </w:rPr>
            </w:pPr>
            <w:r w:rsidRPr="003A1F45">
              <w:rPr>
                <w:color w:val="000000"/>
                <w:sz w:val="18"/>
                <w:szCs w:val="18"/>
              </w:rPr>
              <w:t xml:space="preserve">Të përcaktohet </w:t>
            </w:r>
          </w:p>
        </w:tc>
        <w:tc>
          <w:tcPr>
            <w:tcW w:w="1251" w:type="dxa"/>
            <w:tcBorders>
              <w:top w:val="nil"/>
              <w:left w:val="nil"/>
              <w:bottom w:val="single" w:sz="8" w:space="0" w:color="auto"/>
              <w:right w:val="single" w:sz="8" w:space="0" w:color="auto"/>
            </w:tcBorders>
            <w:shd w:val="clear" w:color="auto" w:fill="auto"/>
            <w:vAlign w:val="center"/>
            <w:hideMark/>
          </w:tcPr>
          <w:p w14:paraId="7C9E43AF" w14:textId="77777777" w:rsidR="009D6D4E" w:rsidRPr="003A1F45" w:rsidRDefault="009D6D4E" w:rsidP="00BF3B71">
            <w:pPr>
              <w:rPr>
                <w:color w:val="000000"/>
                <w:sz w:val="18"/>
                <w:szCs w:val="18"/>
              </w:rPr>
            </w:pPr>
            <w:r w:rsidRPr="003A1F45">
              <w:rPr>
                <w:color w:val="000000"/>
                <w:sz w:val="18"/>
                <w:szCs w:val="18"/>
              </w:rPr>
              <w:t xml:space="preserve">Totali </w:t>
            </w:r>
          </w:p>
        </w:tc>
      </w:tr>
      <w:tr w:rsidR="009D6D4E" w:rsidRPr="003A1F45" w14:paraId="6ECD532C" w14:textId="77777777" w:rsidTr="00BF3B71">
        <w:trPr>
          <w:trHeight w:val="249"/>
        </w:trPr>
        <w:tc>
          <w:tcPr>
            <w:tcW w:w="743" w:type="dxa"/>
            <w:gridSpan w:val="2"/>
            <w:tcBorders>
              <w:top w:val="nil"/>
              <w:left w:val="single" w:sz="8" w:space="0" w:color="auto"/>
              <w:bottom w:val="single" w:sz="8" w:space="0" w:color="auto"/>
              <w:right w:val="single" w:sz="8" w:space="0" w:color="auto"/>
            </w:tcBorders>
            <w:shd w:val="clear" w:color="auto" w:fill="auto"/>
            <w:vAlign w:val="center"/>
            <w:hideMark/>
          </w:tcPr>
          <w:p w14:paraId="77047AC3" w14:textId="77777777" w:rsidR="009D6D4E" w:rsidRPr="003A1F45" w:rsidRDefault="009D6D4E" w:rsidP="00BF3B71">
            <w:pPr>
              <w:jc w:val="both"/>
              <w:rPr>
                <w:color w:val="000000"/>
                <w:sz w:val="18"/>
                <w:szCs w:val="18"/>
              </w:rPr>
            </w:pPr>
            <w:r w:rsidRPr="003A1F45">
              <w:rPr>
                <w:color w:val="000000"/>
                <w:sz w:val="18"/>
                <w:szCs w:val="18"/>
              </w:rPr>
              <w:t>2020</w:t>
            </w:r>
          </w:p>
        </w:tc>
        <w:tc>
          <w:tcPr>
            <w:tcW w:w="1254" w:type="dxa"/>
            <w:gridSpan w:val="2"/>
            <w:tcBorders>
              <w:top w:val="nil"/>
              <w:left w:val="nil"/>
              <w:bottom w:val="single" w:sz="8" w:space="0" w:color="auto"/>
              <w:right w:val="single" w:sz="8" w:space="0" w:color="auto"/>
            </w:tcBorders>
            <w:shd w:val="clear" w:color="auto" w:fill="auto"/>
            <w:vAlign w:val="center"/>
            <w:hideMark/>
          </w:tcPr>
          <w:p w14:paraId="01E681AE" w14:textId="77777777" w:rsidR="009D6D4E" w:rsidRPr="003A1F45" w:rsidRDefault="009D6D4E" w:rsidP="00BF3B71">
            <w:pPr>
              <w:jc w:val="right"/>
              <w:rPr>
                <w:color w:val="000000"/>
                <w:sz w:val="18"/>
                <w:szCs w:val="18"/>
              </w:rPr>
            </w:pPr>
            <w:r w:rsidRPr="003A1F45">
              <w:rPr>
                <w:color w:val="000000"/>
                <w:sz w:val="18"/>
                <w:szCs w:val="18"/>
              </w:rPr>
              <w:t>7,566,000.00</w:t>
            </w:r>
          </w:p>
        </w:tc>
        <w:tc>
          <w:tcPr>
            <w:tcW w:w="846" w:type="dxa"/>
            <w:tcBorders>
              <w:top w:val="nil"/>
              <w:left w:val="nil"/>
              <w:bottom w:val="single" w:sz="8" w:space="0" w:color="auto"/>
              <w:right w:val="single" w:sz="8" w:space="0" w:color="auto"/>
            </w:tcBorders>
            <w:shd w:val="clear" w:color="auto" w:fill="auto"/>
            <w:vAlign w:val="center"/>
            <w:hideMark/>
          </w:tcPr>
          <w:p w14:paraId="0309A6FD" w14:textId="77777777" w:rsidR="009D6D4E" w:rsidRPr="003A1F45" w:rsidRDefault="009D6D4E" w:rsidP="00BF3B71">
            <w:pPr>
              <w:jc w:val="right"/>
              <w:rPr>
                <w:color w:val="000000"/>
                <w:sz w:val="18"/>
                <w:szCs w:val="18"/>
              </w:rPr>
            </w:pPr>
            <w:r w:rsidRPr="003A1F45">
              <w:rPr>
                <w:color w:val="000000"/>
                <w:sz w:val="18"/>
                <w:szCs w:val="18"/>
              </w:rPr>
              <w:t>0.00</w:t>
            </w:r>
          </w:p>
        </w:tc>
        <w:tc>
          <w:tcPr>
            <w:tcW w:w="1681" w:type="dxa"/>
            <w:tcBorders>
              <w:top w:val="nil"/>
              <w:left w:val="nil"/>
              <w:bottom w:val="single" w:sz="8" w:space="0" w:color="auto"/>
              <w:right w:val="single" w:sz="8" w:space="0" w:color="auto"/>
            </w:tcBorders>
            <w:shd w:val="clear" w:color="auto" w:fill="auto"/>
            <w:vAlign w:val="center"/>
            <w:hideMark/>
          </w:tcPr>
          <w:p w14:paraId="2457E2EC" w14:textId="77777777" w:rsidR="009D6D4E" w:rsidRPr="003A1F45" w:rsidRDefault="009D6D4E" w:rsidP="00BF3B71">
            <w:pPr>
              <w:jc w:val="right"/>
              <w:rPr>
                <w:color w:val="000000"/>
                <w:sz w:val="18"/>
                <w:szCs w:val="18"/>
              </w:rPr>
            </w:pPr>
            <w:r w:rsidRPr="003A1F45">
              <w:rPr>
                <w:color w:val="000000"/>
                <w:sz w:val="18"/>
                <w:szCs w:val="18"/>
              </w:rPr>
              <w:t>0.00</w:t>
            </w:r>
          </w:p>
        </w:tc>
        <w:tc>
          <w:tcPr>
            <w:tcW w:w="971" w:type="dxa"/>
            <w:tcBorders>
              <w:top w:val="nil"/>
              <w:left w:val="nil"/>
              <w:bottom w:val="single" w:sz="8" w:space="0" w:color="auto"/>
              <w:right w:val="single" w:sz="8" w:space="0" w:color="auto"/>
            </w:tcBorders>
            <w:shd w:val="clear" w:color="auto" w:fill="auto"/>
            <w:vAlign w:val="center"/>
            <w:hideMark/>
          </w:tcPr>
          <w:p w14:paraId="5AA94C3F" w14:textId="77777777" w:rsidR="009D6D4E" w:rsidRPr="003A1F45" w:rsidRDefault="009D6D4E" w:rsidP="00BF3B71">
            <w:pPr>
              <w:jc w:val="right"/>
              <w:rPr>
                <w:color w:val="000000"/>
                <w:sz w:val="18"/>
                <w:szCs w:val="18"/>
              </w:rPr>
            </w:pPr>
            <w:r w:rsidRPr="003A1F45">
              <w:rPr>
                <w:color w:val="000000"/>
                <w:sz w:val="18"/>
                <w:szCs w:val="18"/>
              </w:rPr>
              <w:t>0.00</w:t>
            </w:r>
          </w:p>
        </w:tc>
        <w:tc>
          <w:tcPr>
            <w:tcW w:w="1294" w:type="dxa"/>
            <w:tcBorders>
              <w:top w:val="nil"/>
              <w:left w:val="nil"/>
              <w:bottom w:val="single" w:sz="8" w:space="0" w:color="auto"/>
              <w:right w:val="single" w:sz="8" w:space="0" w:color="auto"/>
            </w:tcBorders>
            <w:shd w:val="clear" w:color="auto" w:fill="auto"/>
            <w:vAlign w:val="center"/>
            <w:hideMark/>
          </w:tcPr>
          <w:p w14:paraId="2BDF0140" w14:textId="77777777" w:rsidR="009D6D4E" w:rsidRPr="003A1F45" w:rsidRDefault="009D6D4E" w:rsidP="00BF3B71">
            <w:pPr>
              <w:jc w:val="right"/>
              <w:rPr>
                <w:color w:val="000000"/>
                <w:sz w:val="18"/>
                <w:szCs w:val="18"/>
              </w:rPr>
            </w:pPr>
            <w:r w:rsidRPr="003A1F45">
              <w:rPr>
                <w:color w:val="000000"/>
                <w:sz w:val="18"/>
                <w:szCs w:val="18"/>
              </w:rPr>
              <w:t>24,000.00</w:t>
            </w:r>
          </w:p>
        </w:tc>
        <w:tc>
          <w:tcPr>
            <w:tcW w:w="843" w:type="dxa"/>
            <w:tcBorders>
              <w:top w:val="nil"/>
              <w:left w:val="nil"/>
              <w:bottom w:val="single" w:sz="8" w:space="0" w:color="auto"/>
              <w:right w:val="single" w:sz="8" w:space="0" w:color="auto"/>
            </w:tcBorders>
            <w:shd w:val="clear" w:color="auto" w:fill="auto"/>
            <w:vAlign w:val="center"/>
            <w:hideMark/>
          </w:tcPr>
          <w:p w14:paraId="253FD176" w14:textId="77777777" w:rsidR="009D6D4E" w:rsidRPr="003A1F45" w:rsidRDefault="009D6D4E" w:rsidP="00BF3B71">
            <w:pPr>
              <w:jc w:val="right"/>
              <w:rPr>
                <w:color w:val="000000"/>
                <w:sz w:val="18"/>
                <w:szCs w:val="18"/>
              </w:rPr>
            </w:pPr>
            <w:r w:rsidRPr="003A1F45">
              <w:rPr>
                <w:color w:val="000000"/>
                <w:sz w:val="18"/>
                <w:szCs w:val="18"/>
              </w:rPr>
              <w:t>0.00</w:t>
            </w:r>
          </w:p>
        </w:tc>
        <w:tc>
          <w:tcPr>
            <w:tcW w:w="1350" w:type="dxa"/>
            <w:gridSpan w:val="2"/>
            <w:tcBorders>
              <w:top w:val="nil"/>
              <w:left w:val="nil"/>
              <w:bottom w:val="single" w:sz="8" w:space="0" w:color="auto"/>
              <w:right w:val="single" w:sz="8" w:space="0" w:color="auto"/>
            </w:tcBorders>
            <w:shd w:val="clear" w:color="auto" w:fill="auto"/>
            <w:vAlign w:val="center"/>
            <w:hideMark/>
          </w:tcPr>
          <w:p w14:paraId="1C537436" w14:textId="77777777" w:rsidR="009D6D4E" w:rsidRPr="003A1F45" w:rsidRDefault="009D6D4E" w:rsidP="00BF3B71">
            <w:pPr>
              <w:jc w:val="right"/>
              <w:rPr>
                <w:color w:val="000000"/>
                <w:sz w:val="18"/>
                <w:szCs w:val="18"/>
              </w:rPr>
            </w:pPr>
            <w:r w:rsidRPr="003A1F45">
              <w:rPr>
                <w:color w:val="000000"/>
                <w:sz w:val="18"/>
                <w:szCs w:val="18"/>
              </w:rPr>
              <w:t>0.00</w:t>
            </w:r>
          </w:p>
        </w:tc>
        <w:tc>
          <w:tcPr>
            <w:tcW w:w="1251" w:type="dxa"/>
            <w:tcBorders>
              <w:top w:val="nil"/>
              <w:left w:val="nil"/>
              <w:bottom w:val="single" w:sz="8" w:space="0" w:color="auto"/>
              <w:right w:val="single" w:sz="8" w:space="0" w:color="auto"/>
            </w:tcBorders>
            <w:shd w:val="clear" w:color="auto" w:fill="auto"/>
            <w:vAlign w:val="center"/>
            <w:hideMark/>
          </w:tcPr>
          <w:p w14:paraId="489DF503" w14:textId="77777777" w:rsidR="009D6D4E" w:rsidRPr="003A1F45" w:rsidRDefault="009D6D4E" w:rsidP="00BF3B71">
            <w:pPr>
              <w:jc w:val="both"/>
              <w:rPr>
                <w:b/>
                <w:bCs/>
                <w:color w:val="000000"/>
                <w:sz w:val="18"/>
                <w:szCs w:val="18"/>
              </w:rPr>
            </w:pPr>
            <w:r w:rsidRPr="003A1F45">
              <w:rPr>
                <w:b/>
                <w:bCs/>
                <w:color w:val="000000"/>
                <w:sz w:val="18"/>
                <w:szCs w:val="18"/>
              </w:rPr>
              <w:t>7,590,000</w:t>
            </w:r>
          </w:p>
        </w:tc>
      </w:tr>
      <w:tr w:rsidR="009D6D4E" w:rsidRPr="003A1F45" w14:paraId="4F2B81E2" w14:textId="77777777" w:rsidTr="00BF3B71">
        <w:trPr>
          <w:trHeight w:val="223"/>
        </w:trPr>
        <w:tc>
          <w:tcPr>
            <w:tcW w:w="743" w:type="dxa"/>
            <w:gridSpan w:val="2"/>
            <w:tcBorders>
              <w:top w:val="nil"/>
              <w:left w:val="single" w:sz="8" w:space="0" w:color="auto"/>
              <w:bottom w:val="single" w:sz="8" w:space="0" w:color="auto"/>
              <w:right w:val="single" w:sz="8" w:space="0" w:color="auto"/>
            </w:tcBorders>
            <w:shd w:val="clear" w:color="auto" w:fill="auto"/>
            <w:vAlign w:val="center"/>
            <w:hideMark/>
          </w:tcPr>
          <w:p w14:paraId="55FCAC14" w14:textId="77777777" w:rsidR="009D6D4E" w:rsidRPr="003A1F45" w:rsidRDefault="009D6D4E" w:rsidP="00BF3B71">
            <w:pPr>
              <w:jc w:val="both"/>
              <w:rPr>
                <w:color w:val="000000"/>
                <w:sz w:val="18"/>
                <w:szCs w:val="18"/>
              </w:rPr>
            </w:pPr>
            <w:r w:rsidRPr="003A1F45">
              <w:rPr>
                <w:color w:val="000000"/>
                <w:sz w:val="18"/>
                <w:szCs w:val="18"/>
              </w:rPr>
              <w:t>2021</w:t>
            </w:r>
          </w:p>
        </w:tc>
        <w:tc>
          <w:tcPr>
            <w:tcW w:w="1254" w:type="dxa"/>
            <w:gridSpan w:val="2"/>
            <w:tcBorders>
              <w:top w:val="nil"/>
              <w:left w:val="nil"/>
              <w:bottom w:val="single" w:sz="8" w:space="0" w:color="auto"/>
              <w:right w:val="single" w:sz="8" w:space="0" w:color="auto"/>
            </w:tcBorders>
            <w:shd w:val="clear" w:color="auto" w:fill="auto"/>
            <w:vAlign w:val="center"/>
            <w:hideMark/>
          </w:tcPr>
          <w:p w14:paraId="59626716" w14:textId="77777777" w:rsidR="009D6D4E" w:rsidRPr="003A1F45" w:rsidRDefault="009D6D4E" w:rsidP="00BF3B71">
            <w:pPr>
              <w:jc w:val="right"/>
              <w:rPr>
                <w:color w:val="000000"/>
                <w:sz w:val="18"/>
                <w:szCs w:val="18"/>
              </w:rPr>
            </w:pPr>
            <w:r w:rsidRPr="003A1F45">
              <w:rPr>
                <w:color w:val="000000"/>
                <w:sz w:val="18"/>
                <w:szCs w:val="18"/>
              </w:rPr>
              <w:t>10,050,000.00</w:t>
            </w:r>
          </w:p>
        </w:tc>
        <w:tc>
          <w:tcPr>
            <w:tcW w:w="846" w:type="dxa"/>
            <w:tcBorders>
              <w:top w:val="nil"/>
              <w:left w:val="nil"/>
              <w:bottom w:val="single" w:sz="8" w:space="0" w:color="auto"/>
              <w:right w:val="single" w:sz="8" w:space="0" w:color="auto"/>
            </w:tcBorders>
            <w:shd w:val="clear" w:color="auto" w:fill="auto"/>
            <w:vAlign w:val="center"/>
            <w:hideMark/>
          </w:tcPr>
          <w:p w14:paraId="2F199F72" w14:textId="77777777" w:rsidR="009D6D4E" w:rsidRPr="003A1F45" w:rsidRDefault="009D6D4E" w:rsidP="00BF3B71">
            <w:pPr>
              <w:jc w:val="right"/>
              <w:rPr>
                <w:color w:val="000000"/>
                <w:sz w:val="18"/>
                <w:szCs w:val="18"/>
              </w:rPr>
            </w:pPr>
            <w:r w:rsidRPr="003A1F45">
              <w:rPr>
                <w:color w:val="000000"/>
                <w:sz w:val="18"/>
                <w:szCs w:val="18"/>
              </w:rPr>
              <w:t>0.00</w:t>
            </w:r>
          </w:p>
        </w:tc>
        <w:tc>
          <w:tcPr>
            <w:tcW w:w="1681" w:type="dxa"/>
            <w:tcBorders>
              <w:top w:val="nil"/>
              <w:left w:val="nil"/>
              <w:bottom w:val="single" w:sz="8" w:space="0" w:color="auto"/>
              <w:right w:val="single" w:sz="8" w:space="0" w:color="auto"/>
            </w:tcBorders>
            <w:shd w:val="clear" w:color="auto" w:fill="auto"/>
            <w:vAlign w:val="center"/>
            <w:hideMark/>
          </w:tcPr>
          <w:p w14:paraId="050693D6" w14:textId="77777777" w:rsidR="009D6D4E" w:rsidRPr="003A1F45" w:rsidRDefault="009D6D4E" w:rsidP="00BF3B71">
            <w:pPr>
              <w:jc w:val="right"/>
              <w:rPr>
                <w:color w:val="000000"/>
                <w:sz w:val="18"/>
                <w:szCs w:val="18"/>
              </w:rPr>
            </w:pPr>
            <w:r w:rsidRPr="003A1F45">
              <w:rPr>
                <w:color w:val="000000"/>
                <w:sz w:val="18"/>
                <w:szCs w:val="18"/>
              </w:rPr>
              <w:t>0.00</w:t>
            </w:r>
          </w:p>
        </w:tc>
        <w:tc>
          <w:tcPr>
            <w:tcW w:w="971" w:type="dxa"/>
            <w:tcBorders>
              <w:top w:val="nil"/>
              <w:left w:val="nil"/>
              <w:bottom w:val="single" w:sz="8" w:space="0" w:color="auto"/>
              <w:right w:val="single" w:sz="8" w:space="0" w:color="auto"/>
            </w:tcBorders>
            <w:shd w:val="clear" w:color="auto" w:fill="auto"/>
            <w:vAlign w:val="center"/>
            <w:hideMark/>
          </w:tcPr>
          <w:p w14:paraId="68622DCA" w14:textId="77777777" w:rsidR="009D6D4E" w:rsidRPr="003A1F45" w:rsidRDefault="009D6D4E" w:rsidP="00BF3B71">
            <w:pPr>
              <w:jc w:val="right"/>
              <w:rPr>
                <w:color w:val="000000"/>
                <w:sz w:val="18"/>
                <w:szCs w:val="18"/>
              </w:rPr>
            </w:pPr>
            <w:r w:rsidRPr="003A1F45">
              <w:rPr>
                <w:color w:val="000000"/>
                <w:sz w:val="18"/>
                <w:szCs w:val="18"/>
              </w:rPr>
              <w:t>0.00</w:t>
            </w:r>
          </w:p>
        </w:tc>
        <w:tc>
          <w:tcPr>
            <w:tcW w:w="1294" w:type="dxa"/>
            <w:tcBorders>
              <w:top w:val="nil"/>
              <w:left w:val="nil"/>
              <w:bottom w:val="single" w:sz="8" w:space="0" w:color="auto"/>
              <w:right w:val="single" w:sz="8" w:space="0" w:color="auto"/>
            </w:tcBorders>
            <w:shd w:val="clear" w:color="auto" w:fill="auto"/>
            <w:vAlign w:val="center"/>
            <w:hideMark/>
          </w:tcPr>
          <w:p w14:paraId="19838F4D" w14:textId="77777777" w:rsidR="009D6D4E" w:rsidRPr="003A1F45" w:rsidRDefault="009D6D4E" w:rsidP="00BF3B71">
            <w:pPr>
              <w:jc w:val="right"/>
              <w:rPr>
                <w:color w:val="000000"/>
                <w:sz w:val="18"/>
                <w:szCs w:val="18"/>
              </w:rPr>
            </w:pPr>
            <w:r w:rsidRPr="003A1F45">
              <w:rPr>
                <w:color w:val="000000"/>
                <w:sz w:val="18"/>
                <w:szCs w:val="18"/>
              </w:rPr>
              <w:t>48,000.00</w:t>
            </w:r>
          </w:p>
        </w:tc>
        <w:tc>
          <w:tcPr>
            <w:tcW w:w="843" w:type="dxa"/>
            <w:tcBorders>
              <w:top w:val="nil"/>
              <w:left w:val="nil"/>
              <w:bottom w:val="single" w:sz="8" w:space="0" w:color="auto"/>
              <w:right w:val="single" w:sz="8" w:space="0" w:color="auto"/>
            </w:tcBorders>
            <w:shd w:val="clear" w:color="auto" w:fill="auto"/>
            <w:vAlign w:val="center"/>
            <w:hideMark/>
          </w:tcPr>
          <w:p w14:paraId="671D4C8B" w14:textId="77777777" w:rsidR="009D6D4E" w:rsidRPr="003A1F45" w:rsidRDefault="009D6D4E" w:rsidP="00BF3B71">
            <w:pPr>
              <w:jc w:val="right"/>
              <w:rPr>
                <w:color w:val="000000"/>
                <w:sz w:val="18"/>
                <w:szCs w:val="18"/>
              </w:rPr>
            </w:pPr>
            <w:r w:rsidRPr="003A1F45">
              <w:rPr>
                <w:color w:val="000000"/>
                <w:sz w:val="18"/>
                <w:szCs w:val="18"/>
              </w:rPr>
              <w:t>0.00</w:t>
            </w:r>
          </w:p>
        </w:tc>
        <w:tc>
          <w:tcPr>
            <w:tcW w:w="1350" w:type="dxa"/>
            <w:gridSpan w:val="2"/>
            <w:tcBorders>
              <w:top w:val="nil"/>
              <w:left w:val="nil"/>
              <w:bottom w:val="single" w:sz="8" w:space="0" w:color="auto"/>
              <w:right w:val="single" w:sz="8" w:space="0" w:color="auto"/>
            </w:tcBorders>
            <w:shd w:val="clear" w:color="auto" w:fill="auto"/>
            <w:vAlign w:val="center"/>
            <w:hideMark/>
          </w:tcPr>
          <w:p w14:paraId="6A0E6CF3" w14:textId="77777777" w:rsidR="009D6D4E" w:rsidRPr="003A1F45" w:rsidRDefault="009D6D4E" w:rsidP="00BF3B71">
            <w:pPr>
              <w:jc w:val="right"/>
              <w:rPr>
                <w:color w:val="000000"/>
                <w:sz w:val="18"/>
                <w:szCs w:val="18"/>
              </w:rPr>
            </w:pPr>
            <w:r w:rsidRPr="003A1F45">
              <w:rPr>
                <w:color w:val="000000"/>
                <w:sz w:val="18"/>
                <w:szCs w:val="18"/>
              </w:rPr>
              <w:t>0.00</w:t>
            </w:r>
          </w:p>
        </w:tc>
        <w:tc>
          <w:tcPr>
            <w:tcW w:w="1251" w:type="dxa"/>
            <w:tcBorders>
              <w:top w:val="nil"/>
              <w:left w:val="nil"/>
              <w:bottom w:val="single" w:sz="8" w:space="0" w:color="auto"/>
              <w:right w:val="single" w:sz="8" w:space="0" w:color="auto"/>
            </w:tcBorders>
            <w:shd w:val="clear" w:color="auto" w:fill="auto"/>
            <w:vAlign w:val="center"/>
            <w:hideMark/>
          </w:tcPr>
          <w:p w14:paraId="46769B2A" w14:textId="77777777" w:rsidR="009D6D4E" w:rsidRPr="003A1F45" w:rsidRDefault="009D6D4E" w:rsidP="00BF3B71">
            <w:pPr>
              <w:jc w:val="both"/>
              <w:rPr>
                <w:b/>
                <w:bCs/>
                <w:color w:val="000000"/>
                <w:sz w:val="18"/>
                <w:szCs w:val="18"/>
              </w:rPr>
            </w:pPr>
            <w:r w:rsidRPr="003A1F45">
              <w:rPr>
                <w:b/>
                <w:bCs/>
                <w:color w:val="000000"/>
                <w:sz w:val="18"/>
                <w:szCs w:val="18"/>
              </w:rPr>
              <w:t>10,098,00</w:t>
            </w:r>
            <w:r>
              <w:rPr>
                <w:b/>
                <w:bCs/>
                <w:color w:val="000000"/>
                <w:sz w:val="18"/>
                <w:szCs w:val="18"/>
              </w:rPr>
              <w:t>0</w:t>
            </w:r>
          </w:p>
        </w:tc>
      </w:tr>
      <w:tr w:rsidR="009D6D4E" w:rsidRPr="003A1F45" w14:paraId="0F699D39" w14:textId="77777777" w:rsidTr="00BF3B71">
        <w:trPr>
          <w:trHeight w:val="223"/>
        </w:trPr>
        <w:tc>
          <w:tcPr>
            <w:tcW w:w="743" w:type="dxa"/>
            <w:gridSpan w:val="2"/>
            <w:tcBorders>
              <w:top w:val="nil"/>
              <w:left w:val="single" w:sz="8" w:space="0" w:color="auto"/>
              <w:bottom w:val="single" w:sz="8" w:space="0" w:color="auto"/>
              <w:right w:val="single" w:sz="8" w:space="0" w:color="auto"/>
            </w:tcBorders>
            <w:shd w:val="clear" w:color="auto" w:fill="auto"/>
            <w:vAlign w:val="center"/>
            <w:hideMark/>
          </w:tcPr>
          <w:p w14:paraId="53229CF5" w14:textId="77777777" w:rsidR="009D6D4E" w:rsidRPr="003A1F45" w:rsidRDefault="009D6D4E" w:rsidP="00BF3B71">
            <w:pPr>
              <w:jc w:val="both"/>
              <w:rPr>
                <w:color w:val="000000"/>
                <w:sz w:val="18"/>
                <w:szCs w:val="18"/>
              </w:rPr>
            </w:pPr>
            <w:r w:rsidRPr="003A1F45">
              <w:rPr>
                <w:color w:val="000000"/>
                <w:sz w:val="18"/>
                <w:szCs w:val="18"/>
              </w:rPr>
              <w:t>2022</w:t>
            </w:r>
          </w:p>
        </w:tc>
        <w:tc>
          <w:tcPr>
            <w:tcW w:w="1254" w:type="dxa"/>
            <w:gridSpan w:val="2"/>
            <w:tcBorders>
              <w:top w:val="nil"/>
              <w:left w:val="nil"/>
              <w:bottom w:val="single" w:sz="8" w:space="0" w:color="auto"/>
              <w:right w:val="single" w:sz="8" w:space="0" w:color="auto"/>
            </w:tcBorders>
            <w:shd w:val="clear" w:color="auto" w:fill="auto"/>
            <w:vAlign w:val="center"/>
            <w:hideMark/>
          </w:tcPr>
          <w:p w14:paraId="71EC4562" w14:textId="77777777" w:rsidR="009D6D4E" w:rsidRPr="003A1F45" w:rsidRDefault="009D6D4E" w:rsidP="00BF3B71">
            <w:pPr>
              <w:jc w:val="right"/>
              <w:rPr>
                <w:color w:val="000000"/>
                <w:sz w:val="18"/>
                <w:szCs w:val="18"/>
              </w:rPr>
            </w:pPr>
            <w:r w:rsidRPr="003A1F45">
              <w:rPr>
                <w:color w:val="000000"/>
                <w:sz w:val="18"/>
                <w:szCs w:val="18"/>
              </w:rPr>
              <w:t>8,085,000.00</w:t>
            </w:r>
          </w:p>
        </w:tc>
        <w:tc>
          <w:tcPr>
            <w:tcW w:w="846" w:type="dxa"/>
            <w:tcBorders>
              <w:top w:val="nil"/>
              <w:left w:val="nil"/>
              <w:bottom w:val="single" w:sz="8" w:space="0" w:color="auto"/>
              <w:right w:val="single" w:sz="8" w:space="0" w:color="auto"/>
            </w:tcBorders>
            <w:shd w:val="clear" w:color="auto" w:fill="auto"/>
            <w:vAlign w:val="center"/>
            <w:hideMark/>
          </w:tcPr>
          <w:p w14:paraId="102EAD67" w14:textId="77777777" w:rsidR="009D6D4E" w:rsidRPr="003A1F45" w:rsidRDefault="009D6D4E" w:rsidP="00BF3B71">
            <w:pPr>
              <w:jc w:val="right"/>
              <w:rPr>
                <w:color w:val="000000"/>
                <w:sz w:val="18"/>
                <w:szCs w:val="18"/>
              </w:rPr>
            </w:pPr>
            <w:r w:rsidRPr="003A1F45">
              <w:rPr>
                <w:color w:val="000000"/>
                <w:sz w:val="18"/>
                <w:szCs w:val="18"/>
              </w:rPr>
              <w:t>0.00</w:t>
            </w:r>
          </w:p>
        </w:tc>
        <w:tc>
          <w:tcPr>
            <w:tcW w:w="1681" w:type="dxa"/>
            <w:tcBorders>
              <w:top w:val="nil"/>
              <w:left w:val="nil"/>
              <w:bottom w:val="single" w:sz="8" w:space="0" w:color="auto"/>
              <w:right w:val="single" w:sz="8" w:space="0" w:color="auto"/>
            </w:tcBorders>
            <w:shd w:val="clear" w:color="auto" w:fill="auto"/>
            <w:vAlign w:val="center"/>
            <w:hideMark/>
          </w:tcPr>
          <w:p w14:paraId="69BEF200" w14:textId="77777777" w:rsidR="009D6D4E" w:rsidRPr="003A1F45" w:rsidRDefault="009D6D4E" w:rsidP="00BF3B71">
            <w:pPr>
              <w:jc w:val="right"/>
              <w:rPr>
                <w:color w:val="000000"/>
                <w:sz w:val="18"/>
                <w:szCs w:val="18"/>
              </w:rPr>
            </w:pPr>
            <w:r w:rsidRPr="003A1F45">
              <w:rPr>
                <w:color w:val="000000"/>
                <w:sz w:val="18"/>
                <w:szCs w:val="18"/>
              </w:rPr>
              <w:t>0.00</w:t>
            </w:r>
          </w:p>
        </w:tc>
        <w:tc>
          <w:tcPr>
            <w:tcW w:w="971" w:type="dxa"/>
            <w:tcBorders>
              <w:top w:val="nil"/>
              <w:left w:val="nil"/>
              <w:bottom w:val="single" w:sz="8" w:space="0" w:color="auto"/>
              <w:right w:val="single" w:sz="8" w:space="0" w:color="auto"/>
            </w:tcBorders>
            <w:shd w:val="clear" w:color="auto" w:fill="auto"/>
            <w:vAlign w:val="center"/>
            <w:hideMark/>
          </w:tcPr>
          <w:p w14:paraId="5D56E2EF" w14:textId="77777777" w:rsidR="009D6D4E" w:rsidRPr="003A1F45" w:rsidRDefault="009D6D4E" w:rsidP="00BF3B71">
            <w:pPr>
              <w:jc w:val="right"/>
              <w:rPr>
                <w:color w:val="000000"/>
                <w:sz w:val="18"/>
                <w:szCs w:val="18"/>
              </w:rPr>
            </w:pPr>
            <w:r w:rsidRPr="003A1F45">
              <w:rPr>
                <w:color w:val="000000"/>
                <w:sz w:val="18"/>
                <w:szCs w:val="18"/>
              </w:rPr>
              <w:t>0.00</w:t>
            </w:r>
          </w:p>
        </w:tc>
        <w:tc>
          <w:tcPr>
            <w:tcW w:w="1294" w:type="dxa"/>
            <w:tcBorders>
              <w:top w:val="nil"/>
              <w:left w:val="nil"/>
              <w:bottom w:val="single" w:sz="8" w:space="0" w:color="auto"/>
              <w:right w:val="single" w:sz="8" w:space="0" w:color="auto"/>
            </w:tcBorders>
            <w:shd w:val="clear" w:color="auto" w:fill="auto"/>
            <w:vAlign w:val="center"/>
            <w:hideMark/>
          </w:tcPr>
          <w:p w14:paraId="694CCB1B" w14:textId="77777777" w:rsidR="009D6D4E" w:rsidRPr="003A1F45" w:rsidRDefault="009D6D4E" w:rsidP="00BF3B71">
            <w:pPr>
              <w:jc w:val="right"/>
              <w:rPr>
                <w:color w:val="000000"/>
                <w:sz w:val="18"/>
                <w:szCs w:val="18"/>
              </w:rPr>
            </w:pPr>
            <w:r w:rsidRPr="003A1F45">
              <w:rPr>
                <w:color w:val="000000"/>
                <w:sz w:val="18"/>
                <w:szCs w:val="18"/>
              </w:rPr>
              <w:t>60,000.00</w:t>
            </w:r>
          </w:p>
        </w:tc>
        <w:tc>
          <w:tcPr>
            <w:tcW w:w="843" w:type="dxa"/>
            <w:tcBorders>
              <w:top w:val="nil"/>
              <w:left w:val="nil"/>
              <w:bottom w:val="single" w:sz="8" w:space="0" w:color="auto"/>
              <w:right w:val="single" w:sz="8" w:space="0" w:color="auto"/>
            </w:tcBorders>
            <w:shd w:val="clear" w:color="auto" w:fill="auto"/>
            <w:vAlign w:val="center"/>
            <w:hideMark/>
          </w:tcPr>
          <w:p w14:paraId="4218B44F" w14:textId="77777777" w:rsidR="009D6D4E" w:rsidRPr="003A1F45" w:rsidRDefault="009D6D4E" w:rsidP="00BF3B71">
            <w:pPr>
              <w:jc w:val="right"/>
              <w:rPr>
                <w:color w:val="000000"/>
                <w:sz w:val="18"/>
                <w:szCs w:val="18"/>
              </w:rPr>
            </w:pPr>
            <w:r w:rsidRPr="003A1F45">
              <w:rPr>
                <w:color w:val="000000"/>
                <w:sz w:val="18"/>
                <w:szCs w:val="18"/>
              </w:rPr>
              <w:t>0.00</w:t>
            </w:r>
          </w:p>
        </w:tc>
        <w:tc>
          <w:tcPr>
            <w:tcW w:w="1350" w:type="dxa"/>
            <w:gridSpan w:val="2"/>
            <w:tcBorders>
              <w:top w:val="nil"/>
              <w:left w:val="nil"/>
              <w:bottom w:val="single" w:sz="8" w:space="0" w:color="auto"/>
              <w:right w:val="single" w:sz="8" w:space="0" w:color="auto"/>
            </w:tcBorders>
            <w:shd w:val="clear" w:color="auto" w:fill="auto"/>
            <w:vAlign w:val="center"/>
            <w:hideMark/>
          </w:tcPr>
          <w:p w14:paraId="48CA0AF2" w14:textId="77777777" w:rsidR="009D6D4E" w:rsidRPr="003A1F45" w:rsidRDefault="009D6D4E" w:rsidP="00BF3B71">
            <w:pPr>
              <w:jc w:val="right"/>
              <w:rPr>
                <w:color w:val="000000"/>
                <w:sz w:val="18"/>
                <w:szCs w:val="18"/>
              </w:rPr>
            </w:pPr>
            <w:r w:rsidRPr="003A1F45">
              <w:rPr>
                <w:color w:val="000000"/>
                <w:sz w:val="18"/>
                <w:szCs w:val="18"/>
              </w:rPr>
              <w:t>0.00</w:t>
            </w:r>
          </w:p>
        </w:tc>
        <w:tc>
          <w:tcPr>
            <w:tcW w:w="1251" w:type="dxa"/>
            <w:tcBorders>
              <w:top w:val="nil"/>
              <w:left w:val="nil"/>
              <w:bottom w:val="single" w:sz="8" w:space="0" w:color="auto"/>
              <w:right w:val="single" w:sz="8" w:space="0" w:color="auto"/>
            </w:tcBorders>
            <w:shd w:val="clear" w:color="auto" w:fill="auto"/>
            <w:vAlign w:val="center"/>
            <w:hideMark/>
          </w:tcPr>
          <w:p w14:paraId="0A12D45D" w14:textId="77777777" w:rsidR="009D6D4E" w:rsidRPr="003A1F45" w:rsidRDefault="009D6D4E" w:rsidP="00BF3B71">
            <w:pPr>
              <w:jc w:val="both"/>
              <w:rPr>
                <w:b/>
                <w:bCs/>
                <w:color w:val="000000"/>
                <w:sz w:val="18"/>
                <w:szCs w:val="18"/>
              </w:rPr>
            </w:pPr>
            <w:r w:rsidRPr="003A1F45">
              <w:rPr>
                <w:b/>
                <w:bCs/>
                <w:color w:val="000000"/>
                <w:sz w:val="18"/>
                <w:szCs w:val="18"/>
              </w:rPr>
              <w:t>8,145,000</w:t>
            </w:r>
          </w:p>
        </w:tc>
      </w:tr>
    </w:tbl>
    <w:p w14:paraId="61C15857" w14:textId="77777777" w:rsidR="009D6D4E" w:rsidRDefault="009D6D4E" w:rsidP="009D6D4E"/>
    <w:p w14:paraId="5166EA21" w14:textId="77777777" w:rsidR="009D6D4E" w:rsidRDefault="009D6D4E" w:rsidP="009D6D4E"/>
    <w:tbl>
      <w:tblPr>
        <w:tblW w:w="10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158"/>
        <w:gridCol w:w="880"/>
        <w:gridCol w:w="320"/>
        <w:gridCol w:w="1608"/>
        <w:gridCol w:w="981"/>
        <w:gridCol w:w="1173"/>
        <w:gridCol w:w="288"/>
        <w:gridCol w:w="883"/>
        <w:gridCol w:w="1173"/>
        <w:gridCol w:w="926"/>
        <w:gridCol w:w="231"/>
        <w:gridCol w:w="1095"/>
      </w:tblGrid>
      <w:tr w:rsidR="009D6D4E" w:rsidRPr="00FE3DEC" w14:paraId="119115F4" w14:textId="77777777" w:rsidTr="00BF3B71">
        <w:trPr>
          <w:trHeight w:val="348"/>
        </w:trPr>
        <w:tc>
          <w:tcPr>
            <w:tcW w:w="10297" w:type="dxa"/>
            <w:gridSpan w:val="13"/>
            <w:shd w:val="clear" w:color="auto" w:fill="auto"/>
            <w:vAlign w:val="center"/>
            <w:hideMark/>
          </w:tcPr>
          <w:p w14:paraId="7430DCBC" w14:textId="77777777" w:rsidR="009D6D4E" w:rsidRPr="00FE3DEC" w:rsidRDefault="009D6D4E" w:rsidP="00BF3B71">
            <w:pPr>
              <w:jc w:val="both"/>
              <w:rPr>
                <w:b/>
                <w:bCs/>
                <w:color w:val="000000"/>
                <w:sz w:val="18"/>
                <w:szCs w:val="18"/>
              </w:rPr>
            </w:pPr>
            <w:r w:rsidRPr="00FE3DEC">
              <w:rPr>
                <w:b/>
                <w:bCs/>
                <w:color w:val="000000"/>
                <w:sz w:val="18"/>
                <w:szCs w:val="18"/>
              </w:rPr>
              <w:t>Tabela 10 a.: Kostimi i masës së reformës strukturore : Masa #13  Shtrirja e infrastrukturës përkatëse të rrjetave dhe shërbimeve të TIK-ut për zhvillim socio-ekonomik</w:t>
            </w:r>
          </w:p>
        </w:tc>
      </w:tr>
      <w:tr w:rsidR="009D6D4E" w:rsidRPr="00FE3DEC" w14:paraId="546678AD" w14:textId="77777777" w:rsidTr="00BF3B71">
        <w:trPr>
          <w:trHeight w:val="378"/>
        </w:trPr>
        <w:tc>
          <w:tcPr>
            <w:tcW w:w="576" w:type="dxa"/>
            <w:shd w:val="clear" w:color="auto" w:fill="auto"/>
            <w:noWrap/>
            <w:vAlign w:val="bottom"/>
            <w:hideMark/>
          </w:tcPr>
          <w:p w14:paraId="0603FCA6" w14:textId="77777777" w:rsidR="009D6D4E" w:rsidRPr="00FE3DEC" w:rsidRDefault="009D6D4E" w:rsidP="00BF3B71">
            <w:pPr>
              <w:rPr>
                <w:rFonts w:ascii="Calibri" w:hAnsi="Calibri" w:cs="Calibri"/>
                <w:color w:val="000000"/>
              </w:rPr>
            </w:pPr>
            <w:r w:rsidRPr="00FE3DEC">
              <w:rPr>
                <w:rFonts w:ascii="Calibri" w:hAnsi="Calibri" w:cs="Calibri"/>
                <w:color w:val="000000"/>
              </w:rPr>
              <w:t>Viti</w:t>
            </w:r>
          </w:p>
        </w:tc>
        <w:tc>
          <w:tcPr>
            <w:tcW w:w="1052" w:type="dxa"/>
            <w:gridSpan w:val="2"/>
            <w:shd w:val="clear" w:color="auto" w:fill="auto"/>
            <w:vAlign w:val="center"/>
            <w:hideMark/>
          </w:tcPr>
          <w:p w14:paraId="620018F6" w14:textId="77777777" w:rsidR="009D6D4E" w:rsidRPr="00FE3DEC" w:rsidRDefault="009D6D4E" w:rsidP="00BF3B71">
            <w:pPr>
              <w:jc w:val="both"/>
              <w:rPr>
                <w:color w:val="000000"/>
                <w:sz w:val="18"/>
                <w:szCs w:val="18"/>
              </w:rPr>
            </w:pPr>
            <w:r w:rsidRPr="00FE3DEC">
              <w:rPr>
                <w:color w:val="000000"/>
                <w:sz w:val="18"/>
                <w:szCs w:val="18"/>
              </w:rPr>
              <w:t>Pagat</w:t>
            </w:r>
          </w:p>
        </w:tc>
        <w:tc>
          <w:tcPr>
            <w:tcW w:w="1877" w:type="dxa"/>
            <w:gridSpan w:val="2"/>
            <w:shd w:val="clear" w:color="auto" w:fill="auto"/>
            <w:vAlign w:val="center"/>
            <w:hideMark/>
          </w:tcPr>
          <w:p w14:paraId="38CA7919" w14:textId="77777777" w:rsidR="009D6D4E" w:rsidRPr="00FE3DEC" w:rsidRDefault="009D6D4E" w:rsidP="00BF3B71">
            <w:pPr>
              <w:rPr>
                <w:b/>
                <w:bCs/>
                <w:color w:val="000000"/>
                <w:sz w:val="18"/>
                <w:szCs w:val="18"/>
              </w:rPr>
            </w:pPr>
            <w:r w:rsidRPr="00FE3DEC">
              <w:rPr>
                <w:b/>
                <w:bCs/>
                <w:color w:val="000000"/>
                <w:sz w:val="18"/>
                <w:szCs w:val="18"/>
              </w:rPr>
              <w:t xml:space="preserve"> Mallra dhe shërbime  </w:t>
            </w:r>
          </w:p>
        </w:tc>
        <w:tc>
          <w:tcPr>
            <w:tcW w:w="2430" w:type="dxa"/>
            <w:gridSpan w:val="3"/>
            <w:shd w:val="clear" w:color="auto" w:fill="auto"/>
            <w:vAlign w:val="center"/>
            <w:hideMark/>
          </w:tcPr>
          <w:p w14:paraId="4A9484DB" w14:textId="77777777" w:rsidR="009D6D4E" w:rsidRPr="00FE3DEC" w:rsidRDefault="009D6D4E" w:rsidP="00BF3B71">
            <w:pPr>
              <w:rPr>
                <w:b/>
                <w:bCs/>
                <w:color w:val="000000"/>
                <w:sz w:val="18"/>
                <w:szCs w:val="18"/>
              </w:rPr>
            </w:pPr>
            <w:r w:rsidRPr="00FE3DEC">
              <w:rPr>
                <w:b/>
                <w:bCs/>
                <w:color w:val="000000"/>
                <w:sz w:val="18"/>
                <w:szCs w:val="18"/>
              </w:rPr>
              <w:t xml:space="preserve"> Subvencione dhe transfere  </w:t>
            </w:r>
          </w:p>
        </w:tc>
        <w:tc>
          <w:tcPr>
            <w:tcW w:w="2970" w:type="dxa"/>
            <w:gridSpan w:val="3"/>
            <w:shd w:val="clear" w:color="auto" w:fill="auto"/>
            <w:vAlign w:val="center"/>
            <w:hideMark/>
          </w:tcPr>
          <w:p w14:paraId="3EB9980E" w14:textId="77777777" w:rsidR="009D6D4E" w:rsidRPr="00FE3DEC" w:rsidRDefault="009D6D4E" w:rsidP="00BF3B71">
            <w:pPr>
              <w:rPr>
                <w:b/>
                <w:bCs/>
                <w:color w:val="000000"/>
                <w:sz w:val="18"/>
                <w:szCs w:val="18"/>
              </w:rPr>
            </w:pPr>
            <w:r w:rsidRPr="00FE3DEC">
              <w:rPr>
                <w:b/>
                <w:bCs/>
                <w:color w:val="000000"/>
                <w:sz w:val="18"/>
                <w:szCs w:val="18"/>
              </w:rPr>
              <w:t xml:space="preserve"> Shpenzime kapitale  </w:t>
            </w:r>
          </w:p>
        </w:tc>
        <w:tc>
          <w:tcPr>
            <w:tcW w:w="1392" w:type="dxa"/>
            <w:gridSpan w:val="2"/>
            <w:shd w:val="clear" w:color="auto" w:fill="auto"/>
            <w:vAlign w:val="center"/>
            <w:hideMark/>
          </w:tcPr>
          <w:p w14:paraId="710B2A66" w14:textId="77777777" w:rsidR="009D6D4E" w:rsidRPr="00CB6955" w:rsidRDefault="009D6D4E" w:rsidP="00BF3B71">
            <w:pPr>
              <w:rPr>
                <w:b/>
                <w:bCs/>
                <w:color w:val="000000"/>
                <w:sz w:val="18"/>
                <w:szCs w:val="18"/>
              </w:rPr>
            </w:pPr>
            <w:r w:rsidRPr="00CB6955">
              <w:rPr>
                <w:b/>
                <w:bCs/>
                <w:color w:val="000000"/>
                <w:sz w:val="18"/>
                <w:szCs w:val="18"/>
              </w:rPr>
              <w:t xml:space="preserve"> Totali </w:t>
            </w:r>
          </w:p>
        </w:tc>
      </w:tr>
      <w:tr w:rsidR="009D6D4E" w:rsidRPr="00FE3DEC" w14:paraId="6F79E1C8" w14:textId="77777777" w:rsidTr="00BF3B71">
        <w:trPr>
          <w:trHeight w:val="232"/>
        </w:trPr>
        <w:tc>
          <w:tcPr>
            <w:tcW w:w="576" w:type="dxa"/>
            <w:shd w:val="clear" w:color="auto" w:fill="auto"/>
            <w:vAlign w:val="center"/>
            <w:hideMark/>
          </w:tcPr>
          <w:p w14:paraId="7A3054CB" w14:textId="77777777" w:rsidR="009D6D4E" w:rsidRPr="00FE3DEC" w:rsidRDefault="009D6D4E" w:rsidP="00BF3B71">
            <w:pPr>
              <w:jc w:val="both"/>
              <w:rPr>
                <w:color w:val="000000"/>
                <w:sz w:val="18"/>
                <w:szCs w:val="18"/>
              </w:rPr>
            </w:pPr>
            <w:r w:rsidRPr="00FE3DEC">
              <w:rPr>
                <w:color w:val="000000"/>
                <w:sz w:val="18"/>
                <w:szCs w:val="18"/>
              </w:rPr>
              <w:t>2020</w:t>
            </w:r>
          </w:p>
        </w:tc>
        <w:tc>
          <w:tcPr>
            <w:tcW w:w="1052" w:type="dxa"/>
            <w:gridSpan w:val="2"/>
            <w:shd w:val="clear" w:color="auto" w:fill="auto"/>
            <w:vAlign w:val="center"/>
            <w:hideMark/>
          </w:tcPr>
          <w:p w14:paraId="2B31E8AF" w14:textId="77777777" w:rsidR="009D6D4E" w:rsidRPr="00FE3DEC" w:rsidRDefault="009D6D4E" w:rsidP="00BF3B71">
            <w:pPr>
              <w:jc w:val="right"/>
              <w:rPr>
                <w:color w:val="000000"/>
                <w:sz w:val="18"/>
                <w:szCs w:val="18"/>
              </w:rPr>
            </w:pPr>
            <w:r w:rsidRPr="00FE3DEC">
              <w:rPr>
                <w:color w:val="000000"/>
                <w:sz w:val="18"/>
                <w:szCs w:val="18"/>
              </w:rPr>
              <w:t xml:space="preserve">                                -   </w:t>
            </w:r>
          </w:p>
        </w:tc>
        <w:tc>
          <w:tcPr>
            <w:tcW w:w="1877" w:type="dxa"/>
            <w:gridSpan w:val="2"/>
            <w:shd w:val="clear" w:color="auto" w:fill="auto"/>
            <w:noWrap/>
            <w:vAlign w:val="center"/>
            <w:hideMark/>
          </w:tcPr>
          <w:p w14:paraId="34B83BA5" w14:textId="77777777" w:rsidR="009D6D4E" w:rsidRPr="00FE3DEC" w:rsidRDefault="009D6D4E" w:rsidP="00BF3B71">
            <w:pPr>
              <w:rPr>
                <w:color w:val="000000"/>
                <w:sz w:val="18"/>
                <w:szCs w:val="18"/>
              </w:rPr>
            </w:pPr>
            <w:r w:rsidRPr="00FE3DEC">
              <w:rPr>
                <w:color w:val="000000"/>
                <w:sz w:val="18"/>
                <w:szCs w:val="18"/>
              </w:rPr>
              <w:t xml:space="preserve">                      2,563,343 </w:t>
            </w:r>
          </w:p>
        </w:tc>
        <w:tc>
          <w:tcPr>
            <w:tcW w:w="2430" w:type="dxa"/>
            <w:gridSpan w:val="3"/>
            <w:shd w:val="clear" w:color="auto" w:fill="auto"/>
            <w:noWrap/>
            <w:vAlign w:val="center"/>
            <w:hideMark/>
          </w:tcPr>
          <w:p w14:paraId="1AD4FA04" w14:textId="77777777" w:rsidR="009D6D4E" w:rsidRPr="00FE3DEC" w:rsidRDefault="009D6D4E" w:rsidP="00BF3B71">
            <w:pPr>
              <w:rPr>
                <w:color w:val="000000"/>
                <w:sz w:val="18"/>
                <w:szCs w:val="18"/>
              </w:rPr>
            </w:pPr>
            <w:r w:rsidRPr="00FE3DEC">
              <w:rPr>
                <w:color w:val="000000"/>
                <w:sz w:val="18"/>
                <w:szCs w:val="18"/>
              </w:rPr>
              <w:t xml:space="preserve">                      2,700,000 </w:t>
            </w:r>
          </w:p>
        </w:tc>
        <w:tc>
          <w:tcPr>
            <w:tcW w:w="2970" w:type="dxa"/>
            <w:gridSpan w:val="3"/>
            <w:shd w:val="clear" w:color="auto" w:fill="auto"/>
            <w:noWrap/>
            <w:vAlign w:val="center"/>
            <w:hideMark/>
          </w:tcPr>
          <w:p w14:paraId="77883375" w14:textId="77777777" w:rsidR="009D6D4E" w:rsidRPr="00FE3DEC" w:rsidRDefault="009D6D4E" w:rsidP="00BF3B71">
            <w:pPr>
              <w:rPr>
                <w:color w:val="000000"/>
                <w:sz w:val="18"/>
                <w:szCs w:val="18"/>
              </w:rPr>
            </w:pPr>
            <w:r w:rsidRPr="00FE3DEC">
              <w:rPr>
                <w:color w:val="000000"/>
                <w:sz w:val="18"/>
                <w:szCs w:val="18"/>
              </w:rPr>
              <w:t xml:space="preserve">                   4,255,726 </w:t>
            </w:r>
          </w:p>
        </w:tc>
        <w:tc>
          <w:tcPr>
            <w:tcW w:w="1392" w:type="dxa"/>
            <w:gridSpan w:val="2"/>
            <w:shd w:val="clear" w:color="000000" w:fill="FFFFFF"/>
            <w:vAlign w:val="center"/>
            <w:hideMark/>
          </w:tcPr>
          <w:p w14:paraId="3F2AFEB3" w14:textId="77777777" w:rsidR="009D6D4E" w:rsidRPr="00CB6955" w:rsidRDefault="009D6D4E" w:rsidP="00BF3B71">
            <w:pPr>
              <w:jc w:val="both"/>
              <w:rPr>
                <w:b/>
                <w:color w:val="000000"/>
                <w:sz w:val="18"/>
                <w:szCs w:val="18"/>
              </w:rPr>
            </w:pPr>
            <w:r w:rsidRPr="00CB6955">
              <w:rPr>
                <w:b/>
                <w:color w:val="000000"/>
                <w:sz w:val="18"/>
                <w:szCs w:val="18"/>
              </w:rPr>
              <w:t xml:space="preserve">                      9,519,069 </w:t>
            </w:r>
          </w:p>
        </w:tc>
      </w:tr>
      <w:tr w:rsidR="009D6D4E" w:rsidRPr="00FE3DEC" w14:paraId="430088DA" w14:textId="77777777" w:rsidTr="00BF3B71">
        <w:trPr>
          <w:trHeight w:val="232"/>
        </w:trPr>
        <w:tc>
          <w:tcPr>
            <w:tcW w:w="576" w:type="dxa"/>
            <w:shd w:val="clear" w:color="auto" w:fill="auto"/>
            <w:vAlign w:val="center"/>
            <w:hideMark/>
          </w:tcPr>
          <w:p w14:paraId="31D79DCF" w14:textId="77777777" w:rsidR="009D6D4E" w:rsidRPr="00FE3DEC" w:rsidRDefault="009D6D4E" w:rsidP="00BF3B71">
            <w:pPr>
              <w:jc w:val="both"/>
              <w:rPr>
                <w:color w:val="000000"/>
                <w:sz w:val="18"/>
                <w:szCs w:val="18"/>
              </w:rPr>
            </w:pPr>
            <w:r w:rsidRPr="00FE3DEC">
              <w:rPr>
                <w:color w:val="000000"/>
                <w:sz w:val="18"/>
                <w:szCs w:val="18"/>
              </w:rPr>
              <w:t>2021</w:t>
            </w:r>
          </w:p>
        </w:tc>
        <w:tc>
          <w:tcPr>
            <w:tcW w:w="1052" w:type="dxa"/>
            <w:gridSpan w:val="2"/>
            <w:shd w:val="clear" w:color="auto" w:fill="auto"/>
            <w:vAlign w:val="center"/>
            <w:hideMark/>
          </w:tcPr>
          <w:p w14:paraId="37CDD442" w14:textId="77777777" w:rsidR="009D6D4E" w:rsidRPr="00FE3DEC" w:rsidRDefault="009D6D4E" w:rsidP="00BF3B71">
            <w:pPr>
              <w:jc w:val="right"/>
              <w:rPr>
                <w:color w:val="000000"/>
                <w:sz w:val="18"/>
                <w:szCs w:val="18"/>
              </w:rPr>
            </w:pPr>
            <w:r w:rsidRPr="00FE3DEC">
              <w:rPr>
                <w:color w:val="000000"/>
                <w:sz w:val="18"/>
                <w:szCs w:val="18"/>
              </w:rPr>
              <w:t xml:space="preserve">                                -   </w:t>
            </w:r>
          </w:p>
        </w:tc>
        <w:tc>
          <w:tcPr>
            <w:tcW w:w="1877" w:type="dxa"/>
            <w:gridSpan w:val="2"/>
            <w:shd w:val="clear" w:color="auto" w:fill="auto"/>
            <w:noWrap/>
            <w:vAlign w:val="center"/>
            <w:hideMark/>
          </w:tcPr>
          <w:p w14:paraId="6E54BB72" w14:textId="77777777" w:rsidR="009D6D4E" w:rsidRPr="00FE3DEC" w:rsidRDefault="009D6D4E" w:rsidP="00BF3B71">
            <w:pPr>
              <w:rPr>
                <w:color w:val="000000"/>
                <w:sz w:val="18"/>
                <w:szCs w:val="18"/>
              </w:rPr>
            </w:pPr>
            <w:r w:rsidRPr="00FE3DEC">
              <w:rPr>
                <w:color w:val="000000"/>
                <w:sz w:val="18"/>
                <w:szCs w:val="18"/>
              </w:rPr>
              <w:t xml:space="preserve">                      2,711,348 </w:t>
            </w:r>
          </w:p>
        </w:tc>
        <w:tc>
          <w:tcPr>
            <w:tcW w:w="2430" w:type="dxa"/>
            <w:gridSpan w:val="3"/>
            <w:shd w:val="clear" w:color="auto" w:fill="auto"/>
            <w:noWrap/>
            <w:vAlign w:val="center"/>
            <w:hideMark/>
          </w:tcPr>
          <w:p w14:paraId="43A7EB97" w14:textId="77777777" w:rsidR="009D6D4E" w:rsidRPr="00FE3DEC" w:rsidRDefault="009D6D4E" w:rsidP="00BF3B71">
            <w:pPr>
              <w:rPr>
                <w:color w:val="000000"/>
                <w:sz w:val="18"/>
                <w:szCs w:val="18"/>
              </w:rPr>
            </w:pPr>
            <w:r w:rsidRPr="00FE3DEC">
              <w:rPr>
                <w:color w:val="000000"/>
                <w:sz w:val="18"/>
                <w:szCs w:val="18"/>
              </w:rPr>
              <w:t xml:space="preserve">                      2,700,000 </w:t>
            </w:r>
          </w:p>
        </w:tc>
        <w:tc>
          <w:tcPr>
            <w:tcW w:w="2970" w:type="dxa"/>
            <w:gridSpan w:val="3"/>
            <w:shd w:val="clear" w:color="auto" w:fill="auto"/>
            <w:noWrap/>
            <w:vAlign w:val="center"/>
            <w:hideMark/>
          </w:tcPr>
          <w:p w14:paraId="1C05DE58" w14:textId="77777777" w:rsidR="009D6D4E" w:rsidRPr="00FE3DEC" w:rsidRDefault="009D6D4E" w:rsidP="00BF3B71">
            <w:pPr>
              <w:rPr>
                <w:color w:val="000000"/>
                <w:sz w:val="18"/>
                <w:szCs w:val="18"/>
              </w:rPr>
            </w:pPr>
            <w:r w:rsidRPr="00FE3DEC">
              <w:rPr>
                <w:color w:val="000000"/>
                <w:sz w:val="18"/>
                <w:szCs w:val="18"/>
              </w:rPr>
              <w:t xml:space="preserve">                   3,158,913 </w:t>
            </w:r>
          </w:p>
        </w:tc>
        <w:tc>
          <w:tcPr>
            <w:tcW w:w="1392" w:type="dxa"/>
            <w:gridSpan w:val="2"/>
            <w:shd w:val="clear" w:color="000000" w:fill="FFFFFF"/>
            <w:vAlign w:val="center"/>
            <w:hideMark/>
          </w:tcPr>
          <w:p w14:paraId="282F8B52" w14:textId="77777777" w:rsidR="009D6D4E" w:rsidRPr="00CB6955" w:rsidRDefault="009D6D4E" w:rsidP="00BF3B71">
            <w:pPr>
              <w:jc w:val="both"/>
              <w:rPr>
                <w:b/>
                <w:color w:val="000000"/>
                <w:sz w:val="18"/>
                <w:szCs w:val="18"/>
              </w:rPr>
            </w:pPr>
            <w:r w:rsidRPr="00CB6955">
              <w:rPr>
                <w:b/>
                <w:color w:val="000000"/>
                <w:sz w:val="18"/>
                <w:szCs w:val="18"/>
              </w:rPr>
              <w:t xml:space="preserve">                      8,570,261 </w:t>
            </w:r>
          </w:p>
        </w:tc>
      </w:tr>
      <w:tr w:rsidR="009D6D4E" w:rsidRPr="00FE3DEC" w14:paraId="479CD624" w14:textId="77777777" w:rsidTr="00BF3B71">
        <w:trPr>
          <w:trHeight w:val="232"/>
        </w:trPr>
        <w:tc>
          <w:tcPr>
            <w:tcW w:w="576" w:type="dxa"/>
            <w:shd w:val="clear" w:color="auto" w:fill="auto"/>
            <w:vAlign w:val="center"/>
            <w:hideMark/>
          </w:tcPr>
          <w:p w14:paraId="068EF8A7" w14:textId="77777777" w:rsidR="009D6D4E" w:rsidRPr="00FE3DEC" w:rsidRDefault="009D6D4E" w:rsidP="00BF3B71">
            <w:pPr>
              <w:jc w:val="both"/>
              <w:rPr>
                <w:color w:val="000000"/>
                <w:sz w:val="18"/>
                <w:szCs w:val="18"/>
              </w:rPr>
            </w:pPr>
            <w:r w:rsidRPr="00FE3DEC">
              <w:rPr>
                <w:color w:val="000000"/>
                <w:sz w:val="18"/>
                <w:szCs w:val="18"/>
              </w:rPr>
              <w:t>2022</w:t>
            </w:r>
          </w:p>
        </w:tc>
        <w:tc>
          <w:tcPr>
            <w:tcW w:w="1052" w:type="dxa"/>
            <w:gridSpan w:val="2"/>
            <w:shd w:val="clear" w:color="auto" w:fill="auto"/>
            <w:vAlign w:val="center"/>
            <w:hideMark/>
          </w:tcPr>
          <w:p w14:paraId="35E5CFE6" w14:textId="77777777" w:rsidR="009D6D4E" w:rsidRPr="00FE3DEC" w:rsidRDefault="009D6D4E" w:rsidP="00BF3B71">
            <w:pPr>
              <w:jc w:val="right"/>
              <w:rPr>
                <w:color w:val="000000"/>
                <w:sz w:val="18"/>
                <w:szCs w:val="18"/>
              </w:rPr>
            </w:pPr>
            <w:r w:rsidRPr="00FE3DEC">
              <w:rPr>
                <w:color w:val="000000"/>
                <w:sz w:val="18"/>
                <w:szCs w:val="18"/>
              </w:rPr>
              <w:t xml:space="preserve">                                -   </w:t>
            </w:r>
          </w:p>
        </w:tc>
        <w:tc>
          <w:tcPr>
            <w:tcW w:w="1877" w:type="dxa"/>
            <w:gridSpan w:val="2"/>
            <w:shd w:val="clear" w:color="auto" w:fill="auto"/>
            <w:noWrap/>
            <w:vAlign w:val="center"/>
            <w:hideMark/>
          </w:tcPr>
          <w:p w14:paraId="4C656AFE" w14:textId="77777777" w:rsidR="009D6D4E" w:rsidRPr="00FE3DEC" w:rsidRDefault="009D6D4E" w:rsidP="00BF3B71">
            <w:pPr>
              <w:rPr>
                <w:color w:val="000000"/>
                <w:sz w:val="18"/>
                <w:szCs w:val="18"/>
              </w:rPr>
            </w:pPr>
            <w:r w:rsidRPr="00FE3DEC">
              <w:rPr>
                <w:color w:val="000000"/>
                <w:sz w:val="18"/>
                <w:szCs w:val="18"/>
              </w:rPr>
              <w:t xml:space="preserve">                      2,380,674 </w:t>
            </w:r>
          </w:p>
        </w:tc>
        <w:tc>
          <w:tcPr>
            <w:tcW w:w="2430" w:type="dxa"/>
            <w:gridSpan w:val="3"/>
            <w:shd w:val="clear" w:color="auto" w:fill="auto"/>
            <w:noWrap/>
            <w:vAlign w:val="center"/>
            <w:hideMark/>
          </w:tcPr>
          <w:p w14:paraId="69C67434" w14:textId="77777777" w:rsidR="009D6D4E" w:rsidRPr="00FE3DEC" w:rsidRDefault="009D6D4E" w:rsidP="00BF3B71">
            <w:pPr>
              <w:rPr>
                <w:color w:val="000000"/>
                <w:sz w:val="18"/>
                <w:szCs w:val="18"/>
              </w:rPr>
            </w:pPr>
            <w:r w:rsidRPr="00FE3DEC">
              <w:rPr>
                <w:color w:val="000000"/>
                <w:sz w:val="18"/>
                <w:szCs w:val="18"/>
              </w:rPr>
              <w:t xml:space="preserve">                      2,700,000 </w:t>
            </w:r>
          </w:p>
        </w:tc>
        <w:tc>
          <w:tcPr>
            <w:tcW w:w="2970" w:type="dxa"/>
            <w:gridSpan w:val="3"/>
            <w:shd w:val="clear" w:color="auto" w:fill="auto"/>
            <w:noWrap/>
            <w:vAlign w:val="center"/>
            <w:hideMark/>
          </w:tcPr>
          <w:p w14:paraId="7D64D83D" w14:textId="77777777" w:rsidR="009D6D4E" w:rsidRPr="00FE3DEC" w:rsidRDefault="009D6D4E" w:rsidP="00BF3B71">
            <w:pPr>
              <w:rPr>
                <w:color w:val="000000"/>
                <w:sz w:val="18"/>
                <w:szCs w:val="18"/>
              </w:rPr>
            </w:pPr>
            <w:r w:rsidRPr="00FE3DEC">
              <w:rPr>
                <w:color w:val="000000"/>
                <w:sz w:val="18"/>
                <w:szCs w:val="18"/>
              </w:rPr>
              <w:t xml:space="preserve">                   1,809,763 </w:t>
            </w:r>
          </w:p>
        </w:tc>
        <w:tc>
          <w:tcPr>
            <w:tcW w:w="1392" w:type="dxa"/>
            <w:gridSpan w:val="2"/>
            <w:shd w:val="clear" w:color="000000" w:fill="FFFFFF"/>
            <w:vAlign w:val="center"/>
            <w:hideMark/>
          </w:tcPr>
          <w:p w14:paraId="20C884D6" w14:textId="77777777" w:rsidR="009D6D4E" w:rsidRPr="00CB6955" w:rsidRDefault="009D6D4E" w:rsidP="00BF3B71">
            <w:pPr>
              <w:jc w:val="both"/>
              <w:rPr>
                <w:b/>
                <w:color w:val="000000"/>
                <w:sz w:val="18"/>
                <w:szCs w:val="18"/>
              </w:rPr>
            </w:pPr>
            <w:r w:rsidRPr="00CB6955">
              <w:rPr>
                <w:b/>
                <w:color w:val="000000"/>
                <w:sz w:val="18"/>
                <w:szCs w:val="18"/>
              </w:rPr>
              <w:t xml:space="preserve">                      6,890,437 </w:t>
            </w:r>
          </w:p>
        </w:tc>
      </w:tr>
      <w:tr w:rsidR="009D6D4E" w:rsidRPr="00FE3DEC" w14:paraId="5393FBA3" w14:textId="77777777" w:rsidTr="00BF3B71">
        <w:trPr>
          <w:trHeight w:val="348"/>
        </w:trPr>
        <w:tc>
          <w:tcPr>
            <w:tcW w:w="10297" w:type="dxa"/>
            <w:gridSpan w:val="13"/>
            <w:shd w:val="clear" w:color="auto" w:fill="auto"/>
            <w:vAlign w:val="center"/>
            <w:hideMark/>
          </w:tcPr>
          <w:p w14:paraId="66CFF918" w14:textId="77777777" w:rsidR="009D6D4E" w:rsidRPr="00FE3DEC" w:rsidRDefault="009D6D4E" w:rsidP="00BF3B71">
            <w:pPr>
              <w:rPr>
                <w:b/>
                <w:bCs/>
                <w:color w:val="000000"/>
                <w:sz w:val="18"/>
                <w:szCs w:val="18"/>
              </w:rPr>
            </w:pPr>
            <w:r w:rsidRPr="00FE3DEC">
              <w:rPr>
                <w:b/>
                <w:bCs/>
                <w:color w:val="000000"/>
                <w:sz w:val="18"/>
                <w:szCs w:val="18"/>
              </w:rPr>
              <w:t>Tabela 10.b:Financimi i masës së reformës strukturore:    Masa#13 Shtrirja e infrastrukturës përkatëse të rrjetave dhe shërbimeve të TIK-ut për zhvillim socio-ekonomik</w:t>
            </w:r>
          </w:p>
        </w:tc>
      </w:tr>
      <w:tr w:rsidR="009D6D4E" w:rsidRPr="00FE3DEC" w14:paraId="1A73B36E" w14:textId="77777777" w:rsidTr="00BF3B71">
        <w:trPr>
          <w:trHeight w:val="392"/>
        </w:trPr>
        <w:tc>
          <w:tcPr>
            <w:tcW w:w="736" w:type="dxa"/>
            <w:gridSpan w:val="2"/>
            <w:shd w:val="clear" w:color="auto" w:fill="auto"/>
            <w:vAlign w:val="center"/>
            <w:hideMark/>
          </w:tcPr>
          <w:p w14:paraId="6F2987F6" w14:textId="77777777" w:rsidR="009D6D4E" w:rsidRPr="00FE3DEC" w:rsidRDefault="009D6D4E" w:rsidP="00BF3B71">
            <w:pPr>
              <w:rPr>
                <w:color w:val="000000"/>
                <w:sz w:val="18"/>
                <w:szCs w:val="18"/>
              </w:rPr>
            </w:pPr>
            <w:r w:rsidRPr="00FE3DEC">
              <w:rPr>
                <w:color w:val="000000"/>
                <w:sz w:val="18"/>
                <w:szCs w:val="18"/>
              </w:rPr>
              <w:t xml:space="preserve">Viti </w:t>
            </w:r>
          </w:p>
        </w:tc>
        <w:tc>
          <w:tcPr>
            <w:tcW w:w="1161" w:type="dxa"/>
            <w:gridSpan w:val="2"/>
            <w:shd w:val="clear" w:color="auto" w:fill="auto"/>
            <w:vAlign w:val="center"/>
            <w:hideMark/>
          </w:tcPr>
          <w:p w14:paraId="2751C9DA" w14:textId="77777777" w:rsidR="009D6D4E" w:rsidRPr="00FE3DEC" w:rsidRDefault="009D6D4E" w:rsidP="00BF3B71">
            <w:pPr>
              <w:rPr>
                <w:color w:val="000000"/>
                <w:sz w:val="18"/>
                <w:szCs w:val="18"/>
              </w:rPr>
            </w:pPr>
            <w:r w:rsidRPr="00FE3DEC">
              <w:rPr>
                <w:color w:val="000000"/>
                <w:sz w:val="18"/>
                <w:szCs w:val="18"/>
              </w:rPr>
              <w:t>Buxheti qendror</w:t>
            </w:r>
          </w:p>
        </w:tc>
        <w:tc>
          <w:tcPr>
            <w:tcW w:w="1608" w:type="dxa"/>
            <w:shd w:val="clear" w:color="auto" w:fill="auto"/>
            <w:vAlign w:val="center"/>
            <w:hideMark/>
          </w:tcPr>
          <w:p w14:paraId="07B96FD0" w14:textId="77777777" w:rsidR="009D6D4E" w:rsidRPr="00FE3DEC" w:rsidRDefault="009D6D4E" w:rsidP="00BF3B71">
            <w:pPr>
              <w:rPr>
                <w:color w:val="000000"/>
                <w:sz w:val="18"/>
                <w:szCs w:val="18"/>
              </w:rPr>
            </w:pPr>
            <w:r w:rsidRPr="00FE3DEC">
              <w:rPr>
                <w:color w:val="000000"/>
                <w:sz w:val="18"/>
                <w:szCs w:val="18"/>
              </w:rPr>
              <w:t>Buxheti Komunale</w:t>
            </w:r>
          </w:p>
        </w:tc>
        <w:tc>
          <w:tcPr>
            <w:tcW w:w="981" w:type="dxa"/>
            <w:shd w:val="clear" w:color="auto" w:fill="auto"/>
            <w:vAlign w:val="center"/>
            <w:hideMark/>
          </w:tcPr>
          <w:p w14:paraId="70033A34" w14:textId="77777777" w:rsidR="009D6D4E" w:rsidRPr="00FE3DEC" w:rsidRDefault="009D6D4E" w:rsidP="00BF3B71">
            <w:pPr>
              <w:rPr>
                <w:color w:val="000000"/>
                <w:sz w:val="18"/>
                <w:szCs w:val="18"/>
              </w:rPr>
            </w:pPr>
            <w:r w:rsidRPr="00FE3DEC">
              <w:rPr>
                <w:color w:val="000000"/>
                <w:sz w:val="18"/>
                <w:szCs w:val="18"/>
              </w:rPr>
              <w:t xml:space="preserve">Burimet e tjera të financimit publik </w:t>
            </w:r>
          </w:p>
        </w:tc>
        <w:tc>
          <w:tcPr>
            <w:tcW w:w="1161" w:type="dxa"/>
            <w:shd w:val="clear" w:color="auto" w:fill="auto"/>
            <w:vAlign w:val="center"/>
            <w:hideMark/>
          </w:tcPr>
          <w:p w14:paraId="46DCCD35" w14:textId="77777777" w:rsidR="009D6D4E" w:rsidRPr="00FE3DEC" w:rsidRDefault="009D6D4E" w:rsidP="00BF3B71">
            <w:pPr>
              <w:rPr>
                <w:color w:val="000000"/>
                <w:sz w:val="18"/>
                <w:szCs w:val="18"/>
              </w:rPr>
            </w:pPr>
            <w:r w:rsidRPr="00FE3DEC">
              <w:rPr>
                <w:color w:val="000000"/>
                <w:sz w:val="18"/>
                <w:szCs w:val="18"/>
              </w:rPr>
              <w:t xml:space="preserve">Fondet e IPA </w:t>
            </w:r>
          </w:p>
        </w:tc>
        <w:tc>
          <w:tcPr>
            <w:tcW w:w="1171" w:type="dxa"/>
            <w:gridSpan w:val="2"/>
            <w:shd w:val="clear" w:color="auto" w:fill="auto"/>
            <w:vAlign w:val="center"/>
            <w:hideMark/>
          </w:tcPr>
          <w:p w14:paraId="1FB94EE3" w14:textId="77777777" w:rsidR="009D6D4E" w:rsidRPr="00FE3DEC" w:rsidRDefault="009D6D4E" w:rsidP="00BF3B71">
            <w:pPr>
              <w:rPr>
                <w:color w:val="000000"/>
                <w:sz w:val="18"/>
                <w:szCs w:val="18"/>
              </w:rPr>
            </w:pPr>
            <w:r w:rsidRPr="00FE3DEC">
              <w:rPr>
                <w:color w:val="000000"/>
                <w:sz w:val="18"/>
                <w:szCs w:val="18"/>
              </w:rPr>
              <w:t>Grante të tjera</w:t>
            </w:r>
          </w:p>
        </w:tc>
        <w:tc>
          <w:tcPr>
            <w:tcW w:w="1161" w:type="dxa"/>
            <w:shd w:val="clear" w:color="auto" w:fill="auto"/>
            <w:vAlign w:val="center"/>
            <w:hideMark/>
          </w:tcPr>
          <w:p w14:paraId="23140BC5" w14:textId="77777777" w:rsidR="009D6D4E" w:rsidRPr="00FE3DEC" w:rsidRDefault="009D6D4E" w:rsidP="00BF3B71">
            <w:pPr>
              <w:rPr>
                <w:color w:val="000000"/>
                <w:sz w:val="18"/>
                <w:szCs w:val="18"/>
              </w:rPr>
            </w:pPr>
            <w:r w:rsidRPr="00FE3DEC">
              <w:rPr>
                <w:color w:val="000000"/>
                <w:sz w:val="18"/>
                <w:szCs w:val="18"/>
              </w:rPr>
              <w:t>Kredi për projekte (KODE ËB)</w:t>
            </w:r>
          </w:p>
        </w:tc>
        <w:tc>
          <w:tcPr>
            <w:tcW w:w="1157" w:type="dxa"/>
            <w:gridSpan w:val="2"/>
            <w:shd w:val="clear" w:color="auto" w:fill="auto"/>
            <w:vAlign w:val="center"/>
            <w:hideMark/>
          </w:tcPr>
          <w:p w14:paraId="53144BF9" w14:textId="77777777" w:rsidR="009D6D4E" w:rsidRPr="00FE3DEC" w:rsidRDefault="009D6D4E" w:rsidP="00BF3B71">
            <w:pPr>
              <w:rPr>
                <w:color w:val="000000"/>
                <w:sz w:val="18"/>
                <w:szCs w:val="18"/>
              </w:rPr>
            </w:pPr>
            <w:r w:rsidRPr="00FE3DEC">
              <w:rPr>
                <w:color w:val="000000"/>
                <w:sz w:val="18"/>
                <w:szCs w:val="18"/>
              </w:rPr>
              <w:t xml:space="preserve">Të përcaktohet </w:t>
            </w:r>
          </w:p>
        </w:tc>
        <w:tc>
          <w:tcPr>
            <w:tcW w:w="1161" w:type="dxa"/>
            <w:shd w:val="clear" w:color="auto" w:fill="auto"/>
            <w:vAlign w:val="center"/>
            <w:hideMark/>
          </w:tcPr>
          <w:p w14:paraId="4CB36D44" w14:textId="77777777" w:rsidR="009D6D4E" w:rsidRPr="00CB6955" w:rsidRDefault="009D6D4E" w:rsidP="00BF3B71">
            <w:pPr>
              <w:rPr>
                <w:b/>
                <w:color w:val="000000"/>
                <w:sz w:val="18"/>
                <w:szCs w:val="18"/>
              </w:rPr>
            </w:pPr>
            <w:r w:rsidRPr="00CB6955">
              <w:rPr>
                <w:b/>
                <w:color w:val="000000"/>
                <w:sz w:val="18"/>
                <w:szCs w:val="18"/>
              </w:rPr>
              <w:t xml:space="preserve">Totali </w:t>
            </w:r>
          </w:p>
        </w:tc>
      </w:tr>
      <w:tr w:rsidR="009D6D4E" w:rsidRPr="00FE3DEC" w14:paraId="759DB3E3" w14:textId="77777777" w:rsidTr="00BF3B71">
        <w:trPr>
          <w:trHeight w:val="247"/>
        </w:trPr>
        <w:tc>
          <w:tcPr>
            <w:tcW w:w="736" w:type="dxa"/>
            <w:gridSpan w:val="2"/>
            <w:shd w:val="clear" w:color="auto" w:fill="auto"/>
            <w:noWrap/>
            <w:vAlign w:val="center"/>
            <w:hideMark/>
          </w:tcPr>
          <w:p w14:paraId="63B741C0" w14:textId="77777777" w:rsidR="009D6D4E" w:rsidRPr="00FE3DEC" w:rsidRDefault="009D6D4E" w:rsidP="00BF3B71">
            <w:pPr>
              <w:jc w:val="right"/>
              <w:rPr>
                <w:color w:val="000000"/>
                <w:sz w:val="18"/>
                <w:szCs w:val="18"/>
              </w:rPr>
            </w:pPr>
            <w:r w:rsidRPr="00FE3DEC">
              <w:rPr>
                <w:color w:val="000000"/>
                <w:sz w:val="18"/>
                <w:szCs w:val="18"/>
              </w:rPr>
              <w:t>2020</w:t>
            </w:r>
          </w:p>
        </w:tc>
        <w:tc>
          <w:tcPr>
            <w:tcW w:w="1161" w:type="dxa"/>
            <w:gridSpan w:val="2"/>
            <w:shd w:val="clear" w:color="auto" w:fill="auto"/>
            <w:noWrap/>
            <w:vAlign w:val="center"/>
            <w:hideMark/>
          </w:tcPr>
          <w:p w14:paraId="086244D6" w14:textId="77777777" w:rsidR="009D6D4E" w:rsidRPr="00FE3DEC" w:rsidRDefault="009D6D4E" w:rsidP="00BF3B71">
            <w:pPr>
              <w:jc w:val="right"/>
              <w:rPr>
                <w:color w:val="000000"/>
                <w:sz w:val="18"/>
                <w:szCs w:val="18"/>
              </w:rPr>
            </w:pPr>
            <w:r w:rsidRPr="00FE3DEC">
              <w:rPr>
                <w:color w:val="000000"/>
                <w:sz w:val="18"/>
                <w:szCs w:val="18"/>
              </w:rPr>
              <w:t>1,500,000.00</w:t>
            </w:r>
          </w:p>
        </w:tc>
        <w:tc>
          <w:tcPr>
            <w:tcW w:w="1608" w:type="dxa"/>
            <w:shd w:val="clear" w:color="auto" w:fill="auto"/>
            <w:noWrap/>
            <w:vAlign w:val="center"/>
            <w:hideMark/>
          </w:tcPr>
          <w:p w14:paraId="3CF7704D" w14:textId="77777777" w:rsidR="009D6D4E" w:rsidRPr="00FE3DEC" w:rsidRDefault="009D6D4E" w:rsidP="00BF3B71">
            <w:pPr>
              <w:jc w:val="right"/>
              <w:rPr>
                <w:color w:val="000000"/>
                <w:sz w:val="18"/>
                <w:szCs w:val="18"/>
              </w:rPr>
            </w:pPr>
            <w:r w:rsidRPr="00FE3DEC">
              <w:rPr>
                <w:color w:val="000000"/>
                <w:sz w:val="18"/>
                <w:szCs w:val="18"/>
              </w:rPr>
              <w:t>0.00</w:t>
            </w:r>
          </w:p>
        </w:tc>
        <w:tc>
          <w:tcPr>
            <w:tcW w:w="981" w:type="dxa"/>
            <w:shd w:val="clear" w:color="auto" w:fill="auto"/>
            <w:noWrap/>
            <w:vAlign w:val="center"/>
            <w:hideMark/>
          </w:tcPr>
          <w:p w14:paraId="7B9C1A67" w14:textId="77777777" w:rsidR="009D6D4E" w:rsidRPr="00FE3DEC" w:rsidRDefault="009D6D4E" w:rsidP="00BF3B71">
            <w:pPr>
              <w:jc w:val="right"/>
              <w:rPr>
                <w:color w:val="000000"/>
                <w:sz w:val="18"/>
                <w:szCs w:val="18"/>
              </w:rPr>
            </w:pPr>
            <w:r w:rsidRPr="00FE3DEC">
              <w:rPr>
                <w:color w:val="000000"/>
                <w:sz w:val="18"/>
                <w:szCs w:val="18"/>
              </w:rPr>
              <w:t>0.00</w:t>
            </w:r>
          </w:p>
        </w:tc>
        <w:tc>
          <w:tcPr>
            <w:tcW w:w="1161" w:type="dxa"/>
            <w:shd w:val="clear" w:color="auto" w:fill="auto"/>
            <w:noWrap/>
            <w:vAlign w:val="center"/>
            <w:hideMark/>
          </w:tcPr>
          <w:p w14:paraId="2EADD8DB" w14:textId="77777777" w:rsidR="009D6D4E" w:rsidRPr="00FE3DEC" w:rsidRDefault="009D6D4E" w:rsidP="00BF3B71">
            <w:pPr>
              <w:jc w:val="right"/>
              <w:rPr>
                <w:color w:val="000000"/>
                <w:sz w:val="18"/>
                <w:szCs w:val="18"/>
              </w:rPr>
            </w:pPr>
            <w:r w:rsidRPr="00FE3DEC">
              <w:rPr>
                <w:color w:val="000000"/>
                <w:sz w:val="18"/>
                <w:szCs w:val="18"/>
              </w:rPr>
              <w:t>2,150,000.00</w:t>
            </w:r>
          </w:p>
        </w:tc>
        <w:tc>
          <w:tcPr>
            <w:tcW w:w="1171" w:type="dxa"/>
            <w:gridSpan w:val="2"/>
            <w:shd w:val="clear" w:color="auto" w:fill="auto"/>
            <w:noWrap/>
            <w:vAlign w:val="center"/>
            <w:hideMark/>
          </w:tcPr>
          <w:p w14:paraId="5E6511B7" w14:textId="77777777" w:rsidR="009D6D4E" w:rsidRPr="00FE3DEC" w:rsidRDefault="009D6D4E" w:rsidP="00BF3B71">
            <w:pPr>
              <w:jc w:val="right"/>
              <w:rPr>
                <w:color w:val="000000"/>
                <w:sz w:val="18"/>
                <w:szCs w:val="18"/>
              </w:rPr>
            </w:pPr>
            <w:r w:rsidRPr="00FE3DEC">
              <w:rPr>
                <w:color w:val="000000"/>
                <w:sz w:val="18"/>
                <w:szCs w:val="18"/>
              </w:rPr>
              <w:t>0.00</w:t>
            </w:r>
          </w:p>
        </w:tc>
        <w:tc>
          <w:tcPr>
            <w:tcW w:w="1161" w:type="dxa"/>
            <w:shd w:val="clear" w:color="auto" w:fill="auto"/>
            <w:noWrap/>
            <w:vAlign w:val="center"/>
            <w:hideMark/>
          </w:tcPr>
          <w:p w14:paraId="6665703F" w14:textId="77777777" w:rsidR="009D6D4E" w:rsidRPr="00FE3DEC" w:rsidRDefault="009D6D4E" w:rsidP="00BF3B71">
            <w:pPr>
              <w:jc w:val="right"/>
              <w:rPr>
                <w:color w:val="000000"/>
                <w:sz w:val="18"/>
                <w:szCs w:val="18"/>
              </w:rPr>
            </w:pPr>
            <w:r w:rsidRPr="00FE3DEC">
              <w:rPr>
                <w:color w:val="000000"/>
                <w:sz w:val="18"/>
                <w:szCs w:val="18"/>
              </w:rPr>
              <w:t>5,869,069.00</w:t>
            </w:r>
          </w:p>
        </w:tc>
        <w:tc>
          <w:tcPr>
            <w:tcW w:w="1157" w:type="dxa"/>
            <w:gridSpan w:val="2"/>
            <w:shd w:val="clear" w:color="auto" w:fill="auto"/>
            <w:noWrap/>
            <w:vAlign w:val="center"/>
            <w:hideMark/>
          </w:tcPr>
          <w:p w14:paraId="5C9007C3" w14:textId="77777777" w:rsidR="009D6D4E" w:rsidRPr="00FE3DEC" w:rsidRDefault="009D6D4E" w:rsidP="00BF3B71">
            <w:pPr>
              <w:jc w:val="right"/>
              <w:rPr>
                <w:color w:val="000000"/>
                <w:sz w:val="18"/>
                <w:szCs w:val="18"/>
              </w:rPr>
            </w:pPr>
            <w:r w:rsidRPr="00FE3DEC">
              <w:rPr>
                <w:color w:val="000000"/>
                <w:sz w:val="18"/>
                <w:szCs w:val="18"/>
              </w:rPr>
              <w:t>0.00</w:t>
            </w:r>
          </w:p>
        </w:tc>
        <w:tc>
          <w:tcPr>
            <w:tcW w:w="1161" w:type="dxa"/>
            <w:shd w:val="clear" w:color="auto" w:fill="auto"/>
            <w:vAlign w:val="center"/>
            <w:hideMark/>
          </w:tcPr>
          <w:p w14:paraId="1C86ACBE" w14:textId="77777777" w:rsidR="009D6D4E" w:rsidRPr="00FE3DEC" w:rsidRDefault="009D6D4E" w:rsidP="00BF3B71">
            <w:pPr>
              <w:jc w:val="both"/>
              <w:rPr>
                <w:b/>
                <w:bCs/>
                <w:color w:val="000000"/>
                <w:sz w:val="18"/>
                <w:szCs w:val="18"/>
              </w:rPr>
            </w:pPr>
            <w:r w:rsidRPr="00FE3DEC">
              <w:rPr>
                <w:b/>
                <w:bCs/>
                <w:color w:val="000000"/>
                <w:sz w:val="18"/>
                <w:szCs w:val="18"/>
              </w:rPr>
              <w:t>9,519,069</w:t>
            </w:r>
          </w:p>
        </w:tc>
      </w:tr>
      <w:tr w:rsidR="009D6D4E" w:rsidRPr="00FE3DEC" w14:paraId="21025FCD" w14:textId="77777777" w:rsidTr="00BF3B71">
        <w:trPr>
          <w:trHeight w:val="247"/>
        </w:trPr>
        <w:tc>
          <w:tcPr>
            <w:tcW w:w="736" w:type="dxa"/>
            <w:gridSpan w:val="2"/>
            <w:shd w:val="clear" w:color="auto" w:fill="auto"/>
            <w:noWrap/>
            <w:vAlign w:val="center"/>
            <w:hideMark/>
          </w:tcPr>
          <w:p w14:paraId="3E0AF484" w14:textId="77777777" w:rsidR="009D6D4E" w:rsidRPr="00FE3DEC" w:rsidRDefault="009D6D4E" w:rsidP="00BF3B71">
            <w:pPr>
              <w:jc w:val="right"/>
              <w:rPr>
                <w:color w:val="000000"/>
                <w:sz w:val="18"/>
                <w:szCs w:val="18"/>
              </w:rPr>
            </w:pPr>
            <w:r w:rsidRPr="00FE3DEC">
              <w:rPr>
                <w:color w:val="000000"/>
                <w:sz w:val="18"/>
                <w:szCs w:val="18"/>
              </w:rPr>
              <w:t>2021</w:t>
            </w:r>
          </w:p>
        </w:tc>
        <w:tc>
          <w:tcPr>
            <w:tcW w:w="1161" w:type="dxa"/>
            <w:gridSpan w:val="2"/>
            <w:shd w:val="clear" w:color="auto" w:fill="auto"/>
            <w:noWrap/>
            <w:vAlign w:val="center"/>
            <w:hideMark/>
          </w:tcPr>
          <w:p w14:paraId="455338E8" w14:textId="77777777" w:rsidR="009D6D4E" w:rsidRPr="00FE3DEC" w:rsidRDefault="009D6D4E" w:rsidP="00BF3B71">
            <w:pPr>
              <w:jc w:val="right"/>
              <w:rPr>
                <w:color w:val="000000"/>
                <w:sz w:val="18"/>
                <w:szCs w:val="18"/>
              </w:rPr>
            </w:pPr>
            <w:r w:rsidRPr="00FE3DEC">
              <w:rPr>
                <w:color w:val="000000"/>
                <w:sz w:val="18"/>
                <w:szCs w:val="18"/>
              </w:rPr>
              <w:t>1,200,000.00</w:t>
            </w:r>
          </w:p>
        </w:tc>
        <w:tc>
          <w:tcPr>
            <w:tcW w:w="1608" w:type="dxa"/>
            <w:shd w:val="clear" w:color="auto" w:fill="auto"/>
            <w:noWrap/>
            <w:vAlign w:val="center"/>
            <w:hideMark/>
          </w:tcPr>
          <w:p w14:paraId="24BAE4AA" w14:textId="77777777" w:rsidR="009D6D4E" w:rsidRPr="00FE3DEC" w:rsidRDefault="009D6D4E" w:rsidP="00BF3B71">
            <w:pPr>
              <w:jc w:val="right"/>
              <w:rPr>
                <w:color w:val="000000"/>
                <w:sz w:val="18"/>
                <w:szCs w:val="18"/>
              </w:rPr>
            </w:pPr>
            <w:r w:rsidRPr="00FE3DEC">
              <w:rPr>
                <w:color w:val="000000"/>
                <w:sz w:val="18"/>
                <w:szCs w:val="18"/>
              </w:rPr>
              <w:t>0.00</w:t>
            </w:r>
          </w:p>
        </w:tc>
        <w:tc>
          <w:tcPr>
            <w:tcW w:w="981" w:type="dxa"/>
            <w:shd w:val="clear" w:color="auto" w:fill="auto"/>
            <w:noWrap/>
            <w:vAlign w:val="center"/>
            <w:hideMark/>
          </w:tcPr>
          <w:p w14:paraId="30E31311" w14:textId="77777777" w:rsidR="009D6D4E" w:rsidRPr="00FE3DEC" w:rsidRDefault="009D6D4E" w:rsidP="00BF3B71">
            <w:pPr>
              <w:jc w:val="right"/>
              <w:rPr>
                <w:color w:val="000000"/>
                <w:sz w:val="18"/>
                <w:szCs w:val="18"/>
              </w:rPr>
            </w:pPr>
            <w:r w:rsidRPr="00FE3DEC">
              <w:rPr>
                <w:color w:val="000000"/>
                <w:sz w:val="18"/>
                <w:szCs w:val="18"/>
              </w:rPr>
              <w:t>0.00</w:t>
            </w:r>
          </w:p>
        </w:tc>
        <w:tc>
          <w:tcPr>
            <w:tcW w:w="1161" w:type="dxa"/>
            <w:shd w:val="clear" w:color="auto" w:fill="auto"/>
            <w:noWrap/>
            <w:vAlign w:val="center"/>
            <w:hideMark/>
          </w:tcPr>
          <w:p w14:paraId="125F4DB1" w14:textId="77777777" w:rsidR="009D6D4E" w:rsidRPr="00FE3DEC" w:rsidRDefault="009D6D4E" w:rsidP="00BF3B71">
            <w:pPr>
              <w:jc w:val="right"/>
              <w:rPr>
                <w:color w:val="000000"/>
                <w:sz w:val="18"/>
                <w:szCs w:val="18"/>
              </w:rPr>
            </w:pPr>
            <w:r w:rsidRPr="00FE3DEC">
              <w:rPr>
                <w:color w:val="000000"/>
                <w:sz w:val="18"/>
                <w:szCs w:val="18"/>
              </w:rPr>
              <w:t>2,050,000.00</w:t>
            </w:r>
          </w:p>
        </w:tc>
        <w:tc>
          <w:tcPr>
            <w:tcW w:w="1171" w:type="dxa"/>
            <w:gridSpan w:val="2"/>
            <w:shd w:val="clear" w:color="auto" w:fill="auto"/>
            <w:noWrap/>
            <w:vAlign w:val="center"/>
            <w:hideMark/>
          </w:tcPr>
          <w:p w14:paraId="6D3442F5" w14:textId="77777777" w:rsidR="009D6D4E" w:rsidRPr="00FE3DEC" w:rsidRDefault="009D6D4E" w:rsidP="00BF3B71">
            <w:pPr>
              <w:jc w:val="right"/>
              <w:rPr>
                <w:color w:val="000000"/>
                <w:sz w:val="18"/>
                <w:szCs w:val="18"/>
              </w:rPr>
            </w:pPr>
            <w:r w:rsidRPr="00FE3DEC">
              <w:rPr>
                <w:color w:val="000000"/>
                <w:sz w:val="18"/>
                <w:szCs w:val="18"/>
              </w:rPr>
              <w:t>0.00</w:t>
            </w:r>
          </w:p>
        </w:tc>
        <w:tc>
          <w:tcPr>
            <w:tcW w:w="1161" w:type="dxa"/>
            <w:shd w:val="clear" w:color="auto" w:fill="auto"/>
            <w:noWrap/>
            <w:vAlign w:val="center"/>
            <w:hideMark/>
          </w:tcPr>
          <w:p w14:paraId="08F9B209" w14:textId="77777777" w:rsidR="009D6D4E" w:rsidRPr="00FE3DEC" w:rsidRDefault="009D6D4E" w:rsidP="00BF3B71">
            <w:pPr>
              <w:jc w:val="right"/>
              <w:rPr>
                <w:color w:val="000000"/>
                <w:sz w:val="18"/>
                <w:szCs w:val="18"/>
              </w:rPr>
            </w:pPr>
            <w:r w:rsidRPr="00FE3DEC">
              <w:rPr>
                <w:color w:val="000000"/>
                <w:sz w:val="18"/>
                <w:szCs w:val="18"/>
              </w:rPr>
              <w:t>5,320,261.00</w:t>
            </w:r>
          </w:p>
        </w:tc>
        <w:tc>
          <w:tcPr>
            <w:tcW w:w="1157" w:type="dxa"/>
            <w:gridSpan w:val="2"/>
            <w:shd w:val="clear" w:color="auto" w:fill="auto"/>
            <w:noWrap/>
            <w:vAlign w:val="center"/>
            <w:hideMark/>
          </w:tcPr>
          <w:p w14:paraId="6E2FAEA7" w14:textId="77777777" w:rsidR="009D6D4E" w:rsidRPr="00FE3DEC" w:rsidRDefault="009D6D4E" w:rsidP="00BF3B71">
            <w:pPr>
              <w:jc w:val="right"/>
              <w:rPr>
                <w:color w:val="000000"/>
                <w:sz w:val="18"/>
                <w:szCs w:val="18"/>
              </w:rPr>
            </w:pPr>
            <w:r w:rsidRPr="00FE3DEC">
              <w:rPr>
                <w:color w:val="000000"/>
                <w:sz w:val="18"/>
                <w:szCs w:val="18"/>
              </w:rPr>
              <w:t>0.00</w:t>
            </w:r>
          </w:p>
        </w:tc>
        <w:tc>
          <w:tcPr>
            <w:tcW w:w="1161" w:type="dxa"/>
            <w:shd w:val="clear" w:color="auto" w:fill="auto"/>
            <w:vAlign w:val="center"/>
            <w:hideMark/>
          </w:tcPr>
          <w:p w14:paraId="364C1D07" w14:textId="77777777" w:rsidR="009D6D4E" w:rsidRPr="00FE3DEC" w:rsidRDefault="009D6D4E" w:rsidP="00BF3B71">
            <w:pPr>
              <w:jc w:val="both"/>
              <w:rPr>
                <w:b/>
                <w:bCs/>
                <w:color w:val="000000"/>
                <w:sz w:val="18"/>
                <w:szCs w:val="18"/>
              </w:rPr>
            </w:pPr>
            <w:r w:rsidRPr="00FE3DEC">
              <w:rPr>
                <w:b/>
                <w:bCs/>
                <w:color w:val="000000"/>
                <w:sz w:val="18"/>
                <w:szCs w:val="18"/>
              </w:rPr>
              <w:t>8,570,261</w:t>
            </w:r>
          </w:p>
        </w:tc>
      </w:tr>
      <w:tr w:rsidR="009D6D4E" w:rsidRPr="00FE3DEC" w14:paraId="52F91BD5" w14:textId="77777777" w:rsidTr="00BF3B71">
        <w:trPr>
          <w:trHeight w:val="247"/>
        </w:trPr>
        <w:tc>
          <w:tcPr>
            <w:tcW w:w="736" w:type="dxa"/>
            <w:gridSpan w:val="2"/>
            <w:shd w:val="clear" w:color="auto" w:fill="auto"/>
            <w:noWrap/>
            <w:vAlign w:val="center"/>
            <w:hideMark/>
          </w:tcPr>
          <w:p w14:paraId="7321EF2C" w14:textId="77777777" w:rsidR="009D6D4E" w:rsidRPr="00FE3DEC" w:rsidRDefault="009D6D4E" w:rsidP="00BF3B71">
            <w:pPr>
              <w:jc w:val="right"/>
              <w:rPr>
                <w:color w:val="000000"/>
                <w:sz w:val="18"/>
                <w:szCs w:val="18"/>
              </w:rPr>
            </w:pPr>
            <w:r w:rsidRPr="00FE3DEC">
              <w:rPr>
                <w:color w:val="000000"/>
                <w:sz w:val="18"/>
                <w:szCs w:val="18"/>
              </w:rPr>
              <w:t>2022</w:t>
            </w:r>
          </w:p>
        </w:tc>
        <w:tc>
          <w:tcPr>
            <w:tcW w:w="1161" w:type="dxa"/>
            <w:gridSpan w:val="2"/>
            <w:shd w:val="clear" w:color="auto" w:fill="auto"/>
            <w:noWrap/>
            <w:vAlign w:val="center"/>
            <w:hideMark/>
          </w:tcPr>
          <w:p w14:paraId="77E1518F" w14:textId="77777777" w:rsidR="009D6D4E" w:rsidRPr="00FE3DEC" w:rsidRDefault="009D6D4E" w:rsidP="00BF3B71">
            <w:pPr>
              <w:jc w:val="right"/>
              <w:rPr>
                <w:color w:val="000000"/>
                <w:sz w:val="18"/>
                <w:szCs w:val="18"/>
              </w:rPr>
            </w:pPr>
            <w:r w:rsidRPr="00FE3DEC">
              <w:rPr>
                <w:color w:val="000000"/>
                <w:sz w:val="18"/>
                <w:szCs w:val="18"/>
              </w:rPr>
              <w:t>1,200,000.00</w:t>
            </w:r>
          </w:p>
        </w:tc>
        <w:tc>
          <w:tcPr>
            <w:tcW w:w="1608" w:type="dxa"/>
            <w:shd w:val="clear" w:color="auto" w:fill="auto"/>
            <w:noWrap/>
            <w:vAlign w:val="center"/>
            <w:hideMark/>
          </w:tcPr>
          <w:p w14:paraId="1A02CE6B" w14:textId="77777777" w:rsidR="009D6D4E" w:rsidRPr="00FE3DEC" w:rsidRDefault="009D6D4E" w:rsidP="00BF3B71">
            <w:pPr>
              <w:jc w:val="right"/>
              <w:rPr>
                <w:color w:val="000000"/>
                <w:sz w:val="18"/>
                <w:szCs w:val="18"/>
              </w:rPr>
            </w:pPr>
            <w:r w:rsidRPr="00FE3DEC">
              <w:rPr>
                <w:color w:val="000000"/>
                <w:sz w:val="18"/>
                <w:szCs w:val="18"/>
              </w:rPr>
              <w:t>0.00</w:t>
            </w:r>
          </w:p>
        </w:tc>
        <w:tc>
          <w:tcPr>
            <w:tcW w:w="981" w:type="dxa"/>
            <w:shd w:val="clear" w:color="auto" w:fill="auto"/>
            <w:noWrap/>
            <w:vAlign w:val="center"/>
            <w:hideMark/>
          </w:tcPr>
          <w:p w14:paraId="78B58EE6" w14:textId="77777777" w:rsidR="009D6D4E" w:rsidRPr="00FE3DEC" w:rsidRDefault="009D6D4E" w:rsidP="00BF3B71">
            <w:pPr>
              <w:jc w:val="right"/>
              <w:rPr>
                <w:color w:val="000000"/>
                <w:sz w:val="18"/>
                <w:szCs w:val="18"/>
              </w:rPr>
            </w:pPr>
            <w:r w:rsidRPr="00FE3DEC">
              <w:rPr>
                <w:color w:val="000000"/>
                <w:sz w:val="18"/>
                <w:szCs w:val="18"/>
              </w:rPr>
              <w:t>0.00</w:t>
            </w:r>
          </w:p>
        </w:tc>
        <w:tc>
          <w:tcPr>
            <w:tcW w:w="1161" w:type="dxa"/>
            <w:shd w:val="clear" w:color="auto" w:fill="auto"/>
            <w:noWrap/>
            <w:vAlign w:val="center"/>
            <w:hideMark/>
          </w:tcPr>
          <w:p w14:paraId="6837F7F3" w14:textId="77777777" w:rsidR="009D6D4E" w:rsidRPr="00FE3DEC" w:rsidRDefault="009D6D4E" w:rsidP="00BF3B71">
            <w:pPr>
              <w:jc w:val="right"/>
              <w:rPr>
                <w:color w:val="000000"/>
                <w:sz w:val="18"/>
                <w:szCs w:val="18"/>
              </w:rPr>
            </w:pPr>
            <w:r w:rsidRPr="00FE3DEC">
              <w:rPr>
                <w:color w:val="000000"/>
                <w:sz w:val="18"/>
                <w:szCs w:val="18"/>
              </w:rPr>
              <w:t>2,050,000.00</w:t>
            </w:r>
          </w:p>
        </w:tc>
        <w:tc>
          <w:tcPr>
            <w:tcW w:w="1171" w:type="dxa"/>
            <w:gridSpan w:val="2"/>
            <w:shd w:val="clear" w:color="auto" w:fill="auto"/>
            <w:noWrap/>
            <w:vAlign w:val="center"/>
            <w:hideMark/>
          </w:tcPr>
          <w:p w14:paraId="463022C8" w14:textId="77777777" w:rsidR="009D6D4E" w:rsidRPr="00FE3DEC" w:rsidRDefault="009D6D4E" w:rsidP="00BF3B71">
            <w:pPr>
              <w:jc w:val="right"/>
              <w:rPr>
                <w:color w:val="000000"/>
                <w:sz w:val="18"/>
                <w:szCs w:val="18"/>
              </w:rPr>
            </w:pPr>
            <w:r w:rsidRPr="00FE3DEC">
              <w:rPr>
                <w:color w:val="000000"/>
                <w:sz w:val="18"/>
                <w:szCs w:val="18"/>
              </w:rPr>
              <w:t>0.00</w:t>
            </w:r>
          </w:p>
        </w:tc>
        <w:tc>
          <w:tcPr>
            <w:tcW w:w="1161" w:type="dxa"/>
            <w:shd w:val="clear" w:color="auto" w:fill="auto"/>
            <w:noWrap/>
            <w:vAlign w:val="center"/>
            <w:hideMark/>
          </w:tcPr>
          <w:p w14:paraId="3FB33603" w14:textId="77777777" w:rsidR="009D6D4E" w:rsidRPr="00FE3DEC" w:rsidRDefault="009D6D4E" w:rsidP="00BF3B71">
            <w:pPr>
              <w:jc w:val="right"/>
              <w:rPr>
                <w:color w:val="000000"/>
                <w:sz w:val="18"/>
                <w:szCs w:val="18"/>
              </w:rPr>
            </w:pPr>
            <w:r w:rsidRPr="00FE3DEC">
              <w:rPr>
                <w:color w:val="000000"/>
                <w:sz w:val="18"/>
                <w:szCs w:val="18"/>
              </w:rPr>
              <w:t>3,640,437.00</w:t>
            </w:r>
          </w:p>
        </w:tc>
        <w:tc>
          <w:tcPr>
            <w:tcW w:w="1157" w:type="dxa"/>
            <w:gridSpan w:val="2"/>
            <w:shd w:val="clear" w:color="auto" w:fill="auto"/>
            <w:noWrap/>
            <w:vAlign w:val="center"/>
            <w:hideMark/>
          </w:tcPr>
          <w:p w14:paraId="592BE562" w14:textId="77777777" w:rsidR="009D6D4E" w:rsidRPr="00FE3DEC" w:rsidRDefault="009D6D4E" w:rsidP="00BF3B71">
            <w:pPr>
              <w:jc w:val="right"/>
              <w:rPr>
                <w:color w:val="000000"/>
                <w:sz w:val="18"/>
                <w:szCs w:val="18"/>
              </w:rPr>
            </w:pPr>
            <w:r w:rsidRPr="00FE3DEC">
              <w:rPr>
                <w:color w:val="000000"/>
                <w:sz w:val="18"/>
                <w:szCs w:val="18"/>
              </w:rPr>
              <w:t>0.00</w:t>
            </w:r>
          </w:p>
        </w:tc>
        <w:tc>
          <w:tcPr>
            <w:tcW w:w="1161" w:type="dxa"/>
            <w:shd w:val="clear" w:color="auto" w:fill="auto"/>
            <w:vAlign w:val="center"/>
            <w:hideMark/>
          </w:tcPr>
          <w:p w14:paraId="040BC7B5" w14:textId="77777777" w:rsidR="009D6D4E" w:rsidRPr="00FE3DEC" w:rsidRDefault="009D6D4E" w:rsidP="00BF3B71">
            <w:pPr>
              <w:jc w:val="both"/>
              <w:rPr>
                <w:b/>
                <w:bCs/>
                <w:color w:val="000000"/>
                <w:sz w:val="18"/>
                <w:szCs w:val="18"/>
              </w:rPr>
            </w:pPr>
            <w:r w:rsidRPr="00FE3DEC">
              <w:rPr>
                <w:b/>
                <w:bCs/>
                <w:color w:val="000000"/>
                <w:sz w:val="18"/>
                <w:szCs w:val="18"/>
              </w:rPr>
              <w:t>6,890,437</w:t>
            </w:r>
          </w:p>
        </w:tc>
      </w:tr>
    </w:tbl>
    <w:p w14:paraId="39AD933F" w14:textId="77777777" w:rsidR="009D6D4E" w:rsidRDefault="009D6D4E" w:rsidP="009D6D4E"/>
    <w:tbl>
      <w:tblPr>
        <w:tblW w:w="10298" w:type="dxa"/>
        <w:tblLook w:val="04A0" w:firstRow="1" w:lastRow="0" w:firstColumn="1" w:lastColumn="0" w:noHBand="0" w:noVBand="1"/>
      </w:tblPr>
      <w:tblGrid>
        <w:gridCol w:w="727"/>
        <w:gridCol w:w="968"/>
        <w:gridCol w:w="190"/>
        <w:gridCol w:w="667"/>
        <w:gridCol w:w="1454"/>
        <w:gridCol w:w="284"/>
        <w:gridCol w:w="976"/>
        <w:gridCol w:w="381"/>
        <w:gridCol w:w="1216"/>
        <w:gridCol w:w="880"/>
        <w:gridCol w:w="912"/>
        <w:gridCol w:w="666"/>
        <w:gridCol w:w="977"/>
      </w:tblGrid>
      <w:tr w:rsidR="009D6D4E" w:rsidRPr="003F2001" w14:paraId="59BFE443" w14:textId="77777777" w:rsidTr="00BF3B71">
        <w:trPr>
          <w:trHeight w:val="350"/>
        </w:trPr>
        <w:tc>
          <w:tcPr>
            <w:tcW w:w="10298"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52F69BB2" w14:textId="77777777" w:rsidR="009D6D4E" w:rsidRPr="003F2001" w:rsidRDefault="009D6D4E" w:rsidP="00BF3B71">
            <w:pPr>
              <w:rPr>
                <w:b/>
                <w:bCs/>
                <w:color w:val="000000"/>
                <w:sz w:val="18"/>
                <w:szCs w:val="18"/>
              </w:rPr>
            </w:pPr>
            <w:r w:rsidRPr="003F2001">
              <w:rPr>
                <w:b/>
                <w:bCs/>
                <w:color w:val="000000"/>
                <w:sz w:val="18"/>
                <w:szCs w:val="18"/>
              </w:rPr>
              <w:t>Tabela 10.a: Kostimi i masës së reformës strukturore: Masa #14 Lehtësimi i tregtisë përmes uljes së kostos së transaksioneve tregtare</w:t>
            </w:r>
          </w:p>
        </w:tc>
      </w:tr>
      <w:tr w:rsidR="009D6D4E" w:rsidRPr="003F2001" w14:paraId="161F91D8" w14:textId="77777777" w:rsidTr="00BF3B71">
        <w:trPr>
          <w:trHeight w:val="224"/>
        </w:trPr>
        <w:tc>
          <w:tcPr>
            <w:tcW w:w="1885" w:type="dxa"/>
            <w:gridSpan w:val="3"/>
            <w:tcBorders>
              <w:top w:val="nil"/>
              <w:left w:val="single" w:sz="4" w:space="0" w:color="auto"/>
              <w:bottom w:val="single" w:sz="4" w:space="0" w:color="auto"/>
              <w:right w:val="single" w:sz="4" w:space="0" w:color="auto"/>
            </w:tcBorders>
            <w:shd w:val="clear" w:color="auto" w:fill="auto"/>
            <w:vAlign w:val="center"/>
            <w:hideMark/>
          </w:tcPr>
          <w:p w14:paraId="31A4CE0F" w14:textId="77777777" w:rsidR="009D6D4E" w:rsidRPr="003F2001" w:rsidRDefault="009D6D4E" w:rsidP="00BF3B71">
            <w:pPr>
              <w:jc w:val="center"/>
              <w:rPr>
                <w:color w:val="000000"/>
                <w:sz w:val="18"/>
                <w:szCs w:val="18"/>
              </w:rPr>
            </w:pPr>
            <w:r w:rsidRPr="003F2001">
              <w:rPr>
                <w:color w:val="000000"/>
                <w:sz w:val="18"/>
                <w:szCs w:val="18"/>
              </w:rPr>
              <w:t>Viti</w:t>
            </w:r>
          </w:p>
        </w:tc>
        <w:tc>
          <w:tcPr>
            <w:tcW w:w="2121" w:type="dxa"/>
            <w:gridSpan w:val="2"/>
            <w:tcBorders>
              <w:top w:val="nil"/>
              <w:left w:val="nil"/>
              <w:bottom w:val="single" w:sz="4" w:space="0" w:color="auto"/>
              <w:right w:val="single" w:sz="4" w:space="0" w:color="auto"/>
            </w:tcBorders>
            <w:shd w:val="clear" w:color="auto" w:fill="auto"/>
            <w:vAlign w:val="center"/>
            <w:hideMark/>
          </w:tcPr>
          <w:p w14:paraId="1A81E89F" w14:textId="77777777" w:rsidR="009D6D4E" w:rsidRPr="003F2001" w:rsidRDefault="009D6D4E" w:rsidP="00BF3B71">
            <w:pPr>
              <w:jc w:val="center"/>
              <w:rPr>
                <w:color w:val="000000"/>
                <w:sz w:val="18"/>
                <w:szCs w:val="18"/>
              </w:rPr>
            </w:pPr>
            <w:r w:rsidRPr="003F2001">
              <w:rPr>
                <w:color w:val="000000"/>
                <w:sz w:val="18"/>
                <w:szCs w:val="18"/>
              </w:rPr>
              <w:t>Pagat</w:t>
            </w:r>
          </w:p>
        </w:tc>
        <w:tc>
          <w:tcPr>
            <w:tcW w:w="1641" w:type="dxa"/>
            <w:gridSpan w:val="3"/>
            <w:tcBorders>
              <w:top w:val="nil"/>
              <w:left w:val="nil"/>
              <w:bottom w:val="single" w:sz="4" w:space="0" w:color="auto"/>
              <w:right w:val="single" w:sz="4" w:space="0" w:color="auto"/>
            </w:tcBorders>
            <w:shd w:val="clear" w:color="auto" w:fill="auto"/>
            <w:vAlign w:val="center"/>
            <w:hideMark/>
          </w:tcPr>
          <w:p w14:paraId="04C5E712" w14:textId="77777777" w:rsidR="009D6D4E" w:rsidRPr="003F2001" w:rsidRDefault="009D6D4E" w:rsidP="00BF3B71">
            <w:pPr>
              <w:jc w:val="center"/>
              <w:rPr>
                <w:color w:val="000000"/>
                <w:sz w:val="18"/>
                <w:szCs w:val="18"/>
              </w:rPr>
            </w:pPr>
            <w:r w:rsidRPr="003F2001">
              <w:rPr>
                <w:color w:val="000000"/>
                <w:sz w:val="18"/>
                <w:szCs w:val="18"/>
              </w:rPr>
              <w:t>Mallra dhe shërbime</w:t>
            </w:r>
          </w:p>
        </w:tc>
        <w:tc>
          <w:tcPr>
            <w:tcW w:w="1216" w:type="dxa"/>
            <w:tcBorders>
              <w:top w:val="nil"/>
              <w:left w:val="nil"/>
              <w:bottom w:val="single" w:sz="4" w:space="0" w:color="auto"/>
              <w:right w:val="single" w:sz="4" w:space="0" w:color="auto"/>
            </w:tcBorders>
            <w:shd w:val="clear" w:color="auto" w:fill="auto"/>
            <w:vAlign w:val="center"/>
            <w:hideMark/>
          </w:tcPr>
          <w:p w14:paraId="373E3FB5" w14:textId="77777777" w:rsidR="009D6D4E" w:rsidRPr="003F2001" w:rsidRDefault="009D6D4E" w:rsidP="00BF3B71">
            <w:pPr>
              <w:jc w:val="center"/>
              <w:rPr>
                <w:color w:val="000000"/>
                <w:sz w:val="18"/>
                <w:szCs w:val="18"/>
              </w:rPr>
            </w:pPr>
            <w:r w:rsidRPr="003F2001">
              <w:rPr>
                <w:color w:val="000000"/>
                <w:sz w:val="18"/>
                <w:szCs w:val="18"/>
              </w:rPr>
              <w:t>Subvencione dhe transfere*</w:t>
            </w:r>
          </w:p>
        </w:tc>
        <w:tc>
          <w:tcPr>
            <w:tcW w:w="1792" w:type="dxa"/>
            <w:gridSpan w:val="2"/>
            <w:tcBorders>
              <w:top w:val="nil"/>
              <w:left w:val="nil"/>
              <w:bottom w:val="single" w:sz="4" w:space="0" w:color="auto"/>
              <w:right w:val="single" w:sz="4" w:space="0" w:color="auto"/>
            </w:tcBorders>
            <w:shd w:val="clear" w:color="auto" w:fill="auto"/>
            <w:vAlign w:val="center"/>
            <w:hideMark/>
          </w:tcPr>
          <w:p w14:paraId="6A1ED5FF" w14:textId="77777777" w:rsidR="009D6D4E" w:rsidRPr="003F2001" w:rsidRDefault="009D6D4E" w:rsidP="00BF3B71">
            <w:pPr>
              <w:jc w:val="center"/>
              <w:rPr>
                <w:color w:val="000000"/>
                <w:sz w:val="18"/>
                <w:szCs w:val="18"/>
              </w:rPr>
            </w:pPr>
            <w:r w:rsidRPr="003F2001">
              <w:rPr>
                <w:color w:val="000000"/>
                <w:sz w:val="18"/>
                <w:szCs w:val="18"/>
              </w:rPr>
              <w:t>Shpenzimet kapitale</w:t>
            </w:r>
          </w:p>
        </w:tc>
        <w:tc>
          <w:tcPr>
            <w:tcW w:w="1643" w:type="dxa"/>
            <w:gridSpan w:val="2"/>
            <w:tcBorders>
              <w:top w:val="nil"/>
              <w:left w:val="nil"/>
              <w:bottom w:val="single" w:sz="4" w:space="0" w:color="auto"/>
              <w:right w:val="single" w:sz="4" w:space="0" w:color="auto"/>
            </w:tcBorders>
            <w:shd w:val="clear" w:color="auto" w:fill="auto"/>
            <w:vAlign w:val="center"/>
            <w:hideMark/>
          </w:tcPr>
          <w:p w14:paraId="3C049046" w14:textId="77777777" w:rsidR="009D6D4E" w:rsidRPr="003F2001" w:rsidRDefault="009D6D4E" w:rsidP="00BF3B71">
            <w:pPr>
              <w:jc w:val="center"/>
              <w:rPr>
                <w:color w:val="000000"/>
                <w:sz w:val="18"/>
                <w:szCs w:val="18"/>
              </w:rPr>
            </w:pPr>
            <w:r w:rsidRPr="003F2001">
              <w:rPr>
                <w:color w:val="000000"/>
                <w:sz w:val="18"/>
                <w:szCs w:val="18"/>
              </w:rPr>
              <w:t>Totali</w:t>
            </w:r>
          </w:p>
        </w:tc>
      </w:tr>
      <w:tr w:rsidR="009D6D4E" w:rsidRPr="003F2001" w14:paraId="43240122" w14:textId="77777777" w:rsidTr="00BF3B71">
        <w:trPr>
          <w:trHeight w:val="287"/>
        </w:trPr>
        <w:tc>
          <w:tcPr>
            <w:tcW w:w="1885" w:type="dxa"/>
            <w:gridSpan w:val="3"/>
            <w:tcBorders>
              <w:top w:val="nil"/>
              <w:left w:val="single" w:sz="4" w:space="0" w:color="auto"/>
              <w:bottom w:val="single" w:sz="4" w:space="0" w:color="auto"/>
              <w:right w:val="single" w:sz="4" w:space="0" w:color="auto"/>
            </w:tcBorders>
            <w:shd w:val="clear" w:color="auto" w:fill="auto"/>
            <w:vAlign w:val="center"/>
            <w:hideMark/>
          </w:tcPr>
          <w:p w14:paraId="542AB8B9" w14:textId="77777777" w:rsidR="009D6D4E" w:rsidRPr="003F2001" w:rsidRDefault="009D6D4E" w:rsidP="00BF3B71">
            <w:pPr>
              <w:jc w:val="center"/>
              <w:rPr>
                <w:color w:val="000000"/>
                <w:sz w:val="18"/>
                <w:szCs w:val="18"/>
              </w:rPr>
            </w:pPr>
            <w:r w:rsidRPr="003F2001">
              <w:rPr>
                <w:color w:val="000000"/>
                <w:sz w:val="18"/>
                <w:szCs w:val="18"/>
              </w:rPr>
              <w:t>2020</w:t>
            </w:r>
          </w:p>
        </w:tc>
        <w:tc>
          <w:tcPr>
            <w:tcW w:w="2121" w:type="dxa"/>
            <w:gridSpan w:val="2"/>
            <w:tcBorders>
              <w:top w:val="nil"/>
              <w:left w:val="nil"/>
              <w:bottom w:val="single" w:sz="4" w:space="0" w:color="auto"/>
              <w:right w:val="single" w:sz="4" w:space="0" w:color="auto"/>
            </w:tcBorders>
            <w:shd w:val="clear" w:color="auto" w:fill="auto"/>
            <w:vAlign w:val="center"/>
            <w:hideMark/>
          </w:tcPr>
          <w:p w14:paraId="05FD8653" w14:textId="77777777" w:rsidR="009D6D4E" w:rsidRPr="003F2001" w:rsidRDefault="009D6D4E" w:rsidP="00BF3B71">
            <w:pPr>
              <w:jc w:val="center"/>
              <w:rPr>
                <w:color w:val="000000"/>
                <w:sz w:val="18"/>
                <w:szCs w:val="18"/>
              </w:rPr>
            </w:pPr>
            <w:r w:rsidRPr="003F2001">
              <w:rPr>
                <w:color w:val="000000"/>
                <w:sz w:val="18"/>
                <w:szCs w:val="18"/>
              </w:rPr>
              <w:t xml:space="preserve">                                -   </w:t>
            </w:r>
          </w:p>
        </w:tc>
        <w:tc>
          <w:tcPr>
            <w:tcW w:w="1641" w:type="dxa"/>
            <w:gridSpan w:val="3"/>
            <w:tcBorders>
              <w:top w:val="nil"/>
              <w:left w:val="nil"/>
              <w:bottom w:val="single" w:sz="4" w:space="0" w:color="auto"/>
              <w:right w:val="single" w:sz="4" w:space="0" w:color="auto"/>
            </w:tcBorders>
            <w:shd w:val="clear" w:color="auto" w:fill="auto"/>
            <w:vAlign w:val="center"/>
            <w:hideMark/>
          </w:tcPr>
          <w:p w14:paraId="6A16CDF4" w14:textId="77777777" w:rsidR="009D6D4E" w:rsidRPr="003F2001" w:rsidRDefault="009D6D4E" w:rsidP="00BF3B71">
            <w:pPr>
              <w:jc w:val="right"/>
              <w:rPr>
                <w:color w:val="000000"/>
                <w:sz w:val="18"/>
                <w:szCs w:val="18"/>
              </w:rPr>
            </w:pPr>
            <w:r w:rsidRPr="003F2001">
              <w:rPr>
                <w:color w:val="000000"/>
                <w:sz w:val="18"/>
                <w:szCs w:val="18"/>
              </w:rPr>
              <w:t xml:space="preserve">                            32,000 </w:t>
            </w:r>
          </w:p>
        </w:tc>
        <w:tc>
          <w:tcPr>
            <w:tcW w:w="1216" w:type="dxa"/>
            <w:tcBorders>
              <w:top w:val="nil"/>
              <w:left w:val="nil"/>
              <w:bottom w:val="single" w:sz="4" w:space="0" w:color="auto"/>
              <w:right w:val="single" w:sz="4" w:space="0" w:color="auto"/>
            </w:tcBorders>
            <w:shd w:val="clear" w:color="auto" w:fill="auto"/>
            <w:vAlign w:val="center"/>
            <w:hideMark/>
          </w:tcPr>
          <w:p w14:paraId="07E80580" w14:textId="77777777" w:rsidR="009D6D4E" w:rsidRPr="003F2001" w:rsidRDefault="009D6D4E" w:rsidP="00BF3B71">
            <w:pPr>
              <w:jc w:val="right"/>
              <w:rPr>
                <w:color w:val="000000"/>
                <w:sz w:val="18"/>
                <w:szCs w:val="18"/>
              </w:rPr>
            </w:pPr>
            <w:r w:rsidRPr="003F2001">
              <w:rPr>
                <w:color w:val="000000"/>
                <w:sz w:val="18"/>
                <w:szCs w:val="18"/>
              </w:rPr>
              <w:t> </w:t>
            </w:r>
          </w:p>
        </w:tc>
        <w:tc>
          <w:tcPr>
            <w:tcW w:w="1792" w:type="dxa"/>
            <w:gridSpan w:val="2"/>
            <w:tcBorders>
              <w:top w:val="nil"/>
              <w:left w:val="nil"/>
              <w:bottom w:val="single" w:sz="4" w:space="0" w:color="auto"/>
              <w:right w:val="single" w:sz="4" w:space="0" w:color="auto"/>
            </w:tcBorders>
            <w:shd w:val="clear" w:color="auto" w:fill="auto"/>
            <w:vAlign w:val="center"/>
            <w:hideMark/>
          </w:tcPr>
          <w:p w14:paraId="6B27BCA4" w14:textId="77777777" w:rsidR="009D6D4E" w:rsidRPr="003F2001" w:rsidRDefault="009D6D4E" w:rsidP="00BF3B71">
            <w:pPr>
              <w:jc w:val="right"/>
              <w:rPr>
                <w:color w:val="000000"/>
                <w:sz w:val="18"/>
                <w:szCs w:val="18"/>
              </w:rPr>
            </w:pPr>
            <w:r w:rsidRPr="003F2001">
              <w:rPr>
                <w:color w:val="000000"/>
                <w:sz w:val="18"/>
                <w:szCs w:val="18"/>
              </w:rPr>
              <w:t> </w:t>
            </w:r>
          </w:p>
        </w:tc>
        <w:tc>
          <w:tcPr>
            <w:tcW w:w="1643" w:type="dxa"/>
            <w:gridSpan w:val="2"/>
            <w:tcBorders>
              <w:top w:val="nil"/>
              <w:left w:val="nil"/>
              <w:bottom w:val="single" w:sz="4" w:space="0" w:color="auto"/>
              <w:right w:val="single" w:sz="4" w:space="0" w:color="auto"/>
            </w:tcBorders>
            <w:shd w:val="clear" w:color="000000" w:fill="FFFFFF"/>
            <w:vAlign w:val="center"/>
            <w:hideMark/>
          </w:tcPr>
          <w:p w14:paraId="6E7CC1CE" w14:textId="77777777" w:rsidR="009D6D4E" w:rsidRPr="003F2001" w:rsidRDefault="009D6D4E" w:rsidP="00BF3B71">
            <w:pPr>
              <w:jc w:val="right"/>
              <w:rPr>
                <w:b/>
                <w:color w:val="000000"/>
                <w:sz w:val="18"/>
                <w:szCs w:val="18"/>
              </w:rPr>
            </w:pPr>
            <w:r w:rsidRPr="003F2001">
              <w:rPr>
                <w:b/>
                <w:color w:val="000000"/>
                <w:sz w:val="18"/>
                <w:szCs w:val="18"/>
              </w:rPr>
              <w:t xml:space="preserve">                            32,000 </w:t>
            </w:r>
          </w:p>
        </w:tc>
      </w:tr>
      <w:tr w:rsidR="009D6D4E" w:rsidRPr="003F2001" w14:paraId="00E99F28" w14:textId="77777777" w:rsidTr="00BF3B71">
        <w:trPr>
          <w:trHeight w:val="233"/>
        </w:trPr>
        <w:tc>
          <w:tcPr>
            <w:tcW w:w="1885" w:type="dxa"/>
            <w:gridSpan w:val="3"/>
            <w:tcBorders>
              <w:top w:val="nil"/>
              <w:left w:val="single" w:sz="4" w:space="0" w:color="auto"/>
              <w:bottom w:val="single" w:sz="4" w:space="0" w:color="auto"/>
              <w:right w:val="single" w:sz="4" w:space="0" w:color="auto"/>
            </w:tcBorders>
            <w:shd w:val="clear" w:color="auto" w:fill="auto"/>
            <w:vAlign w:val="center"/>
            <w:hideMark/>
          </w:tcPr>
          <w:p w14:paraId="574C5496" w14:textId="77777777" w:rsidR="009D6D4E" w:rsidRPr="003F2001" w:rsidRDefault="009D6D4E" w:rsidP="00BF3B71">
            <w:pPr>
              <w:jc w:val="center"/>
              <w:rPr>
                <w:color w:val="000000"/>
                <w:sz w:val="18"/>
                <w:szCs w:val="18"/>
              </w:rPr>
            </w:pPr>
            <w:r w:rsidRPr="003F2001">
              <w:rPr>
                <w:color w:val="000000"/>
                <w:sz w:val="18"/>
                <w:szCs w:val="18"/>
              </w:rPr>
              <w:t>2021</w:t>
            </w:r>
          </w:p>
        </w:tc>
        <w:tc>
          <w:tcPr>
            <w:tcW w:w="2121" w:type="dxa"/>
            <w:gridSpan w:val="2"/>
            <w:tcBorders>
              <w:top w:val="nil"/>
              <w:left w:val="nil"/>
              <w:bottom w:val="single" w:sz="4" w:space="0" w:color="auto"/>
              <w:right w:val="single" w:sz="4" w:space="0" w:color="auto"/>
            </w:tcBorders>
            <w:shd w:val="clear" w:color="auto" w:fill="auto"/>
            <w:vAlign w:val="center"/>
            <w:hideMark/>
          </w:tcPr>
          <w:p w14:paraId="2655D32A" w14:textId="77777777" w:rsidR="009D6D4E" w:rsidRPr="003F2001" w:rsidRDefault="009D6D4E" w:rsidP="00BF3B71">
            <w:pPr>
              <w:jc w:val="center"/>
              <w:rPr>
                <w:color w:val="000000"/>
                <w:sz w:val="18"/>
                <w:szCs w:val="18"/>
              </w:rPr>
            </w:pPr>
            <w:r w:rsidRPr="003F2001">
              <w:rPr>
                <w:color w:val="000000"/>
                <w:sz w:val="18"/>
                <w:szCs w:val="18"/>
              </w:rPr>
              <w:t> </w:t>
            </w:r>
          </w:p>
        </w:tc>
        <w:tc>
          <w:tcPr>
            <w:tcW w:w="1641" w:type="dxa"/>
            <w:gridSpan w:val="3"/>
            <w:tcBorders>
              <w:top w:val="nil"/>
              <w:left w:val="nil"/>
              <w:bottom w:val="single" w:sz="4" w:space="0" w:color="auto"/>
              <w:right w:val="single" w:sz="4" w:space="0" w:color="auto"/>
            </w:tcBorders>
            <w:shd w:val="clear" w:color="auto" w:fill="auto"/>
            <w:vAlign w:val="center"/>
            <w:hideMark/>
          </w:tcPr>
          <w:p w14:paraId="4592AF79" w14:textId="77777777" w:rsidR="009D6D4E" w:rsidRPr="003F2001" w:rsidRDefault="009D6D4E" w:rsidP="00BF3B71">
            <w:pPr>
              <w:jc w:val="right"/>
              <w:rPr>
                <w:color w:val="000000"/>
                <w:sz w:val="18"/>
                <w:szCs w:val="18"/>
              </w:rPr>
            </w:pPr>
            <w:r w:rsidRPr="003F2001">
              <w:rPr>
                <w:color w:val="000000"/>
                <w:sz w:val="18"/>
                <w:szCs w:val="18"/>
              </w:rPr>
              <w:t xml:space="preserve">                            22,000 </w:t>
            </w:r>
          </w:p>
        </w:tc>
        <w:tc>
          <w:tcPr>
            <w:tcW w:w="1216" w:type="dxa"/>
            <w:tcBorders>
              <w:top w:val="nil"/>
              <w:left w:val="nil"/>
              <w:bottom w:val="single" w:sz="4" w:space="0" w:color="auto"/>
              <w:right w:val="single" w:sz="4" w:space="0" w:color="auto"/>
            </w:tcBorders>
            <w:shd w:val="clear" w:color="auto" w:fill="auto"/>
            <w:vAlign w:val="center"/>
            <w:hideMark/>
          </w:tcPr>
          <w:p w14:paraId="27629E28" w14:textId="77777777" w:rsidR="009D6D4E" w:rsidRPr="003F2001" w:rsidRDefault="009D6D4E" w:rsidP="00BF3B71">
            <w:pPr>
              <w:jc w:val="right"/>
              <w:rPr>
                <w:color w:val="000000"/>
                <w:sz w:val="18"/>
                <w:szCs w:val="18"/>
              </w:rPr>
            </w:pPr>
            <w:r w:rsidRPr="003F2001">
              <w:rPr>
                <w:color w:val="000000"/>
                <w:sz w:val="18"/>
                <w:szCs w:val="18"/>
              </w:rPr>
              <w:t> </w:t>
            </w:r>
          </w:p>
        </w:tc>
        <w:tc>
          <w:tcPr>
            <w:tcW w:w="1792" w:type="dxa"/>
            <w:gridSpan w:val="2"/>
            <w:tcBorders>
              <w:top w:val="nil"/>
              <w:left w:val="nil"/>
              <w:bottom w:val="single" w:sz="4" w:space="0" w:color="auto"/>
              <w:right w:val="single" w:sz="4" w:space="0" w:color="auto"/>
            </w:tcBorders>
            <w:shd w:val="clear" w:color="auto" w:fill="auto"/>
            <w:vAlign w:val="center"/>
            <w:hideMark/>
          </w:tcPr>
          <w:p w14:paraId="0D5A3F46" w14:textId="77777777" w:rsidR="009D6D4E" w:rsidRPr="003F2001" w:rsidRDefault="009D6D4E" w:rsidP="00BF3B71">
            <w:pPr>
              <w:jc w:val="right"/>
              <w:rPr>
                <w:color w:val="000000"/>
                <w:sz w:val="18"/>
                <w:szCs w:val="18"/>
              </w:rPr>
            </w:pPr>
            <w:r w:rsidRPr="003F2001">
              <w:rPr>
                <w:color w:val="000000"/>
                <w:sz w:val="18"/>
                <w:szCs w:val="18"/>
              </w:rPr>
              <w:t> </w:t>
            </w:r>
          </w:p>
        </w:tc>
        <w:tc>
          <w:tcPr>
            <w:tcW w:w="1643" w:type="dxa"/>
            <w:gridSpan w:val="2"/>
            <w:tcBorders>
              <w:top w:val="nil"/>
              <w:left w:val="nil"/>
              <w:bottom w:val="single" w:sz="4" w:space="0" w:color="auto"/>
              <w:right w:val="single" w:sz="4" w:space="0" w:color="auto"/>
            </w:tcBorders>
            <w:shd w:val="clear" w:color="000000" w:fill="FFFFFF"/>
            <w:vAlign w:val="center"/>
            <w:hideMark/>
          </w:tcPr>
          <w:p w14:paraId="5A3A12A1" w14:textId="77777777" w:rsidR="009D6D4E" w:rsidRPr="003F2001" w:rsidRDefault="009D6D4E" w:rsidP="00BF3B71">
            <w:pPr>
              <w:jc w:val="right"/>
              <w:rPr>
                <w:b/>
                <w:color w:val="000000"/>
                <w:sz w:val="18"/>
                <w:szCs w:val="18"/>
              </w:rPr>
            </w:pPr>
            <w:r w:rsidRPr="003F2001">
              <w:rPr>
                <w:b/>
                <w:color w:val="000000"/>
                <w:sz w:val="18"/>
                <w:szCs w:val="18"/>
              </w:rPr>
              <w:t xml:space="preserve">                            22,000 </w:t>
            </w:r>
          </w:p>
        </w:tc>
      </w:tr>
      <w:tr w:rsidR="009D6D4E" w:rsidRPr="003F2001" w14:paraId="436E1EDB" w14:textId="77777777" w:rsidTr="00BF3B71">
        <w:trPr>
          <w:trHeight w:val="105"/>
        </w:trPr>
        <w:tc>
          <w:tcPr>
            <w:tcW w:w="1885" w:type="dxa"/>
            <w:gridSpan w:val="3"/>
            <w:tcBorders>
              <w:top w:val="nil"/>
              <w:left w:val="single" w:sz="4" w:space="0" w:color="auto"/>
              <w:bottom w:val="single" w:sz="4" w:space="0" w:color="auto"/>
              <w:right w:val="single" w:sz="4" w:space="0" w:color="auto"/>
            </w:tcBorders>
            <w:shd w:val="clear" w:color="auto" w:fill="auto"/>
            <w:vAlign w:val="center"/>
            <w:hideMark/>
          </w:tcPr>
          <w:p w14:paraId="1D8B6DE4" w14:textId="77777777" w:rsidR="009D6D4E" w:rsidRPr="003F2001" w:rsidRDefault="009D6D4E" w:rsidP="00BF3B71">
            <w:pPr>
              <w:jc w:val="center"/>
              <w:rPr>
                <w:color w:val="000000"/>
                <w:sz w:val="18"/>
                <w:szCs w:val="18"/>
              </w:rPr>
            </w:pPr>
            <w:r w:rsidRPr="003F2001">
              <w:rPr>
                <w:color w:val="000000"/>
                <w:sz w:val="18"/>
                <w:szCs w:val="18"/>
              </w:rPr>
              <w:t>2022</w:t>
            </w:r>
          </w:p>
        </w:tc>
        <w:tc>
          <w:tcPr>
            <w:tcW w:w="2121" w:type="dxa"/>
            <w:gridSpan w:val="2"/>
            <w:tcBorders>
              <w:top w:val="nil"/>
              <w:left w:val="nil"/>
              <w:bottom w:val="single" w:sz="4" w:space="0" w:color="auto"/>
              <w:right w:val="single" w:sz="4" w:space="0" w:color="auto"/>
            </w:tcBorders>
            <w:shd w:val="clear" w:color="auto" w:fill="auto"/>
            <w:vAlign w:val="center"/>
            <w:hideMark/>
          </w:tcPr>
          <w:p w14:paraId="09038BB0" w14:textId="77777777" w:rsidR="009D6D4E" w:rsidRPr="003F2001" w:rsidRDefault="009D6D4E" w:rsidP="00BF3B71">
            <w:pPr>
              <w:jc w:val="center"/>
              <w:rPr>
                <w:color w:val="000000"/>
                <w:sz w:val="18"/>
                <w:szCs w:val="18"/>
              </w:rPr>
            </w:pPr>
            <w:r w:rsidRPr="003F2001">
              <w:rPr>
                <w:color w:val="000000"/>
                <w:sz w:val="18"/>
                <w:szCs w:val="18"/>
              </w:rPr>
              <w:t> </w:t>
            </w:r>
          </w:p>
        </w:tc>
        <w:tc>
          <w:tcPr>
            <w:tcW w:w="1641" w:type="dxa"/>
            <w:gridSpan w:val="3"/>
            <w:tcBorders>
              <w:top w:val="nil"/>
              <w:left w:val="nil"/>
              <w:bottom w:val="single" w:sz="4" w:space="0" w:color="auto"/>
              <w:right w:val="single" w:sz="4" w:space="0" w:color="auto"/>
            </w:tcBorders>
            <w:shd w:val="clear" w:color="auto" w:fill="auto"/>
            <w:vAlign w:val="center"/>
            <w:hideMark/>
          </w:tcPr>
          <w:p w14:paraId="6812A555" w14:textId="77777777" w:rsidR="009D6D4E" w:rsidRPr="003F2001" w:rsidRDefault="009D6D4E" w:rsidP="00BF3B71">
            <w:pPr>
              <w:jc w:val="right"/>
              <w:rPr>
                <w:color w:val="000000"/>
                <w:sz w:val="18"/>
                <w:szCs w:val="18"/>
              </w:rPr>
            </w:pPr>
            <w:r w:rsidRPr="003F2001">
              <w:rPr>
                <w:color w:val="000000"/>
                <w:sz w:val="18"/>
                <w:szCs w:val="18"/>
              </w:rPr>
              <w:t xml:space="preserve">                            22,000 </w:t>
            </w:r>
          </w:p>
        </w:tc>
        <w:tc>
          <w:tcPr>
            <w:tcW w:w="1216" w:type="dxa"/>
            <w:tcBorders>
              <w:top w:val="nil"/>
              <w:left w:val="nil"/>
              <w:bottom w:val="single" w:sz="4" w:space="0" w:color="auto"/>
              <w:right w:val="single" w:sz="4" w:space="0" w:color="auto"/>
            </w:tcBorders>
            <w:shd w:val="clear" w:color="auto" w:fill="auto"/>
            <w:vAlign w:val="center"/>
            <w:hideMark/>
          </w:tcPr>
          <w:p w14:paraId="2E5D8D87" w14:textId="77777777" w:rsidR="009D6D4E" w:rsidRPr="003F2001" w:rsidRDefault="009D6D4E" w:rsidP="00BF3B71">
            <w:pPr>
              <w:jc w:val="right"/>
              <w:rPr>
                <w:color w:val="000000"/>
                <w:sz w:val="18"/>
                <w:szCs w:val="18"/>
              </w:rPr>
            </w:pPr>
            <w:r w:rsidRPr="003F2001">
              <w:rPr>
                <w:color w:val="000000"/>
                <w:sz w:val="18"/>
                <w:szCs w:val="18"/>
              </w:rPr>
              <w:t xml:space="preserve">                                      -   </w:t>
            </w:r>
          </w:p>
        </w:tc>
        <w:tc>
          <w:tcPr>
            <w:tcW w:w="1792" w:type="dxa"/>
            <w:gridSpan w:val="2"/>
            <w:tcBorders>
              <w:top w:val="nil"/>
              <w:left w:val="nil"/>
              <w:bottom w:val="single" w:sz="4" w:space="0" w:color="auto"/>
              <w:right w:val="single" w:sz="4" w:space="0" w:color="auto"/>
            </w:tcBorders>
            <w:shd w:val="clear" w:color="auto" w:fill="auto"/>
            <w:vAlign w:val="center"/>
            <w:hideMark/>
          </w:tcPr>
          <w:p w14:paraId="560B3587" w14:textId="77777777" w:rsidR="009D6D4E" w:rsidRPr="003F2001" w:rsidRDefault="009D6D4E" w:rsidP="00BF3B71">
            <w:pPr>
              <w:jc w:val="right"/>
              <w:rPr>
                <w:color w:val="000000"/>
                <w:sz w:val="18"/>
                <w:szCs w:val="18"/>
              </w:rPr>
            </w:pPr>
            <w:r w:rsidRPr="003F2001">
              <w:rPr>
                <w:color w:val="000000"/>
                <w:sz w:val="18"/>
                <w:szCs w:val="18"/>
              </w:rPr>
              <w:t xml:space="preserve">                                   -   </w:t>
            </w:r>
          </w:p>
        </w:tc>
        <w:tc>
          <w:tcPr>
            <w:tcW w:w="1643" w:type="dxa"/>
            <w:gridSpan w:val="2"/>
            <w:tcBorders>
              <w:top w:val="nil"/>
              <w:left w:val="nil"/>
              <w:bottom w:val="single" w:sz="4" w:space="0" w:color="auto"/>
              <w:right w:val="single" w:sz="4" w:space="0" w:color="auto"/>
            </w:tcBorders>
            <w:shd w:val="clear" w:color="000000" w:fill="FFFFFF"/>
            <w:vAlign w:val="center"/>
            <w:hideMark/>
          </w:tcPr>
          <w:p w14:paraId="071172CF" w14:textId="77777777" w:rsidR="009D6D4E" w:rsidRPr="003F2001" w:rsidRDefault="009D6D4E" w:rsidP="00BF3B71">
            <w:pPr>
              <w:jc w:val="right"/>
              <w:rPr>
                <w:b/>
                <w:color w:val="000000"/>
                <w:sz w:val="18"/>
                <w:szCs w:val="18"/>
              </w:rPr>
            </w:pPr>
            <w:r w:rsidRPr="003F2001">
              <w:rPr>
                <w:b/>
                <w:color w:val="000000"/>
                <w:sz w:val="18"/>
                <w:szCs w:val="18"/>
              </w:rPr>
              <w:t xml:space="preserve">                            22,000 </w:t>
            </w:r>
          </w:p>
        </w:tc>
      </w:tr>
      <w:tr w:rsidR="009D6D4E" w:rsidRPr="003F2001" w14:paraId="5EF36748" w14:textId="77777777" w:rsidTr="00BF3B71">
        <w:trPr>
          <w:trHeight w:val="358"/>
        </w:trPr>
        <w:tc>
          <w:tcPr>
            <w:tcW w:w="10298" w:type="dxa"/>
            <w:gridSpan w:val="13"/>
            <w:tcBorders>
              <w:top w:val="single" w:sz="8" w:space="0" w:color="auto"/>
              <w:left w:val="single" w:sz="8" w:space="0" w:color="auto"/>
              <w:bottom w:val="single" w:sz="8" w:space="0" w:color="auto"/>
              <w:right w:val="single" w:sz="8" w:space="0" w:color="000000"/>
            </w:tcBorders>
            <w:shd w:val="clear" w:color="auto" w:fill="auto"/>
            <w:vAlign w:val="center"/>
            <w:hideMark/>
          </w:tcPr>
          <w:p w14:paraId="72A27F1D" w14:textId="77777777" w:rsidR="009D6D4E" w:rsidRPr="003F2001" w:rsidRDefault="009D6D4E" w:rsidP="00BF3B71">
            <w:pPr>
              <w:rPr>
                <w:b/>
                <w:bCs/>
                <w:color w:val="000000"/>
                <w:sz w:val="18"/>
                <w:szCs w:val="18"/>
              </w:rPr>
            </w:pPr>
            <w:r w:rsidRPr="003F2001">
              <w:rPr>
                <w:b/>
                <w:bCs/>
                <w:color w:val="000000"/>
                <w:sz w:val="18"/>
                <w:szCs w:val="18"/>
              </w:rPr>
              <w:t>Tabela 10 b. Financimi i masës së reformës strukturore:    Masa#14 Lehtësimi i tregtisë përmes uljes së kostos së transaksioneve tregtare</w:t>
            </w:r>
          </w:p>
        </w:tc>
      </w:tr>
      <w:tr w:rsidR="009D6D4E" w:rsidRPr="003F2001" w14:paraId="38941D11" w14:textId="77777777" w:rsidTr="00BF3B71">
        <w:trPr>
          <w:trHeight w:val="441"/>
        </w:trPr>
        <w:tc>
          <w:tcPr>
            <w:tcW w:w="727" w:type="dxa"/>
            <w:vMerge w:val="restart"/>
            <w:tcBorders>
              <w:top w:val="nil"/>
              <w:left w:val="single" w:sz="8" w:space="0" w:color="auto"/>
              <w:bottom w:val="single" w:sz="8" w:space="0" w:color="000000"/>
              <w:right w:val="single" w:sz="8" w:space="0" w:color="auto"/>
            </w:tcBorders>
            <w:shd w:val="clear" w:color="auto" w:fill="auto"/>
            <w:vAlign w:val="center"/>
            <w:hideMark/>
          </w:tcPr>
          <w:p w14:paraId="3ACE16CA" w14:textId="77777777" w:rsidR="009D6D4E" w:rsidRPr="003F2001" w:rsidRDefault="009D6D4E" w:rsidP="00BF3B71">
            <w:pPr>
              <w:jc w:val="center"/>
              <w:rPr>
                <w:color w:val="000000"/>
                <w:sz w:val="18"/>
                <w:szCs w:val="18"/>
              </w:rPr>
            </w:pPr>
            <w:r w:rsidRPr="003F2001">
              <w:rPr>
                <w:color w:val="000000"/>
                <w:sz w:val="18"/>
                <w:szCs w:val="18"/>
              </w:rPr>
              <w:t>Viti</w:t>
            </w:r>
          </w:p>
        </w:tc>
        <w:tc>
          <w:tcPr>
            <w:tcW w:w="968" w:type="dxa"/>
            <w:vMerge w:val="restart"/>
            <w:tcBorders>
              <w:top w:val="nil"/>
              <w:left w:val="single" w:sz="8" w:space="0" w:color="auto"/>
              <w:bottom w:val="single" w:sz="8" w:space="0" w:color="000000"/>
              <w:right w:val="single" w:sz="8" w:space="0" w:color="auto"/>
            </w:tcBorders>
            <w:shd w:val="clear" w:color="auto" w:fill="auto"/>
            <w:vAlign w:val="center"/>
            <w:hideMark/>
          </w:tcPr>
          <w:p w14:paraId="0F4D10DD" w14:textId="77777777" w:rsidR="009D6D4E" w:rsidRPr="003F2001" w:rsidRDefault="009D6D4E" w:rsidP="00BF3B71">
            <w:pPr>
              <w:jc w:val="center"/>
              <w:rPr>
                <w:color w:val="000000"/>
                <w:sz w:val="18"/>
                <w:szCs w:val="18"/>
              </w:rPr>
            </w:pPr>
            <w:r w:rsidRPr="003F2001">
              <w:rPr>
                <w:color w:val="000000"/>
                <w:sz w:val="18"/>
                <w:szCs w:val="18"/>
              </w:rPr>
              <w:t>Buxheti qendror</w:t>
            </w:r>
          </w:p>
        </w:tc>
        <w:tc>
          <w:tcPr>
            <w:tcW w:w="857"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1A8C9AB8" w14:textId="77777777" w:rsidR="009D6D4E" w:rsidRPr="003F2001" w:rsidRDefault="009D6D4E" w:rsidP="00BF3B71">
            <w:pPr>
              <w:jc w:val="center"/>
              <w:rPr>
                <w:color w:val="000000"/>
                <w:sz w:val="18"/>
                <w:szCs w:val="18"/>
              </w:rPr>
            </w:pPr>
            <w:r w:rsidRPr="003F2001">
              <w:rPr>
                <w:color w:val="000000"/>
                <w:sz w:val="18"/>
                <w:szCs w:val="18"/>
              </w:rPr>
              <w:t>Buxheti komunal</w:t>
            </w:r>
          </w:p>
        </w:tc>
        <w:tc>
          <w:tcPr>
            <w:tcW w:w="1738"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1F1853AC" w14:textId="77777777" w:rsidR="009D6D4E" w:rsidRPr="003F2001" w:rsidRDefault="009D6D4E" w:rsidP="00BF3B71">
            <w:pPr>
              <w:jc w:val="center"/>
              <w:rPr>
                <w:color w:val="000000"/>
                <w:sz w:val="18"/>
                <w:szCs w:val="18"/>
              </w:rPr>
            </w:pPr>
            <w:r w:rsidRPr="003F2001">
              <w:rPr>
                <w:color w:val="000000"/>
                <w:sz w:val="18"/>
                <w:szCs w:val="18"/>
              </w:rPr>
              <w:t>Burimet e tjera të financimit publik</w:t>
            </w:r>
          </w:p>
        </w:tc>
        <w:tc>
          <w:tcPr>
            <w:tcW w:w="976" w:type="dxa"/>
            <w:vMerge w:val="restart"/>
            <w:tcBorders>
              <w:top w:val="nil"/>
              <w:left w:val="single" w:sz="8" w:space="0" w:color="auto"/>
              <w:bottom w:val="single" w:sz="8" w:space="0" w:color="000000"/>
              <w:right w:val="single" w:sz="8" w:space="0" w:color="auto"/>
            </w:tcBorders>
            <w:shd w:val="clear" w:color="auto" w:fill="auto"/>
            <w:vAlign w:val="center"/>
            <w:hideMark/>
          </w:tcPr>
          <w:p w14:paraId="034EA443" w14:textId="77777777" w:rsidR="009D6D4E" w:rsidRPr="003F2001" w:rsidRDefault="009D6D4E" w:rsidP="00BF3B71">
            <w:pPr>
              <w:jc w:val="center"/>
              <w:rPr>
                <w:color w:val="000000"/>
                <w:sz w:val="18"/>
                <w:szCs w:val="18"/>
              </w:rPr>
            </w:pPr>
            <w:r w:rsidRPr="003F2001">
              <w:rPr>
                <w:color w:val="000000"/>
                <w:sz w:val="18"/>
                <w:szCs w:val="18"/>
              </w:rPr>
              <w:t>Fondet e IPA</w:t>
            </w:r>
          </w:p>
        </w:tc>
        <w:tc>
          <w:tcPr>
            <w:tcW w:w="1597" w:type="dxa"/>
            <w:gridSpan w:val="2"/>
            <w:tcBorders>
              <w:top w:val="nil"/>
              <w:left w:val="nil"/>
              <w:bottom w:val="nil"/>
              <w:right w:val="single" w:sz="8" w:space="0" w:color="auto"/>
            </w:tcBorders>
            <w:shd w:val="clear" w:color="auto" w:fill="auto"/>
            <w:vAlign w:val="center"/>
            <w:hideMark/>
          </w:tcPr>
          <w:p w14:paraId="7B004958" w14:textId="77777777" w:rsidR="009D6D4E" w:rsidRPr="003F2001" w:rsidRDefault="009D6D4E" w:rsidP="00BF3B71">
            <w:pPr>
              <w:jc w:val="center"/>
              <w:rPr>
                <w:color w:val="000000"/>
                <w:sz w:val="18"/>
                <w:szCs w:val="18"/>
              </w:rPr>
            </w:pPr>
            <w:r w:rsidRPr="003F2001">
              <w:rPr>
                <w:color w:val="000000"/>
                <w:sz w:val="18"/>
                <w:szCs w:val="18"/>
              </w:rPr>
              <w:t>Grante të tjera</w:t>
            </w:r>
          </w:p>
        </w:tc>
        <w:tc>
          <w:tcPr>
            <w:tcW w:w="880" w:type="dxa"/>
            <w:vMerge w:val="restart"/>
            <w:tcBorders>
              <w:top w:val="nil"/>
              <w:left w:val="single" w:sz="8" w:space="0" w:color="auto"/>
              <w:bottom w:val="single" w:sz="8" w:space="0" w:color="000000"/>
              <w:right w:val="single" w:sz="8" w:space="0" w:color="auto"/>
            </w:tcBorders>
            <w:shd w:val="clear" w:color="auto" w:fill="auto"/>
            <w:vAlign w:val="center"/>
            <w:hideMark/>
          </w:tcPr>
          <w:p w14:paraId="550ABF36" w14:textId="77777777" w:rsidR="009D6D4E" w:rsidRPr="003F2001" w:rsidRDefault="009D6D4E" w:rsidP="00BF3B71">
            <w:pPr>
              <w:jc w:val="center"/>
              <w:rPr>
                <w:color w:val="000000"/>
                <w:sz w:val="18"/>
                <w:szCs w:val="18"/>
              </w:rPr>
            </w:pPr>
            <w:r w:rsidRPr="003F2001">
              <w:rPr>
                <w:color w:val="000000"/>
                <w:sz w:val="18"/>
                <w:szCs w:val="18"/>
              </w:rPr>
              <w:t>Kredi për projekte</w:t>
            </w:r>
          </w:p>
        </w:tc>
        <w:tc>
          <w:tcPr>
            <w:tcW w:w="1578"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18567055" w14:textId="77777777" w:rsidR="009D6D4E" w:rsidRPr="003F2001" w:rsidRDefault="009D6D4E" w:rsidP="00BF3B71">
            <w:pPr>
              <w:jc w:val="center"/>
              <w:rPr>
                <w:color w:val="000000"/>
                <w:sz w:val="18"/>
                <w:szCs w:val="18"/>
              </w:rPr>
            </w:pPr>
            <w:r w:rsidRPr="003F2001">
              <w:rPr>
                <w:color w:val="000000"/>
                <w:sz w:val="18"/>
                <w:szCs w:val="18"/>
              </w:rPr>
              <w:t>Projekte tjera nga Donatoret ( USAID)</w:t>
            </w:r>
          </w:p>
        </w:tc>
        <w:tc>
          <w:tcPr>
            <w:tcW w:w="977" w:type="dxa"/>
            <w:vMerge w:val="restart"/>
            <w:tcBorders>
              <w:top w:val="nil"/>
              <w:left w:val="single" w:sz="8" w:space="0" w:color="auto"/>
              <w:bottom w:val="single" w:sz="8" w:space="0" w:color="000000"/>
              <w:right w:val="single" w:sz="8" w:space="0" w:color="auto"/>
            </w:tcBorders>
            <w:shd w:val="clear" w:color="auto" w:fill="auto"/>
            <w:vAlign w:val="center"/>
            <w:hideMark/>
          </w:tcPr>
          <w:p w14:paraId="47202E11" w14:textId="77777777" w:rsidR="009D6D4E" w:rsidRPr="00CB6955" w:rsidRDefault="009D6D4E" w:rsidP="00BF3B71">
            <w:pPr>
              <w:jc w:val="center"/>
              <w:rPr>
                <w:b/>
                <w:color w:val="000000"/>
                <w:sz w:val="18"/>
                <w:szCs w:val="18"/>
              </w:rPr>
            </w:pPr>
            <w:r w:rsidRPr="00CB6955">
              <w:rPr>
                <w:b/>
                <w:color w:val="000000"/>
                <w:sz w:val="18"/>
                <w:szCs w:val="18"/>
              </w:rPr>
              <w:t>Totali</w:t>
            </w:r>
          </w:p>
        </w:tc>
      </w:tr>
      <w:tr w:rsidR="009D6D4E" w:rsidRPr="003F2001" w14:paraId="4E9BEADC" w14:textId="77777777" w:rsidTr="00BF3B71">
        <w:trPr>
          <w:trHeight w:val="441"/>
        </w:trPr>
        <w:tc>
          <w:tcPr>
            <w:tcW w:w="727" w:type="dxa"/>
            <w:vMerge/>
            <w:tcBorders>
              <w:top w:val="nil"/>
              <w:left w:val="single" w:sz="8" w:space="0" w:color="auto"/>
              <w:bottom w:val="single" w:sz="8" w:space="0" w:color="000000"/>
              <w:right w:val="single" w:sz="8" w:space="0" w:color="auto"/>
            </w:tcBorders>
            <w:vAlign w:val="center"/>
            <w:hideMark/>
          </w:tcPr>
          <w:p w14:paraId="252BD551" w14:textId="77777777" w:rsidR="009D6D4E" w:rsidRPr="003F2001" w:rsidRDefault="009D6D4E" w:rsidP="00BF3B71">
            <w:pPr>
              <w:rPr>
                <w:color w:val="000000"/>
                <w:sz w:val="18"/>
                <w:szCs w:val="18"/>
              </w:rPr>
            </w:pPr>
          </w:p>
        </w:tc>
        <w:tc>
          <w:tcPr>
            <w:tcW w:w="968" w:type="dxa"/>
            <w:vMerge/>
            <w:tcBorders>
              <w:top w:val="nil"/>
              <w:left w:val="single" w:sz="8" w:space="0" w:color="auto"/>
              <w:bottom w:val="single" w:sz="8" w:space="0" w:color="000000"/>
              <w:right w:val="single" w:sz="8" w:space="0" w:color="auto"/>
            </w:tcBorders>
            <w:vAlign w:val="center"/>
            <w:hideMark/>
          </w:tcPr>
          <w:p w14:paraId="1DA34A7C" w14:textId="77777777" w:rsidR="009D6D4E" w:rsidRPr="003F2001" w:rsidRDefault="009D6D4E" w:rsidP="00BF3B71">
            <w:pPr>
              <w:rPr>
                <w:color w:val="000000"/>
                <w:sz w:val="18"/>
                <w:szCs w:val="18"/>
              </w:rPr>
            </w:pPr>
          </w:p>
        </w:tc>
        <w:tc>
          <w:tcPr>
            <w:tcW w:w="857" w:type="dxa"/>
            <w:gridSpan w:val="2"/>
            <w:vMerge/>
            <w:tcBorders>
              <w:top w:val="nil"/>
              <w:left w:val="single" w:sz="8" w:space="0" w:color="auto"/>
              <w:bottom w:val="single" w:sz="8" w:space="0" w:color="000000"/>
              <w:right w:val="single" w:sz="8" w:space="0" w:color="auto"/>
            </w:tcBorders>
            <w:vAlign w:val="center"/>
            <w:hideMark/>
          </w:tcPr>
          <w:p w14:paraId="1C6D4A85" w14:textId="77777777" w:rsidR="009D6D4E" w:rsidRPr="003F2001" w:rsidRDefault="009D6D4E" w:rsidP="00BF3B71">
            <w:pPr>
              <w:rPr>
                <w:color w:val="000000"/>
                <w:sz w:val="18"/>
                <w:szCs w:val="18"/>
              </w:rPr>
            </w:pPr>
          </w:p>
        </w:tc>
        <w:tc>
          <w:tcPr>
            <w:tcW w:w="1738" w:type="dxa"/>
            <w:gridSpan w:val="2"/>
            <w:vMerge/>
            <w:tcBorders>
              <w:top w:val="nil"/>
              <w:left w:val="single" w:sz="8" w:space="0" w:color="auto"/>
              <w:bottom w:val="single" w:sz="8" w:space="0" w:color="000000"/>
              <w:right w:val="single" w:sz="8" w:space="0" w:color="auto"/>
            </w:tcBorders>
            <w:vAlign w:val="center"/>
            <w:hideMark/>
          </w:tcPr>
          <w:p w14:paraId="27D09122" w14:textId="77777777" w:rsidR="009D6D4E" w:rsidRPr="003F2001" w:rsidRDefault="009D6D4E" w:rsidP="00BF3B71">
            <w:pPr>
              <w:rPr>
                <w:color w:val="000000"/>
                <w:sz w:val="18"/>
                <w:szCs w:val="18"/>
              </w:rPr>
            </w:pPr>
          </w:p>
        </w:tc>
        <w:tc>
          <w:tcPr>
            <w:tcW w:w="976" w:type="dxa"/>
            <w:vMerge/>
            <w:tcBorders>
              <w:top w:val="nil"/>
              <w:left w:val="single" w:sz="8" w:space="0" w:color="auto"/>
              <w:bottom w:val="single" w:sz="8" w:space="0" w:color="000000"/>
              <w:right w:val="single" w:sz="8" w:space="0" w:color="auto"/>
            </w:tcBorders>
            <w:vAlign w:val="center"/>
            <w:hideMark/>
          </w:tcPr>
          <w:p w14:paraId="075C7D67" w14:textId="77777777" w:rsidR="009D6D4E" w:rsidRPr="003F2001" w:rsidRDefault="009D6D4E" w:rsidP="00BF3B71">
            <w:pPr>
              <w:rPr>
                <w:color w:val="000000"/>
                <w:sz w:val="18"/>
                <w:szCs w:val="18"/>
              </w:rPr>
            </w:pPr>
          </w:p>
        </w:tc>
        <w:tc>
          <w:tcPr>
            <w:tcW w:w="1597" w:type="dxa"/>
            <w:gridSpan w:val="2"/>
            <w:tcBorders>
              <w:top w:val="nil"/>
              <w:left w:val="nil"/>
              <w:bottom w:val="single" w:sz="8" w:space="0" w:color="auto"/>
              <w:right w:val="single" w:sz="8" w:space="0" w:color="auto"/>
            </w:tcBorders>
            <w:shd w:val="clear" w:color="auto" w:fill="auto"/>
            <w:vAlign w:val="center"/>
            <w:hideMark/>
          </w:tcPr>
          <w:p w14:paraId="024386CD" w14:textId="77777777" w:rsidR="009D6D4E" w:rsidRPr="003F2001" w:rsidRDefault="009D6D4E" w:rsidP="00BF3B71">
            <w:pPr>
              <w:jc w:val="center"/>
              <w:rPr>
                <w:color w:val="000000"/>
                <w:sz w:val="18"/>
                <w:szCs w:val="18"/>
              </w:rPr>
            </w:pPr>
            <w:r w:rsidRPr="003F2001">
              <w:rPr>
                <w:color w:val="000000"/>
                <w:sz w:val="18"/>
                <w:szCs w:val="18"/>
              </w:rPr>
              <w:t>(projekt i EU)</w:t>
            </w:r>
          </w:p>
        </w:tc>
        <w:tc>
          <w:tcPr>
            <w:tcW w:w="880" w:type="dxa"/>
            <w:vMerge/>
            <w:tcBorders>
              <w:top w:val="nil"/>
              <w:left w:val="single" w:sz="8" w:space="0" w:color="auto"/>
              <w:bottom w:val="single" w:sz="8" w:space="0" w:color="000000"/>
              <w:right w:val="single" w:sz="8" w:space="0" w:color="auto"/>
            </w:tcBorders>
            <w:vAlign w:val="center"/>
            <w:hideMark/>
          </w:tcPr>
          <w:p w14:paraId="73972AA8" w14:textId="77777777" w:rsidR="009D6D4E" w:rsidRPr="003F2001" w:rsidRDefault="009D6D4E" w:rsidP="00BF3B71">
            <w:pPr>
              <w:rPr>
                <w:color w:val="000000"/>
                <w:sz w:val="18"/>
                <w:szCs w:val="18"/>
              </w:rPr>
            </w:pPr>
          </w:p>
        </w:tc>
        <w:tc>
          <w:tcPr>
            <w:tcW w:w="1578" w:type="dxa"/>
            <w:gridSpan w:val="2"/>
            <w:vMerge/>
            <w:tcBorders>
              <w:top w:val="nil"/>
              <w:left w:val="single" w:sz="8" w:space="0" w:color="auto"/>
              <w:bottom w:val="single" w:sz="8" w:space="0" w:color="000000"/>
              <w:right w:val="single" w:sz="8" w:space="0" w:color="auto"/>
            </w:tcBorders>
            <w:vAlign w:val="center"/>
            <w:hideMark/>
          </w:tcPr>
          <w:p w14:paraId="094C541E" w14:textId="77777777" w:rsidR="009D6D4E" w:rsidRPr="003F2001" w:rsidRDefault="009D6D4E" w:rsidP="00BF3B71">
            <w:pPr>
              <w:rPr>
                <w:color w:val="000000"/>
                <w:sz w:val="18"/>
                <w:szCs w:val="18"/>
              </w:rPr>
            </w:pPr>
          </w:p>
        </w:tc>
        <w:tc>
          <w:tcPr>
            <w:tcW w:w="977" w:type="dxa"/>
            <w:vMerge/>
            <w:tcBorders>
              <w:top w:val="nil"/>
              <w:left w:val="single" w:sz="8" w:space="0" w:color="auto"/>
              <w:bottom w:val="single" w:sz="8" w:space="0" w:color="000000"/>
              <w:right w:val="single" w:sz="8" w:space="0" w:color="auto"/>
            </w:tcBorders>
            <w:vAlign w:val="center"/>
            <w:hideMark/>
          </w:tcPr>
          <w:p w14:paraId="5043A849" w14:textId="77777777" w:rsidR="009D6D4E" w:rsidRPr="003F2001" w:rsidRDefault="009D6D4E" w:rsidP="00BF3B71">
            <w:pPr>
              <w:rPr>
                <w:color w:val="000000"/>
                <w:sz w:val="18"/>
                <w:szCs w:val="18"/>
              </w:rPr>
            </w:pPr>
          </w:p>
        </w:tc>
      </w:tr>
      <w:tr w:rsidR="009D6D4E" w:rsidRPr="003F2001" w14:paraId="40709794" w14:textId="77777777" w:rsidTr="00BF3B71">
        <w:trPr>
          <w:trHeight w:val="89"/>
        </w:trPr>
        <w:tc>
          <w:tcPr>
            <w:tcW w:w="727" w:type="dxa"/>
            <w:tcBorders>
              <w:top w:val="nil"/>
              <w:left w:val="single" w:sz="8" w:space="0" w:color="auto"/>
              <w:bottom w:val="single" w:sz="8" w:space="0" w:color="auto"/>
              <w:right w:val="single" w:sz="8" w:space="0" w:color="auto"/>
            </w:tcBorders>
            <w:shd w:val="clear" w:color="auto" w:fill="auto"/>
            <w:vAlign w:val="center"/>
            <w:hideMark/>
          </w:tcPr>
          <w:p w14:paraId="4E8DDACE" w14:textId="77777777" w:rsidR="009D6D4E" w:rsidRPr="003F2001" w:rsidRDefault="009D6D4E" w:rsidP="00BF3B71">
            <w:pPr>
              <w:jc w:val="center"/>
              <w:rPr>
                <w:color w:val="000000"/>
                <w:sz w:val="18"/>
                <w:szCs w:val="18"/>
              </w:rPr>
            </w:pPr>
            <w:r w:rsidRPr="003F2001">
              <w:rPr>
                <w:color w:val="000000"/>
                <w:sz w:val="18"/>
                <w:szCs w:val="18"/>
              </w:rPr>
              <w:t>2020</w:t>
            </w:r>
          </w:p>
        </w:tc>
        <w:tc>
          <w:tcPr>
            <w:tcW w:w="968" w:type="dxa"/>
            <w:tcBorders>
              <w:top w:val="nil"/>
              <w:left w:val="nil"/>
              <w:bottom w:val="single" w:sz="8" w:space="0" w:color="auto"/>
              <w:right w:val="single" w:sz="8" w:space="0" w:color="auto"/>
            </w:tcBorders>
            <w:shd w:val="clear" w:color="auto" w:fill="auto"/>
            <w:vAlign w:val="center"/>
            <w:hideMark/>
          </w:tcPr>
          <w:p w14:paraId="330FE55B" w14:textId="77777777" w:rsidR="009D6D4E" w:rsidRPr="003F2001" w:rsidRDefault="009D6D4E" w:rsidP="00BF3B71">
            <w:pPr>
              <w:jc w:val="center"/>
              <w:rPr>
                <w:color w:val="000000"/>
                <w:sz w:val="18"/>
                <w:szCs w:val="18"/>
              </w:rPr>
            </w:pPr>
            <w:r w:rsidRPr="003F2001">
              <w:rPr>
                <w:color w:val="000000"/>
                <w:sz w:val="18"/>
                <w:szCs w:val="18"/>
              </w:rPr>
              <w:t>2,000.00</w:t>
            </w:r>
          </w:p>
        </w:tc>
        <w:tc>
          <w:tcPr>
            <w:tcW w:w="857" w:type="dxa"/>
            <w:gridSpan w:val="2"/>
            <w:tcBorders>
              <w:top w:val="nil"/>
              <w:left w:val="nil"/>
              <w:bottom w:val="single" w:sz="8" w:space="0" w:color="auto"/>
              <w:right w:val="single" w:sz="8" w:space="0" w:color="auto"/>
            </w:tcBorders>
            <w:shd w:val="clear" w:color="auto" w:fill="auto"/>
            <w:vAlign w:val="center"/>
            <w:hideMark/>
          </w:tcPr>
          <w:p w14:paraId="03DEA9B5" w14:textId="77777777" w:rsidR="009D6D4E" w:rsidRPr="003F2001" w:rsidRDefault="009D6D4E" w:rsidP="00BF3B71">
            <w:pPr>
              <w:jc w:val="center"/>
              <w:rPr>
                <w:color w:val="000000"/>
                <w:sz w:val="18"/>
                <w:szCs w:val="18"/>
              </w:rPr>
            </w:pPr>
            <w:r w:rsidRPr="003F2001">
              <w:rPr>
                <w:color w:val="000000"/>
                <w:sz w:val="18"/>
                <w:szCs w:val="18"/>
              </w:rPr>
              <w:t>0.00</w:t>
            </w:r>
          </w:p>
        </w:tc>
        <w:tc>
          <w:tcPr>
            <w:tcW w:w="1738" w:type="dxa"/>
            <w:gridSpan w:val="2"/>
            <w:tcBorders>
              <w:top w:val="nil"/>
              <w:left w:val="nil"/>
              <w:bottom w:val="single" w:sz="8" w:space="0" w:color="auto"/>
              <w:right w:val="single" w:sz="8" w:space="0" w:color="auto"/>
            </w:tcBorders>
            <w:shd w:val="clear" w:color="auto" w:fill="auto"/>
            <w:vAlign w:val="center"/>
            <w:hideMark/>
          </w:tcPr>
          <w:p w14:paraId="10212979" w14:textId="77777777" w:rsidR="009D6D4E" w:rsidRPr="003F2001" w:rsidRDefault="009D6D4E" w:rsidP="00BF3B71">
            <w:pPr>
              <w:jc w:val="center"/>
              <w:rPr>
                <w:color w:val="000000"/>
                <w:sz w:val="18"/>
                <w:szCs w:val="18"/>
              </w:rPr>
            </w:pPr>
            <w:r w:rsidRPr="003F2001">
              <w:rPr>
                <w:color w:val="000000"/>
                <w:sz w:val="18"/>
                <w:szCs w:val="18"/>
              </w:rPr>
              <w:t>0.00</w:t>
            </w:r>
          </w:p>
        </w:tc>
        <w:tc>
          <w:tcPr>
            <w:tcW w:w="976" w:type="dxa"/>
            <w:tcBorders>
              <w:top w:val="nil"/>
              <w:left w:val="nil"/>
              <w:bottom w:val="single" w:sz="8" w:space="0" w:color="auto"/>
              <w:right w:val="single" w:sz="8" w:space="0" w:color="auto"/>
            </w:tcBorders>
            <w:shd w:val="clear" w:color="auto" w:fill="auto"/>
            <w:vAlign w:val="center"/>
            <w:hideMark/>
          </w:tcPr>
          <w:p w14:paraId="6340BA95" w14:textId="77777777" w:rsidR="009D6D4E" w:rsidRPr="003F2001" w:rsidRDefault="009D6D4E" w:rsidP="00BF3B71">
            <w:pPr>
              <w:jc w:val="center"/>
              <w:rPr>
                <w:color w:val="000000"/>
                <w:sz w:val="18"/>
                <w:szCs w:val="18"/>
              </w:rPr>
            </w:pPr>
            <w:r w:rsidRPr="003F2001">
              <w:rPr>
                <w:color w:val="000000"/>
                <w:sz w:val="18"/>
                <w:szCs w:val="18"/>
              </w:rPr>
              <w:t>0.00</w:t>
            </w:r>
          </w:p>
        </w:tc>
        <w:tc>
          <w:tcPr>
            <w:tcW w:w="1597" w:type="dxa"/>
            <w:gridSpan w:val="2"/>
            <w:tcBorders>
              <w:top w:val="nil"/>
              <w:left w:val="nil"/>
              <w:bottom w:val="single" w:sz="8" w:space="0" w:color="auto"/>
              <w:right w:val="single" w:sz="8" w:space="0" w:color="auto"/>
            </w:tcBorders>
            <w:shd w:val="clear" w:color="auto" w:fill="auto"/>
            <w:vAlign w:val="center"/>
            <w:hideMark/>
          </w:tcPr>
          <w:p w14:paraId="4542C5BD" w14:textId="77777777" w:rsidR="009D6D4E" w:rsidRPr="003F2001" w:rsidRDefault="009D6D4E" w:rsidP="00BF3B71">
            <w:pPr>
              <w:jc w:val="center"/>
              <w:rPr>
                <w:color w:val="000000"/>
                <w:sz w:val="18"/>
                <w:szCs w:val="18"/>
              </w:rPr>
            </w:pPr>
            <w:r w:rsidRPr="003F2001">
              <w:rPr>
                <w:color w:val="000000"/>
                <w:sz w:val="18"/>
                <w:szCs w:val="18"/>
              </w:rPr>
              <w:t>23,000.00</w:t>
            </w:r>
          </w:p>
        </w:tc>
        <w:tc>
          <w:tcPr>
            <w:tcW w:w="880" w:type="dxa"/>
            <w:tcBorders>
              <w:top w:val="nil"/>
              <w:left w:val="nil"/>
              <w:bottom w:val="single" w:sz="8" w:space="0" w:color="auto"/>
              <w:right w:val="single" w:sz="8" w:space="0" w:color="auto"/>
            </w:tcBorders>
            <w:shd w:val="clear" w:color="auto" w:fill="auto"/>
            <w:vAlign w:val="center"/>
            <w:hideMark/>
          </w:tcPr>
          <w:p w14:paraId="2DA8B4CF" w14:textId="77777777" w:rsidR="009D6D4E" w:rsidRPr="003F2001" w:rsidRDefault="009D6D4E" w:rsidP="00BF3B71">
            <w:pPr>
              <w:jc w:val="center"/>
              <w:rPr>
                <w:color w:val="000000"/>
                <w:sz w:val="18"/>
                <w:szCs w:val="18"/>
              </w:rPr>
            </w:pPr>
            <w:r w:rsidRPr="003F2001">
              <w:rPr>
                <w:color w:val="000000"/>
                <w:sz w:val="18"/>
                <w:szCs w:val="18"/>
              </w:rPr>
              <w:t>0.00</w:t>
            </w:r>
          </w:p>
        </w:tc>
        <w:tc>
          <w:tcPr>
            <w:tcW w:w="1578" w:type="dxa"/>
            <w:gridSpan w:val="2"/>
            <w:tcBorders>
              <w:top w:val="nil"/>
              <w:left w:val="nil"/>
              <w:bottom w:val="single" w:sz="8" w:space="0" w:color="auto"/>
              <w:right w:val="single" w:sz="8" w:space="0" w:color="auto"/>
            </w:tcBorders>
            <w:shd w:val="clear" w:color="auto" w:fill="auto"/>
            <w:vAlign w:val="center"/>
            <w:hideMark/>
          </w:tcPr>
          <w:p w14:paraId="3C2D382D" w14:textId="77777777" w:rsidR="009D6D4E" w:rsidRPr="003F2001" w:rsidRDefault="009D6D4E" w:rsidP="00BF3B71">
            <w:pPr>
              <w:jc w:val="center"/>
              <w:rPr>
                <w:color w:val="000000"/>
                <w:sz w:val="18"/>
                <w:szCs w:val="18"/>
              </w:rPr>
            </w:pPr>
            <w:r w:rsidRPr="003F2001">
              <w:rPr>
                <w:color w:val="000000"/>
                <w:sz w:val="18"/>
                <w:szCs w:val="18"/>
              </w:rPr>
              <w:t>7,000.00</w:t>
            </w:r>
          </w:p>
        </w:tc>
        <w:tc>
          <w:tcPr>
            <w:tcW w:w="977" w:type="dxa"/>
            <w:tcBorders>
              <w:top w:val="nil"/>
              <w:left w:val="nil"/>
              <w:bottom w:val="single" w:sz="8" w:space="0" w:color="auto"/>
              <w:right w:val="single" w:sz="8" w:space="0" w:color="auto"/>
            </w:tcBorders>
            <w:shd w:val="clear" w:color="auto" w:fill="auto"/>
            <w:vAlign w:val="center"/>
            <w:hideMark/>
          </w:tcPr>
          <w:p w14:paraId="2DD0DB0F" w14:textId="77777777" w:rsidR="009D6D4E" w:rsidRPr="003F2001" w:rsidRDefault="009D6D4E" w:rsidP="00BF3B71">
            <w:pPr>
              <w:jc w:val="both"/>
              <w:rPr>
                <w:b/>
                <w:bCs/>
                <w:color w:val="000000"/>
                <w:sz w:val="18"/>
                <w:szCs w:val="18"/>
              </w:rPr>
            </w:pPr>
            <w:r w:rsidRPr="003F2001">
              <w:rPr>
                <w:b/>
                <w:bCs/>
                <w:color w:val="000000"/>
                <w:sz w:val="18"/>
                <w:szCs w:val="18"/>
              </w:rPr>
              <w:t>32,000</w:t>
            </w:r>
          </w:p>
        </w:tc>
      </w:tr>
      <w:tr w:rsidR="009D6D4E" w:rsidRPr="003F2001" w14:paraId="66CC06D1" w14:textId="77777777" w:rsidTr="00BF3B71">
        <w:trPr>
          <w:trHeight w:val="441"/>
        </w:trPr>
        <w:tc>
          <w:tcPr>
            <w:tcW w:w="727" w:type="dxa"/>
            <w:tcBorders>
              <w:top w:val="nil"/>
              <w:left w:val="single" w:sz="8" w:space="0" w:color="auto"/>
              <w:bottom w:val="single" w:sz="8" w:space="0" w:color="auto"/>
              <w:right w:val="single" w:sz="8" w:space="0" w:color="auto"/>
            </w:tcBorders>
            <w:shd w:val="clear" w:color="auto" w:fill="auto"/>
            <w:vAlign w:val="center"/>
            <w:hideMark/>
          </w:tcPr>
          <w:p w14:paraId="3A73ED65" w14:textId="77777777" w:rsidR="009D6D4E" w:rsidRPr="003F2001" w:rsidRDefault="009D6D4E" w:rsidP="00BF3B71">
            <w:pPr>
              <w:jc w:val="center"/>
              <w:rPr>
                <w:color w:val="000000"/>
                <w:sz w:val="18"/>
                <w:szCs w:val="18"/>
              </w:rPr>
            </w:pPr>
            <w:r w:rsidRPr="003F2001">
              <w:rPr>
                <w:color w:val="000000"/>
                <w:sz w:val="18"/>
                <w:szCs w:val="18"/>
              </w:rPr>
              <w:t>2021</w:t>
            </w:r>
          </w:p>
        </w:tc>
        <w:tc>
          <w:tcPr>
            <w:tcW w:w="968" w:type="dxa"/>
            <w:tcBorders>
              <w:top w:val="nil"/>
              <w:left w:val="nil"/>
              <w:bottom w:val="single" w:sz="8" w:space="0" w:color="auto"/>
              <w:right w:val="single" w:sz="8" w:space="0" w:color="auto"/>
            </w:tcBorders>
            <w:shd w:val="clear" w:color="auto" w:fill="auto"/>
            <w:vAlign w:val="center"/>
            <w:hideMark/>
          </w:tcPr>
          <w:p w14:paraId="0C67135C" w14:textId="77777777" w:rsidR="009D6D4E" w:rsidRPr="003F2001" w:rsidRDefault="009D6D4E" w:rsidP="00BF3B71">
            <w:pPr>
              <w:jc w:val="center"/>
              <w:rPr>
                <w:color w:val="000000"/>
                <w:sz w:val="18"/>
                <w:szCs w:val="18"/>
              </w:rPr>
            </w:pPr>
            <w:r w:rsidRPr="003F2001">
              <w:rPr>
                <w:color w:val="000000"/>
                <w:sz w:val="18"/>
                <w:szCs w:val="18"/>
              </w:rPr>
              <w:t>7,000.00</w:t>
            </w:r>
          </w:p>
        </w:tc>
        <w:tc>
          <w:tcPr>
            <w:tcW w:w="857" w:type="dxa"/>
            <w:gridSpan w:val="2"/>
            <w:tcBorders>
              <w:top w:val="nil"/>
              <w:left w:val="nil"/>
              <w:bottom w:val="single" w:sz="8" w:space="0" w:color="auto"/>
              <w:right w:val="single" w:sz="8" w:space="0" w:color="auto"/>
            </w:tcBorders>
            <w:shd w:val="clear" w:color="auto" w:fill="auto"/>
            <w:vAlign w:val="center"/>
            <w:hideMark/>
          </w:tcPr>
          <w:p w14:paraId="695E77D4" w14:textId="77777777" w:rsidR="009D6D4E" w:rsidRPr="003F2001" w:rsidRDefault="009D6D4E" w:rsidP="00BF3B71">
            <w:pPr>
              <w:jc w:val="center"/>
              <w:rPr>
                <w:color w:val="000000"/>
                <w:sz w:val="18"/>
                <w:szCs w:val="18"/>
              </w:rPr>
            </w:pPr>
            <w:r w:rsidRPr="003F2001">
              <w:rPr>
                <w:color w:val="000000"/>
                <w:sz w:val="18"/>
                <w:szCs w:val="18"/>
              </w:rPr>
              <w:t>0.00</w:t>
            </w:r>
          </w:p>
        </w:tc>
        <w:tc>
          <w:tcPr>
            <w:tcW w:w="1738" w:type="dxa"/>
            <w:gridSpan w:val="2"/>
            <w:tcBorders>
              <w:top w:val="nil"/>
              <w:left w:val="nil"/>
              <w:bottom w:val="single" w:sz="8" w:space="0" w:color="auto"/>
              <w:right w:val="single" w:sz="8" w:space="0" w:color="auto"/>
            </w:tcBorders>
            <w:shd w:val="clear" w:color="auto" w:fill="auto"/>
            <w:vAlign w:val="center"/>
            <w:hideMark/>
          </w:tcPr>
          <w:p w14:paraId="6827DDD3" w14:textId="77777777" w:rsidR="009D6D4E" w:rsidRPr="003F2001" w:rsidRDefault="009D6D4E" w:rsidP="00BF3B71">
            <w:pPr>
              <w:jc w:val="center"/>
              <w:rPr>
                <w:color w:val="000000"/>
                <w:sz w:val="18"/>
                <w:szCs w:val="18"/>
              </w:rPr>
            </w:pPr>
            <w:r w:rsidRPr="003F2001">
              <w:rPr>
                <w:color w:val="000000"/>
                <w:sz w:val="18"/>
                <w:szCs w:val="18"/>
              </w:rPr>
              <w:t>0.00</w:t>
            </w:r>
          </w:p>
        </w:tc>
        <w:tc>
          <w:tcPr>
            <w:tcW w:w="976" w:type="dxa"/>
            <w:tcBorders>
              <w:top w:val="nil"/>
              <w:left w:val="nil"/>
              <w:bottom w:val="single" w:sz="8" w:space="0" w:color="auto"/>
              <w:right w:val="single" w:sz="8" w:space="0" w:color="auto"/>
            </w:tcBorders>
            <w:shd w:val="clear" w:color="auto" w:fill="auto"/>
            <w:vAlign w:val="center"/>
            <w:hideMark/>
          </w:tcPr>
          <w:p w14:paraId="5C75D160" w14:textId="77777777" w:rsidR="009D6D4E" w:rsidRPr="003F2001" w:rsidRDefault="009D6D4E" w:rsidP="00BF3B71">
            <w:pPr>
              <w:jc w:val="center"/>
              <w:rPr>
                <w:color w:val="000000"/>
                <w:sz w:val="18"/>
                <w:szCs w:val="18"/>
              </w:rPr>
            </w:pPr>
            <w:r w:rsidRPr="003F2001">
              <w:rPr>
                <w:color w:val="000000"/>
                <w:sz w:val="18"/>
                <w:szCs w:val="18"/>
              </w:rPr>
              <w:t>5,000.00</w:t>
            </w:r>
          </w:p>
        </w:tc>
        <w:tc>
          <w:tcPr>
            <w:tcW w:w="1597" w:type="dxa"/>
            <w:gridSpan w:val="2"/>
            <w:tcBorders>
              <w:top w:val="nil"/>
              <w:left w:val="nil"/>
              <w:bottom w:val="single" w:sz="8" w:space="0" w:color="auto"/>
              <w:right w:val="single" w:sz="8" w:space="0" w:color="auto"/>
            </w:tcBorders>
            <w:shd w:val="clear" w:color="auto" w:fill="auto"/>
            <w:vAlign w:val="center"/>
            <w:hideMark/>
          </w:tcPr>
          <w:p w14:paraId="2EEE3508" w14:textId="77777777" w:rsidR="009D6D4E" w:rsidRPr="003F2001" w:rsidRDefault="009D6D4E" w:rsidP="00BF3B71">
            <w:pPr>
              <w:jc w:val="center"/>
              <w:rPr>
                <w:color w:val="000000"/>
                <w:sz w:val="18"/>
                <w:szCs w:val="18"/>
              </w:rPr>
            </w:pPr>
            <w:r w:rsidRPr="003F2001">
              <w:rPr>
                <w:color w:val="000000"/>
                <w:sz w:val="18"/>
                <w:szCs w:val="18"/>
              </w:rPr>
              <w:t>10,000.00</w:t>
            </w:r>
          </w:p>
        </w:tc>
        <w:tc>
          <w:tcPr>
            <w:tcW w:w="880" w:type="dxa"/>
            <w:tcBorders>
              <w:top w:val="nil"/>
              <w:left w:val="nil"/>
              <w:bottom w:val="single" w:sz="8" w:space="0" w:color="auto"/>
              <w:right w:val="single" w:sz="8" w:space="0" w:color="auto"/>
            </w:tcBorders>
            <w:shd w:val="clear" w:color="auto" w:fill="auto"/>
            <w:vAlign w:val="center"/>
            <w:hideMark/>
          </w:tcPr>
          <w:p w14:paraId="03752FA1" w14:textId="77777777" w:rsidR="009D6D4E" w:rsidRPr="003F2001" w:rsidRDefault="009D6D4E" w:rsidP="00BF3B71">
            <w:pPr>
              <w:jc w:val="center"/>
              <w:rPr>
                <w:color w:val="000000"/>
                <w:sz w:val="18"/>
                <w:szCs w:val="18"/>
              </w:rPr>
            </w:pPr>
            <w:r w:rsidRPr="003F2001">
              <w:rPr>
                <w:color w:val="000000"/>
                <w:sz w:val="18"/>
                <w:szCs w:val="18"/>
              </w:rPr>
              <w:t>0.00</w:t>
            </w:r>
          </w:p>
        </w:tc>
        <w:tc>
          <w:tcPr>
            <w:tcW w:w="1578" w:type="dxa"/>
            <w:gridSpan w:val="2"/>
            <w:tcBorders>
              <w:top w:val="nil"/>
              <w:left w:val="nil"/>
              <w:bottom w:val="single" w:sz="8" w:space="0" w:color="auto"/>
              <w:right w:val="single" w:sz="8" w:space="0" w:color="auto"/>
            </w:tcBorders>
            <w:shd w:val="clear" w:color="auto" w:fill="auto"/>
            <w:vAlign w:val="center"/>
            <w:hideMark/>
          </w:tcPr>
          <w:p w14:paraId="41B0DE0C" w14:textId="77777777" w:rsidR="009D6D4E" w:rsidRPr="003F2001" w:rsidRDefault="009D6D4E" w:rsidP="00BF3B71">
            <w:pPr>
              <w:jc w:val="center"/>
              <w:rPr>
                <w:color w:val="000000"/>
                <w:sz w:val="18"/>
                <w:szCs w:val="18"/>
              </w:rPr>
            </w:pPr>
            <w:r w:rsidRPr="003F2001">
              <w:rPr>
                <w:color w:val="000000"/>
                <w:sz w:val="18"/>
                <w:szCs w:val="18"/>
              </w:rPr>
              <w:t>0.00</w:t>
            </w:r>
          </w:p>
        </w:tc>
        <w:tc>
          <w:tcPr>
            <w:tcW w:w="977" w:type="dxa"/>
            <w:tcBorders>
              <w:top w:val="nil"/>
              <w:left w:val="nil"/>
              <w:bottom w:val="single" w:sz="8" w:space="0" w:color="auto"/>
              <w:right w:val="single" w:sz="8" w:space="0" w:color="auto"/>
            </w:tcBorders>
            <w:shd w:val="clear" w:color="auto" w:fill="auto"/>
            <w:vAlign w:val="center"/>
            <w:hideMark/>
          </w:tcPr>
          <w:p w14:paraId="394352CB" w14:textId="77777777" w:rsidR="009D6D4E" w:rsidRPr="003F2001" w:rsidRDefault="009D6D4E" w:rsidP="00BF3B71">
            <w:pPr>
              <w:jc w:val="both"/>
              <w:rPr>
                <w:b/>
                <w:bCs/>
                <w:color w:val="000000"/>
                <w:sz w:val="18"/>
                <w:szCs w:val="18"/>
              </w:rPr>
            </w:pPr>
            <w:r w:rsidRPr="003F2001">
              <w:rPr>
                <w:b/>
                <w:bCs/>
                <w:color w:val="000000"/>
                <w:sz w:val="18"/>
                <w:szCs w:val="18"/>
              </w:rPr>
              <w:t>22,000</w:t>
            </w:r>
          </w:p>
        </w:tc>
      </w:tr>
      <w:tr w:rsidR="009D6D4E" w:rsidRPr="003F2001" w14:paraId="53A68B36" w14:textId="77777777" w:rsidTr="00BF3B71">
        <w:trPr>
          <w:trHeight w:val="441"/>
        </w:trPr>
        <w:tc>
          <w:tcPr>
            <w:tcW w:w="727" w:type="dxa"/>
            <w:tcBorders>
              <w:top w:val="nil"/>
              <w:left w:val="single" w:sz="8" w:space="0" w:color="auto"/>
              <w:bottom w:val="single" w:sz="8" w:space="0" w:color="auto"/>
              <w:right w:val="single" w:sz="8" w:space="0" w:color="auto"/>
            </w:tcBorders>
            <w:shd w:val="clear" w:color="auto" w:fill="auto"/>
            <w:vAlign w:val="center"/>
            <w:hideMark/>
          </w:tcPr>
          <w:p w14:paraId="3C2E6E4C" w14:textId="77777777" w:rsidR="009D6D4E" w:rsidRPr="003F2001" w:rsidRDefault="009D6D4E" w:rsidP="00BF3B71">
            <w:pPr>
              <w:jc w:val="center"/>
              <w:rPr>
                <w:color w:val="000000"/>
                <w:sz w:val="18"/>
                <w:szCs w:val="18"/>
              </w:rPr>
            </w:pPr>
            <w:r w:rsidRPr="003F2001">
              <w:rPr>
                <w:color w:val="000000"/>
                <w:sz w:val="18"/>
                <w:szCs w:val="18"/>
              </w:rPr>
              <w:t>2022</w:t>
            </w:r>
          </w:p>
        </w:tc>
        <w:tc>
          <w:tcPr>
            <w:tcW w:w="968" w:type="dxa"/>
            <w:tcBorders>
              <w:top w:val="nil"/>
              <w:left w:val="nil"/>
              <w:bottom w:val="single" w:sz="8" w:space="0" w:color="auto"/>
              <w:right w:val="single" w:sz="8" w:space="0" w:color="auto"/>
            </w:tcBorders>
            <w:shd w:val="clear" w:color="auto" w:fill="auto"/>
            <w:vAlign w:val="center"/>
            <w:hideMark/>
          </w:tcPr>
          <w:p w14:paraId="5C4A2270" w14:textId="77777777" w:rsidR="009D6D4E" w:rsidRPr="003F2001" w:rsidRDefault="009D6D4E" w:rsidP="00BF3B71">
            <w:pPr>
              <w:jc w:val="center"/>
              <w:rPr>
                <w:color w:val="000000"/>
                <w:sz w:val="18"/>
                <w:szCs w:val="18"/>
              </w:rPr>
            </w:pPr>
            <w:r w:rsidRPr="003F2001">
              <w:rPr>
                <w:color w:val="000000"/>
                <w:sz w:val="18"/>
                <w:szCs w:val="18"/>
              </w:rPr>
              <w:t>12,000.00</w:t>
            </w:r>
          </w:p>
        </w:tc>
        <w:tc>
          <w:tcPr>
            <w:tcW w:w="857" w:type="dxa"/>
            <w:gridSpan w:val="2"/>
            <w:tcBorders>
              <w:top w:val="nil"/>
              <w:left w:val="nil"/>
              <w:bottom w:val="single" w:sz="8" w:space="0" w:color="auto"/>
              <w:right w:val="single" w:sz="8" w:space="0" w:color="auto"/>
            </w:tcBorders>
            <w:shd w:val="clear" w:color="auto" w:fill="auto"/>
            <w:vAlign w:val="center"/>
            <w:hideMark/>
          </w:tcPr>
          <w:p w14:paraId="231811CF" w14:textId="77777777" w:rsidR="009D6D4E" w:rsidRPr="003F2001" w:rsidRDefault="009D6D4E" w:rsidP="00BF3B71">
            <w:pPr>
              <w:jc w:val="center"/>
              <w:rPr>
                <w:color w:val="000000"/>
                <w:sz w:val="18"/>
                <w:szCs w:val="18"/>
              </w:rPr>
            </w:pPr>
            <w:r w:rsidRPr="003F2001">
              <w:rPr>
                <w:color w:val="000000"/>
                <w:sz w:val="18"/>
                <w:szCs w:val="18"/>
              </w:rPr>
              <w:t>0.00</w:t>
            </w:r>
          </w:p>
        </w:tc>
        <w:tc>
          <w:tcPr>
            <w:tcW w:w="1738" w:type="dxa"/>
            <w:gridSpan w:val="2"/>
            <w:tcBorders>
              <w:top w:val="nil"/>
              <w:left w:val="nil"/>
              <w:bottom w:val="single" w:sz="8" w:space="0" w:color="auto"/>
              <w:right w:val="single" w:sz="8" w:space="0" w:color="auto"/>
            </w:tcBorders>
            <w:shd w:val="clear" w:color="auto" w:fill="auto"/>
            <w:vAlign w:val="center"/>
            <w:hideMark/>
          </w:tcPr>
          <w:p w14:paraId="6D6FF3FC" w14:textId="77777777" w:rsidR="009D6D4E" w:rsidRPr="003F2001" w:rsidRDefault="009D6D4E" w:rsidP="00BF3B71">
            <w:pPr>
              <w:jc w:val="center"/>
              <w:rPr>
                <w:color w:val="000000"/>
                <w:sz w:val="18"/>
                <w:szCs w:val="18"/>
              </w:rPr>
            </w:pPr>
            <w:r w:rsidRPr="003F2001">
              <w:rPr>
                <w:color w:val="000000"/>
                <w:sz w:val="18"/>
                <w:szCs w:val="18"/>
              </w:rPr>
              <w:t>0.00</w:t>
            </w:r>
          </w:p>
        </w:tc>
        <w:tc>
          <w:tcPr>
            <w:tcW w:w="976" w:type="dxa"/>
            <w:tcBorders>
              <w:top w:val="nil"/>
              <w:left w:val="nil"/>
              <w:bottom w:val="single" w:sz="8" w:space="0" w:color="auto"/>
              <w:right w:val="single" w:sz="8" w:space="0" w:color="auto"/>
            </w:tcBorders>
            <w:shd w:val="clear" w:color="auto" w:fill="auto"/>
            <w:vAlign w:val="center"/>
            <w:hideMark/>
          </w:tcPr>
          <w:p w14:paraId="7AEFF6D1" w14:textId="77777777" w:rsidR="009D6D4E" w:rsidRPr="003F2001" w:rsidRDefault="009D6D4E" w:rsidP="00BF3B71">
            <w:pPr>
              <w:jc w:val="center"/>
              <w:rPr>
                <w:color w:val="000000"/>
                <w:sz w:val="18"/>
                <w:szCs w:val="18"/>
              </w:rPr>
            </w:pPr>
            <w:r w:rsidRPr="003F2001">
              <w:rPr>
                <w:color w:val="000000"/>
                <w:sz w:val="18"/>
                <w:szCs w:val="18"/>
              </w:rPr>
              <w:t>0.00</w:t>
            </w:r>
          </w:p>
        </w:tc>
        <w:tc>
          <w:tcPr>
            <w:tcW w:w="1597" w:type="dxa"/>
            <w:gridSpan w:val="2"/>
            <w:tcBorders>
              <w:top w:val="nil"/>
              <w:left w:val="nil"/>
              <w:bottom w:val="single" w:sz="8" w:space="0" w:color="auto"/>
              <w:right w:val="single" w:sz="8" w:space="0" w:color="auto"/>
            </w:tcBorders>
            <w:shd w:val="clear" w:color="auto" w:fill="auto"/>
            <w:vAlign w:val="center"/>
            <w:hideMark/>
          </w:tcPr>
          <w:p w14:paraId="62DC9BE5" w14:textId="77777777" w:rsidR="009D6D4E" w:rsidRPr="003F2001" w:rsidRDefault="009D6D4E" w:rsidP="00BF3B71">
            <w:pPr>
              <w:jc w:val="center"/>
              <w:rPr>
                <w:color w:val="000000"/>
                <w:sz w:val="18"/>
                <w:szCs w:val="18"/>
              </w:rPr>
            </w:pPr>
            <w:r w:rsidRPr="003F2001">
              <w:rPr>
                <w:color w:val="000000"/>
                <w:sz w:val="18"/>
                <w:szCs w:val="18"/>
              </w:rPr>
              <w:t>10,000.00</w:t>
            </w:r>
          </w:p>
        </w:tc>
        <w:tc>
          <w:tcPr>
            <w:tcW w:w="880" w:type="dxa"/>
            <w:tcBorders>
              <w:top w:val="nil"/>
              <w:left w:val="nil"/>
              <w:bottom w:val="single" w:sz="8" w:space="0" w:color="auto"/>
              <w:right w:val="single" w:sz="8" w:space="0" w:color="auto"/>
            </w:tcBorders>
            <w:shd w:val="clear" w:color="auto" w:fill="auto"/>
            <w:vAlign w:val="center"/>
            <w:hideMark/>
          </w:tcPr>
          <w:p w14:paraId="445596A7" w14:textId="77777777" w:rsidR="009D6D4E" w:rsidRPr="003F2001" w:rsidRDefault="009D6D4E" w:rsidP="00BF3B71">
            <w:pPr>
              <w:jc w:val="center"/>
              <w:rPr>
                <w:color w:val="000000"/>
                <w:sz w:val="18"/>
                <w:szCs w:val="18"/>
              </w:rPr>
            </w:pPr>
            <w:r w:rsidRPr="003F2001">
              <w:rPr>
                <w:color w:val="000000"/>
                <w:sz w:val="18"/>
                <w:szCs w:val="18"/>
              </w:rPr>
              <w:t>0.00</w:t>
            </w:r>
          </w:p>
        </w:tc>
        <w:tc>
          <w:tcPr>
            <w:tcW w:w="1578" w:type="dxa"/>
            <w:gridSpan w:val="2"/>
            <w:tcBorders>
              <w:top w:val="nil"/>
              <w:left w:val="nil"/>
              <w:bottom w:val="single" w:sz="8" w:space="0" w:color="auto"/>
              <w:right w:val="single" w:sz="8" w:space="0" w:color="auto"/>
            </w:tcBorders>
            <w:shd w:val="clear" w:color="auto" w:fill="auto"/>
            <w:vAlign w:val="center"/>
            <w:hideMark/>
          </w:tcPr>
          <w:p w14:paraId="2281652D" w14:textId="77777777" w:rsidR="009D6D4E" w:rsidRPr="003F2001" w:rsidRDefault="009D6D4E" w:rsidP="00BF3B71">
            <w:pPr>
              <w:jc w:val="center"/>
              <w:rPr>
                <w:color w:val="000000"/>
                <w:sz w:val="18"/>
                <w:szCs w:val="18"/>
              </w:rPr>
            </w:pPr>
            <w:r w:rsidRPr="003F2001">
              <w:rPr>
                <w:color w:val="000000"/>
                <w:sz w:val="18"/>
                <w:szCs w:val="18"/>
              </w:rPr>
              <w:t>0.00</w:t>
            </w:r>
          </w:p>
        </w:tc>
        <w:tc>
          <w:tcPr>
            <w:tcW w:w="977" w:type="dxa"/>
            <w:tcBorders>
              <w:top w:val="nil"/>
              <w:left w:val="nil"/>
              <w:bottom w:val="single" w:sz="8" w:space="0" w:color="auto"/>
              <w:right w:val="single" w:sz="8" w:space="0" w:color="auto"/>
            </w:tcBorders>
            <w:shd w:val="clear" w:color="auto" w:fill="auto"/>
            <w:vAlign w:val="center"/>
            <w:hideMark/>
          </w:tcPr>
          <w:p w14:paraId="59134763" w14:textId="77777777" w:rsidR="009D6D4E" w:rsidRPr="003F2001" w:rsidRDefault="009D6D4E" w:rsidP="00BF3B71">
            <w:pPr>
              <w:jc w:val="both"/>
              <w:rPr>
                <w:b/>
                <w:bCs/>
                <w:color w:val="000000"/>
                <w:sz w:val="18"/>
                <w:szCs w:val="18"/>
              </w:rPr>
            </w:pPr>
            <w:r w:rsidRPr="003F2001">
              <w:rPr>
                <w:b/>
                <w:bCs/>
                <w:color w:val="000000"/>
                <w:sz w:val="18"/>
                <w:szCs w:val="18"/>
              </w:rPr>
              <w:t>22,000</w:t>
            </w:r>
          </w:p>
        </w:tc>
      </w:tr>
    </w:tbl>
    <w:p w14:paraId="37378630" w14:textId="77777777" w:rsidR="009D6D4E" w:rsidRDefault="009D6D4E" w:rsidP="009D6D4E"/>
    <w:p w14:paraId="6823A4AB" w14:textId="77777777" w:rsidR="009D6D4E" w:rsidRDefault="009D6D4E" w:rsidP="009D6D4E"/>
    <w:tbl>
      <w:tblPr>
        <w:tblW w:w="10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30"/>
        <w:gridCol w:w="1482"/>
        <w:gridCol w:w="47"/>
        <w:gridCol w:w="1028"/>
        <w:gridCol w:w="1028"/>
        <w:gridCol w:w="1028"/>
        <w:gridCol w:w="132"/>
        <w:gridCol w:w="1397"/>
        <w:gridCol w:w="1264"/>
        <w:gridCol w:w="174"/>
        <w:gridCol w:w="1107"/>
        <w:gridCol w:w="1041"/>
      </w:tblGrid>
      <w:tr w:rsidR="009D6D4E" w:rsidRPr="00213530" w14:paraId="22FFB0B1" w14:textId="77777777" w:rsidTr="00BF3B71">
        <w:trPr>
          <w:trHeight w:val="124"/>
        </w:trPr>
        <w:tc>
          <w:tcPr>
            <w:tcW w:w="10318" w:type="dxa"/>
            <w:gridSpan w:val="13"/>
            <w:shd w:val="clear" w:color="auto" w:fill="auto"/>
            <w:vAlign w:val="center"/>
            <w:hideMark/>
          </w:tcPr>
          <w:p w14:paraId="3A712E08" w14:textId="77777777" w:rsidR="009D6D4E" w:rsidRPr="00213530" w:rsidRDefault="009D6D4E" w:rsidP="00BF3B71">
            <w:pPr>
              <w:tabs>
                <w:tab w:val="left" w:pos="10239"/>
              </w:tabs>
              <w:ind w:right="396"/>
              <w:rPr>
                <w:b/>
                <w:bCs/>
                <w:color w:val="000000"/>
                <w:sz w:val="18"/>
                <w:szCs w:val="18"/>
              </w:rPr>
            </w:pPr>
            <w:r w:rsidRPr="00213530">
              <w:rPr>
                <w:b/>
                <w:bCs/>
                <w:color w:val="000000"/>
                <w:sz w:val="18"/>
                <w:szCs w:val="18"/>
              </w:rPr>
              <w:t>Tabela 10 a.: Kostimi i masës së reformës strukturore: Masa #15Zhvillimi i mëtutjeshëm i infrastrukturës së cilësisë dhe fuqizimi i rolit të autoriteteve për mbikëqyrjen e tregut me fokus produktet e ndërtimit</w:t>
            </w:r>
          </w:p>
        </w:tc>
      </w:tr>
      <w:tr w:rsidR="009D6D4E" w:rsidRPr="00213530" w14:paraId="72C52D79" w14:textId="77777777" w:rsidTr="00BF3B71">
        <w:trPr>
          <w:trHeight w:val="134"/>
        </w:trPr>
        <w:tc>
          <w:tcPr>
            <w:tcW w:w="555" w:type="dxa"/>
            <w:shd w:val="clear" w:color="auto" w:fill="auto"/>
            <w:vAlign w:val="center"/>
            <w:hideMark/>
          </w:tcPr>
          <w:p w14:paraId="462A2A3A" w14:textId="77777777" w:rsidR="009D6D4E" w:rsidRPr="00213530" w:rsidRDefault="009D6D4E" w:rsidP="00BF3B71">
            <w:pPr>
              <w:jc w:val="both"/>
              <w:rPr>
                <w:color w:val="000000"/>
                <w:sz w:val="18"/>
                <w:szCs w:val="18"/>
              </w:rPr>
            </w:pPr>
            <w:r w:rsidRPr="00213530">
              <w:rPr>
                <w:color w:val="000000"/>
                <w:sz w:val="18"/>
                <w:szCs w:val="18"/>
              </w:rPr>
              <w:t xml:space="preserve">    Viti </w:t>
            </w:r>
          </w:p>
        </w:tc>
        <w:tc>
          <w:tcPr>
            <w:tcW w:w="1434" w:type="dxa"/>
            <w:gridSpan w:val="2"/>
            <w:shd w:val="clear" w:color="auto" w:fill="auto"/>
            <w:vAlign w:val="center"/>
            <w:hideMark/>
          </w:tcPr>
          <w:p w14:paraId="5AA2C830" w14:textId="77777777" w:rsidR="009D6D4E" w:rsidRPr="00213530" w:rsidRDefault="009D6D4E" w:rsidP="00BF3B71">
            <w:pPr>
              <w:jc w:val="both"/>
              <w:rPr>
                <w:color w:val="000000"/>
                <w:sz w:val="18"/>
                <w:szCs w:val="18"/>
              </w:rPr>
            </w:pPr>
            <w:r w:rsidRPr="00213530">
              <w:rPr>
                <w:color w:val="000000"/>
                <w:sz w:val="18"/>
                <w:szCs w:val="18"/>
              </w:rPr>
              <w:t>Pagat</w:t>
            </w:r>
          </w:p>
        </w:tc>
        <w:tc>
          <w:tcPr>
            <w:tcW w:w="1490" w:type="dxa"/>
            <w:gridSpan w:val="2"/>
            <w:shd w:val="clear" w:color="auto" w:fill="auto"/>
            <w:vAlign w:val="center"/>
            <w:hideMark/>
          </w:tcPr>
          <w:p w14:paraId="31E6C077" w14:textId="77777777" w:rsidR="009D6D4E" w:rsidRPr="00213530" w:rsidRDefault="009D6D4E" w:rsidP="00BF3B71">
            <w:pPr>
              <w:jc w:val="both"/>
              <w:rPr>
                <w:color w:val="000000"/>
                <w:sz w:val="18"/>
                <w:szCs w:val="18"/>
              </w:rPr>
            </w:pPr>
            <w:r w:rsidRPr="00213530">
              <w:rPr>
                <w:color w:val="000000"/>
                <w:sz w:val="18"/>
                <w:szCs w:val="18"/>
              </w:rPr>
              <w:t>Mallra dhe shërbime</w:t>
            </w:r>
          </w:p>
        </w:tc>
        <w:tc>
          <w:tcPr>
            <w:tcW w:w="2158" w:type="dxa"/>
            <w:gridSpan w:val="3"/>
            <w:shd w:val="clear" w:color="auto" w:fill="auto"/>
            <w:vAlign w:val="center"/>
            <w:hideMark/>
          </w:tcPr>
          <w:p w14:paraId="7C7265B3" w14:textId="77777777" w:rsidR="009D6D4E" w:rsidRPr="00213530" w:rsidRDefault="009D6D4E" w:rsidP="00BF3B71">
            <w:pPr>
              <w:jc w:val="both"/>
              <w:rPr>
                <w:color w:val="000000"/>
                <w:sz w:val="18"/>
                <w:szCs w:val="18"/>
              </w:rPr>
            </w:pPr>
            <w:r w:rsidRPr="00213530">
              <w:rPr>
                <w:color w:val="000000"/>
                <w:sz w:val="18"/>
                <w:szCs w:val="18"/>
              </w:rPr>
              <w:t xml:space="preserve">Subvencione dhe transfere </w:t>
            </w:r>
          </w:p>
        </w:tc>
        <w:tc>
          <w:tcPr>
            <w:tcW w:w="2431" w:type="dxa"/>
            <w:gridSpan w:val="2"/>
            <w:shd w:val="clear" w:color="auto" w:fill="auto"/>
            <w:vAlign w:val="center"/>
            <w:hideMark/>
          </w:tcPr>
          <w:p w14:paraId="4BB48760" w14:textId="77777777" w:rsidR="009D6D4E" w:rsidRPr="00213530" w:rsidRDefault="009D6D4E" w:rsidP="00BF3B71">
            <w:pPr>
              <w:jc w:val="both"/>
              <w:rPr>
                <w:color w:val="000000"/>
                <w:sz w:val="18"/>
                <w:szCs w:val="18"/>
              </w:rPr>
            </w:pPr>
            <w:r w:rsidRPr="00213530">
              <w:rPr>
                <w:color w:val="000000"/>
                <w:sz w:val="18"/>
                <w:szCs w:val="18"/>
              </w:rPr>
              <w:t xml:space="preserve">Shpenzimet kapitale </w:t>
            </w:r>
          </w:p>
        </w:tc>
        <w:tc>
          <w:tcPr>
            <w:tcW w:w="2247" w:type="dxa"/>
            <w:gridSpan w:val="3"/>
            <w:shd w:val="clear" w:color="auto" w:fill="auto"/>
            <w:vAlign w:val="center"/>
            <w:hideMark/>
          </w:tcPr>
          <w:p w14:paraId="67BA57BF" w14:textId="77777777" w:rsidR="009D6D4E" w:rsidRPr="00CB6955" w:rsidRDefault="009D6D4E" w:rsidP="00BF3B71">
            <w:pPr>
              <w:jc w:val="right"/>
              <w:rPr>
                <w:b/>
                <w:color w:val="000000"/>
                <w:sz w:val="18"/>
                <w:szCs w:val="18"/>
              </w:rPr>
            </w:pPr>
            <w:r w:rsidRPr="00CB6955">
              <w:rPr>
                <w:b/>
                <w:color w:val="000000"/>
                <w:sz w:val="18"/>
                <w:szCs w:val="18"/>
              </w:rPr>
              <w:t xml:space="preserve"> Totali </w:t>
            </w:r>
          </w:p>
        </w:tc>
      </w:tr>
      <w:tr w:rsidR="009D6D4E" w:rsidRPr="00213530" w14:paraId="1461A229" w14:textId="77777777" w:rsidTr="00BF3B71">
        <w:trPr>
          <w:trHeight w:val="82"/>
        </w:trPr>
        <w:tc>
          <w:tcPr>
            <w:tcW w:w="555" w:type="dxa"/>
            <w:shd w:val="clear" w:color="auto" w:fill="auto"/>
            <w:vAlign w:val="center"/>
            <w:hideMark/>
          </w:tcPr>
          <w:p w14:paraId="116E7B2A" w14:textId="77777777" w:rsidR="009D6D4E" w:rsidRPr="00213530" w:rsidRDefault="009D6D4E" w:rsidP="00BF3B71">
            <w:pPr>
              <w:jc w:val="center"/>
              <w:rPr>
                <w:color w:val="000000"/>
                <w:sz w:val="18"/>
                <w:szCs w:val="18"/>
              </w:rPr>
            </w:pPr>
            <w:r w:rsidRPr="00213530">
              <w:rPr>
                <w:color w:val="000000"/>
                <w:sz w:val="18"/>
                <w:szCs w:val="18"/>
              </w:rPr>
              <w:t>2020</w:t>
            </w:r>
          </w:p>
        </w:tc>
        <w:tc>
          <w:tcPr>
            <w:tcW w:w="1434" w:type="dxa"/>
            <w:gridSpan w:val="2"/>
            <w:shd w:val="clear" w:color="auto" w:fill="auto"/>
            <w:vAlign w:val="center"/>
            <w:hideMark/>
          </w:tcPr>
          <w:p w14:paraId="5677A5A4" w14:textId="77777777" w:rsidR="009D6D4E" w:rsidRPr="00213530" w:rsidRDefault="009D6D4E" w:rsidP="00BF3B71">
            <w:pPr>
              <w:jc w:val="center"/>
              <w:rPr>
                <w:color w:val="000000"/>
                <w:sz w:val="18"/>
                <w:szCs w:val="18"/>
              </w:rPr>
            </w:pPr>
            <w:r w:rsidRPr="00213530">
              <w:rPr>
                <w:color w:val="000000"/>
                <w:sz w:val="18"/>
                <w:szCs w:val="18"/>
              </w:rPr>
              <w:t xml:space="preserve">                      30,000 </w:t>
            </w:r>
          </w:p>
        </w:tc>
        <w:tc>
          <w:tcPr>
            <w:tcW w:w="1490" w:type="dxa"/>
            <w:gridSpan w:val="2"/>
            <w:shd w:val="clear" w:color="auto" w:fill="auto"/>
            <w:vAlign w:val="center"/>
            <w:hideMark/>
          </w:tcPr>
          <w:p w14:paraId="471A64F0" w14:textId="77777777" w:rsidR="009D6D4E" w:rsidRPr="00213530" w:rsidRDefault="009D6D4E" w:rsidP="00BF3B71">
            <w:pPr>
              <w:jc w:val="center"/>
              <w:rPr>
                <w:color w:val="000000"/>
                <w:sz w:val="18"/>
                <w:szCs w:val="18"/>
              </w:rPr>
            </w:pPr>
            <w:r w:rsidRPr="00213530">
              <w:rPr>
                <w:color w:val="000000"/>
                <w:sz w:val="18"/>
                <w:szCs w:val="18"/>
              </w:rPr>
              <w:t xml:space="preserve">                         180,000 </w:t>
            </w:r>
          </w:p>
        </w:tc>
        <w:tc>
          <w:tcPr>
            <w:tcW w:w="2158" w:type="dxa"/>
            <w:gridSpan w:val="3"/>
            <w:shd w:val="clear" w:color="auto" w:fill="auto"/>
            <w:vAlign w:val="center"/>
            <w:hideMark/>
          </w:tcPr>
          <w:p w14:paraId="5A9F154A" w14:textId="77777777" w:rsidR="009D6D4E" w:rsidRPr="00213530" w:rsidRDefault="009D6D4E" w:rsidP="00BF3B71">
            <w:pPr>
              <w:jc w:val="center"/>
              <w:rPr>
                <w:color w:val="000000"/>
                <w:sz w:val="18"/>
                <w:szCs w:val="18"/>
              </w:rPr>
            </w:pPr>
            <w:r w:rsidRPr="00213530">
              <w:rPr>
                <w:color w:val="000000"/>
                <w:sz w:val="18"/>
                <w:szCs w:val="18"/>
              </w:rPr>
              <w:t xml:space="preserve">                            34,000 </w:t>
            </w:r>
          </w:p>
        </w:tc>
        <w:tc>
          <w:tcPr>
            <w:tcW w:w="2431" w:type="dxa"/>
            <w:gridSpan w:val="2"/>
            <w:shd w:val="clear" w:color="auto" w:fill="auto"/>
            <w:vAlign w:val="center"/>
            <w:hideMark/>
          </w:tcPr>
          <w:p w14:paraId="2400AA60" w14:textId="77777777" w:rsidR="009D6D4E" w:rsidRPr="00213530" w:rsidRDefault="009D6D4E" w:rsidP="00BF3B71">
            <w:pPr>
              <w:jc w:val="center"/>
              <w:rPr>
                <w:color w:val="000000"/>
                <w:sz w:val="18"/>
                <w:szCs w:val="18"/>
              </w:rPr>
            </w:pPr>
            <w:r w:rsidRPr="00213530">
              <w:rPr>
                <w:color w:val="000000"/>
                <w:sz w:val="18"/>
                <w:szCs w:val="18"/>
              </w:rPr>
              <w:t xml:space="preserve">                       180,000 </w:t>
            </w:r>
          </w:p>
        </w:tc>
        <w:tc>
          <w:tcPr>
            <w:tcW w:w="2247" w:type="dxa"/>
            <w:gridSpan w:val="3"/>
            <w:shd w:val="clear" w:color="000000" w:fill="FFFFFF"/>
            <w:vAlign w:val="center"/>
            <w:hideMark/>
          </w:tcPr>
          <w:p w14:paraId="4894ED55" w14:textId="77777777" w:rsidR="009D6D4E" w:rsidRPr="00CB6955" w:rsidRDefault="009D6D4E" w:rsidP="00BF3B71">
            <w:pPr>
              <w:jc w:val="right"/>
              <w:rPr>
                <w:b/>
                <w:color w:val="000000"/>
                <w:sz w:val="18"/>
                <w:szCs w:val="18"/>
              </w:rPr>
            </w:pPr>
            <w:r w:rsidRPr="00CB6955">
              <w:rPr>
                <w:b/>
                <w:color w:val="000000"/>
                <w:sz w:val="18"/>
                <w:szCs w:val="18"/>
              </w:rPr>
              <w:t xml:space="preserve">                          424,000 </w:t>
            </w:r>
          </w:p>
        </w:tc>
      </w:tr>
      <w:tr w:rsidR="009D6D4E" w:rsidRPr="00213530" w14:paraId="275E836D" w14:textId="77777777" w:rsidTr="00BF3B71">
        <w:trPr>
          <w:trHeight w:val="82"/>
        </w:trPr>
        <w:tc>
          <w:tcPr>
            <w:tcW w:w="555" w:type="dxa"/>
            <w:shd w:val="clear" w:color="auto" w:fill="auto"/>
            <w:vAlign w:val="center"/>
            <w:hideMark/>
          </w:tcPr>
          <w:p w14:paraId="0096AEEE" w14:textId="77777777" w:rsidR="009D6D4E" w:rsidRPr="00213530" w:rsidRDefault="009D6D4E" w:rsidP="00BF3B71">
            <w:pPr>
              <w:jc w:val="center"/>
              <w:rPr>
                <w:color w:val="000000"/>
                <w:sz w:val="18"/>
                <w:szCs w:val="18"/>
              </w:rPr>
            </w:pPr>
            <w:r w:rsidRPr="00213530">
              <w:rPr>
                <w:color w:val="000000"/>
                <w:sz w:val="18"/>
                <w:szCs w:val="18"/>
              </w:rPr>
              <w:t>2021</w:t>
            </w:r>
          </w:p>
        </w:tc>
        <w:tc>
          <w:tcPr>
            <w:tcW w:w="1434" w:type="dxa"/>
            <w:gridSpan w:val="2"/>
            <w:shd w:val="clear" w:color="auto" w:fill="auto"/>
            <w:vAlign w:val="center"/>
            <w:hideMark/>
          </w:tcPr>
          <w:p w14:paraId="2FC17E22" w14:textId="77777777" w:rsidR="009D6D4E" w:rsidRPr="00213530" w:rsidRDefault="009D6D4E" w:rsidP="00BF3B71">
            <w:pPr>
              <w:jc w:val="center"/>
              <w:rPr>
                <w:color w:val="000000"/>
                <w:sz w:val="18"/>
                <w:szCs w:val="18"/>
              </w:rPr>
            </w:pPr>
            <w:r w:rsidRPr="00213530">
              <w:rPr>
                <w:color w:val="000000"/>
                <w:sz w:val="18"/>
                <w:szCs w:val="18"/>
              </w:rPr>
              <w:t> </w:t>
            </w:r>
          </w:p>
        </w:tc>
        <w:tc>
          <w:tcPr>
            <w:tcW w:w="1490" w:type="dxa"/>
            <w:gridSpan w:val="2"/>
            <w:shd w:val="clear" w:color="auto" w:fill="auto"/>
            <w:vAlign w:val="center"/>
            <w:hideMark/>
          </w:tcPr>
          <w:p w14:paraId="2D10B57F" w14:textId="77777777" w:rsidR="009D6D4E" w:rsidRPr="00213530" w:rsidRDefault="009D6D4E" w:rsidP="00BF3B71">
            <w:pPr>
              <w:jc w:val="center"/>
              <w:rPr>
                <w:color w:val="000000"/>
                <w:sz w:val="18"/>
                <w:szCs w:val="18"/>
              </w:rPr>
            </w:pPr>
            <w:r w:rsidRPr="00213530">
              <w:rPr>
                <w:color w:val="000000"/>
                <w:sz w:val="18"/>
                <w:szCs w:val="18"/>
              </w:rPr>
              <w:t xml:space="preserve">                            65,000 </w:t>
            </w:r>
          </w:p>
        </w:tc>
        <w:tc>
          <w:tcPr>
            <w:tcW w:w="2158" w:type="dxa"/>
            <w:gridSpan w:val="3"/>
            <w:shd w:val="clear" w:color="auto" w:fill="auto"/>
            <w:vAlign w:val="center"/>
            <w:hideMark/>
          </w:tcPr>
          <w:p w14:paraId="750F91A0" w14:textId="77777777" w:rsidR="009D6D4E" w:rsidRPr="00213530" w:rsidRDefault="009D6D4E" w:rsidP="00BF3B71">
            <w:pPr>
              <w:jc w:val="center"/>
              <w:rPr>
                <w:color w:val="000000"/>
                <w:sz w:val="18"/>
                <w:szCs w:val="18"/>
              </w:rPr>
            </w:pPr>
            <w:r w:rsidRPr="00213530">
              <w:rPr>
                <w:color w:val="000000"/>
                <w:sz w:val="18"/>
                <w:szCs w:val="18"/>
              </w:rPr>
              <w:t xml:space="preserve">                                      -   </w:t>
            </w:r>
          </w:p>
        </w:tc>
        <w:tc>
          <w:tcPr>
            <w:tcW w:w="2431" w:type="dxa"/>
            <w:gridSpan w:val="2"/>
            <w:shd w:val="clear" w:color="auto" w:fill="auto"/>
            <w:vAlign w:val="center"/>
            <w:hideMark/>
          </w:tcPr>
          <w:p w14:paraId="7152B06E" w14:textId="77777777" w:rsidR="009D6D4E" w:rsidRPr="00213530" w:rsidRDefault="009D6D4E" w:rsidP="00BF3B71">
            <w:pPr>
              <w:jc w:val="center"/>
              <w:rPr>
                <w:color w:val="000000"/>
                <w:sz w:val="18"/>
                <w:szCs w:val="18"/>
              </w:rPr>
            </w:pPr>
            <w:r w:rsidRPr="00213530">
              <w:rPr>
                <w:color w:val="000000"/>
                <w:sz w:val="18"/>
                <w:szCs w:val="18"/>
              </w:rPr>
              <w:t xml:space="preserve">                         60,000 </w:t>
            </w:r>
          </w:p>
        </w:tc>
        <w:tc>
          <w:tcPr>
            <w:tcW w:w="2247" w:type="dxa"/>
            <w:gridSpan w:val="3"/>
            <w:shd w:val="clear" w:color="000000" w:fill="FFFFFF"/>
            <w:vAlign w:val="center"/>
            <w:hideMark/>
          </w:tcPr>
          <w:p w14:paraId="0C475397" w14:textId="77777777" w:rsidR="009D6D4E" w:rsidRPr="00CB6955" w:rsidRDefault="009D6D4E" w:rsidP="00BF3B71">
            <w:pPr>
              <w:jc w:val="right"/>
              <w:rPr>
                <w:b/>
                <w:color w:val="000000"/>
                <w:sz w:val="18"/>
                <w:szCs w:val="18"/>
              </w:rPr>
            </w:pPr>
            <w:r w:rsidRPr="00CB6955">
              <w:rPr>
                <w:b/>
                <w:color w:val="000000"/>
                <w:sz w:val="18"/>
                <w:szCs w:val="18"/>
              </w:rPr>
              <w:t xml:space="preserve">                          125,000 </w:t>
            </w:r>
          </w:p>
        </w:tc>
      </w:tr>
      <w:tr w:rsidR="009D6D4E" w:rsidRPr="00213530" w14:paraId="3330CFCE" w14:textId="77777777" w:rsidTr="00BF3B71">
        <w:trPr>
          <w:trHeight w:val="124"/>
        </w:trPr>
        <w:tc>
          <w:tcPr>
            <w:tcW w:w="10318" w:type="dxa"/>
            <w:gridSpan w:val="13"/>
            <w:shd w:val="clear" w:color="auto" w:fill="auto"/>
            <w:vAlign w:val="center"/>
            <w:hideMark/>
          </w:tcPr>
          <w:p w14:paraId="6FE4AF95" w14:textId="77777777" w:rsidR="009D6D4E" w:rsidRPr="00213530" w:rsidRDefault="009D6D4E" w:rsidP="00BF3B71">
            <w:pPr>
              <w:rPr>
                <w:b/>
                <w:bCs/>
                <w:color w:val="000000"/>
                <w:sz w:val="18"/>
                <w:szCs w:val="18"/>
              </w:rPr>
            </w:pPr>
            <w:r w:rsidRPr="00213530">
              <w:rPr>
                <w:b/>
                <w:bCs/>
                <w:color w:val="000000"/>
                <w:sz w:val="18"/>
                <w:szCs w:val="18"/>
              </w:rPr>
              <w:t xml:space="preserve">Tabela 10.b:Financimi i masës së reformës strukturore:   Masa# 15 Zhvillimi i mëtutjeshëm i infrastrukturës së cilësisë dhe fuqizimi i rolit të autoriteteve për mbikëqyrjen e tregut me fokus produktet e ndërtimit  </w:t>
            </w:r>
          </w:p>
        </w:tc>
      </w:tr>
      <w:tr w:rsidR="009D6D4E" w:rsidRPr="00213530" w14:paraId="73A07C3E" w14:textId="77777777" w:rsidTr="00BF3B71">
        <w:trPr>
          <w:trHeight w:val="140"/>
        </w:trPr>
        <w:tc>
          <w:tcPr>
            <w:tcW w:w="585" w:type="dxa"/>
            <w:gridSpan w:val="2"/>
            <w:shd w:val="clear" w:color="auto" w:fill="auto"/>
            <w:vAlign w:val="center"/>
            <w:hideMark/>
          </w:tcPr>
          <w:p w14:paraId="72A0E23B" w14:textId="77777777" w:rsidR="009D6D4E" w:rsidRPr="00213530" w:rsidRDefault="009D6D4E" w:rsidP="00BF3B71">
            <w:pPr>
              <w:jc w:val="both"/>
              <w:rPr>
                <w:color w:val="000000"/>
                <w:sz w:val="18"/>
                <w:szCs w:val="18"/>
              </w:rPr>
            </w:pPr>
            <w:r w:rsidRPr="00213530">
              <w:rPr>
                <w:color w:val="000000"/>
                <w:sz w:val="18"/>
                <w:szCs w:val="18"/>
              </w:rPr>
              <w:t>Viti</w:t>
            </w:r>
          </w:p>
        </w:tc>
        <w:tc>
          <w:tcPr>
            <w:tcW w:w="1467" w:type="dxa"/>
            <w:gridSpan w:val="2"/>
            <w:shd w:val="clear" w:color="auto" w:fill="auto"/>
            <w:vAlign w:val="center"/>
            <w:hideMark/>
          </w:tcPr>
          <w:p w14:paraId="2113EDD1" w14:textId="77777777" w:rsidR="009D6D4E" w:rsidRPr="00213530" w:rsidRDefault="009D6D4E" w:rsidP="00BF3B71">
            <w:pPr>
              <w:jc w:val="both"/>
              <w:rPr>
                <w:color w:val="000000"/>
                <w:sz w:val="18"/>
                <w:szCs w:val="18"/>
              </w:rPr>
            </w:pPr>
            <w:r w:rsidRPr="00213530">
              <w:rPr>
                <w:color w:val="000000"/>
                <w:sz w:val="18"/>
                <w:szCs w:val="18"/>
              </w:rPr>
              <w:t>Buxheti Qendror</w:t>
            </w:r>
          </w:p>
        </w:tc>
        <w:tc>
          <w:tcPr>
            <w:tcW w:w="1427" w:type="dxa"/>
            <w:shd w:val="clear" w:color="auto" w:fill="auto"/>
            <w:vAlign w:val="center"/>
            <w:hideMark/>
          </w:tcPr>
          <w:p w14:paraId="1497327C" w14:textId="77777777" w:rsidR="009D6D4E" w:rsidRPr="00213530" w:rsidRDefault="009D6D4E" w:rsidP="00BF3B71">
            <w:pPr>
              <w:jc w:val="both"/>
              <w:rPr>
                <w:color w:val="000000"/>
                <w:sz w:val="18"/>
                <w:szCs w:val="18"/>
              </w:rPr>
            </w:pPr>
            <w:r w:rsidRPr="00213530">
              <w:rPr>
                <w:color w:val="000000"/>
                <w:sz w:val="18"/>
                <w:szCs w:val="18"/>
              </w:rPr>
              <w:t>Buxheti komunal</w:t>
            </w:r>
          </w:p>
        </w:tc>
        <w:tc>
          <w:tcPr>
            <w:tcW w:w="989" w:type="dxa"/>
            <w:shd w:val="clear" w:color="auto" w:fill="auto"/>
            <w:vAlign w:val="center"/>
            <w:hideMark/>
          </w:tcPr>
          <w:p w14:paraId="0778846F" w14:textId="77777777" w:rsidR="009D6D4E" w:rsidRPr="00213530" w:rsidRDefault="009D6D4E" w:rsidP="00BF3B71">
            <w:pPr>
              <w:jc w:val="both"/>
              <w:rPr>
                <w:color w:val="000000"/>
                <w:sz w:val="18"/>
                <w:szCs w:val="18"/>
              </w:rPr>
            </w:pPr>
            <w:r w:rsidRPr="00213530">
              <w:rPr>
                <w:color w:val="000000"/>
                <w:sz w:val="18"/>
                <w:szCs w:val="18"/>
              </w:rPr>
              <w:t xml:space="preserve">Burimet e tjera të financimit publik </w:t>
            </w:r>
          </w:p>
        </w:tc>
        <w:tc>
          <w:tcPr>
            <w:tcW w:w="989" w:type="dxa"/>
            <w:shd w:val="clear" w:color="auto" w:fill="auto"/>
            <w:vAlign w:val="center"/>
            <w:hideMark/>
          </w:tcPr>
          <w:p w14:paraId="357D5172" w14:textId="77777777" w:rsidR="009D6D4E" w:rsidRPr="00213530" w:rsidRDefault="009D6D4E" w:rsidP="00BF3B71">
            <w:pPr>
              <w:jc w:val="both"/>
              <w:rPr>
                <w:color w:val="000000"/>
                <w:sz w:val="18"/>
                <w:szCs w:val="18"/>
              </w:rPr>
            </w:pPr>
            <w:r w:rsidRPr="00213530">
              <w:rPr>
                <w:color w:val="000000"/>
                <w:sz w:val="18"/>
                <w:szCs w:val="18"/>
              </w:rPr>
              <w:t xml:space="preserve">Fondet e IPA-së </w:t>
            </w:r>
          </w:p>
        </w:tc>
        <w:tc>
          <w:tcPr>
            <w:tcW w:w="1467" w:type="dxa"/>
            <w:gridSpan w:val="2"/>
            <w:shd w:val="clear" w:color="auto" w:fill="auto"/>
            <w:vAlign w:val="center"/>
            <w:hideMark/>
          </w:tcPr>
          <w:p w14:paraId="23AA41F5" w14:textId="77777777" w:rsidR="009D6D4E" w:rsidRPr="00213530" w:rsidRDefault="009D6D4E" w:rsidP="00BF3B71">
            <w:pPr>
              <w:jc w:val="both"/>
              <w:rPr>
                <w:color w:val="000000"/>
                <w:sz w:val="18"/>
                <w:szCs w:val="18"/>
              </w:rPr>
            </w:pPr>
            <w:r w:rsidRPr="00213530">
              <w:rPr>
                <w:color w:val="000000"/>
                <w:sz w:val="18"/>
                <w:szCs w:val="18"/>
              </w:rPr>
              <w:t>Grante të tjera ( projekti i EU)</w:t>
            </w:r>
          </w:p>
        </w:tc>
        <w:tc>
          <w:tcPr>
            <w:tcW w:w="1380" w:type="dxa"/>
            <w:gridSpan w:val="2"/>
            <w:shd w:val="clear" w:color="auto" w:fill="auto"/>
            <w:vAlign w:val="center"/>
            <w:hideMark/>
          </w:tcPr>
          <w:p w14:paraId="55B108AD" w14:textId="77777777" w:rsidR="009D6D4E" w:rsidRPr="00213530" w:rsidRDefault="009D6D4E" w:rsidP="00BF3B71">
            <w:pPr>
              <w:jc w:val="both"/>
              <w:rPr>
                <w:color w:val="000000"/>
                <w:sz w:val="18"/>
                <w:szCs w:val="18"/>
              </w:rPr>
            </w:pPr>
            <w:r w:rsidRPr="00213530">
              <w:rPr>
                <w:color w:val="000000"/>
                <w:sz w:val="18"/>
                <w:szCs w:val="18"/>
              </w:rPr>
              <w:t>Kredi për projekte  (Banka Boterore)</w:t>
            </w:r>
          </w:p>
        </w:tc>
        <w:tc>
          <w:tcPr>
            <w:tcW w:w="1018" w:type="dxa"/>
            <w:shd w:val="clear" w:color="auto" w:fill="auto"/>
            <w:vAlign w:val="center"/>
            <w:hideMark/>
          </w:tcPr>
          <w:p w14:paraId="03A6C94A" w14:textId="77777777" w:rsidR="009D6D4E" w:rsidRPr="00213530" w:rsidRDefault="009D6D4E" w:rsidP="00BF3B71">
            <w:pPr>
              <w:jc w:val="both"/>
              <w:rPr>
                <w:color w:val="000000"/>
                <w:sz w:val="18"/>
                <w:szCs w:val="18"/>
              </w:rPr>
            </w:pPr>
            <w:r w:rsidRPr="00213530">
              <w:rPr>
                <w:color w:val="000000"/>
                <w:sz w:val="18"/>
                <w:szCs w:val="18"/>
              </w:rPr>
              <w:t xml:space="preserve">Të përcaktohet </w:t>
            </w:r>
          </w:p>
        </w:tc>
        <w:tc>
          <w:tcPr>
            <w:tcW w:w="989" w:type="dxa"/>
            <w:shd w:val="clear" w:color="auto" w:fill="auto"/>
            <w:vAlign w:val="center"/>
            <w:hideMark/>
          </w:tcPr>
          <w:p w14:paraId="3084D9B3" w14:textId="77777777" w:rsidR="009D6D4E" w:rsidRPr="00CB6955" w:rsidRDefault="009D6D4E" w:rsidP="00BF3B71">
            <w:pPr>
              <w:jc w:val="both"/>
              <w:rPr>
                <w:b/>
                <w:color w:val="000000"/>
                <w:sz w:val="18"/>
                <w:szCs w:val="18"/>
              </w:rPr>
            </w:pPr>
            <w:r w:rsidRPr="00CB6955">
              <w:rPr>
                <w:b/>
                <w:color w:val="000000"/>
                <w:sz w:val="18"/>
                <w:szCs w:val="18"/>
              </w:rPr>
              <w:t xml:space="preserve">Totali </w:t>
            </w:r>
          </w:p>
        </w:tc>
      </w:tr>
      <w:tr w:rsidR="009D6D4E" w:rsidRPr="00213530" w14:paraId="6ABC4DF6" w14:textId="77777777" w:rsidTr="00BF3B71">
        <w:trPr>
          <w:trHeight w:val="359"/>
        </w:trPr>
        <w:tc>
          <w:tcPr>
            <w:tcW w:w="585" w:type="dxa"/>
            <w:gridSpan w:val="2"/>
            <w:shd w:val="clear" w:color="auto" w:fill="auto"/>
            <w:vAlign w:val="center"/>
            <w:hideMark/>
          </w:tcPr>
          <w:p w14:paraId="6ECB5D04" w14:textId="77777777" w:rsidR="009D6D4E" w:rsidRPr="00213530" w:rsidRDefault="009D6D4E" w:rsidP="00BF3B71">
            <w:pPr>
              <w:jc w:val="both"/>
              <w:rPr>
                <w:color w:val="000000"/>
                <w:sz w:val="18"/>
                <w:szCs w:val="18"/>
              </w:rPr>
            </w:pPr>
            <w:r w:rsidRPr="00213530">
              <w:rPr>
                <w:color w:val="000000"/>
                <w:sz w:val="18"/>
                <w:szCs w:val="18"/>
              </w:rPr>
              <w:t>2020</w:t>
            </w:r>
          </w:p>
        </w:tc>
        <w:tc>
          <w:tcPr>
            <w:tcW w:w="1467" w:type="dxa"/>
            <w:gridSpan w:val="2"/>
            <w:shd w:val="clear" w:color="auto" w:fill="auto"/>
            <w:vAlign w:val="center"/>
            <w:hideMark/>
          </w:tcPr>
          <w:p w14:paraId="0ABC6475" w14:textId="77777777" w:rsidR="009D6D4E" w:rsidRPr="00213530" w:rsidRDefault="009D6D4E" w:rsidP="00BF3B71">
            <w:pPr>
              <w:ind w:firstLineChars="400" w:firstLine="720"/>
              <w:rPr>
                <w:color w:val="000000"/>
                <w:sz w:val="18"/>
                <w:szCs w:val="18"/>
              </w:rPr>
            </w:pPr>
            <w:r w:rsidRPr="00213530">
              <w:rPr>
                <w:color w:val="000000"/>
                <w:sz w:val="18"/>
                <w:szCs w:val="18"/>
              </w:rPr>
              <w:t>225,000</w:t>
            </w:r>
          </w:p>
        </w:tc>
        <w:tc>
          <w:tcPr>
            <w:tcW w:w="1427" w:type="dxa"/>
            <w:shd w:val="clear" w:color="auto" w:fill="auto"/>
            <w:vAlign w:val="center"/>
            <w:hideMark/>
          </w:tcPr>
          <w:p w14:paraId="786695AC" w14:textId="77777777" w:rsidR="009D6D4E" w:rsidRPr="00213530" w:rsidRDefault="009D6D4E" w:rsidP="00BF3B71">
            <w:pPr>
              <w:ind w:firstLineChars="400" w:firstLine="720"/>
              <w:rPr>
                <w:color w:val="000000"/>
                <w:sz w:val="18"/>
                <w:szCs w:val="18"/>
              </w:rPr>
            </w:pPr>
            <w:r w:rsidRPr="00213530">
              <w:rPr>
                <w:color w:val="000000"/>
                <w:sz w:val="18"/>
                <w:szCs w:val="18"/>
              </w:rPr>
              <w:t>0</w:t>
            </w:r>
          </w:p>
        </w:tc>
        <w:tc>
          <w:tcPr>
            <w:tcW w:w="989" w:type="dxa"/>
            <w:shd w:val="clear" w:color="auto" w:fill="auto"/>
            <w:vAlign w:val="center"/>
            <w:hideMark/>
          </w:tcPr>
          <w:p w14:paraId="1288D808" w14:textId="77777777" w:rsidR="009D6D4E" w:rsidRPr="00213530" w:rsidRDefault="009D6D4E" w:rsidP="00BF3B71">
            <w:pPr>
              <w:ind w:firstLineChars="400" w:firstLine="720"/>
              <w:rPr>
                <w:color w:val="000000"/>
                <w:sz w:val="18"/>
                <w:szCs w:val="18"/>
              </w:rPr>
            </w:pPr>
            <w:r w:rsidRPr="00213530">
              <w:rPr>
                <w:color w:val="000000"/>
                <w:sz w:val="18"/>
                <w:szCs w:val="18"/>
              </w:rPr>
              <w:t>0</w:t>
            </w:r>
          </w:p>
        </w:tc>
        <w:tc>
          <w:tcPr>
            <w:tcW w:w="989" w:type="dxa"/>
            <w:shd w:val="clear" w:color="auto" w:fill="auto"/>
            <w:vAlign w:val="center"/>
            <w:hideMark/>
          </w:tcPr>
          <w:p w14:paraId="26D457CA" w14:textId="77777777" w:rsidR="009D6D4E" w:rsidRPr="00213530" w:rsidRDefault="009D6D4E" w:rsidP="00BF3B71">
            <w:pPr>
              <w:ind w:firstLineChars="400" w:firstLine="720"/>
              <w:rPr>
                <w:color w:val="000000"/>
                <w:sz w:val="18"/>
                <w:szCs w:val="18"/>
              </w:rPr>
            </w:pPr>
            <w:r w:rsidRPr="00213530">
              <w:rPr>
                <w:color w:val="000000"/>
                <w:sz w:val="18"/>
                <w:szCs w:val="18"/>
              </w:rPr>
              <w:t>0</w:t>
            </w:r>
          </w:p>
        </w:tc>
        <w:tc>
          <w:tcPr>
            <w:tcW w:w="1467" w:type="dxa"/>
            <w:gridSpan w:val="2"/>
            <w:shd w:val="clear" w:color="auto" w:fill="auto"/>
            <w:vAlign w:val="center"/>
            <w:hideMark/>
          </w:tcPr>
          <w:p w14:paraId="3B38B2A8" w14:textId="77777777" w:rsidR="009D6D4E" w:rsidRPr="00213530" w:rsidRDefault="009D6D4E" w:rsidP="00BF3B71">
            <w:pPr>
              <w:ind w:firstLineChars="400" w:firstLine="720"/>
              <w:rPr>
                <w:color w:val="000000"/>
                <w:sz w:val="18"/>
                <w:szCs w:val="18"/>
              </w:rPr>
            </w:pPr>
            <w:r w:rsidRPr="00213530">
              <w:rPr>
                <w:color w:val="000000"/>
                <w:sz w:val="18"/>
                <w:szCs w:val="18"/>
              </w:rPr>
              <w:t>199,000</w:t>
            </w:r>
          </w:p>
        </w:tc>
        <w:tc>
          <w:tcPr>
            <w:tcW w:w="1380" w:type="dxa"/>
            <w:gridSpan w:val="2"/>
            <w:shd w:val="clear" w:color="auto" w:fill="auto"/>
            <w:vAlign w:val="center"/>
            <w:hideMark/>
          </w:tcPr>
          <w:p w14:paraId="092A9B72" w14:textId="77777777" w:rsidR="009D6D4E" w:rsidRPr="00213530" w:rsidRDefault="009D6D4E" w:rsidP="00BF3B71">
            <w:pPr>
              <w:ind w:firstLineChars="400" w:firstLine="720"/>
              <w:rPr>
                <w:color w:val="000000"/>
                <w:sz w:val="18"/>
                <w:szCs w:val="18"/>
              </w:rPr>
            </w:pPr>
            <w:r w:rsidRPr="00213530">
              <w:rPr>
                <w:color w:val="000000"/>
                <w:sz w:val="18"/>
                <w:szCs w:val="18"/>
              </w:rPr>
              <w:t>0</w:t>
            </w:r>
          </w:p>
        </w:tc>
        <w:tc>
          <w:tcPr>
            <w:tcW w:w="1018" w:type="dxa"/>
            <w:shd w:val="clear" w:color="auto" w:fill="auto"/>
            <w:vAlign w:val="center"/>
            <w:hideMark/>
          </w:tcPr>
          <w:p w14:paraId="429A11AC" w14:textId="77777777" w:rsidR="009D6D4E" w:rsidRPr="00213530" w:rsidRDefault="009D6D4E" w:rsidP="00BF3B71">
            <w:pPr>
              <w:ind w:firstLineChars="400" w:firstLine="720"/>
              <w:rPr>
                <w:color w:val="000000"/>
                <w:sz w:val="18"/>
                <w:szCs w:val="18"/>
              </w:rPr>
            </w:pPr>
            <w:r w:rsidRPr="00213530">
              <w:rPr>
                <w:color w:val="000000"/>
                <w:sz w:val="18"/>
                <w:szCs w:val="18"/>
              </w:rPr>
              <w:t>0</w:t>
            </w:r>
          </w:p>
        </w:tc>
        <w:tc>
          <w:tcPr>
            <w:tcW w:w="989" w:type="dxa"/>
            <w:shd w:val="clear" w:color="auto" w:fill="auto"/>
            <w:vAlign w:val="center"/>
            <w:hideMark/>
          </w:tcPr>
          <w:p w14:paraId="2BA4C23C" w14:textId="77777777" w:rsidR="009D6D4E" w:rsidRPr="00213530" w:rsidRDefault="009D6D4E" w:rsidP="00BF3B71">
            <w:pPr>
              <w:jc w:val="both"/>
              <w:rPr>
                <w:b/>
                <w:bCs/>
                <w:color w:val="000000"/>
                <w:sz w:val="18"/>
                <w:szCs w:val="18"/>
              </w:rPr>
            </w:pPr>
            <w:r w:rsidRPr="00213530">
              <w:rPr>
                <w:b/>
                <w:bCs/>
                <w:color w:val="000000"/>
                <w:sz w:val="18"/>
                <w:szCs w:val="18"/>
              </w:rPr>
              <w:t>424,000.00</w:t>
            </w:r>
          </w:p>
        </w:tc>
      </w:tr>
      <w:tr w:rsidR="009D6D4E" w:rsidRPr="00213530" w14:paraId="62527664" w14:textId="77777777" w:rsidTr="00BF3B71">
        <w:trPr>
          <w:trHeight w:val="332"/>
        </w:trPr>
        <w:tc>
          <w:tcPr>
            <w:tcW w:w="585" w:type="dxa"/>
            <w:gridSpan w:val="2"/>
            <w:shd w:val="clear" w:color="auto" w:fill="auto"/>
            <w:vAlign w:val="center"/>
            <w:hideMark/>
          </w:tcPr>
          <w:p w14:paraId="5507D239" w14:textId="77777777" w:rsidR="009D6D4E" w:rsidRPr="00213530" w:rsidRDefault="009D6D4E" w:rsidP="00BF3B71">
            <w:pPr>
              <w:jc w:val="both"/>
              <w:rPr>
                <w:color w:val="000000"/>
                <w:sz w:val="18"/>
                <w:szCs w:val="18"/>
              </w:rPr>
            </w:pPr>
            <w:r w:rsidRPr="00213530">
              <w:rPr>
                <w:color w:val="000000"/>
                <w:sz w:val="18"/>
                <w:szCs w:val="18"/>
              </w:rPr>
              <w:t>2021</w:t>
            </w:r>
          </w:p>
        </w:tc>
        <w:tc>
          <w:tcPr>
            <w:tcW w:w="1467" w:type="dxa"/>
            <w:gridSpan w:val="2"/>
            <w:shd w:val="clear" w:color="auto" w:fill="auto"/>
            <w:vAlign w:val="center"/>
            <w:hideMark/>
          </w:tcPr>
          <w:p w14:paraId="2818B837" w14:textId="77777777" w:rsidR="009D6D4E" w:rsidRPr="00213530" w:rsidRDefault="009D6D4E" w:rsidP="00BF3B71">
            <w:pPr>
              <w:ind w:firstLineChars="400" w:firstLine="720"/>
              <w:rPr>
                <w:color w:val="000000"/>
                <w:sz w:val="18"/>
                <w:szCs w:val="18"/>
              </w:rPr>
            </w:pPr>
            <w:r w:rsidRPr="00213530">
              <w:rPr>
                <w:color w:val="000000"/>
                <w:sz w:val="18"/>
                <w:szCs w:val="18"/>
              </w:rPr>
              <w:t>7,000</w:t>
            </w:r>
          </w:p>
        </w:tc>
        <w:tc>
          <w:tcPr>
            <w:tcW w:w="1427" w:type="dxa"/>
            <w:shd w:val="clear" w:color="auto" w:fill="auto"/>
            <w:vAlign w:val="center"/>
            <w:hideMark/>
          </w:tcPr>
          <w:p w14:paraId="575FD1D9" w14:textId="77777777" w:rsidR="009D6D4E" w:rsidRPr="00213530" w:rsidRDefault="009D6D4E" w:rsidP="00BF3B71">
            <w:pPr>
              <w:ind w:firstLineChars="400" w:firstLine="720"/>
              <w:rPr>
                <w:color w:val="000000"/>
                <w:sz w:val="18"/>
                <w:szCs w:val="18"/>
              </w:rPr>
            </w:pPr>
            <w:r w:rsidRPr="00213530">
              <w:rPr>
                <w:color w:val="000000"/>
                <w:sz w:val="18"/>
                <w:szCs w:val="18"/>
              </w:rPr>
              <w:t>0</w:t>
            </w:r>
          </w:p>
        </w:tc>
        <w:tc>
          <w:tcPr>
            <w:tcW w:w="989" w:type="dxa"/>
            <w:shd w:val="clear" w:color="auto" w:fill="auto"/>
            <w:vAlign w:val="center"/>
            <w:hideMark/>
          </w:tcPr>
          <w:p w14:paraId="120250B2" w14:textId="77777777" w:rsidR="009D6D4E" w:rsidRPr="00213530" w:rsidRDefault="009D6D4E" w:rsidP="00BF3B71">
            <w:pPr>
              <w:ind w:firstLineChars="400" w:firstLine="720"/>
              <w:rPr>
                <w:color w:val="000000"/>
                <w:sz w:val="18"/>
                <w:szCs w:val="18"/>
              </w:rPr>
            </w:pPr>
            <w:r w:rsidRPr="00213530">
              <w:rPr>
                <w:color w:val="000000"/>
                <w:sz w:val="18"/>
                <w:szCs w:val="18"/>
              </w:rPr>
              <w:t>0</w:t>
            </w:r>
          </w:p>
        </w:tc>
        <w:tc>
          <w:tcPr>
            <w:tcW w:w="989" w:type="dxa"/>
            <w:shd w:val="clear" w:color="auto" w:fill="auto"/>
            <w:vAlign w:val="center"/>
            <w:hideMark/>
          </w:tcPr>
          <w:p w14:paraId="7DDE6E7D" w14:textId="77777777" w:rsidR="009D6D4E" w:rsidRPr="00213530" w:rsidRDefault="009D6D4E" w:rsidP="00BF3B71">
            <w:pPr>
              <w:ind w:firstLineChars="400" w:firstLine="720"/>
              <w:rPr>
                <w:color w:val="000000"/>
                <w:sz w:val="18"/>
                <w:szCs w:val="18"/>
              </w:rPr>
            </w:pPr>
            <w:r w:rsidRPr="00213530">
              <w:rPr>
                <w:color w:val="000000"/>
                <w:sz w:val="18"/>
                <w:szCs w:val="18"/>
              </w:rPr>
              <w:t>0</w:t>
            </w:r>
          </w:p>
        </w:tc>
        <w:tc>
          <w:tcPr>
            <w:tcW w:w="1467" w:type="dxa"/>
            <w:gridSpan w:val="2"/>
            <w:shd w:val="clear" w:color="auto" w:fill="auto"/>
            <w:vAlign w:val="center"/>
            <w:hideMark/>
          </w:tcPr>
          <w:p w14:paraId="5941A998" w14:textId="77777777" w:rsidR="009D6D4E" w:rsidRPr="00213530" w:rsidRDefault="009D6D4E" w:rsidP="00BF3B71">
            <w:pPr>
              <w:ind w:firstLineChars="400" w:firstLine="720"/>
              <w:rPr>
                <w:color w:val="000000"/>
                <w:sz w:val="18"/>
                <w:szCs w:val="18"/>
              </w:rPr>
            </w:pPr>
            <w:r w:rsidRPr="00213530">
              <w:rPr>
                <w:color w:val="000000"/>
                <w:sz w:val="18"/>
                <w:szCs w:val="18"/>
              </w:rPr>
              <w:t>58,000</w:t>
            </w:r>
          </w:p>
        </w:tc>
        <w:tc>
          <w:tcPr>
            <w:tcW w:w="1380" w:type="dxa"/>
            <w:gridSpan w:val="2"/>
            <w:shd w:val="clear" w:color="auto" w:fill="auto"/>
            <w:vAlign w:val="center"/>
            <w:hideMark/>
          </w:tcPr>
          <w:p w14:paraId="4714138B" w14:textId="77777777" w:rsidR="009D6D4E" w:rsidRPr="00213530" w:rsidRDefault="009D6D4E" w:rsidP="00BF3B71">
            <w:pPr>
              <w:ind w:firstLineChars="400" w:firstLine="720"/>
              <w:rPr>
                <w:color w:val="000000"/>
                <w:sz w:val="18"/>
                <w:szCs w:val="18"/>
              </w:rPr>
            </w:pPr>
            <w:r w:rsidRPr="00213530">
              <w:rPr>
                <w:color w:val="000000"/>
                <w:sz w:val="18"/>
                <w:szCs w:val="18"/>
              </w:rPr>
              <w:t>60,000</w:t>
            </w:r>
          </w:p>
        </w:tc>
        <w:tc>
          <w:tcPr>
            <w:tcW w:w="1018" w:type="dxa"/>
            <w:shd w:val="clear" w:color="auto" w:fill="auto"/>
            <w:vAlign w:val="center"/>
            <w:hideMark/>
          </w:tcPr>
          <w:p w14:paraId="683EA7D7" w14:textId="77777777" w:rsidR="009D6D4E" w:rsidRPr="00213530" w:rsidRDefault="009D6D4E" w:rsidP="00BF3B71">
            <w:pPr>
              <w:ind w:firstLineChars="400" w:firstLine="720"/>
              <w:rPr>
                <w:color w:val="000000"/>
                <w:sz w:val="18"/>
                <w:szCs w:val="18"/>
              </w:rPr>
            </w:pPr>
            <w:r w:rsidRPr="00213530">
              <w:rPr>
                <w:color w:val="000000"/>
                <w:sz w:val="18"/>
                <w:szCs w:val="18"/>
              </w:rPr>
              <w:t>0</w:t>
            </w:r>
          </w:p>
        </w:tc>
        <w:tc>
          <w:tcPr>
            <w:tcW w:w="989" w:type="dxa"/>
            <w:shd w:val="clear" w:color="auto" w:fill="auto"/>
            <w:vAlign w:val="center"/>
            <w:hideMark/>
          </w:tcPr>
          <w:p w14:paraId="46B9D5F8" w14:textId="77777777" w:rsidR="009D6D4E" w:rsidRPr="00213530" w:rsidRDefault="009D6D4E" w:rsidP="00BF3B71">
            <w:pPr>
              <w:jc w:val="both"/>
              <w:rPr>
                <w:b/>
                <w:bCs/>
                <w:color w:val="000000"/>
                <w:sz w:val="18"/>
                <w:szCs w:val="18"/>
              </w:rPr>
            </w:pPr>
            <w:r w:rsidRPr="00213530">
              <w:rPr>
                <w:b/>
                <w:bCs/>
                <w:color w:val="000000"/>
                <w:sz w:val="18"/>
                <w:szCs w:val="18"/>
              </w:rPr>
              <w:t>125,000.00</w:t>
            </w:r>
          </w:p>
        </w:tc>
      </w:tr>
    </w:tbl>
    <w:p w14:paraId="1094B85E" w14:textId="77777777" w:rsidR="009D6D4E" w:rsidRDefault="009D6D4E" w:rsidP="009D6D4E"/>
    <w:tbl>
      <w:tblPr>
        <w:tblW w:w="10366" w:type="dxa"/>
        <w:tblLook w:val="04A0" w:firstRow="1" w:lastRow="0" w:firstColumn="1" w:lastColumn="0" w:noHBand="0" w:noVBand="1"/>
      </w:tblPr>
      <w:tblGrid>
        <w:gridCol w:w="954"/>
        <w:gridCol w:w="945"/>
        <w:gridCol w:w="854"/>
        <w:gridCol w:w="1005"/>
        <w:gridCol w:w="579"/>
        <w:gridCol w:w="947"/>
        <w:gridCol w:w="637"/>
        <w:gridCol w:w="966"/>
        <w:gridCol w:w="465"/>
        <w:gridCol w:w="422"/>
        <w:gridCol w:w="1269"/>
        <w:gridCol w:w="360"/>
        <w:gridCol w:w="963"/>
      </w:tblGrid>
      <w:tr w:rsidR="009D6D4E" w:rsidRPr="0043639F" w14:paraId="0615EB84" w14:textId="77777777" w:rsidTr="00BF3B71">
        <w:trPr>
          <w:trHeight w:val="356"/>
        </w:trPr>
        <w:tc>
          <w:tcPr>
            <w:tcW w:w="10366"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3471A00D" w14:textId="77777777" w:rsidR="009D6D4E" w:rsidRPr="0043639F" w:rsidRDefault="009D6D4E" w:rsidP="00BF3B71">
            <w:pPr>
              <w:rPr>
                <w:b/>
                <w:bCs/>
                <w:color w:val="000000"/>
                <w:sz w:val="18"/>
                <w:szCs w:val="18"/>
              </w:rPr>
            </w:pPr>
            <w:r w:rsidRPr="0043639F">
              <w:rPr>
                <w:b/>
                <w:bCs/>
                <w:color w:val="000000"/>
                <w:sz w:val="18"/>
                <w:szCs w:val="18"/>
              </w:rPr>
              <w:t>Tabela 10 a.: Kostimi i masës së reformës strukturore:  Masa# 16 Zhvillimi i edukimit në fëmijërinë e hershme me qasje gjithëpërfshirëse përmes plotësimit të infrastrukturës ligjore dhe kurrikulare</w:t>
            </w:r>
          </w:p>
        </w:tc>
      </w:tr>
      <w:tr w:rsidR="009D6D4E" w:rsidRPr="0043639F" w14:paraId="5AE1905E" w14:textId="77777777" w:rsidTr="00BF3B71">
        <w:trPr>
          <w:trHeight w:val="385"/>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11F8E3CC" w14:textId="77777777" w:rsidR="009D6D4E" w:rsidRPr="0043639F" w:rsidRDefault="009D6D4E" w:rsidP="00BF3B71">
            <w:pPr>
              <w:jc w:val="both"/>
              <w:rPr>
                <w:color w:val="000000"/>
                <w:sz w:val="18"/>
                <w:szCs w:val="18"/>
              </w:rPr>
            </w:pPr>
            <w:r w:rsidRPr="0043639F">
              <w:rPr>
                <w:color w:val="000000"/>
                <w:sz w:val="18"/>
                <w:szCs w:val="18"/>
              </w:rPr>
              <w:t xml:space="preserve">Viti </w:t>
            </w:r>
          </w:p>
        </w:tc>
        <w:tc>
          <w:tcPr>
            <w:tcW w:w="2610" w:type="dxa"/>
            <w:gridSpan w:val="3"/>
            <w:tcBorders>
              <w:top w:val="nil"/>
              <w:left w:val="nil"/>
              <w:bottom w:val="single" w:sz="4" w:space="0" w:color="auto"/>
              <w:right w:val="single" w:sz="4" w:space="0" w:color="auto"/>
            </w:tcBorders>
            <w:shd w:val="clear" w:color="auto" w:fill="auto"/>
            <w:vAlign w:val="center"/>
            <w:hideMark/>
          </w:tcPr>
          <w:p w14:paraId="1447CF78" w14:textId="77777777" w:rsidR="009D6D4E" w:rsidRPr="0043639F" w:rsidRDefault="009D6D4E" w:rsidP="00BF3B71">
            <w:pPr>
              <w:jc w:val="both"/>
              <w:rPr>
                <w:color w:val="000000"/>
                <w:sz w:val="18"/>
                <w:szCs w:val="18"/>
              </w:rPr>
            </w:pPr>
            <w:r w:rsidRPr="0043639F">
              <w:rPr>
                <w:color w:val="000000"/>
                <w:sz w:val="18"/>
                <w:szCs w:val="18"/>
              </w:rPr>
              <w:t>Pagat</w:t>
            </w:r>
          </w:p>
        </w:tc>
        <w:tc>
          <w:tcPr>
            <w:tcW w:w="2250" w:type="dxa"/>
            <w:gridSpan w:val="3"/>
            <w:tcBorders>
              <w:top w:val="nil"/>
              <w:left w:val="nil"/>
              <w:bottom w:val="single" w:sz="4" w:space="0" w:color="auto"/>
              <w:right w:val="single" w:sz="4" w:space="0" w:color="auto"/>
            </w:tcBorders>
            <w:shd w:val="clear" w:color="auto" w:fill="auto"/>
            <w:vAlign w:val="center"/>
            <w:hideMark/>
          </w:tcPr>
          <w:p w14:paraId="21EEF793" w14:textId="77777777" w:rsidR="009D6D4E" w:rsidRPr="0043639F" w:rsidRDefault="009D6D4E" w:rsidP="00BF3B71">
            <w:pPr>
              <w:jc w:val="both"/>
              <w:rPr>
                <w:color w:val="000000"/>
                <w:sz w:val="18"/>
                <w:szCs w:val="18"/>
              </w:rPr>
            </w:pPr>
            <w:r w:rsidRPr="0043639F">
              <w:rPr>
                <w:color w:val="000000"/>
                <w:sz w:val="18"/>
                <w:szCs w:val="18"/>
              </w:rPr>
              <w:t>Mallra dhe shërbime</w:t>
            </w:r>
          </w:p>
        </w:tc>
        <w:tc>
          <w:tcPr>
            <w:tcW w:w="1440" w:type="dxa"/>
            <w:gridSpan w:val="2"/>
            <w:tcBorders>
              <w:top w:val="nil"/>
              <w:left w:val="nil"/>
              <w:bottom w:val="single" w:sz="4" w:space="0" w:color="auto"/>
              <w:right w:val="single" w:sz="4" w:space="0" w:color="auto"/>
            </w:tcBorders>
            <w:shd w:val="clear" w:color="auto" w:fill="auto"/>
            <w:vAlign w:val="center"/>
            <w:hideMark/>
          </w:tcPr>
          <w:p w14:paraId="679C9918" w14:textId="77777777" w:rsidR="009D6D4E" w:rsidRPr="0043639F" w:rsidRDefault="009D6D4E" w:rsidP="00BF3B71">
            <w:pPr>
              <w:jc w:val="both"/>
              <w:rPr>
                <w:color w:val="000000"/>
                <w:sz w:val="18"/>
                <w:szCs w:val="18"/>
              </w:rPr>
            </w:pPr>
            <w:r w:rsidRPr="0043639F">
              <w:rPr>
                <w:color w:val="000000"/>
                <w:sz w:val="18"/>
                <w:szCs w:val="18"/>
              </w:rPr>
              <w:t xml:space="preserve">Subvencione dhe transfere </w:t>
            </w:r>
          </w:p>
        </w:tc>
        <w:tc>
          <w:tcPr>
            <w:tcW w:w="1710" w:type="dxa"/>
            <w:gridSpan w:val="2"/>
            <w:tcBorders>
              <w:top w:val="nil"/>
              <w:left w:val="nil"/>
              <w:bottom w:val="single" w:sz="4" w:space="0" w:color="auto"/>
              <w:right w:val="single" w:sz="4" w:space="0" w:color="auto"/>
            </w:tcBorders>
            <w:shd w:val="clear" w:color="auto" w:fill="auto"/>
            <w:vAlign w:val="center"/>
            <w:hideMark/>
          </w:tcPr>
          <w:p w14:paraId="7DAA0DA0" w14:textId="77777777" w:rsidR="009D6D4E" w:rsidRPr="0043639F" w:rsidRDefault="009D6D4E" w:rsidP="00BF3B71">
            <w:pPr>
              <w:jc w:val="both"/>
              <w:rPr>
                <w:color w:val="000000"/>
                <w:sz w:val="18"/>
                <w:szCs w:val="18"/>
              </w:rPr>
            </w:pPr>
            <w:r w:rsidRPr="0043639F">
              <w:rPr>
                <w:color w:val="000000"/>
                <w:sz w:val="18"/>
                <w:szCs w:val="18"/>
              </w:rPr>
              <w:t xml:space="preserve">Shpenzimet kapitale </w:t>
            </w:r>
          </w:p>
        </w:tc>
        <w:tc>
          <w:tcPr>
            <w:tcW w:w="1371" w:type="dxa"/>
            <w:gridSpan w:val="2"/>
            <w:tcBorders>
              <w:top w:val="nil"/>
              <w:left w:val="nil"/>
              <w:bottom w:val="single" w:sz="4" w:space="0" w:color="auto"/>
              <w:right w:val="single" w:sz="4" w:space="0" w:color="auto"/>
            </w:tcBorders>
            <w:shd w:val="clear" w:color="auto" w:fill="auto"/>
            <w:vAlign w:val="center"/>
            <w:hideMark/>
          </w:tcPr>
          <w:p w14:paraId="7FD9A024" w14:textId="77777777" w:rsidR="009D6D4E" w:rsidRPr="0043639F" w:rsidRDefault="009D6D4E" w:rsidP="00BF3B71">
            <w:pPr>
              <w:jc w:val="right"/>
              <w:rPr>
                <w:b/>
                <w:color w:val="000000"/>
                <w:sz w:val="18"/>
                <w:szCs w:val="18"/>
              </w:rPr>
            </w:pPr>
            <w:r w:rsidRPr="0043639F">
              <w:rPr>
                <w:b/>
                <w:color w:val="000000"/>
                <w:sz w:val="18"/>
                <w:szCs w:val="18"/>
              </w:rPr>
              <w:t>Totali</w:t>
            </w:r>
          </w:p>
        </w:tc>
      </w:tr>
      <w:tr w:rsidR="009D6D4E" w:rsidRPr="0043639F" w14:paraId="72B8ECF4" w14:textId="77777777" w:rsidTr="00BF3B71">
        <w:trPr>
          <w:trHeight w:val="237"/>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1A6C59C4" w14:textId="77777777" w:rsidR="009D6D4E" w:rsidRPr="0043639F" w:rsidRDefault="009D6D4E" w:rsidP="00BF3B71">
            <w:pPr>
              <w:jc w:val="both"/>
              <w:rPr>
                <w:color w:val="000000"/>
                <w:sz w:val="18"/>
                <w:szCs w:val="18"/>
              </w:rPr>
            </w:pPr>
            <w:r w:rsidRPr="0043639F">
              <w:rPr>
                <w:color w:val="000000"/>
                <w:sz w:val="18"/>
                <w:szCs w:val="18"/>
              </w:rPr>
              <w:t>2020</w:t>
            </w:r>
          </w:p>
        </w:tc>
        <w:tc>
          <w:tcPr>
            <w:tcW w:w="2610" w:type="dxa"/>
            <w:gridSpan w:val="3"/>
            <w:tcBorders>
              <w:top w:val="nil"/>
              <w:left w:val="nil"/>
              <w:bottom w:val="single" w:sz="4" w:space="0" w:color="auto"/>
              <w:right w:val="single" w:sz="4" w:space="0" w:color="auto"/>
            </w:tcBorders>
            <w:shd w:val="clear" w:color="auto" w:fill="auto"/>
            <w:vAlign w:val="center"/>
            <w:hideMark/>
          </w:tcPr>
          <w:p w14:paraId="49BC7218" w14:textId="77777777" w:rsidR="009D6D4E" w:rsidRPr="0043639F" w:rsidRDefault="009D6D4E" w:rsidP="00BF3B71">
            <w:pPr>
              <w:rPr>
                <w:color w:val="000000"/>
                <w:sz w:val="18"/>
                <w:szCs w:val="18"/>
              </w:rPr>
            </w:pPr>
            <w:r w:rsidRPr="0043639F">
              <w:rPr>
                <w:color w:val="000000"/>
                <w:sz w:val="18"/>
                <w:szCs w:val="18"/>
              </w:rPr>
              <w:t> </w:t>
            </w:r>
          </w:p>
        </w:tc>
        <w:tc>
          <w:tcPr>
            <w:tcW w:w="2250" w:type="dxa"/>
            <w:gridSpan w:val="3"/>
            <w:tcBorders>
              <w:top w:val="nil"/>
              <w:left w:val="nil"/>
              <w:bottom w:val="single" w:sz="4" w:space="0" w:color="auto"/>
              <w:right w:val="single" w:sz="4" w:space="0" w:color="auto"/>
            </w:tcBorders>
            <w:shd w:val="clear" w:color="auto" w:fill="auto"/>
            <w:vAlign w:val="center"/>
            <w:hideMark/>
          </w:tcPr>
          <w:p w14:paraId="5D71DDE8" w14:textId="77777777" w:rsidR="009D6D4E" w:rsidRPr="0043639F" w:rsidRDefault="009D6D4E" w:rsidP="00BF3B71">
            <w:pPr>
              <w:rPr>
                <w:color w:val="000000"/>
                <w:sz w:val="18"/>
                <w:szCs w:val="18"/>
              </w:rPr>
            </w:pPr>
            <w:r w:rsidRPr="0043639F">
              <w:rPr>
                <w:color w:val="000000"/>
                <w:sz w:val="18"/>
                <w:szCs w:val="18"/>
              </w:rPr>
              <w:t xml:space="preserve">                            49,000 </w:t>
            </w:r>
          </w:p>
        </w:tc>
        <w:tc>
          <w:tcPr>
            <w:tcW w:w="1440" w:type="dxa"/>
            <w:gridSpan w:val="2"/>
            <w:tcBorders>
              <w:top w:val="nil"/>
              <w:left w:val="nil"/>
              <w:bottom w:val="single" w:sz="4" w:space="0" w:color="auto"/>
              <w:right w:val="single" w:sz="4" w:space="0" w:color="auto"/>
            </w:tcBorders>
            <w:shd w:val="clear" w:color="auto" w:fill="auto"/>
            <w:vAlign w:val="center"/>
            <w:hideMark/>
          </w:tcPr>
          <w:p w14:paraId="745AE94A" w14:textId="77777777" w:rsidR="009D6D4E" w:rsidRPr="0043639F" w:rsidRDefault="009D6D4E" w:rsidP="00BF3B71">
            <w:pPr>
              <w:jc w:val="both"/>
              <w:rPr>
                <w:color w:val="000000"/>
                <w:sz w:val="18"/>
                <w:szCs w:val="18"/>
              </w:rPr>
            </w:pPr>
            <w:r w:rsidRPr="0043639F">
              <w:rPr>
                <w:color w:val="000000"/>
                <w:sz w:val="18"/>
                <w:szCs w:val="18"/>
              </w:rPr>
              <w:t> </w:t>
            </w:r>
          </w:p>
        </w:tc>
        <w:tc>
          <w:tcPr>
            <w:tcW w:w="1710" w:type="dxa"/>
            <w:gridSpan w:val="2"/>
            <w:tcBorders>
              <w:top w:val="nil"/>
              <w:left w:val="nil"/>
              <w:bottom w:val="single" w:sz="4" w:space="0" w:color="auto"/>
              <w:right w:val="single" w:sz="4" w:space="0" w:color="auto"/>
            </w:tcBorders>
            <w:shd w:val="clear" w:color="auto" w:fill="auto"/>
            <w:vAlign w:val="center"/>
            <w:hideMark/>
          </w:tcPr>
          <w:p w14:paraId="5EB4BE2E" w14:textId="77777777" w:rsidR="009D6D4E" w:rsidRPr="0043639F" w:rsidRDefault="009D6D4E" w:rsidP="00BF3B71">
            <w:pPr>
              <w:jc w:val="both"/>
              <w:rPr>
                <w:color w:val="000000"/>
                <w:sz w:val="18"/>
                <w:szCs w:val="18"/>
              </w:rPr>
            </w:pPr>
            <w:r w:rsidRPr="0043639F">
              <w:rPr>
                <w:color w:val="000000"/>
                <w:sz w:val="18"/>
                <w:szCs w:val="18"/>
              </w:rPr>
              <w:t> </w:t>
            </w:r>
          </w:p>
        </w:tc>
        <w:tc>
          <w:tcPr>
            <w:tcW w:w="1371" w:type="dxa"/>
            <w:gridSpan w:val="2"/>
            <w:tcBorders>
              <w:top w:val="nil"/>
              <w:left w:val="nil"/>
              <w:bottom w:val="single" w:sz="4" w:space="0" w:color="auto"/>
              <w:right w:val="single" w:sz="4" w:space="0" w:color="auto"/>
            </w:tcBorders>
            <w:shd w:val="clear" w:color="000000" w:fill="FFFFFF"/>
            <w:vAlign w:val="center"/>
            <w:hideMark/>
          </w:tcPr>
          <w:p w14:paraId="56F0E61E" w14:textId="77777777" w:rsidR="009D6D4E" w:rsidRPr="0043639F" w:rsidRDefault="009D6D4E" w:rsidP="00BF3B71">
            <w:pPr>
              <w:jc w:val="right"/>
              <w:rPr>
                <w:b/>
                <w:color w:val="000000"/>
                <w:sz w:val="18"/>
                <w:szCs w:val="18"/>
              </w:rPr>
            </w:pPr>
            <w:r w:rsidRPr="0043639F">
              <w:rPr>
                <w:b/>
                <w:color w:val="000000"/>
                <w:sz w:val="18"/>
                <w:szCs w:val="18"/>
              </w:rPr>
              <w:t xml:space="preserve">                            49,000 </w:t>
            </w:r>
          </w:p>
        </w:tc>
      </w:tr>
      <w:tr w:rsidR="009D6D4E" w:rsidRPr="0043639F" w14:paraId="144AC170" w14:textId="77777777" w:rsidTr="00BF3B71">
        <w:trPr>
          <w:trHeight w:val="237"/>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3B674799" w14:textId="77777777" w:rsidR="009D6D4E" w:rsidRPr="0043639F" w:rsidRDefault="009D6D4E" w:rsidP="00BF3B71">
            <w:pPr>
              <w:jc w:val="both"/>
              <w:rPr>
                <w:color w:val="000000"/>
                <w:sz w:val="18"/>
                <w:szCs w:val="18"/>
              </w:rPr>
            </w:pPr>
            <w:r w:rsidRPr="0043639F">
              <w:rPr>
                <w:color w:val="000000"/>
                <w:sz w:val="18"/>
                <w:szCs w:val="18"/>
              </w:rPr>
              <w:t>2021</w:t>
            </w:r>
          </w:p>
        </w:tc>
        <w:tc>
          <w:tcPr>
            <w:tcW w:w="2610" w:type="dxa"/>
            <w:gridSpan w:val="3"/>
            <w:tcBorders>
              <w:top w:val="nil"/>
              <w:left w:val="nil"/>
              <w:bottom w:val="single" w:sz="4" w:space="0" w:color="auto"/>
              <w:right w:val="single" w:sz="4" w:space="0" w:color="auto"/>
            </w:tcBorders>
            <w:shd w:val="clear" w:color="auto" w:fill="auto"/>
            <w:vAlign w:val="center"/>
            <w:hideMark/>
          </w:tcPr>
          <w:p w14:paraId="04329546" w14:textId="77777777" w:rsidR="009D6D4E" w:rsidRPr="0043639F" w:rsidRDefault="009D6D4E" w:rsidP="00BF3B71">
            <w:pPr>
              <w:rPr>
                <w:color w:val="000000"/>
                <w:sz w:val="18"/>
                <w:szCs w:val="18"/>
              </w:rPr>
            </w:pPr>
            <w:r w:rsidRPr="0043639F">
              <w:rPr>
                <w:color w:val="000000"/>
                <w:sz w:val="18"/>
                <w:szCs w:val="18"/>
              </w:rPr>
              <w:t xml:space="preserve">                      18,000 </w:t>
            </w:r>
          </w:p>
        </w:tc>
        <w:tc>
          <w:tcPr>
            <w:tcW w:w="2250" w:type="dxa"/>
            <w:gridSpan w:val="3"/>
            <w:tcBorders>
              <w:top w:val="nil"/>
              <w:left w:val="nil"/>
              <w:bottom w:val="single" w:sz="4" w:space="0" w:color="auto"/>
              <w:right w:val="single" w:sz="4" w:space="0" w:color="auto"/>
            </w:tcBorders>
            <w:shd w:val="clear" w:color="auto" w:fill="auto"/>
            <w:vAlign w:val="center"/>
            <w:hideMark/>
          </w:tcPr>
          <w:p w14:paraId="239545FE" w14:textId="77777777" w:rsidR="009D6D4E" w:rsidRPr="0043639F" w:rsidRDefault="009D6D4E" w:rsidP="00BF3B71">
            <w:pPr>
              <w:rPr>
                <w:color w:val="000000"/>
                <w:sz w:val="18"/>
                <w:szCs w:val="18"/>
              </w:rPr>
            </w:pPr>
            <w:r w:rsidRPr="0043639F">
              <w:rPr>
                <w:color w:val="000000"/>
                <w:sz w:val="18"/>
                <w:szCs w:val="18"/>
              </w:rPr>
              <w:t xml:space="preserve">                            37,000 </w:t>
            </w:r>
          </w:p>
        </w:tc>
        <w:tc>
          <w:tcPr>
            <w:tcW w:w="1440" w:type="dxa"/>
            <w:gridSpan w:val="2"/>
            <w:tcBorders>
              <w:top w:val="nil"/>
              <w:left w:val="nil"/>
              <w:bottom w:val="single" w:sz="4" w:space="0" w:color="auto"/>
              <w:right w:val="single" w:sz="4" w:space="0" w:color="auto"/>
            </w:tcBorders>
            <w:shd w:val="clear" w:color="auto" w:fill="auto"/>
            <w:vAlign w:val="center"/>
            <w:hideMark/>
          </w:tcPr>
          <w:p w14:paraId="30AAF784" w14:textId="77777777" w:rsidR="009D6D4E" w:rsidRPr="0043639F" w:rsidRDefault="009D6D4E" w:rsidP="00BF3B71">
            <w:pPr>
              <w:jc w:val="both"/>
              <w:rPr>
                <w:color w:val="000000"/>
                <w:sz w:val="18"/>
                <w:szCs w:val="18"/>
              </w:rPr>
            </w:pPr>
            <w:r w:rsidRPr="0043639F">
              <w:rPr>
                <w:color w:val="000000"/>
                <w:sz w:val="18"/>
                <w:szCs w:val="18"/>
              </w:rPr>
              <w:t> </w:t>
            </w:r>
          </w:p>
        </w:tc>
        <w:tc>
          <w:tcPr>
            <w:tcW w:w="1710" w:type="dxa"/>
            <w:gridSpan w:val="2"/>
            <w:tcBorders>
              <w:top w:val="nil"/>
              <w:left w:val="nil"/>
              <w:bottom w:val="single" w:sz="4" w:space="0" w:color="auto"/>
              <w:right w:val="single" w:sz="4" w:space="0" w:color="auto"/>
            </w:tcBorders>
            <w:shd w:val="clear" w:color="auto" w:fill="auto"/>
            <w:vAlign w:val="center"/>
            <w:hideMark/>
          </w:tcPr>
          <w:p w14:paraId="29E65F6B" w14:textId="77777777" w:rsidR="009D6D4E" w:rsidRPr="0043639F" w:rsidRDefault="009D6D4E" w:rsidP="00BF3B71">
            <w:pPr>
              <w:jc w:val="both"/>
              <w:rPr>
                <w:color w:val="000000"/>
                <w:sz w:val="18"/>
                <w:szCs w:val="18"/>
              </w:rPr>
            </w:pPr>
            <w:r w:rsidRPr="0043639F">
              <w:rPr>
                <w:color w:val="000000"/>
                <w:sz w:val="18"/>
                <w:szCs w:val="18"/>
              </w:rPr>
              <w:t> </w:t>
            </w:r>
          </w:p>
        </w:tc>
        <w:tc>
          <w:tcPr>
            <w:tcW w:w="1371" w:type="dxa"/>
            <w:gridSpan w:val="2"/>
            <w:tcBorders>
              <w:top w:val="nil"/>
              <w:left w:val="nil"/>
              <w:bottom w:val="single" w:sz="4" w:space="0" w:color="auto"/>
              <w:right w:val="single" w:sz="4" w:space="0" w:color="auto"/>
            </w:tcBorders>
            <w:shd w:val="clear" w:color="000000" w:fill="FFFFFF"/>
            <w:vAlign w:val="center"/>
            <w:hideMark/>
          </w:tcPr>
          <w:p w14:paraId="05E744E5" w14:textId="77777777" w:rsidR="009D6D4E" w:rsidRPr="0043639F" w:rsidRDefault="009D6D4E" w:rsidP="00BF3B71">
            <w:pPr>
              <w:jc w:val="right"/>
              <w:rPr>
                <w:b/>
                <w:color w:val="000000"/>
                <w:sz w:val="18"/>
                <w:szCs w:val="18"/>
              </w:rPr>
            </w:pPr>
            <w:r w:rsidRPr="0043639F">
              <w:rPr>
                <w:b/>
                <w:color w:val="000000"/>
                <w:sz w:val="18"/>
                <w:szCs w:val="18"/>
              </w:rPr>
              <w:t xml:space="preserve">                            55,000 </w:t>
            </w:r>
          </w:p>
        </w:tc>
      </w:tr>
      <w:tr w:rsidR="009D6D4E" w:rsidRPr="0043639F" w14:paraId="1D0470A4" w14:textId="77777777" w:rsidTr="00BF3B71">
        <w:trPr>
          <w:trHeight w:val="237"/>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12EB9AAA" w14:textId="77777777" w:rsidR="009D6D4E" w:rsidRPr="0043639F" w:rsidRDefault="009D6D4E" w:rsidP="00BF3B71">
            <w:pPr>
              <w:jc w:val="both"/>
              <w:rPr>
                <w:color w:val="000000"/>
                <w:sz w:val="18"/>
                <w:szCs w:val="18"/>
              </w:rPr>
            </w:pPr>
            <w:r w:rsidRPr="0043639F">
              <w:rPr>
                <w:color w:val="000000"/>
                <w:sz w:val="18"/>
                <w:szCs w:val="18"/>
              </w:rPr>
              <w:t>2022</w:t>
            </w:r>
          </w:p>
        </w:tc>
        <w:tc>
          <w:tcPr>
            <w:tcW w:w="2610" w:type="dxa"/>
            <w:gridSpan w:val="3"/>
            <w:tcBorders>
              <w:top w:val="nil"/>
              <w:left w:val="nil"/>
              <w:bottom w:val="single" w:sz="4" w:space="0" w:color="auto"/>
              <w:right w:val="single" w:sz="4" w:space="0" w:color="auto"/>
            </w:tcBorders>
            <w:shd w:val="clear" w:color="auto" w:fill="auto"/>
            <w:vAlign w:val="center"/>
            <w:hideMark/>
          </w:tcPr>
          <w:p w14:paraId="73992F57" w14:textId="77777777" w:rsidR="009D6D4E" w:rsidRPr="0043639F" w:rsidRDefault="009D6D4E" w:rsidP="00BF3B71">
            <w:pPr>
              <w:rPr>
                <w:color w:val="000000"/>
                <w:sz w:val="18"/>
                <w:szCs w:val="18"/>
              </w:rPr>
            </w:pPr>
            <w:r w:rsidRPr="0043639F">
              <w:rPr>
                <w:color w:val="000000"/>
                <w:sz w:val="18"/>
                <w:szCs w:val="18"/>
              </w:rPr>
              <w:t xml:space="preserve">                      33,000 </w:t>
            </w:r>
          </w:p>
        </w:tc>
        <w:tc>
          <w:tcPr>
            <w:tcW w:w="2250" w:type="dxa"/>
            <w:gridSpan w:val="3"/>
            <w:tcBorders>
              <w:top w:val="nil"/>
              <w:left w:val="nil"/>
              <w:bottom w:val="single" w:sz="4" w:space="0" w:color="auto"/>
              <w:right w:val="single" w:sz="4" w:space="0" w:color="auto"/>
            </w:tcBorders>
            <w:shd w:val="clear" w:color="auto" w:fill="auto"/>
            <w:vAlign w:val="center"/>
            <w:hideMark/>
          </w:tcPr>
          <w:p w14:paraId="56BA16AA" w14:textId="77777777" w:rsidR="009D6D4E" w:rsidRPr="0043639F" w:rsidRDefault="009D6D4E" w:rsidP="00BF3B71">
            <w:pPr>
              <w:rPr>
                <w:color w:val="000000"/>
                <w:sz w:val="18"/>
                <w:szCs w:val="18"/>
              </w:rPr>
            </w:pPr>
            <w:r w:rsidRPr="0043639F">
              <w:rPr>
                <w:color w:val="000000"/>
                <w:sz w:val="18"/>
                <w:szCs w:val="18"/>
              </w:rPr>
              <w:t xml:space="preserve">                            58,000 </w:t>
            </w:r>
          </w:p>
        </w:tc>
        <w:tc>
          <w:tcPr>
            <w:tcW w:w="1440" w:type="dxa"/>
            <w:gridSpan w:val="2"/>
            <w:tcBorders>
              <w:top w:val="nil"/>
              <w:left w:val="nil"/>
              <w:bottom w:val="single" w:sz="4" w:space="0" w:color="auto"/>
              <w:right w:val="single" w:sz="4" w:space="0" w:color="auto"/>
            </w:tcBorders>
            <w:shd w:val="clear" w:color="auto" w:fill="auto"/>
            <w:vAlign w:val="center"/>
            <w:hideMark/>
          </w:tcPr>
          <w:p w14:paraId="3C044D8D" w14:textId="77777777" w:rsidR="009D6D4E" w:rsidRPr="0043639F" w:rsidRDefault="009D6D4E" w:rsidP="00BF3B71">
            <w:pPr>
              <w:jc w:val="both"/>
              <w:rPr>
                <w:color w:val="000000"/>
                <w:sz w:val="18"/>
                <w:szCs w:val="18"/>
              </w:rPr>
            </w:pPr>
            <w:r w:rsidRPr="0043639F">
              <w:rPr>
                <w:color w:val="000000"/>
                <w:sz w:val="18"/>
                <w:szCs w:val="18"/>
              </w:rPr>
              <w:t xml:space="preserve">                                      -   </w:t>
            </w:r>
          </w:p>
        </w:tc>
        <w:tc>
          <w:tcPr>
            <w:tcW w:w="1710" w:type="dxa"/>
            <w:gridSpan w:val="2"/>
            <w:tcBorders>
              <w:top w:val="nil"/>
              <w:left w:val="nil"/>
              <w:bottom w:val="single" w:sz="4" w:space="0" w:color="auto"/>
              <w:right w:val="single" w:sz="4" w:space="0" w:color="auto"/>
            </w:tcBorders>
            <w:shd w:val="clear" w:color="auto" w:fill="auto"/>
            <w:vAlign w:val="center"/>
            <w:hideMark/>
          </w:tcPr>
          <w:p w14:paraId="0C1FF33E" w14:textId="77777777" w:rsidR="009D6D4E" w:rsidRPr="0043639F" w:rsidRDefault="009D6D4E" w:rsidP="00BF3B71">
            <w:pPr>
              <w:jc w:val="both"/>
              <w:rPr>
                <w:color w:val="000000"/>
                <w:sz w:val="18"/>
                <w:szCs w:val="18"/>
              </w:rPr>
            </w:pPr>
            <w:r w:rsidRPr="0043639F">
              <w:rPr>
                <w:color w:val="000000"/>
                <w:sz w:val="18"/>
                <w:szCs w:val="18"/>
              </w:rPr>
              <w:t xml:space="preserve">                                   -   </w:t>
            </w:r>
          </w:p>
        </w:tc>
        <w:tc>
          <w:tcPr>
            <w:tcW w:w="1371" w:type="dxa"/>
            <w:gridSpan w:val="2"/>
            <w:tcBorders>
              <w:top w:val="nil"/>
              <w:left w:val="nil"/>
              <w:bottom w:val="single" w:sz="4" w:space="0" w:color="auto"/>
              <w:right w:val="single" w:sz="4" w:space="0" w:color="auto"/>
            </w:tcBorders>
            <w:shd w:val="clear" w:color="000000" w:fill="FFFFFF"/>
            <w:vAlign w:val="center"/>
            <w:hideMark/>
          </w:tcPr>
          <w:p w14:paraId="40C33CE8" w14:textId="77777777" w:rsidR="009D6D4E" w:rsidRPr="0043639F" w:rsidRDefault="009D6D4E" w:rsidP="00BF3B71">
            <w:pPr>
              <w:jc w:val="right"/>
              <w:rPr>
                <w:b/>
                <w:color w:val="000000"/>
                <w:sz w:val="18"/>
                <w:szCs w:val="18"/>
              </w:rPr>
            </w:pPr>
            <w:r w:rsidRPr="0043639F">
              <w:rPr>
                <w:b/>
                <w:color w:val="000000"/>
                <w:sz w:val="18"/>
                <w:szCs w:val="18"/>
              </w:rPr>
              <w:t xml:space="preserve">                            91,000 </w:t>
            </w:r>
          </w:p>
        </w:tc>
      </w:tr>
      <w:tr w:rsidR="009D6D4E" w:rsidRPr="0043639F" w14:paraId="22B3BEB4" w14:textId="77777777" w:rsidTr="00BF3B71">
        <w:trPr>
          <w:trHeight w:val="371"/>
        </w:trPr>
        <w:tc>
          <w:tcPr>
            <w:tcW w:w="10366" w:type="dxa"/>
            <w:gridSpan w:val="13"/>
            <w:tcBorders>
              <w:top w:val="single" w:sz="8" w:space="0" w:color="auto"/>
              <w:left w:val="single" w:sz="8" w:space="0" w:color="auto"/>
              <w:bottom w:val="single" w:sz="8" w:space="0" w:color="auto"/>
              <w:right w:val="single" w:sz="8" w:space="0" w:color="000000"/>
            </w:tcBorders>
            <w:shd w:val="clear" w:color="auto" w:fill="auto"/>
            <w:vAlign w:val="center"/>
            <w:hideMark/>
          </w:tcPr>
          <w:p w14:paraId="4E620DAF" w14:textId="77777777" w:rsidR="009D6D4E" w:rsidRPr="0043639F" w:rsidRDefault="009D6D4E" w:rsidP="00BF3B71">
            <w:pPr>
              <w:rPr>
                <w:b/>
                <w:bCs/>
                <w:color w:val="000000"/>
                <w:sz w:val="18"/>
                <w:szCs w:val="18"/>
              </w:rPr>
            </w:pPr>
            <w:r w:rsidRPr="0043639F">
              <w:rPr>
                <w:b/>
                <w:bCs/>
                <w:color w:val="000000"/>
                <w:sz w:val="18"/>
                <w:szCs w:val="18"/>
              </w:rPr>
              <w:t>Tabela 10.b:Financimi i masës së reformës strukturore:Masa# 16 Zhvillimi i edukimit në fëmijërinë e hershme me qasje gjithëpërfshirëse përmes plotësimit të infrastrukturës ligjore dhe kurrikulare</w:t>
            </w:r>
          </w:p>
        </w:tc>
      </w:tr>
      <w:tr w:rsidR="009D6D4E" w:rsidRPr="00CB6955" w14:paraId="62A62043" w14:textId="77777777" w:rsidTr="00BF3B71">
        <w:trPr>
          <w:trHeight w:val="417"/>
        </w:trPr>
        <w:tc>
          <w:tcPr>
            <w:tcW w:w="985" w:type="dxa"/>
            <w:tcBorders>
              <w:top w:val="nil"/>
              <w:left w:val="single" w:sz="8" w:space="0" w:color="auto"/>
              <w:bottom w:val="single" w:sz="8" w:space="0" w:color="auto"/>
              <w:right w:val="single" w:sz="8" w:space="0" w:color="auto"/>
            </w:tcBorders>
            <w:shd w:val="clear" w:color="auto" w:fill="auto"/>
            <w:vAlign w:val="center"/>
            <w:hideMark/>
          </w:tcPr>
          <w:p w14:paraId="64A7C7D8" w14:textId="77777777" w:rsidR="009D6D4E" w:rsidRPr="0043639F" w:rsidRDefault="009D6D4E" w:rsidP="00BF3B71">
            <w:pPr>
              <w:jc w:val="both"/>
              <w:rPr>
                <w:color w:val="000000"/>
                <w:sz w:val="18"/>
                <w:szCs w:val="18"/>
              </w:rPr>
            </w:pPr>
            <w:r w:rsidRPr="0043639F">
              <w:rPr>
                <w:color w:val="000000"/>
                <w:sz w:val="18"/>
                <w:szCs w:val="18"/>
              </w:rPr>
              <w:t xml:space="preserve">Viti </w:t>
            </w:r>
          </w:p>
        </w:tc>
        <w:tc>
          <w:tcPr>
            <w:tcW w:w="729" w:type="dxa"/>
            <w:tcBorders>
              <w:top w:val="nil"/>
              <w:left w:val="nil"/>
              <w:bottom w:val="single" w:sz="8" w:space="0" w:color="auto"/>
              <w:right w:val="single" w:sz="8" w:space="0" w:color="auto"/>
            </w:tcBorders>
            <w:shd w:val="clear" w:color="auto" w:fill="auto"/>
            <w:vAlign w:val="center"/>
            <w:hideMark/>
          </w:tcPr>
          <w:p w14:paraId="13AA9C1D" w14:textId="77777777" w:rsidR="009D6D4E" w:rsidRPr="0043639F" w:rsidRDefault="009D6D4E" w:rsidP="00BF3B71">
            <w:pPr>
              <w:jc w:val="both"/>
              <w:rPr>
                <w:color w:val="000000"/>
                <w:sz w:val="18"/>
                <w:szCs w:val="18"/>
              </w:rPr>
            </w:pPr>
            <w:r w:rsidRPr="0043639F">
              <w:rPr>
                <w:color w:val="000000"/>
                <w:sz w:val="18"/>
                <w:szCs w:val="18"/>
              </w:rPr>
              <w:t>Buxheti Qendror</w:t>
            </w:r>
          </w:p>
        </w:tc>
        <w:tc>
          <w:tcPr>
            <w:tcW w:w="846" w:type="dxa"/>
            <w:tcBorders>
              <w:top w:val="nil"/>
              <w:left w:val="nil"/>
              <w:bottom w:val="single" w:sz="8" w:space="0" w:color="auto"/>
              <w:right w:val="single" w:sz="8" w:space="0" w:color="auto"/>
            </w:tcBorders>
            <w:shd w:val="clear" w:color="auto" w:fill="auto"/>
            <w:vAlign w:val="center"/>
            <w:hideMark/>
          </w:tcPr>
          <w:p w14:paraId="1333B491" w14:textId="77777777" w:rsidR="009D6D4E" w:rsidRPr="0043639F" w:rsidRDefault="009D6D4E" w:rsidP="00BF3B71">
            <w:pPr>
              <w:jc w:val="both"/>
              <w:rPr>
                <w:color w:val="000000"/>
                <w:sz w:val="18"/>
                <w:szCs w:val="18"/>
              </w:rPr>
            </w:pPr>
            <w:r w:rsidRPr="0043639F">
              <w:rPr>
                <w:color w:val="000000"/>
                <w:sz w:val="18"/>
                <w:szCs w:val="18"/>
              </w:rPr>
              <w:t>Buxheti komunal</w:t>
            </w:r>
          </w:p>
        </w:tc>
        <w:tc>
          <w:tcPr>
            <w:tcW w:w="1638" w:type="dxa"/>
            <w:gridSpan w:val="2"/>
            <w:tcBorders>
              <w:top w:val="nil"/>
              <w:left w:val="nil"/>
              <w:bottom w:val="single" w:sz="8" w:space="0" w:color="auto"/>
              <w:right w:val="single" w:sz="8" w:space="0" w:color="auto"/>
            </w:tcBorders>
            <w:shd w:val="clear" w:color="auto" w:fill="auto"/>
            <w:vAlign w:val="center"/>
            <w:hideMark/>
          </w:tcPr>
          <w:p w14:paraId="41A2E2B6" w14:textId="77777777" w:rsidR="009D6D4E" w:rsidRPr="0043639F" w:rsidRDefault="009D6D4E" w:rsidP="00BF3B71">
            <w:pPr>
              <w:jc w:val="both"/>
              <w:rPr>
                <w:color w:val="000000"/>
                <w:sz w:val="18"/>
                <w:szCs w:val="18"/>
              </w:rPr>
            </w:pPr>
            <w:r w:rsidRPr="0043639F">
              <w:rPr>
                <w:color w:val="000000"/>
                <w:sz w:val="18"/>
                <w:szCs w:val="18"/>
              </w:rPr>
              <w:t xml:space="preserve">Burimet e tjera të financimit publik </w:t>
            </w:r>
          </w:p>
        </w:tc>
        <w:tc>
          <w:tcPr>
            <w:tcW w:w="958" w:type="dxa"/>
            <w:tcBorders>
              <w:top w:val="nil"/>
              <w:left w:val="nil"/>
              <w:bottom w:val="single" w:sz="8" w:space="0" w:color="auto"/>
              <w:right w:val="single" w:sz="8" w:space="0" w:color="auto"/>
            </w:tcBorders>
            <w:shd w:val="clear" w:color="auto" w:fill="auto"/>
            <w:vAlign w:val="center"/>
            <w:hideMark/>
          </w:tcPr>
          <w:p w14:paraId="20E03743" w14:textId="77777777" w:rsidR="009D6D4E" w:rsidRPr="0043639F" w:rsidRDefault="009D6D4E" w:rsidP="00BF3B71">
            <w:pPr>
              <w:jc w:val="both"/>
              <w:rPr>
                <w:color w:val="000000"/>
                <w:sz w:val="18"/>
                <w:szCs w:val="18"/>
              </w:rPr>
            </w:pPr>
            <w:r w:rsidRPr="0043639F">
              <w:rPr>
                <w:color w:val="000000"/>
                <w:sz w:val="18"/>
                <w:szCs w:val="18"/>
              </w:rPr>
              <w:t xml:space="preserve">Fondet e IPA-së </w:t>
            </w:r>
          </w:p>
        </w:tc>
        <w:tc>
          <w:tcPr>
            <w:tcW w:w="1661" w:type="dxa"/>
            <w:gridSpan w:val="2"/>
            <w:tcBorders>
              <w:top w:val="nil"/>
              <w:left w:val="nil"/>
              <w:bottom w:val="single" w:sz="8" w:space="0" w:color="auto"/>
              <w:right w:val="single" w:sz="8" w:space="0" w:color="auto"/>
            </w:tcBorders>
            <w:shd w:val="clear" w:color="auto" w:fill="auto"/>
            <w:vAlign w:val="center"/>
            <w:hideMark/>
          </w:tcPr>
          <w:p w14:paraId="54B4C255" w14:textId="77777777" w:rsidR="009D6D4E" w:rsidRPr="0043639F" w:rsidRDefault="009D6D4E" w:rsidP="00BF3B71">
            <w:pPr>
              <w:jc w:val="both"/>
              <w:rPr>
                <w:color w:val="000000"/>
                <w:sz w:val="18"/>
                <w:szCs w:val="18"/>
              </w:rPr>
            </w:pPr>
            <w:r w:rsidRPr="0043639F">
              <w:rPr>
                <w:color w:val="000000"/>
                <w:sz w:val="18"/>
                <w:szCs w:val="18"/>
              </w:rPr>
              <w:t xml:space="preserve">Grante të tjera </w:t>
            </w:r>
          </w:p>
        </w:tc>
        <w:tc>
          <w:tcPr>
            <w:tcW w:w="892" w:type="dxa"/>
            <w:gridSpan w:val="2"/>
            <w:tcBorders>
              <w:top w:val="nil"/>
              <w:left w:val="nil"/>
              <w:bottom w:val="single" w:sz="8" w:space="0" w:color="auto"/>
              <w:right w:val="single" w:sz="8" w:space="0" w:color="auto"/>
            </w:tcBorders>
            <w:shd w:val="clear" w:color="auto" w:fill="auto"/>
            <w:vAlign w:val="center"/>
            <w:hideMark/>
          </w:tcPr>
          <w:p w14:paraId="35900B2D" w14:textId="77777777" w:rsidR="009D6D4E" w:rsidRPr="0043639F" w:rsidRDefault="009D6D4E" w:rsidP="00BF3B71">
            <w:pPr>
              <w:jc w:val="both"/>
              <w:rPr>
                <w:color w:val="000000"/>
                <w:sz w:val="18"/>
                <w:szCs w:val="18"/>
              </w:rPr>
            </w:pPr>
            <w:r w:rsidRPr="0043639F">
              <w:rPr>
                <w:color w:val="000000"/>
                <w:sz w:val="18"/>
                <w:szCs w:val="18"/>
              </w:rPr>
              <w:t xml:space="preserve">Kredi për projekte </w:t>
            </w:r>
          </w:p>
        </w:tc>
        <w:tc>
          <w:tcPr>
            <w:tcW w:w="1673" w:type="dxa"/>
            <w:gridSpan w:val="2"/>
            <w:tcBorders>
              <w:top w:val="nil"/>
              <w:left w:val="nil"/>
              <w:bottom w:val="single" w:sz="8" w:space="0" w:color="auto"/>
              <w:right w:val="single" w:sz="8" w:space="0" w:color="auto"/>
            </w:tcBorders>
            <w:shd w:val="clear" w:color="auto" w:fill="auto"/>
            <w:vAlign w:val="center"/>
            <w:hideMark/>
          </w:tcPr>
          <w:p w14:paraId="72097E15" w14:textId="77777777" w:rsidR="009D6D4E" w:rsidRPr="0043639F" w:rsidRDefault="009D6D4E" w:rsidP="00BF3B71">
            <w:pPr>
              <w:jc w:val="both"/>
              <w:rPr>
                <w:color w:val="000000"/>
                <w:sz w:val="18"/>
                <w:szCs w:val="18"/>
              </w:rPr>
            </w:pPr>
            <w:r w:rsidRPr="0043639F">
              <w:rPr>
                <w:color w:val="000000"/>
                <w:sz w:val="18"/>
                <w:szCs w:val="18"/>
              </w:rPr>
              <w:t xml:space="preserve">Të përcaktohet </w:t>
            </w:r>
          </w:p>
        </w:tc>
        <w:tc>
          <w:tcPr>
            <w:tcW w:w="984" w:type="dxa"/>
            <w:tcBorders>
              <w:top w:val="nil"/>
              <w:left w:val="nil"/>
              <w:bottom w:val="single" w:sz="8" w:space="0" w:color="auto"/>
              <w:right w:val="single" w:sz="8" w:space="0" w:color="auto"/>
            </w:tcBorders>
            <w:shd w:val="clear" w:color="auto" w:fill="auto"/>
            <w:vAlign w:val="center"/>
            <w:hideMark/>
          </w:tcPr>
          <w:p w14:paraId="7136E96E" w14:textId="77777777" w:rsidR="009D6D4E" w:rsidRPr="00CB6955" w:rsidRDefault="009D6D4E" w:rsidP="00BF3B71">
            <w:pPr>
              <w:jc w:val="right"/>
              <w:rPr>
                <w:b/>
                <w:color w:val="000000"/>
                <w:sz w:val="18"/>
                <w:szCs w:val="18"/>
              </w:rPr>
            </w:pPr>
            <w:r w:rsidRPr="00CB6955">
              <w:rPr>
                <w:b/>
                <w:color w:val="000000"/>
                <w:sz w:val="18"/>
                <w:szCs w:val="18"/>
              </w:rPr>
              <w:t xml:space="preserve">Totali </w:t>
            </w:r>
          </w:p>
        </w:tc>
      </w:tr>
      <w:tr w:rsidR="009D6D4E" w:rsidRPr="0043639F" w14:paraId="76EEAD39" w14:textId="77777777" w:rsidTr="00BF3B71">
        <w:trPr>
          <w:trHeight w:val="417"/>
        </w:trPr>
        <w:tc>
          <w:tcPr>
            <w:tcW w:w="985" w:type="dxa"/>
            <w:tcBorders>
              <w:top w:val="nil"/>
              <w:left w:val="single" w:sz="8" w:space="0" w:color="auto"/>
              <w:bottom w:val="single" w:sz="8" w:space="0" w:color="auto"/>
              <w:right w:val="single" w:sz="8" w:space="0" w:color="auto"/>
            </w:tcBorders>
            <w:shd w:val="clear" w:color="auto" w:fill="auto"/>
            <w:vAlign w:val="center"/>
            <w:hideMark/>
          </w:tcPr>
          <w:p w14:paraId="1A309B8F" w14:textId="77777777" w:rsidR="009D6D4E" w:rsidRPr="0043639F" w:rsidRDefault="009D6D4E" w:rsidP="00BF3B71">
            <w:pPr>
              <w:jc w:val="both"/>
              <w:rPr>
                <w:color w:val="000000"/>
                <w:sz w:val="18"/>
                <w:szCs w:val="18"/>
              </w:rPr>
            </w:pPr>
            <w:r w:rsidRPr="0043639F">
              <w:rPr>
                <w:color w:val="000000"/>
                <w:sz w:val="18"/>
                <w:szCs w:val="18"/>
              </w:rPr>
              <w:t>2020</w:t>
            </w:r>
          </w:p>
        </w:tc>
        <w:tc>
          <w:tcPr>
            <w:tcW w:w="729" w:type="dxa"/>
            <w:tcBorders>
              <w:top w:val="nil"/>
              <w:left w:val="nil"/>
              <w:bottom w:val="single" w:sz="8" w:space="0" w:color="auto"/>
              <w:right w:val="single" w:sz="8" w:space="0" w:color="auto"/>
            </w:tcBorders>
            <w:shd w:val="clear" w:color="auto" w:fill="auto"/>
            <w:vAlign w:val="center"/>
            <w:hideMark/>
          </w:tcPr>
          <w:p w14:paraId="55CC8208" w14:textId="77777777" w:rsidR="009D6D4E" w:rsidRPr="0043639F" w:rsidRDefault="009D6D4E" w:rsidP="00BF3B71">
            <w:pPr>
              <w:jc w:val="right"/>
              <w:rPr>
                <w:color w:val="000000"/>
                <w:sz w:val="18"/>
                <w:szCs w:val="18"/>
              </w:rPr>
            </w:pPr>
            <w:r w:rsidRPr="0043639F">
              <w:rPr>
                <w:color w:val="000000"/>
                <w:sz w:val="18"/>
                <w:szCs w:val="18"/>
              </w:rPr>
              <w:t>49,000.00</w:t>
            </w:r>
          </w:p>
        </w:tc>
        <w:tc>
          <w:tcPr>
            <w:tcW w:w="846" w:type="dxa"/>
            <w:tcBorders>
              <w:top w:val="nil"/>
              <w:left w:val="nil"/>
              <w:bottom w:val="single" w:sz="8" w:space="0" w:color="auto"/>
              <w:right w:val="single" w:sz="8" w:space="0" w:color="auto"/>
            </w:tcBorders>
            <w:shd w:val="clear" w:color="auto" w:fill="auto"/>
            <w:vAlign w:val="center"/>
            <w:hideMark/>
          </w:tcPr>
          <w:p w14:paraId="21A558E1" w14:textId="77777777" w:rsidR="009D6D4E" w:rsidRPr="0043639F" w:rsidRDefault="009D6D4E" w:rsidP="00BF3B71">
            <w:pPr>
              <w:jc w:val="center"/>
              <w:rPr>
                <w:color w:val="000000"/>
                <w:sz w:val="18"/>
                <w:szCs w:val="18"/>
              </w:rPr>
            </w:pPr>
            <w:r w:rsidRPr="0043639F">
              <w:rPr>
                <w:color w:val="000000"/>
                <w:sz w:val="18"/>
                <w:szCs w:val="18"/>
              </w:rPr>
              <w:t>0.00</w:t>
            </w:r>
          </w:p>
        </w:tc>
        <w:tc>
          <w:tcPr>
            <w:tcW w:w="1638" w:type="dxa"/>
            <w:gridSpan w:val="2"/>
            <w:tcBorders>
              <w:top w:val="nil"/>
              <w:left w:val="nil"/>
              <w:bottom w:val="single" w:sz="8" w:space="0" w:color="auto"/>
              <w:right w:val="single" w:sz="8" w:space="0" w:color="auto"/>
            </w:tcBorders>
            <w:shd w:val="clear" w:color="auto" w:fill="auto"/>
            <w:vAlign w:val="center"/>
            <w:hideMark/>
          </w:tcPr>
          <w:p w14:paraId="5F4F7FC3" w14:textId="77777777" w:rsidR="009D6D4E" w:rsidRPr="0043639F" w:rsidRDefault="009D6D4E" w:rsidP="00BF3B71">
            <w:pPr>
              <w:jc w:val="center"/>
              <w:rPr>
                <w:color w:val="000000"/>
                <w:sz w:val="18"/>
                <w:szCs w:val="18"/>
              </w:rPr>
            </w:pPr>
            <w:r w:rsidRPr="0043639F">
              <w:rPr>
                <w:color w:val="000000"/>
                <w:sz w:val="18"/>
                <w:szCs w:val="18"/>
              </w:rPr>
              <w:t>0.00</w:t>
            </w:r>
          </w:p>
        </w:tc>
        <w:tc>
          <w:tcPr>
            <w:tcW w:w="958" w:type="dxa"/>
            <w:tcBorders>
              <w:top w:val="nil"/>
              <w:left w:val="nil"/>
              <w:bottom w:val="single" w:sz="8" w:space="0" w:color="auto"/>
              <w:right w:val="single" w:sz="8" w:space="0" w:color="auto"/>
            </w:tcBorders>
            <w:shd w:val="clear" w:color="auto" w:fill="auto"/>
            <w:vAlign w:val="center"/>
            <w:hideMark/>
          </w:tcPr>
          <w:p w14:paraId="07E53562" w14:textId="77777777" w:rsidR="009D6D4E" w:rsidRPr="0043639F" w:rsidRDefault="009D6D4E" w:rsidP="00BF3B71">
            <w:pPr>
              <w:jc w:val="center"/>
              <w:rPr>
                <w:color w:val="000000"/>
                <w:sz w:val="18"/>
                <w:szCs w:val="18"/>
              </w:rPr>
            </w:pPr>
            <w:r w:rsidRPr="0043639F">
              <w:rPr>
                <w:color w:val="000000"/>
                <w:sz w:val="18"/>
                <w:szCs w:val="18"/>
              </w:rPr>
              <w:t>0.00</w:t>
            </w:r>
          </w:p>
        </w:tc>
        <w:tc>
          <w:tcPr>
            <w:tcW w:w="1661" w:type="dxa"/>
            <w:gridSpan w:val="2"/>
            <w:tcBorders>
              <w:top w:val="nil"/>
              <w:left w:val="nil"/>
              <w:bottom w:val="single" w:sz="8" w:space="0" w:color="auto"/>
              <w:right w:val="single" w:sz="8" w:space="0" w:color="auto"/>
            </w:tcBorders>
            <w:shd w:val="clear" w:color="auto" w:fill="auto"/>
            <w:vAlign w:val="center"/>
            <w:hideMark/>
          </w:tcPr>
          <w:p w14:paraId="7F3DA666" w14:textId="77777777" w:rsidR="009D6D4E" w:rsidRPr="0043639F" w:rsidRDefault="009D6D4E" w:rsidP="00BF3B71">
            <w:pPr>
              <w:jc w:val="center"/>
              <w:rPr>
                <w:color w:val="000000"/>
                <w:sz w:val="18"/>
                <w:szCs w:val="18"/>
              </w:rPr>
            </w:pPr>
            <w:r w:rsidRPr="0043639F">
              <w:rPr>
                <w:color w:val="000000"/>
                <w:sz w:val="18"/>
                <w:szCs w:val="18"/>
              </w:rPr>
              <w:t>0.00</w:t>
            </w:r>
          </w:p>
        </w:tc>
        <w:tc>
          <w:tcPr>
            <w:tcW w:w="892" w:type="dxa"/>
            <w:gridSpan w:val="2"/>
            <w:tcBorders>
              <w:top w:val="nil"/>
              <w:left w:val="nil"/>
              <w:bottom w:val="single" w:sz="8" w:space="0" w:color="auto"/>
              <w:right w:val="single" w:sz="8" w:space="0" w:color="auto"/>
            </w:tcBorders>
            <w:shd w:val="clear" w:color="auto" w:fill="auto"/>
            <w:vAlign w:val="center"/>
            <w:hideMark/>
          </w:tcPr>
          <w:p w14:paraId="7B2580ED" w14:textId="77777777" w:rsidR="009D6D4E" w:rsidRPr="0043639F" w:rsidRDefault="009D6D4E" w:rsidP="00BF3B71">
            <w:pPr>
              <w:jc w:val="center"/>
              <w:rPr>
                <w:color w:val="000000"/>
                <w:sz w:val="18"/>
                <w:szCs w:val="18"/>
              </w:rPr>
            </w:pPr>
            <w:r w:rsidRPr="0043639F">
              <w:rPr>
                <w:color w:val="000000"/>
                <w:sz w:val="18"/>
                <w:szCs w:val="18"/>
              </w:rPr>
              <w:t>0.00</w:t>
            </w:r>
          </w:p>
        </w:tc>
        <w:tc>
          <w:tcPr>
            <w:tcW w:w="1673" w:type="dxa"/>
            <w:gridSpan w:val="2"/>
            <w:tcBorders>
              <w:top w:val="nil"/>
              <w:left w:val="nil"/>
              <w:bottom w:val="single" w:sz="8" w:space="0" w:color="auto"/>
              <w:right w:val="single" w:sz="8" w:space="0" w:color="auto"/>
            </w:tcBorders>
            <w:shd w:val="clear" w:color="auto" w:fill="auto"/>
            <w:vAlign w:val="center"/>
            <w:hideMark/>
          </w:tcPr>
          <w:p w14:paraId="68CFF743" w14:textId="77777777" w:rsidR="009D6D4E" w:rsidRPr="0043639F" w:rsidRDefault="009D6D4E" w:rsidP="00BF3B71">
            <w:pPr>
              <w:jc w:val="center"/>
              <w:rPr>
                <w:color w:val="000000"/>
                <w:sz w:val="18"/>
                <w:szCs w:val="18"/>
              </w:rPr>
            </w:pPr>
            <w:r w:rsidRPr="0043639F">
              <w:rPr>
                <w:color w:val="000000"/>
                <w:sz w:val="18"/>
                <w:szCs w:val="18"/>
              </w:rPr>
              <w:t>0.00</w:t>
            </w:r>
          </w:p>
        </w:tc>
        <w:tc>
          <w:tcPr>
            <w:tcW w:w="984" w:type="dxa"/>
            <w:tcBorders>
              <w:top w:val="nil"/>
              <w:left w:val="nil"/>
              <w:bottom w:val="single" w:sz="8" w:space="0" w:color="auto"/>
              <w:right w:val="single" w:sz="8" w:space="0" w:color="auto"/>
            </w:tcBorders>
            <w:shd w:val="clear" w:color="auto" w:fill="auto"/>
            <w:vAlign w:val="center"/>
            <w:hideMark/>
          </w:tcPr>
          <w:p w14:paraId="0D4DA63A" w14:textId="77777777" w:rsidR="009D6D4E" w:rsidRPr="0043639F" w:rsidRDefault="009D6D4E" w:rsidP="00BF3B71">
            <w:pPr>
              <w:jc w:val="right"/>
              <w:rPr>
                <w:b/>
                <w:bCs/>
                <w:color w:val="000000"/>
                <w:sz w:val="18"/>
                <w:szCs w:val="18"/>
              </w:rPr>
            </w:pPr>
            <w:r w:rsidRPr="0043639F">
              <w:rPr>
                <w:b/>
                <w:bCs/>
                <w:color w:val="000000"/>
                <w:sz w:val="18"/>
                <w:szCs w:val="18"/>
              </w:rPr>
              <w:t>49,000</w:t>
            </w:r>
          </w:p>
        </w:tc>
      </w:tr>
      <w:tr w:rsidR="009D6D4E" w:rsidRPr="0043639F" w14:paraId="3EF14D6B" w14:textId="77777777" w:rsidTr="00BF3B71">
        <w:trPr>
          <w:trHeight w:val="262"/>
        </w:trPr>
        <w:tc>
          <w:tcPr>
            <w:tcW w:w="985" w:type="dxa"/>
            <w:tcBorders>
              <w:top w:val="nil"/>
              <w:left w:val="single" w:sz="8" w:space="0" w:color="auto"/>
              <w:bottom w:val="single" w:sz="8" w:space="0" w:color="auto"/>
              <w:right w:val="single" w:sz="8" w:space="0" w:color="auto"/>
            </w:tcBorders>
            <w:shd w:val="clear" w:color="auto" w:fill="auto"/>
            <w:vAlign w:val="center"/>
            <w:hideMark/>
          </w:tcPr>
          <w:p w14:paraId="3D785FB7" w14:textId="77777777" w:rsidR="009D6D4E" w:rsidRPr="0043639F" w:rsidRDefault="009D6D4E" w:rsidP="00BF3B71">
            <w:pPr>
              <w:jc w:val="both"/>
              <w:rPr>
                <w:color w:val="000000"/>
                <w:sz w:val="18"/>
                <w:szCs w:val="18"/>
              </w:rPr>
            </w:pPr>
            <w:r w:rsidRPr="0043639F">
              <w:rPr>
                <w:color w:val="000000"/>
                <w:sz w:val="18"/>
                <w:szCs w:val="18"/>
              </w:rPr>
              <w:t>2021</w:t>
            </w:r>
          </w:p>
        </w:tc>
        <w:tc>
          <w:tcPr>
            <w:tcW w:w="729" w:type="dxa"/>
            <w:tcBorders>
              <w:top w:val="nil"/>
              <w:left w:val="nil"/>
              <w:bottom w:val="single" w:sz="8" w:space="0" w:color="auto"/>
              <w:right w:val="single" w:sz="8" w:space="0" w:color="auto"/>
            </w:tcBorders>
            <w:shd w:val="clear" w:color="auto" w:fill="auto"/>
            <w:vAlign w:val="center"/>
            <w:hideMark/>
          </w:tcPr>
          <w:p w14:paraId="4DFCBAA2" w14:textId="77777777" w:rsidR="009D6D4E" w:rsidRPr="0043639F" w:rsidRDefault="009D6D4E" w:rsidP="00BF3B71">
            <w:pPr>
              <w:jc w:val="right"/>
              <w:rPr>
                <w:color w:val="000000"/>
                <w:sz w:val="18"/>
                <w:szCs w:val="18"/>
              </w:rPr>
            </w:pPr>
            <w:r w:rsidRPr="0043639F">
              <w:rPr>
                <w:color w:val="000000"/>
                <w:sz w:val="18"/>
                <w:szCs w:val="18"/>
              </w:rPr>
              <w:t>55,000.00</w:t>
            </w:r>
          </w:p>
        </w:tc>
        <w:tc>
          <w:tcPr>
            <w:tcW w:w="846" w:type="dxa"/>
            <w:tcBorders>
              <w:top w:val="nil"/>
              <w:left w:val="nil"/>
              <w:bottom w:val="single" w:sz="8" w:space="0" w:color="auto"/>
              <w:right w:val="single" w:sz="8" w:space="0" w:color="auto"/>
            </w:tcBorders>
            <w:shd w:val="clear" w:color="auto" w:fill="auto"/>
            <w:vAlign w:val="center"/>
            <w:hideMark/>
          </w:tcPr>
          <w:p w14:paraId="7390B9CE" w14:textId="77777777" w:rsidR="009D6D4E" w:rsidRPr="0043639F" w:rsidRDefault="009D6D4E" w:rsidP="00BF3B71">
            <w:pPr>
              <w:jc w:val="center"/>
              <w:rPr>
                <w:color w:val="000000"/>
                <w:sz w:val="18"/>
                <w:szCs w:val="18"/>
              </w:rPr>
            </w:pPr>
            <w:r w:rsidRPr="0043639F">
              <w:rPr>
                <w:color w:val="000000"/>
                <w:sz w:val="18"/>
                <w:szCs w:val="18"/>
              </w:rPr>
              <w:t>0.00</w:t>
            </w:r>
          </w:p>
        </w:tc>
        <w:tc>
          <w:tcPr>
            <w:tcW w:w="1638" w:type="dxa"/>
            <w:gridSpan w:val="2"/>
            <w:tcBorders>
              <w:top w:val="nil"/>
              <w:left w:val="nil"/>
              <w:bottom w:val="single" w:sz="8" w:space="0" w:color="auto"/>
              <w:right w:val="single" w:sz="8" w:space="0" w:color="auto"/>
            </w:tcBorders>
            <w:shd w:val="clear" w:color="auto" w:fill="auto"/>
            <w:vAlign w:val="center"/>
            <w:hideMark/>
          </w:tcPr>
          <w:p w14:paraId="123515B1" w14:textId="77777777" w:rsidR="009D6D4E" w:rsidRPr="0043639F" w:rsidRDefault="009D6D4E" w:rsidP="00BF3B71">
            <w:pPr>
              <w:jc w:val="center"/>
              <w:rPr>
                <w:color w:val="000000"/>
                <w:sz w:val="18"/>
                <w:szCs w:val="18"/>
              </w:rPr>
            </w:pPr>
            <w:r w:rsidRPr="0043639F">
              <w:rPr>
                <w:color w:val="000000"/>
                <w:sz w:val="18"/>
                <w:szCs w:val="18"/>
              </w:rPr>
              <w:t>0.00</w:t>
            </w:r>
          </w:p>
        </w:tc>
        <w:tc>
          <w:tcPr>
            <w:tcW w:w="958" w:type="dxa"/>
            <w:tcBorders>
              <w:top w:val="nil"/>
              <w:left w:val="nil"/>
              <w:bottom w:val="single" w:sz="8" w:space="0" w:color="auto"/>
              <w:right w:val="single" w:sz="8" w:space="0" w:color="auto"/>
            </w:tcBorders>
            <w:shd w:val="clear" w:color="auto" w:fill="auto"/>
            <w:vAlign w:val="center"/>
            <w:hideMark/>
          </w:tcPr>
          <w:p w14:paraId="198DD289" w14:textId="77777777" w:rsidR="009D6D4E" w:rsidRPr="0043639F" w:rsidRDefault="009D6D4E" w:rsidP="00BF3B71">
            <w:pPr>
              <w:jc w:val="center"/>
              <w:rPr>
                <w:color w:val="000000"/>
                <w:sz w:val="18"/>
                <w:szCs w:val="18"/>
              </w:rPr>
            </w:pPr>
            <w:r w:rsidRPr="0043639F">
              <w:rPr>
                <w:color w:val="000000"/>
                <w:sz w:val="18"/>
                <w:szCs w:val="18"/>
              </w:rPr>
              <w:t>0.00</w:t>
            </w:r>
          </w:p>
        </w:tc>
        <w:tc>
          <w:tcPr>
            <w:tcW w:w="1661" w:type="dxa"/>
            <w:gridSpan w:val="2"/>
            <w:tcBorders>
              <w:top w:val="nil"/>
              <w:left w:val="nil"/>
              <w:bottom w:val="single" w:sz="8" w:space="0" w:color="auto"/>
              <w:right w:val="single" w:sz="8" w:space="0" w:color="auto"/>
            </w:tcBorders>
            <w:shd w:val="clear" w:color="auto" w:fill="auto"/>
            <w:vAlign w:val="center"/>
            <w:hideMark/>
          </w:tcPr>
          <w:p w14:paraId="70D2A430" w14:textId="77777777" w:rsidR="009D6D4E" w:rsidRPr="0043639F" w:rsidRDefault="009D6D4E" w:rsidP="00BF3B71">
            <w:pPr>
              <w:jc w:val="center"/>
              <w:rPr>
                <w:color w:val="000000"/>
                <w:sz w:val="18"/>
                <w:szCs w:val="18"/>
              </w:rPr>
            </w:pPr>
            <w:r w:rsidRPr="0043639F">
              <w:rPr>
                <w:color w:val="000000"/>
                <w:sz w:val="18"/>
                <w:szCs w:val="18"/>
              </w:rPr>
              <w:t>0.00</w:t>
            </w:r>
          </w:p>
        </w:tc>
        <w:tc>
          <w:tcPr>
            <w:tcW w:w="892" w:type="dxa"/>
            <w:gridSpan w:val="2"/>
            <w:tcBorders>
              <w:top w:val="nil"/>
              <w:left w:val="nil"/>
              <w:bottom w:val="single" w:sz="8" w:space="0" w:color="auto"/>
              <w:right w:val="single" w:sz="8" w:space="0" w:color="auto"/>
            </w:tcBorders>
            <w:shd w:val="clear" w:color="auto" w:fill="auto"/>
            <w:vAlign w:val="center"/>
            <w:hideMark/>
          </w:tcPr>
          <w:p w14:paraId="5BF1BE25" w14:textId="77777777" w:rsidR="009D6D4E" w:rsidRPr="0043639F" w:rsidRDefault="009D6D4E" w:rsidP="00BF3B71">
            <w:pPr>
              <w:jc w:val="center"/>
              <w:rPr>
                <w:color w:val="000000"/>
                <w:sz w:val="18"/>
                <w:szCs w:val="18"/>
              </w:rPr>
            </w:pPr>
            <w:r w:rsidRPr="0043639F">
              <w:rPr>
                <w:color w:val="000000"/>
                <w:sz w:val="18"/>
                <w:szCs w:val="18"/>
              </w:rPr>
              <w:t>0.00</w:t>
            </w:r>
          </w:p>
        </w:tc>
        <w:tc>
          <w:tcPr>
            <w:tcW w:w="1673" w:type="dxa"/>
            <w:gridSpan w:val="2"/>
            <w:tcBorders>
              <w:top w:val="nil"/>
              <w:left w:val="nil"/>
              <w:bottom w:val="single" w:sz="8" w:space="0" w:color="auto"/>
              <w:right w:val="single" w:sz="8" w:space="0" w:color="auto"/>
            </w:tcBorders>
            <w:shd w:val="clear" w:color="auto" w:fill="auto"/>
            <w:vAlign w:val="center"/>
            <w:hideMark/>
          </w:tcPr>
          <w:p w14:paraId="64188341" w14:textId="77777777" w:rsidR="009D6D4E" w:rsidRPr="0043639F" w:rsidRDefault="009D6D4E" w:rsidP="00BF3B71">
            <w:pPr>
              <w:jc w:val="center"/>
              <w:rPr>
                <w:color w:val="000000"/>
                <w:sz w:val="18"/>
                <w:szCs w:val="18"/>
              </w:rPr>
            </w:pPr>
            <w:r w:rsidRPr="0043639F">
              <w:rPr>
                <w:color w:val="000000"/>
                <w:sz w:val="18"/>
                <w:szCs w:val="18"/>
              </w:rPr>
              <w:t>0.00</w:t>
            </w:r>
          </w:p>
        </w:tc>
        <w:tc>
          <w:tcPr>
            <w:tcW w:w="984" w:type="dxa"/>
            <w:tcBorders>
              <w:top w:val="nil"/>
              <w:left w:val="nil"/>
              <w:bottom w:val="single" w:sz="8" w:space="0" w:color="auto"/>
              <w:right w:val="single" w:sz="8" w:space="0" w:color="auto"/>
            </w:tcBorders>
            <w:shd w:val="clear" w:color="auto" w:fill="auto"/>
            <w:vAlign w:val="center"/>
            <w:hideMark/>
          </w:tcPr>
          <w:p w14:paraId="1B705172" w14:textId="77777777" w:rsidR="009D6D4E" w:rsidRPr="0043639F" w:rsidRDefault="009D6D4E" w:rsidP="00BF3B71">
            <w:pPr>
              <w:jc w:val="right"/>
              <w:rPr>
                <w:b/>
                <w:bCs/>
                <w:color w:val="000000"/>
                <w:sz w:val="18"/>
                <w:szCs w:val="18"/>
              </w:rPr>
            </w:pPr>
            <w:r w:rsidRPr="0043639F">
              <w:rPr>
                <w:b/>
                <w:bCs/>
                <w:color w:val="000000"/>
                <w:sz w:val="18"/>
                <w:szCs w:val="18"/>
              </w:rPr>
              <w:t>55,000</w:t>
            </w:r>
          </w:p>
        </w:tc>
      </w:tr>
      <w:tr w:rsidR="009D6D4E" w:rsidRPr="0043639F" w14:paraId="10A4B0F0" w14:textId="77777777" w:rsidTr="00BF3B71">
        <w:trPr>
          <w:trHeight w:val="262"/>
        </w:trPr>
        <w:tc>
          <w:tcPr>
            <w:tcW w:w="985" w:type="dxa"/>
            <w:tcBorders>
              <w:top w:val="nil"/>
              <w:left w:val="single" w:sz="8" w:space="0" w:color="auto"/>
              <w:bottom w:val="single" w:sz="8" w:space="0" w:color="auto"/>
              <w:right w:val="single" w:sz="8" w:space="0" w:color="auto"/>
            </w:tcBorders>
            <w:shd w:val="clear" w:color="auto" w:fill="auto"/>
            <w:vAlign w:val="center"/>
            <w:hideMark/>
          </w:tcPr>
          <w:p w14:paraId="4A33D4E4" w14:textId="77777777" w:rsidR="009D6D4E" w:rsidRPr="0043639F" w:rsidRDefault="009D6D4E" w:rsidP="00BF3B71">
            <w:pPr>
              <w:jc w:val="both"/>
              <w:rPr>
                <w:color w:val="000000"/>
                <w:sz w:val="18"/>
                <w:szCs w:val="18"/>
              </w:rPr>
            </w:pPr>
            <w:r w:rsidRPr="0043639F">
              <w:rPr>
                <w:color w:val="000000"/>
                <w:sz w:val="18"/>
                <w:szCs w:val="18"/>
              </w:rPr>
              <w:t>2022</w:t>
            </w:r>
          </w:p>
        </w:tc>
        <w:tc>
          <w:tcPr>
            <w:tcW w:w="729" w:type="dxa"/>
            <w:tcBorders>
              <w:top w:val="nil"/>
              <w:left w:val="nil"/>
              <w:bottom w:val="single" w:sz="8" w:space="0" w:color="auto"/>
              <w:right w:val="single" w:sz="8" w:space="0" w:color="auto"/>
            </w:tcBorders>
            <w:shd w:val="clear" w:color="auto" w:fill="auto"/>
            <w:vAlign w:val="center"/>
            <w:hideMark/>
          </w:tcPr>
          <w:p w14:paraId="417B128F" w14:textId="77777777" w:rsidR="009D6D4E" w:rsidRPr="0043639F" w:rsidRDefault="009D6D4E" w:rsidP="00BF3B71">
            <w:pPr>
              <w:jc w:val="right"/>
              <w:rPr>
                <w:color w:val="000000"/>
                <w:sz w:val="18"/>
                <w:szCs w:val="18"/>
              </w:rPr>
            </w:pPr>
            <w:r w:rsidRPr="0043639F">
              <w:rPr>
                <w:color w:val="000000"/>
                <w:sz w:val="18"/>
                <w:szCs w:val="18"/>
              </w:rPr>
              <w:t>91,000.00</w:t>
            </w:r>
          </w:p>
        </w:tc>
        <w:tc>
          <w:tcPr>
            <w:tcW w:w="846" w:type="dxa"/>
            <w:tcBorders>
              <w:top w:val="nil"/>
              <w:left w:val="nil"/>
              <w:bottom w:val="single" w:sz="8" w:space="0" w:color="auto"/>
              <w:right w:val="single" w:sz="8" w:space="0" w:color="auto"/>
            </w:tcBorders>
            <w:shd w:val="clear" w:color="auto" w:fill="auto"/>
            <w:vAlign w:val="center"/>
            <w:hideMark/>
          </w:tcPr>
          <w:p w14:paraId="2983C8B9" w14:textId="77777777" w:rsidR="009D6D4E" w:rsidRPr="0043639F" w:rsidRDefault="009D6D4E" w:rsidP="00BF3B71">
            <w:pPr>
              <w:jc w:val="center"/>
              <w:rPr>
                <w:color w:val="000000"/>
                <w:sz w:val="18"/>
                <w:szCs w:val="18"/>
              </w:rPr>
            </w:pPr>
            <w:r w:rsidRPr="0043639F">
              <w:rPr>
                <w:color w:val="000000"/>
                <w:sz w:val="18"/>
                <w:szCs w:val="18"/>
              </w:rPr>
              <w:t>0.00</w:t>
            </w:r>
          </w:p>
        </w:tc>
        <w:tc>
          <w:tcPr>
            <w:tcW w:w="1638" w:type="dxa"/>
            <w:gridSpan w:val="2"/>
            <w:tcBorders>
              <w:top w:val="nil"/>
              <w:left w:val="nil"/>
              <w:bottom w:val="single" w:sz="8" w:space="0" w:color="auto"/>
              <w:right w:val="single" w:sz="8" w:space="0" w:color="auto"/>
            </w:tcBorders>
            <w:shd w:val="clear" w:color="auto" w:fill="auto"/>
            <w:vAlign w:val="center"/>
            <w:hideMark/>
          </w:tcPr>
          <w:p w14:paraId="3FB833B4" w14:textId="77777777" w:rsidR="009D6D4E" w:rsidRPr="0043639F" w:rsidRDefault="009D6D4E" w:rsidP="00BF3B71">
            <w:pPr>
              <w:jc w:val="center"/>
              <w:rPr>
                <w:color w:val="000000"/>
                <w:sz w:val="18"/>
                <w:szCs w:val="18"/>
              </w:rPr>
            </w:pPr>
            <w:r w:rsidRPr="0043639F">
              <w:rPr>
                <w:color w:val="000000"/>
                <w:sz w:val="18"/>
                <w:szCs w:val="18"/>
              </w:rPr>
              <w:t>0.00</w:t>
            </w:r>
          </w:p>
        </w:tc>
        <w:tc>
          <w:tcPr>
            <w:tcW w:w="958" w:type="dxa"/>
            <w:tcBorders>
              <w:top w:val="nil"/>
              <w:left w:val="nil"/>
              <w:bottom w:val="single" w:sz="8" w:space="0" w:color="auto"/>
              <w:right w:val="single" w:sz="8" w:space="0" w:color="auto"/>
            </w:tcBorders>
            <w:shd w:val="clear" w:color="auto" w:fill="auto"/>
            <w:vAlign w:val="center"/>
            <w:hideMark/>
          </w:tcPr>
          <w:p w14:paraId="18A459B5" w14:textId="77777777" w:rsidR="009D6D4E" w:rsidRPr="0043639F" w:rsidRDefault="009D6D4E" w:rsidP="00BF3B71">
            <w:pPr>
              <w:jc w:val="center"/>
              <w:rPr>
                <w:color w:val="000000"/>
                <w:sz w:val="18"/>
                <w:szCs w:val="18"/>
              </w:rPr>
            </w:pPr>
            <w:r w:rsidRPr="0043639F">
              <w:rPr>
                <w:color w:val="000000"/>
                <w:sz w:val="18"/>
                <w:szCs w:val="18"/>
              </w:rPr>
              <w:t>0.00</w:t>
            </w:r>
          </w:p>
        </w:tc>
        <w:tc>
          <w:tcPr>
            <w:tcW w:w="1661" w:type="dxa"/>
            <w:gridSpan w:val="2"/>
            <w:tcBorders>
              <w:top w:val="nil"/>
              <w:left w:val="nil"/>
              <w:bottom w:val="single" w:sz="8" w:space="0" w:color="auto"/>
              <w:right w:val="single" w:sz="8" w:space="0" w:color="auto"/>
            </w:tcBorders>
            <w:shd w:val="clear" w:color="auto" w:fill="auto"/>
            <w:vAlign w:val="center"/>
            <w:hideMark/>
          </w:tcPr>
          <w:p w14:paraId="74123C02" w14:textId="77777777" w:rsidR="009D6D4E" w:rsidRPr="0043639F" w:rsidRDefault="009D6D4E" w:rsidP="00BF3B71">
            <w:pPr>
              <w:jc w:val="center"/>
              <w:rPr>
                <w:color w:val="000000"/>
                <w:sz w:val="18"/>
                <w:szCs w:val="18"/>
              </w:rPr>
            </w:pPr>
            <w:r w:rsidRPr="0043639F">
              <w:rPr>
                <w:color w:val="000000"/>
                <w:sz w:val="18"/>
                <w:szCs w:val="18"/>
              </w:rPr>
              <w:t>0.00</w:t>
            </w:r>
          </w:p>
        </w:tc>
        <w:tc>
          <w:tcPr>
            <w:tcW w:w="892" w:type="dxa"/>
            <w:gridSpan w:val="2"/>
            <w:tcBorders>
              <w:top w:val="nil"/>
              <w:left w:val="nil"/>
              <w:bottom w:val="single" w:sz="8" w:space="0" w:color="auto"/>
              <w:right w:val="single" w:sz="8" w:space="0" w:color="auto"/>
            </w:tcBorders>
            <w:shd w:val="clear" w:color="auto" w:fill="auto"/>
            <w:vAlign w:val="center"/>
            <w:hideMark/>
          </w:tcPr>
          <w:p w14:paraId="7A950EF6" w14:textId="77777777" w:rsidR="009D6D4E" w:rsidRPr="0043639F" w:rsidRDefault="009D6D4E" w:rsidP="00BF3B71">
            <w:pPr>
              <w:jc w:val="center"/>
              <w:rPr>
                <w:color w:val="000000"/>
                <w:sz w:val="18"/>
                <w:szCs w:val="18"/>
              </w:rPr>
            </w:pPr>
            <w:r w:rsidRPr="0043639F">
              <w:rPr>
                <w:color w:val="000000"/>
                <w:sz w:val="18"/>
                <w:szCs w:val="18"/>
              </w:rPr>
              <w:t>0.00</w:t>
            </w:r>
          </w:p>
        </w:tc>
        <w:tc>
          <w:tcPr>
            <w:tcW w:w="1673" w:type="dxa"/>
            <w:gridSpan w:val="2"/>
            <w:tcBorders>
              <w:top w:val="nil"/>
              <w:left w:val="nil"/>
              <w:bottom w:val="single" w:sz="8" w:space="0" w:color="auto"/>
              <w:right w:val="single" w:sz="8" w:space="0" w:color="auto"/>
            </w:tcBorders>
            <w:shd w:val="clear" w:color="auto" w:fill="auto"/>
            <w:vAlign w:val="center"/>
            <w:hideMark/>
          </w:tcPr>
          <w:p w14:paraId="436BE57C" w14:textId="77777777" w:rsidR="009D6D4E" w:rsidRPr="0043639F" w:rsidRDefault="009D6D4E" w:rsidP="00BF3B71">
            <w:pPr>
              <w:jc w:val="center"/>
              <w:rPr>
                <w:color w:val="000000"/>
                <w:sz w:val="18"/>
                <w:szCs w:val="18"/>
              </w:rPr>
            </w:pPr>
            <w:r w:rsidRPr="0043639F">
              <w:rPr>
                <w:color w:val="000000"/>
                <w:sz w:val="18"/>
                <w:szCs w:val="18"/>
              </w:rPr>
              <w:t>0.00</w:t>
            </w:r>
          </w:p>
        </w:tc>
        <w:tc>
          <w:tcPr>
            <w:tcW w:w="984" w:type="dxa"/>
            <w:tcBorders>
              <w:top w:val="nil"/>
              <w:left w:val="nil"/>
              <w:bottom w:val="single" w:sz="8" w:space="0" w:color="auto"/>
              <w:right w:val="single" w:sz="8" w:space="0" w:color="auto"/>
            </w:tcBorders>
            <w:shd w:val="clear" w:color="auto" w:fill="auto"/>
            <w:vAlign w:val="center"/>
            <w:hideMark/>
          </w:tcPr>
          <w:p w14:paraId="1D4F921A" w14:textId="77777777" w:rsidR="009D6D4E" w:rsidRPr="0043639F" w:rsidRDefault="009D6D4E" w:rsidP="00BF3B71">
            <w:pPr>
              <w:jc w:val="right"/>
              <w:rPr>
                <w:b/>
                <w:bCs/>
                <w:color w:val="000000"/>
                <w:sz w:val="18"/>
                <w:szCs w:val="18"/>
              </w:rPr>
            </w:pPr>
            <w:r w:rsidRPr="0043639F">
              <w:rPr>
                <w:b/>
                <w:bCs/>
                <w:color w:val="000000"/>
                <w:sz w:val="18"/>
                <w:szCs w:val="18"/>
              </w:rPr>
              <w:t>91,000</w:t>
            </w:r>
          </w:p>
        </w:tc>
      </w:tr>
    </w:tbl>
    <w:p w14:paraId="1924913A" w14:textId="77777777" w:rsidR="009D6D4E" w:rsidRDefault="009D6D4E" w:rsidP="009D6D4E"/>
    <w:p w14:paraId="2AE40DBA" w14:textId="77777777" w:rsidR="009D6D4E" w:rsidRDefault="009D6D4E" w:rsidP="009D6D4E"/>
    <w:p w14:paraId="09EF6021" w14:textId="77777777" w:rsidR="009D6D4E" w:rsidRDefault="009D6D4E" w:rsidP="009D6D4E"/>
    <w:p w14:paraId="3F47975F" w14:textId="77777777" w:rsidR="009D6D4E" w:rsidRDefault="009D6D4E" w:rsidP="009D6D4E"/>
    <w:p w14:paraId="3886F8FF" w14:textId="77777777" w:rsidR="009D6D4E" w:rsidRDefault="009D6D4E" w:rsidP="009D6D4E"/>
    <w:p w14:paraId="2D0B0E2D" w14:textId="77777777" w:rsidR="009D6D4E" w:rsidRDefault="009D6D4E" w:rsidP="009D6D4E"/>
    <w:p w14:paraId="1C2BAF63" w14:textId="77777777" w:rsidR="009D6D4E" w:rsidRDefault="009D6D4E" w:rsidP="009D6D4E"/>
    <w:p w14:paraId="52F4370A" w14:textId="77777777" w:rsidR="009D6D4E" w:rsidRDefault="009D6D4E" w:rsidP="009D6D4E"/>
    <w:p w14:paraId="7DF05ECF" w14:textId="77777777" w:rsidR="009D6D4E" w:rsidRDefault="009D6D4E" w:rsidP="009D6D4E"/>
    <w:p w14:paraId="097225C9" w14:textId="77777777" w:rsidR="009D6D4E" w:rsidRDefault="009D6D4E" w:rsidP="009D6D4E"/>
    <w:p w14:paraId="7B2049C9" w14:textId="77777777" w:rsidR="009D6D4E" w:rsidRDefault="009D6D4E" w:rsidP="009D6D4E"/>
    <w:tbl>
      <w:tblPr>
        <w:tblW w:w="10291" w:type="dxa"/>
        <w:tblLook w:val="04A0" w:firstRow="1" w:lastRow="0" w:firstColumn="1" w:lastColumn="0" w:noHBand="0" w:noVBand="1"/>
      </w:tblPr>
      <w:tblGrid>
        <w:gridCol w:w="661"/>
        <w:gridCol w:w="26"/>
        <w:gridCol w:w="1173"/>
        <w:gridCol w:w="854"/>
        <w:gridCol w:w="443"/>
        <w:gridCol w:w="1139"/>
        <w:gridCol w:w="957"/>
        <w:gridCol w:w="229"/>
        <w:gridCol w:w="1316"/>
        <w:gridCol w:w="860"/>
        <w:gridCol w:w="1323"/>
        <w:gridCol w:w="132"/>
        <w:gridCol w:w="1178"/>
      </w:tblGrid>
      <w:tr w:rsidR="009D6D4E" w:rsidRPr="00E34D81" w14:paraId="59DA0D8E" w14:textId="77777777" w:rsidTr="00BF3B71">
        <w:trPr>
          <w:trHeight w:val="238"/>
        </w:trPr>
        <w:tc>
          <w:tcPr>
            <w:tcW w:w="10291"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20BBA5F3" w14:textId="77777777" w:rsidR="009D6D4E" w:rsidRPr="00E34D81" w:rsidRDefault="009D6D4E" w:rsidP="00BF3B71">
            <w:pPr>
              <w:rPr>
                <w:b/>
                <w:bCs/>
                <w:color w:val="000000"/>
                <w:sz w:val="18"/>
                <w:szCs w:val="18"/>
              </w:rPr>
            </w:pPr>
            <w:r w:rsidRPr="00E34D81">
              <w:rPr>
                <w:b/>
                <w:bCs/>
                <w:color w:val="000000"/>
                <w:sz w:val="18"/>
                <w:szCs w:val="18"/>
              </w:rPr>
              <w:t>Tabela 10 a.: Kostimi i masës së reformës strukturore:  Masa#17 Zbatimi i kornizës së re kurrikulare në sistemin e aftësimit profesional</w:t>
            </w:r>
          </w:p>
        </w:tc>
      </w:tr>
      <w:tr w:rsidR="009D6D4E" w:rsidRPr="00E34D81" w14:paraId="0A2C8D5D" w14:textId="77777777" w:rsidTr="00BF3B71">
        <w:trPr>
          <w:trHeight w:val="258"/>
        </w:trPr>
        <w:tc>
          <w:tcPr>
            <w:tcW w:w="664" w:type="dxa"/>
            <w:tcBorders>
              <w:top w:val="nil"/>
              <w:left w:val="single" w:sz="4" w:space="0" w:color="auto"/>
              <w:bottom w:val="single" w:sz="4" w:space="0" w:color="auto"/>
              <w:right w:val="single" w:sz="4" w:space="0" w:color="auto"/>
            </w:tcBorders>
            <w:shd w:val="clear" w:color="auto" w:fill="auto"/>
            <w:vAlign w:val="center"/>
            <w:hideMark/>
          </w:tcPr>
          <w:p w14:paraId="1D46D5DB" w14:textId="77777777" w:rsidR="009D6D4E" w:rsidRPr="00E34D81" w:rsidRDefault="009D6D4E" w:rsidP="00BF3B71">
            <w:pPr>
              <w:jc w:val="both"/>
              <w:rPr>
                <w:color w:val="000000"/>
                <w:sz w:val="18"/>
                <w:szCs w:val="18"/>
              </w:rPr>
            </w:pPr>
            <w:r w:rsidRPr="00E34D81">
              <w:rPr>
                <w:color w:val="000000"/>
                <w:sz w:val="18"/>
                <w:szCs w:val="18"/>
              </w:rPr>
              <w:t xml:space="preserve">Viti </w:t>
            </w:r>
          </w:p>
        </w:tc>
        <w:tc>
          <w:tcPr>
            <w:tcW w:w="2481" w:type="dxa"/>
            <w:gridSpan w:val="4"/>
            <w:tcBorders>
              <w:top w:val="nil"/>
              <w:left w:val="nil"/>
              <w:bottom w:val="single" w:sz="4" w:space="0" w:color="auto"/>
              <w:right w:val="single" w:sz="4" w:space="0" w:color="auto"/>
            </w:tcBorders>
            <w:shd w:val="clear" w:color="auto" w:fill="auto"/>
            <w:vAlign w:val="center"/>
            <w:hideMark/>
          </w:tcPr>
          <w:p w14:paraId="41870129" w14:textId="77777777" w:rsidR="009D6D4E" w:rsidRPr="00E34D81" w:rsidRDefault="009D6D4E" w:rsidP="00BF3B71">
            <w:pPr>
              <w:jc w:val="both"/>
              <w:rPr>
                <w:color w:val="000000"/>
                <w:sz w:val="18"/>
                <w:szCs w:val="18"/>
              </w:rPr>
            </w:pPr>
            <w:r w:rsidRPr="00E34D81">
              <w:rPr>
                <w:color w:val="000000"/>
                <w:sz w:val="18"/>
                <w:szCs w:val="18"/>
              </w:rPr>
              <w:t>Pagat</w:t>
            </w:r>
          </w:p>
        </w:tc>
        <w:tc>
          <w:tcPr>
            <w:tcW w:w="2340" w:type="dxa"/>
            <w:gridSpan w:val="3"/>
            <w:tcBorders>
              <w:top w:val="nil"/>
              <w:left w:val="nil"/>
              <w:bottom w:val="single" w:sz="4" w:space="0" w:color="auto"/>
              <w:right w:val="single" w:sz="4" w:space="0" w:color="auto"/>
            </w:tcBorders>
            <w:shd w:val="clear" w:color="auto" w:fill="auto"/>
            <w:vAlign w:val="center"/>
            <w:hideMark/>
          </w:tcPr>
          <w:p w14:paraId="73444A1F" w14:textId="77777777" w:rsidR="009D6D4E" w:rsidRPr="00E34D81" w:rsidRDefault="009D6D4E" w:rsidP="00BF3B71">
            <w:pPr>
              <w:jc w:val="both"/>
              <w:rPr>
                <w:color w:val="000000"/>
                <w:sz w:val="18"/>
                <w:szCs w:val="18"/>
              </w:rPr>
            </w:pPr>
            <w:r w:rsidRPr="00E34D81">
              <w:rPr>
                <w:color w:val="000000"/>
                <w:sz w:val="18"/>
                <w:szCs w:val="18"/>
              </w:rPr>
              <w:t>Mallra dhe shërbime</w:t>
            </w:r>
          </w:p>
        </w:tc>
        <w:tc>
          <w:tcPr>
            <w:tcW w:w="2182" w:type="dxa"/>
            <w:gridSpan w:val="2"/>
            <w:tcBorders>
              <w:top w:val="nil"/>
              <w:left w:val="nil"/>
              <w:bottom w:val="single" w:sz="4" w:space="0" w:color="auto"/>
              <w:right w:val="single" w:sz="4" w:space="0" w:color="auto"/>
            </w:tcBorders>
            <w:shd w:val="clear" w:color="auto" w:fill="auto"/>
            <w:vAlign w:val="center"/>
            <w:hideMark/>
          </w:tcPr>
          <w:p w14:paraId="1DDC8B5D" w14:textId="77777777" w:rsidR="009D6D4E" w:rsidRPr="00E34D81" w:rsidRDefault="009D6D4E" w:rsidP="00BF3B71">
            <w:pPr>
              <w:jc w:val="both"/>
              <w:rPr>
                <w:color w:val="000000"/>
                <w:sz w:val="18"/>
                <w:szCs w:val="18"/>
              </w:rPr>
            </w:pPr>
            <w:r w:rsidRPr="00E34D81">
              <w:rPr>
                <w:color w:val="000000"/>
                <w:sz w:val="18"/>
                <w:szCs w:val="18"/>
              </w:rPr>
              <w:t xml:space="preserve">Subvencione dhe transfere </w:t>
            </w:r>
          </w:p>
        </w:tc>
        <w:tc>
          <w:tcPr>
            <w:tcW w:w="1328" w:type="dxa"/>
            <w:tcBorders>
              <w:top w:val="nil"/>
              <w:left w:val="nil"/>
              <w:bottom w:val="single" w:sz="4" w:space="0" w:color="auto"/>
              <w:right w:val="single" w:sz="4" w:space="0" w:color="auto"/>
            </w:tcBorders>
            <w:shd w:val="clear" w:color="auto" w:fill="auto"/>
            <w:vAlign w:val="center"/>
            <w:hideMark/>
          </w:tcPr>
          <w:p w14:paraId="30DB2B41" w14:textId="77777777" w:rsidR="009D6D4E" w:rsidRPr="00E34D81" w:rsidRDefault="009D6D4E" w:rsidP="00BF3B71">
            <w:pPr>
              <w:jc w:val="both"/>
              <w:rPr>
                <w:color w:val="000000"/>
                <w:sz w:val="18"/>
                <w:szCs w:val="18"/>
              </w:rPr>
            </w:pPr>
            <w:r w:rsidRPr="00E34D81">
              <w:rPr>
                <w:color w:val="000000"/>
                <w:sz w:val="18"/>
                <w:szCs w:val="18"/>
              </w:rPr>
              <w:t xml:space="preserve">Shpenzimet kapitale </w:t>
            </w:r>
          </w:p>
        </w:tc>
        <w:tc>
          <w:tcPr>
            <w:tcW w:w="1296" w:type="dxa"/>
            <w:gridSpan w:val="2"/>
            <w:tcBorders>
              <w:top w:val="nil"/>
              <w:left w:val="nil"/>
              <w:bottom w:val="single" w:sz="4" w:space="0" w:color="auto"/>
              <w:right w:val="single" w:sz="4" w:space="0" w:color="auto"/>
            </w:tcBorders>
            <w:shd w:val="clear" w:color="auto" w:fill="auto"/>
            <w:vAlign w:val="center"/>
            <w:hideMark/>
          </w:tcPr>
          <w:p w14:paraId="6317267E" w14:textId="77777777" w:rsidR="009D6D4E" w:rsidRPr="00CB6955" w:rsidRDefault="009D6D4E" w:rsidP="00BF3B71">
            <w:pPr>
              <w:jc w:val="both"/>
              <w:rPr>
                <w:b/>
                <w:color w:val="000000"/>
                <w:sz w:val="18"/>
                <w:szCs w:val="18"/>
              </w:rPr>
            </w:pPr>
            <w:r w:rsidRPr="00CB6955">
              <w:rPr>
                <w:b/>
                <w:color w:val="000000"/>
                <w:sz w:val="18"/>
                <w:szCs w:val="18"/>
              </w:rPr>
              <w:t xml:space="preserve">Totali </w:t>
            </w:r>
          </w:p>
        </w:tc>
      </w:tr>
      <w:tr w:rsidR="009D6D4E" w:rsidRPr="00E34D81" w14:paraId="113750D9" w14:textId="77777777" w:rsidTr="00BF3B71">
        <w:trPr>
          <w:trHeight w:val="159"/>
        </w:trPr>
        <w:tc>
          <w:tcPr>
            <w:tcW w:w="664" w:type="dxa"/>
            <w:tcBorders>
              <w:top w:val="nil"/>
              <w:left w:val="single" w:sz="4" w:space="0" w:color="auto"/>
              <w:bottom w:val="single" w:sz="4" w:space="0" w:color="auto"/>
              <w:right w:val="single" w:sz="4" w:space="0" w:color="auto"/>
            </w:tcBorders>
            <w:shd w:val="clear" w:color="auto" w:fill="auto"/>
            <w:vAlign w:val="center"/>
            <w:hideMark/>
          </w:tcPr>
          <w:p w14:paraId="6A37D73D" w14:textId="77777777" w:rsidR="009D6D4E" w:rsidRPr="00E34D81" w:rsidRDefault="009D6D4E" w:rsidP="00BF3B71">
            <w:pPr>
              <w:jc w:val="both"/>
              <w:rPr>
                <w:color w:val="000000"/>
                <w:sz w:val="18"/>
                <w:szCs w:val="18"/>
              </w:rPr>
            </w:pPr>
            <w:r w:rsidRPr="00E34D81">
              <w:rPr>
                <w:color w:val="000000"/>
                <w:sz w:val="18"/>
                <w:szCs w:val="18"/>
              </w:rPr>
              <w:t>2020</w:t>
            </w:r>
          </w:p>
        </w:tc>
        <w:tc>
          <w:tcPr>
            <w:tcW w:w="2481" w:type="dxa"/>
            <w:gridSpan w:val="4"/>
            <w:tcBorders>
              <w:top w:val="nil"/>
              <w:left w:val="nil"/>
              <w:bottom w:val="single" w:sz="4" w:space="0" w:color="auto"/>
              <w:right w:val="single" w:sz="4" w:space="0" w:color="auto"/>
            </w:tcBorders>
            <w:shd w:val="clear" w:color="auto" w:fill="auto"/>
            <w:vAlign w:val="center"/>
            <w:hideMark/>
          </w:tcPr>
          <w:p w14:paraId="7B4930AC" w14:textId="77777777" w:rsidR="009D6D4E" w:rsidRPr="00E34D81" w:rsidRDefault="009D6D4E" w:rsidP="00BF3B71">
            <w:pPr>
              <w:rPr>
                <w:color w:val="000000"/>
                <w:sz w:val="18"/>
                <w:szCs w:val="18"/>
              </w:rPr>
            </w:pPr>
            <w:r w:rsidRPr="00E34D81">
              <w:rPr>
                <w:color w:val="000000"/>
                <w:sz w:val="18"/>
                <w:szCs w:val="18"/>
              </w:rPr>
              <w:t> </w:t>
            </w:r>
          </w:p>
        </w:tc>
        <w:tc>
          <w:tcPr>
            <w:tcW w:w="2340" w:type="dxa"/>
            <w:gridSpan w:val="3"/>
            <w:tcBorders>
              <w:top w:val="nil"/>
              <w:left w:val="nil"/>
              <w:bottom w:val="single" w:sz="4" w:space="0" w:color="auto"/>
              <w:right w:val="single" w:sz="4" w:space="0" w:color="auto"/>
            </w:tcBorders>
            <w:shd w:val="clear" w:color="auto" w:fill="auto"/>
            <w:vAlign w:val="center"/>
            <w:hideMark/>
          </w:tcPr>
          <w:p w14:paraId="41DD3DCE" w14:textId="77777777" w:rsidR="009D6D4E" w:rsidRPr="00E34D81" w:rsidRDefault="009D6D4E" w:rsidP="00BF3B71">
            <w:pPr>
              <w:rPr>
                <w:color w:val="000000"/>
                <w:sz w:val="18"/>
                <w:szCs w:val="18"/>
              </w:rPr>
            </w:pPr>
            <w:r w:rsidRPr="00E34D81">
              <w:rPr>
                <w:color w:val="000000"/>
                <w:sz w:val="18"/>
                <w:szCs w:val="18"/>
              </w:rPr>
              <w:t xml:space="preserve">                      1,994,032 </w:t>
            </w:r>
          </w:p>
        </w:tc>
        <w:tc>
          <w:tcPr>
            <w:tcW w:w="2182" w:type="dxa"/>
            <w:gridSpan w:val="2"/>
            <w:tcBorders>
              <w:top w:val="nil"/>
              <w:left w:val="nil"/>
              <w:bottom w:val="single" w:sz="4" w:space="0" w:color="auto"/>
              <w:right w:val="single" w:sz="4" w:space="0" w:color="auto"/>
            </w:tcBorders>
            <w:shd w:val="clear" w:color="auto" w:fill="auto"/>
            <w:vAlign w:val="center"/>
            <w:hideMark/>
          </w:tcPr>
          <w:p w14:paraId="5F98E379" w14:textId="77777777" w:rsidR="009D6D4E" w:rsidRPr="00E34D81" w:rsidRDefault="009D6D4E" w:rsidP="00BF3B71">
            <w:pPr>
              <w:jc w:val="both"/>
              <w:rPr>
                <w:color w:val="000000"/>
                <w:sz w:val="18"/>
                <w:szCs w:val="18"/>
              </w:rPr>
            </w:pPr>
            <w:r w:rsidRPr="00E34D81">
              <w:rPr>
                <w:color w:val="000000"/>
                <w:sz w:val="18"/>
                <w:szCs w:val="18"/>
              </w:rPr>
              <w:t> </w:t>
            </w:r>
          </w:p>
        </w:tc>
        <w:tc>
          <w:tcPr>
            <w:tcW w:w="1328" w:type="dxa"/>
            <w:tcBorders>
              <w:top w:val="nil"/>
              <w:left w:val="nil"/>
              <w:bottom w:val="single" w:sz="4" w:space="0" w:color="auto"/>
              <w:right w:val="single" w:sz="4" w:space="0" w:color="auto"/>
            </w:tcBorders>
            <w:shd w:val="clear" w:color="auto" w:fill="auto"/>
            <w:vAlign w:val="center"/>
            <w:hideMark/>
          </w:tcPr>
          <w:p w14:paraId="075B786B" w14:textId="77777777" w:rsidR="009D6D4E" w:rsidRPr="00E34D81" w:rsidRDefault="009D6D4E" w:rsidP="00BF3B71">
            <w:pPr>
              <w:jc w:val="both"/>
              <w:rPr>
                <w:color w:val="000000"/>
                <w:sz w:val="18"/>
                <w:szCs w:val="18"/>
              </w:rPr>
            </w:pPr>
            <w:r w:rsidRPr="00E34D81">
              <w:rPr>
                <w:color w:val="000000"/>
                <w:sz w:val="18"/>
                <w:szCs w:val="18"/>
              </w:rPr>
              <w:t> </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5B276415" w14:textId="77777777" w:rsidR="009D6D4E" w:rsidRPr="00CB6955" w:rsidRDefault="009D6D4E" w:rsidP="00BF3B71">
            <w:pPr>
              <w:jc w:val="both"/>
              <w:rPr>
                <w:b/>
                <w:color w:val="000000"/>
                <w:sz w:val="18"/>
                <w:szCs w:val="18"/>
              </w:rPr>
            </w:pPr>
            <w:r w:rsidRPr="00CB6955">
              <w:rPr>
                <w:b/>
                <w:color w:val="000000"/>
                <w:sz w:val="18"/>
                <w:szCs w:val="18"/>
              </w:rPr>
              <w:t xml:space="preserve">                      1,994,032 </w:t>
            </w:r>
          </w:p>
        </w:tc>
      </w:tr>
      <w:tr w:rsidR="009D6D4E" w:rsidRPr="00E34D81" w14:paraId="071A49D1" w14:textId="77777777" w:rsidTr="00BF3B71">
        <w:trPr>
          <w:trHeight w:val="159"/>
        </w:trPr>
        <w:tc>
          <w:tcPr>
            <w:tcW w:w="664" w:type="dxa"/>
            <w:tcBorders>
              <w:top w:val="nil"/>
              <w:left w:val="single" w:sz="4" w:space="0" w:color="auto"/>
              <w:bottom w:val="single" w:sz="4" w:space="0" w:color="auto"/>
              <w:right w:val="single" w:sz="4" w:space="0" w:color="auto"/>
            </w:tcBorders>
            <w:shd w:val="clear" w:color="auto" w:fill="auto"/>
            <w:vAlign w:val="center"/>
            <w:hideMark/>
          </w:tcPr>
          <w:p w14:paraId="122558CC" w14:textId="77777777" w:rsidR="009D6D4E" w:rsidRPr="00E34D81" w:rsidRDefault="009D6D4E" w:rsidP="00BF3B71">
            <w:pPr>
              <w:jc w:val="both"/>
              <w:rPr>
                <w:color w:val="000000"/>
                <w:sz w:val="18"/>
                <w:szCs w:val="18"/>
              </w:rPr>
            </w:pPr>
            <w:r w:rsidRPr="00E34D81">
              <w:rPr>
                <w:color w:val="000000"/>
                <w:sz w:val="18"/>
                <w:szCs w:val="18"/>
              </w:rPr>
              <w:t>2021</w:t>
            </w:r>
          </w:p>
        </w:tc>
        <w:tc>
          <w:tcPr>
            <w:tcW w:w="2481" w:type="dxa"/>
            <w:gridSpan w:val="4"/>
            <w:tcBorders>
              <w:top w:val="nil"/>
              <w:left w:val="nil"/>
              <w:bottom w:val="single" w:sz="4" w:space="0" w:color="auto"/>
              <w:right w:val="single" w:sz="4" w:space="0" w:color="auto"/>
            </w:tcBorders>
            <w:shd w:val="clear" w:color="auto" w:fill="auto"/>
            <w:vAlign w:val="center"/>
            <w:hideMark/>
          </w:tcPr>
          <w:p w14:paraId="3DCC33EB" w14:textId="77777777" w:rsidR="009D6D4E" w:rsidRPr="00E34D81" w:rsidRDefault="009D6D4E" w:rsidP="00BF3B71">
            <w:pPr>
              <w:rPr>
                <w:color w:val="000000"/>
                <w:sz w:val="18"/>
                <w:szCs w:val="18"/>
              </w:rPr>
            </w:pPr>
            <w:r w:rsidRPr="00E34D81">
              <w:rPr>
                <w:color w:val="000000"/>
                <w:sz w:val="18"/>
                <w:szCs w:val="18"/>
              </w:rPr>
              <w:t> </w:t>
            </w:r>
          </w:p>
        </w:tc>
        <w:tc>
          <w:tcPr>
            <w:tcW w:w="2340" w:type="dxa"/>
            <w:gridSpan w:val="3"/>
            <w:tcBorders>
              <w:top w:val="nil"/>
              <w:left w:val="nil"/>
              <w:bottom w:val="single" w:sz="4" w:space="0" w:color="auto"/>
              <w:right w:val="single" w:sz="4" w:space="0" w:color="auto"/>
            </w:tcBorders>
            <w:shd w:val="clear" w:color="auto" w:fill="auto"/>
            <w:vAlign w:val="center"/>
            <w:hideMark/>
          </w:tcPr>
          <w:p w14:paraId="5DF0A5D8" w14:textId="77777777" w:rsidR="009D6D4E" w:rsidRPr="00E34D81" w:rsidRDefault="009D6D4E" w:rsidP="00BF3B71">
            <w:pPr>
              <w:rPr>
                <w:color w:val="000000"/>
                <w:sz w:val="18"/>
                <w:szCs w:val="18"/>
              </w:rPr>
            </w:pPr>
            <w:r w:rsidRPr="00E34D81">
              <w:rPr>
                <w:color w:val="000000"/>
                <w:sz w:val="18"/>
                <w:szCs w:val="18"/>
              </w:rPr>
              <w:t xml:space="preserve">                      2,635,032 </w:t>
            </w:r>
          </w:p>
        </w:tc>
        <w:tc>
          <w:tcPr>
            <w:tcW w:w="2182" w:type="dxa"/>
            <w:gridSpan w:val="2"/>
            <w:tcBorders>
              <w:top w:val="nil"/>
              <w:left w:val="nil"/>
              <w:bottom w:val="single" w:sz="4" w:space="0" w:color="auto"/>
              <w:right w:val="single" w:sz="4" w:space="0" w:color="auto"/>
            </w:tcBorders>
            <w:shd w:val="clear" w:color="auto" w:fill="auto"/>
            <w:vAlign w:val="center"/>
            <w:hideMark/>
          </w:tcPr>
          <w:p w14:paraId="741749C0" w14:textId="77777777" w:rsidR="009D6D4E" w:rsidRPr="00E34D81" w:rsidRDefault="009D6D4E" w:rsidP="00BF3B71">
            <w:pPr>
              <w:jc w:val="both"/>
              <w:rPr>
                <w:color w:val="000000"/>
                <w:sz w:val="18"/>
                <w:szCs w:val="18"/>
              </w:rPr>
            </w:pPr>
            <w:r w:rsidRPr="00E34D81">
              <w:rPr>
                <w:color w:val="000000"/>
                <w:sz w:val="18"/>
                <w:szCs w:val="18"/>
              </w:rPr>
              <w:t> </w:t>
            </w:r>
          </w:p>
        </w:tc>
        <w:tc>
          <w:tcPr>
            <w:tcW w:w="1328" w:type="dxa"/>
            <w:tcBorders>
              <w:top w:val="nil"/>
              <w:left w:val="nil"/>
              <w:bottom w:val="single" w:sz="4" w:space="0" w:color="auto"/>
              <w:right w:val="single" w:sz="4" w:space="0" w:color="auto"/>
            </w:tcBorders>
            <w:shd w:val="clear" w:color="auto" w:fill="auto"/>
            <w:vAlign w:val="center"/>
            <w:hideMark/>
          </w:tcPr>
          <w:p w14:paraId="3C753560" w14:textId="77777777" w:rsidR="009D6D4E" w:rsidRPr="00E34D81" w:rsidRDefault="009D6D4E" w:rsidP="00BF3B71">
            <w:pPr>
              <w:jc w:val="both"/>
              <w:rPr>
                <w:color w:val="000000"/>
                <w:sz w:val="18"/>
                <w:szCs w:val="18"/>
              </w:rPr>
            </w:pPr>
            <w:r w:rsidRPr="00E34D81">
              <w:rPr>
                <w:color w:val="000000"/>
                <w:sz w:val="18"/>
                <w:szCs w:val="18"/>
              </w:rPr>
              <w:t> </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778D69A1" w14:textId="77777777" w:rsidR="009D6D4E" w:rsidRPr="00CB6955" w:rsidRDefault="009D6D4E" w:rsidP="00BF3B71">
            <w:pPr>
              <w:jc w:val="both"/>
              <w:rPr>
                <w:b/>
                <w:color w:val="000000"/>
                <w:sz w:val="18"/>
                <w:szCs w:val="18"/>
              </w:rPr>
            </w:pPr>
            <w:r w:rsidRPr="00CB6955">
              <w:rPr>
                <w:b/>
                <w:color w:val="000000"/>
                <w:sz w:val="18"/>
                <w:szCs w:val="18"/>
              </w:rPr>
              <w:t xml:space="preserve">                      2,635,032 </w:t>
            </w:r>
          </w:p>
        </w:tc>
      </w:tr>
      <w:tr w:rsidR="009D6D4E" w:rsidRPr="00E34D81" w14:paraId="55ED7B35" w14:textId="77777777" w:rsidTr="00BF3B71">
        <w:trPr>
          <w:trHeight w:val="159"/>
        </w:trPr>
        <w:tc>
          <w:tcPr>
            <w:tcW w:w="664" w:type="dxa"/>
            <w:tcBorders>
              <w:top w:val="nil"/>
              <w:left w:val="single" w:sz="4" w:space="0" w:color="auto"/>
              <w:bottom w:val="single" w:sz="4" w:space="0" w:color="auto"/>
              <w:right w:val="single" w:sz="4" w:space="0" w:color="auto"/>
            </w:tcBorders>
            <w:shd w:val="clear" w:color="auto" w:fill="auto"/>
            <w:vAlign w:val="center"/>
            <w:hideMark/>
          </w:tcPr>
          <w:p w14:paraId="168E8203" w14:textId="77777777" w:rsidR="009D6D4E" w:rsidRPr="00E34D81" w:rsidRDefault="009D6D4E" w:rsidP="00BF3B71">
            <w:pPr>
              <w:jc w:val="both"/>
              <w:rPr>
                <w:color w:val="000000"/>
                <w:sz w:val="18"/>
                <w:szCs w:val="18"/>
              </w:rPr>
            </w:pPr>
            <w:r w:rsidRPr="00E34D81">
              <w:rPr>
                <w:color w:val="000000"/>
                <w:sz w:val="18"/>
                <w:szCs w:val="18"/>
              </w:rPr>
              <w:t>2022</w:t>
            </w:r>
          </w:p>
        </w:tc>
        <w:tc>
          <w:tcPr>
            <w:tcW w:w="2481" w:type="dxa"/>
            <w:gridSpan w:val="4"/>
            <w:tcBorders>
              <w:top w:val="nil"/>
              <w:left w:val="nil"/>
              <w:bottom w:val="single" w:sz="4" w:space="0" w:color="auto"/>
              <w:right w:val="single" w:sz="4" w:space="0" w:color="auto"/>
            </w:tcBorders>
            <w:shd w:val="clear" w:color="auto" w:fill="auto"/>
            <w:vAlign w:val="center"/>
            <w:hideMark/>
          </w:tcPr>
          <w:p w14:paraId="741E7192" w14:textId="77777777" w:rsidR="009D6D4E" w:rsidRPr="00E34D81" w:rsidRDefault="009D6D4E" w:rsidP="00BF3B71">
            <w:pPr>
              <w:rPr>
                <w:color w:val="000000"/>
                <w:sz w:val="18"/>
                <w:szCs w:val="18"/>
              </w:rPr>
            </w:pPr>
            <w:r w:rsidRPr="00E34D81">
              <w:rPr>
                <w:color w:val="000000"/>
                <w:sz w:val="18"/>
                <w:szCs w:val="18"/>
              </w:rPr>
              <w:t> </w:t>
            </w:r>
          </w:p>
        </w:tc>
        <w:tc>
          <w:tcPr>
            <w:tcW w:w="2340" w:type="dxa"/>
            <w:gridSpan w:val="3"/>
            <w:tcBorders>
              <w:top w:val="nil"/>
              <w:left w:val="nil"/>
              <w:bottom w:val="single" w:sz="4" w:space="0" w:color="auto"/>
              <w:right w:val="single" w:sz="4" w:space="0" w:color="auto"/>
            </w:tcBorders>
            <w:shd w:val="clear" w:color="auto" w:fill="auto"/>
            <w:vAlign w:val="center"/>
            <w:hideMark/>
          </w:tcPr>
          <w:p w14:paraId="4EF7EEFD" w14:textId="77777777" w:rsidR="009D6D4E" w:rsidRPr="00E34D81" w:rsidRDefault="009D6D4E" w:rsidP="00BF3B71">
            <w:pPr>
              <w:rPr>
                <w:color w:val="000000"/>
                <w:sz w:val="18"/>
                <w:szCs w:val="18"/>
              </w:rPr>
            </w:pPr>
            <w:r w:rsidRPr="00E34D81">
              <w:rPr>
                <w:color w:val="000000"/>
                <w:sz w:val="18"/>
                <w:szCs w:val="18"/>
              </w:rPr>
              <w:t xml:space="preserve">                      2,004,032 </w:t>
            </w:r>
          </w:p>
        </w:tc>
        <w:tc>
          <w:tcPr>
            <w:tcW w:w="2182" w:type="dxa"/>
            <w:gridSpan w:val="2"/>
            <w:tcBorders>
              <w:top w:val="nil"/>
              <w:left w:val="nil"/>
              <w:bottom w:val="single" w:sz="4" w:space="0" w:color="auto"/>
              <w:right w:val="single" w:sz="4" w:space="0" w:color="auto"/>
            </w:tcBorders>
            <w:shd w:val="clear" w:color="auto" w:fill="auto"/>
            <w:vAlign w:val="center"/>
            <w:hideMark/>
          </w:tcPr>
          <w:p w14:paraId="189850FB" w14:textId="77777777" w:rsidR="009D6D4E" w:rsidRPr="00E34D81" w:rsidRDefault="009D6D4E" w:rsidP="00BF3B71">
            <w:pPr>
              <w:jc w:val="both"/>
              <w:rPr>
                <w:color w:val="000000"/>
                <w:sz w:val="18"/>
                <w:szCs w:val="18"/>
              </w:rPr>
            </w:pPr>
            <w:r w:rsidRPr="00E34D81">
              <w:rPr>
                <w:color w:val="000000"/>
                <w:sz w:val="18"/>
                <w:szCs w:val="18"/>
              </w:rPr>
              <w:t xml:space="preserve">                                      -   </w:t>
            </w:r>
          </w:p>
        </w:tc>
        <w:tc>
          <w:tcPr>
            <w:tcW w:w="1328" w:type="dxa"/>
            <w:tcBorders>
              <w:top w:val="nil"/>
              <w:left w:val="nil"/>
              <w:bottom w:val="single" w:sz="4" w:space="0" w:color="auto"/>
              <w:right w:val="single" w:sz="4" w:space="0" w:color="auto"/>
            </w:tcBorders>
            <w:shd w:val="clear" w:color="auto" w:fill="auto"/>
            <w:vAlign w:val="center"/>
            <w:hideMark/>
          </w:tcPr>
          <w:p w14:paraId="26676455" w14:textId="77777777" w:rsidR="009D6D4E" w:rsidRPr="00E34D81" w:rsidRDefault="009D6D4E" w:rsidP="00BF3B71">
            <w:pPr>
              <w:jc w:val="both"/>
              <w:rPr>
                <w:color w:val="000000"/>
                <w:sz w:val="18"/>
                <w:szCs w:val="18"/>
              </w:rPr>
            </w:pPr>
            <w:r w:rsidRPr="00E34D81">
              <w:rPr>
                <w:color w:val="000000"/>
                <w:sz w:val="18"/>
                <w:szCs w:val="18"/>
              </w:rPr>
              <w:t xml:space="preserve">                                   -   </w:t>
            </w:r>
          </w:p>
        </w:tc>
        <w:tc>
          <w:tcPr>
            <w:tcW w:w="1296" w:type="dxa"/>
            <w:gridSpan w:val="2"/>
            <w:tcBorders>
              <w:top w:val="nil"/>
              <w:left w:val="nil"/>
              <w:bottom w:val="single" w:sz="4" w:space="0" w:color="auto"/>
              <w:right w:val="single" w:sz="4" w:space="0" w:color="auto"/>
            </w:tcBorders>
            <w:shd w:val="clear" w:color="000000" w:fill="FFFFFF"/>
            <w:vAlign w:val="center"/>
            <w:hideMark/>
          </w:tcPr>
          <w:p w14:paraId="6780DEBA" w14:textId="77777777" w:rsidR="009D6D4E" w:rsidRPr="00CB6955" w:rsidRDefault="009D6D4E" w:rsidP="00BF3B71">
            <w:pPr>
              <w:jc w:val="both"/>
              <w:rPr>
                <w:b/>
                <w:color w:val="000000"/>
                <w:sz w:val="18"/>
                <w:szCs w:val="18"/>
              </w:rPr>
            </w:pPr>
            <w:r w:rsidRPr="00CB6955">
              <w:rPr>
                <w:b/>
                <w:color w:val="000000"/>
                <w:sz w:val="18"/>
                <w:szCs w:val="18"/>
              </w:rPr>
              <w:t xml:space="preserve">                      2,004,032 </w:t>
            </w:r>
          </w:p>
        </w:tc>
      </w:tr>
      <w:tr w:rsidR="009D6D4E" w:rsidRPr="00E34D81" w14:paraId="190770C1" w14:textId="77777777" w:rsidTr="00BF3B71">
        <w:trPr>
          <w:trHeight w:val="273"/>
        </w:trPr>
        <w:tc>
          <w:tcPr>
            <w:tcW w:w="10291" w:type="dxa"/>
            <w:gridSpan w:val="13"/>
            <w:tcBorders>
              <w:top w:val="single" w:sz="8" w:space="0" w:color="auto"/>
              <w:left w:val="single" w:sz="8" w:space="0" w:color="auto"/>
              <w:bottom w:val="single" w:sz="8" w:space="0" w:color="auto"/>
              <w:right w:val="single" w:sz="8" w:space="0" w:color="000000"/>
            </w:tcBorders>
            <w:shd w:val="clear" w:color="auto" w:fill="auto"/>
            <w:vAlign w:val="center"/>
            <w:hideMark/>
          </w:tcPr>
          <w:p w14:paraId="129C80D7" w14:textId="77777777" w:rsidR="009D6D4E" w:rsidRPr="00E34D81" w:rsidRDefault="009D6D4E" w:rsidP="00BF3B71">
            <w:pPr>
              <w:rPr>
                <w:b/>
                <w:bCs/>
                <w:color w:val="000000"/>
                <w:sz w:val="18"/>
                <w:szCs w:val="18"/>
              </w:rPr>
            </w:pPr>
            <w:r w:rsidRPr="00E34D81">
              <w:rPr>
                <w:b/>
                <w:bCs/>
                <w:color w:val="000000"/>
                <w:sz w:val="18"/>
                <w:szCs w:val="18"/>
              </w:rPr>
              <w:t>Tabela 10.b:Financimi i masës së reformës strukturore:Masa# 17  Zbatimi i kornizës së re kurrikulare në sistemin e aftësimit profesional</w:t>
            </w:r>
          </w:p>
        </w:tc>
      </w:tr>
      <w:tr w:rsidR="009D6D4E" w:rsidRPr="00E34D81" w14:paraId="14FAE1D3" w14:textId="77777777" w:rsidTr="00BF3B71">
        <w:trPr>
          <w:trHeight w:val="433"/>
        </w:trPr>
        <w:tc>
          <w:tcPr>
            <w:tcW w:w="691" w:type="dxa"/>
            <w:gridSpan w:val="2"/>
            <w:tcBorders>
              <w:top w:val="nil"/>
              <w:left w:val="single" w:sz="8" w:space="0" w:color="auto"/>
              <w:bottom w:val="single" w:sz="8" w:space="0" w:color="auto"/>
              <w:right w:val="single" w:sz="8" w:space="0" w:color="auto"/>
            </w:tcBorders>
            <w:shd w:val="clear" w:color="auto" w:fill="auto"/>
            <w:vAlign w:val="center"/>
            <w:hideMark/>
          </w:tcPr>
          <w:p w14:paraId="4D7D5BE0" w14:textId="77777777" w:rsidR="009D6D4E" w:rsidRPr="00E34D81" w:rsidRDefault="009D6D4E" w:rsidP="00BF3B71">
            <w:pPr>
              <w:rPr>
                <w:color w:val="000000"/>
                <w:sz w:val="18"/>
                <w:szCs w:val="18"/>
              </w:rPr>
            </w:pPr>
            <w:r w:rsidRPr="00E34D81">
              <w:rPr>
                <w:color w:val="000000"/>
                <w:sz w:val="18"/>
                <w:szCs w:val="18"/>
              </w:rPr>
              <w:t xml:space="preserve">Viti </w:t>
            </w:r>
          </w:p>
        </w:tc>
        <w:tc>
          <w:tcPr>
            <w:tcW w:w="1162" w:type="dxa"/>
            <w:tcBorders>
              <w:top w:val="nil"/>
              <w:left w:val="nil"/>
              <w:bottom w:val="single" w:sz="8" w:space="0" w:color="auto"/>
              <w:right w:val="single" w:sz="8" w:space="0" w:color="auto"/>
            </w:tcBorders>
            <w:shd w:val="clear" w:color="auto" w:fill="auto"/>
            <w:vAlign w:val="center"/>
            <w:hideMark/>
          </w:tcPr>
          <w:p w14:paraId="5D3A9051" w14:textId="77777777" w:rsidR="009D6D4E" w:rsidRPr="00E34D81" w:rsidRDefault="009D6D4E" w:rsidP="00BF3B71">
            <w:pPr>
              <w:rPr>
                <w:color w:val="000000"/>
                <w:sz w:val="18"/>
                <w:szCs w:val="18"/>
              </w:rPr>
            </w:pPr>
            <w:r w:rsidRPr="00E34D81">
              <w:rPr>
                <w:color w:val="000000"/>
                <w:sz w:val="18"/>
                <w:szCs w:val="18"/>
              </w:rPr>
              <w:t>Buxheti Qendror</w:t>
            </w:r>
          </w:p>
        </w:tc>
        <w:tc>
          <w:tcPr>
            <w:tcW w:w="846" w:type="dxa"/>
            <w:tcBorders>
              <w:top w:val="nil"/>
              <w:left w:val="nil"/>
              <w:bottom w:val="single" w:sz="8" w:space="0" w:color="auto"/>
              <w:right w:val="single" w:sz="8" w:space="0" w:color="auto"/>
            </w:tcBorders>
            <w:shd w:val="clear" w:color="auto" w:fill="auto"/>
            <w:vAlign w:val="center"/>
            <w:hideMark/>
          </w:tcPr>
          <w:p w14:paraId="2ABF5B81" w14:textId="77777777" w:rsidR="009D6D4E" w:rsidRPr="00E34D81" w:rsidRDefault="009D6D4E" w:rsidP="00BF3B71">
            <w:pPr>
              <w:rPr>
                <w:color w:val="000000"/>
                <w:sz w:val="18"/>
                <w:szCs w:val="18"/>
              </w:rPr>
            </w:pPr>
            <w:r w:rsidRPr="00E34D81">
              <w:rPr>
                <w:color w:val="000000"/>
                <w:sz w:val="18"/>
                <w:szCs w:val="18"/>
              </w:rPr>
              <w:t>Buxheti komunal</w:t>
            </w:r>
          </w:p>
        </w:tc>
        <w:tc>
          <w:tcPr>
            <w:tcW w:w="1597" w:type="dxa"/>
            <w:gridSpan w:val="2"/>
            <w:tcBorders>
              <w:top w:val="nil"/>
              <w:left w:val="nil"/>
              <w:bottom w:val="single" w:sz="8" w:space="0" w:color="auto"/>
              <w:right w:val="single" w:sz="8" w:space="0" w:color="auto"/>
            </w:tcBorders>
            <w:shd w:val="clear" w:color="auto" w:fill="auto"/>
            <w:vAlign w:val="center"/>
            <w:hideMark/>
          </w:tcPr>
          <w:p w14:paraId="0A2622CF" w14:textId="77777777" w:rsidR="009D6D4E" w:rsidRPr="00E34D81" w:rsidRDefault="009D6D4E" w:rsidP="00BF3B71">
            <w:pPr>
              <w:rPr>
                <w:color w:val="000000"/>
                <w:sz w:val="18"/>
                <w:szCs w:val="18"/>
              </w:rPr>
            </w:pPr>
            <w:r w:rsidRPr="00E34D81">
              <w:rPr>
                <w:color w:val="000000"/>
                <w:sz w:val="18"/>
                <w:szCs w:val="18"/>
              </w:rPr>
              <w:t xml:space="preserve">Burimet e tjera të financimit publik </w:t>
            </w:r>
          </w:p>
        </w:tc>
        <w:tc>
          <w:tcPr>
            <w:tcW w:w="960" w:type="dxa"/>
            <w:tcBorders>
              <w:top w:val="nil"/>
              <w:left w:val="nil"/>
              <w:bottom w:val="single" w:sz="8" w:space="0" w:color="auto"/>
              <w:right w:val="single" w:sz="8" w:space="0" w:color="auto"/>
            </w:tcBorders>
            <w:shd w:val="clear" w:color="auto" w:fill="auto"/>
            <w:vAlign w:val="center"/>
            <w:hideMark/>
          </w:tcPr>
          <w:p w14:paraId="7412027D" w14:textId="77777777" w:rsidR="009D6D4E" w:rsidRPr="00E34D81" w:rsidRDefault="009D6D4E" w:rsidP="00BF3B71">
            <w:pPr>
              <w:rPr>
                <w:color w:val="000000"/>
                <w:sz w:val="18"/>
                <w:szCs w:val="18"/>
              </w:rPr>
            </w:pPr>
            <w:r w:rsidRPr="00E34D81">
              <w:rPr>
                <w:color w:val="000000"/>
                <w:sz w:val="18"/>
                <w:szCs w:val="18"/>
              </w:rPr>
              <w:t xml:space="preserve">Fondet e IPA-së </w:t>
            </w:r>
          </w:p>
        </w:tc>
        <w:tc>
          <w:tcPr>
            <w:tcW w:w="1551" w:type="dxa"/>
            <w:gridSpan w:val="2"/>
            <w:tcBorders>
              <w:top w:val="nil"/>
              <w:left w:val="nil"/>
              <w:bottom w:val="single" w:sz="8" w:space="0" w:color="auto"/>
              <w:right w:val="single" w:sz="8" w:space="0" w:color="auto"/>
            </w:tcBorders>
            <w:shd w:val="clear" w:color="auto" w:fill="auto"/>
            <w:vAlign w:val="center"/>
            <w:hideMark/>
          </w:tcPr>
          <w:p w14:paraId="71F66474" w14:textId="77777777" w:rsidR="009D6D4E" w:rsidRPr="00E34D81" w:rsidRDefault="009D6D4E" w:rsidP="00BF3B71">
            <w:pPr>
              <w:rPr>
                <w:color w:val="000000"/>
                <w:sz w:val="18"/>
                <w:szCs w:val="18"/>
              </w:rPr>
            </w:pPr>
            <w:r w:rsidRPr="00E34D81">
              <w:rPr>
                <w:color w:val="000000"/>
                <w:sz w:val="18"/>
                <w:szCs w:val="18"/>
              </w:rPr>
              <w:t>Grante të tjera ( ALLED, GIZ, MCC, Lux Development)</w:t>
            </w:r>
          </w:p>
        </w:tc>
        <w:tc>
          <w:tcPr>
            <w:tcW w:w="860" w:type="dxa"/>
            <w:tcBorders>
              <w:top w:val="nil"/>
              <w:left w:val="nil"/>
              <w:bottom w:val="single" w:sz="8" w:space="0" w:color="auto"/>
              <w:right w:val="single" w:sz="8" w:space="0" w:color="auto"/>
            </w:tcBorders>
            <w:shd w:val="clear" w:color="auto" w:fill="auto"/>
            <w:vAlign w:val="center"/>
            <w:hideMark/>
          </w:tcPr>
          <w:p w14:paraId="1478977A" w14:textId="77777777" w:rsidR="009D6D4E" w:rsidRPr="00E34D81" w:rsidRDefault="009D6D4E" w:rsidP="00BF3B71">
            <w:pPr>
              <w:rPr>
                <w:color w:val="000000"/>
                <w:sz w:val="18"/>
                <w:szCs w:val="18"/>
              </w:rPr>
            </w:pPr>
            <w:r w:rsidRPr="00E34D81">
              <w:rPr>
                <w:color w:val="000000"/>
                <w:sz w:val="18"/>
                <w:szCs w:val="18"/>
              </w:rPr>
              <w:t xml:space="preserve">Kredi për projekte </w:t>
            </w:r>
          </w:p>
        </w:tc>
        <w:tc>
          <w:tcPr>
            <w:tcW w:w="1463" w:type="dxa"/>
            <w:gridSpan w:val="2"/>
            <w:tcBorders>
              <w:top w:val="nil"/>
              <w:left w:val="nil"/>
              <w:bottom w:val="single" w:sz="8" w:space="0" w:color="auto"/>
              <w:right w:val="single" w:sz="8" w:space="0" w:color="auto"/>
            </w:tcBorders>
            <w:shd w:val="clear" w:color="auto" w:fill="auto"/>
            <w:vAlign w:val="center"/>
            <w:hideMark/>
          </w:tcPr>
          <w:p w14:paraId="7157D4FF" w14:textId="77777777" w:rsidR="009D6D4E" w:rsidRPr="00E34D81" w:rsidRDefault="009D6D4E" w:rsidP="00BF3B71">
            <w:pPr>
              <w:rPr>
                <w:color w:val="000000"/>
                <w:sz w:val="18"/>
                <w:szCs w:val="18"/>
              </w:rPr>
            </w:pPr>
            <w:r w:rsidRPr="00E34D81">
              <w:rPr>
                <w:color w:val="000000"/>
                <w:sz w:val="18"/>
                <w:szCs w:val="18"/>
              </w:rPr>
              <w:t xml:space="preserve">Të përcaktohet </w:t>
            </w:r>
          </w:p>
        </w:tc>
        <w:tc>
          <w:tcPr>
            <w:tcW w:w="1161" w:type="dxa"/>
            <w:tcBorders>
              <w:top w:val="nil"/>
              <w:left w:val="nil"/>
              <w:bottom w:val="single" w:sz="8" w:space="0" w:color="auto"/>
              <w:right w:val="single" w:sz="8" w:space="0" w:color="auto"/>
            </w:tcBorders>
            <w:shd w:val="clear" w:color="auto" w:fill="auto"/>
            <w:vAlign w:val="center"/>
            <w:hideMark/>
          </w:tcPr>
          <w:p w14:paraId="519324E2" w14:textId="77777777" w:rsidR="009D6D4E" w:rsidRPr="00CB6955" w:rsidRDefault="009D6D4E" w:rsidP="00BF3B71">
            <w:pPr>
              <w:rPr>
                <w:b/>
                <w:color w:val="000000"/>
                <w:sz w:val="18"/>
                <w:szCs w:val="18"/>
              </w:rPr>
            </w:pPr>
            <w:r w:rsidRPr="00CB6955">
              <w:rPr>
                <w:b/>
                <w:color w:val="000000"/>
                <w:sz w:val="18"/>
                <w:szCs w:val="18"/>
              </w:rPr>
              <w:t xml:space="preserve">Totali </w:t>
            </w:r>
          </w:p>
        </w:tc>
      </w:tr>
      <w:tr w:rsidR="009D6D4E" w:rsidRPr="00E34D81" w14:paraId="66CFE666" w14:textId="77777777" w:rsidTr="00BF3B71">
        <w:trPr>
          <w:trHeight w:val="433"/>
        </w:trPr>
        <w:tc>
          <w:tcPr>
            <w:tcW w:w="691" w:type="dxa"/>
            <w:gridSpan w:val="2"/>
            <w:tcBorders>
              <w:top w:val="nil"/>
              <w:left w:val="single" w:sz="8" w:space="0" w:color="auto"/>
              <w:bottom w:val="single" w:sz="8" w:space="0" w:color="auto"/>
              <w:right w:val="single" w:sz="8" w:space="0" w:color="auto"/>
            </w:tcBorders>
            <w:shd w:val="clear" w:color="auto" w:fill="auto"/>
            <w:vAlign w:val="center"/>
            <w:hideMark/>
          </w:tcPr>
          <w:p w14:paraId="77B60875" w14:textId="77777777" w:rsidR="009D6D4E" w:rsidRPr="00E34D81" w:rsidRDefault="009D6D4E" w:rsidP="00BF3B71">
            <w:pPr>
              <w:jc w:val="both"/>
              <w:rPr>
                <w:color w:val="000000"/>
                <w:sz w:val="18"/>
                <w:szCs w:val="18"/>
              </w:rPr>
            </w:pPr>
            <w:r w:rsidRPr="00E34D81">
              <w:rPr>
                <w:color w:val="000000"/>
                <w:sz w:val="18"/>
                <w:szCs w:val="18"/>
              </w:rPr>
              <w:t>2020</w:t>
            </w:r>
          </w:p>
        </w:tc>
        <w:tc>
          <w:tcPr>
            <w:tcW w:w="1162" w:type="dxa"/>
            <w:tcBorders>
              <w:top w:val="nil"/>
              <w:left w:val="nil"/>
              <w:bottom w:val="single" w:sz="8" w:space="0" w:color="auto"/>
              <w:right w:val="single" w:sz="8" w:space="0" w:color="auto"/>
            </w:tcBorders>
            <w:shd w:val="clear" w:color="auto" w:fill="auto"/>
            <w:vAlign w:val="center"/>
            <w:hideMark/>
          </w:tcPr>
          <w:p w14:paraId="1D6F622C" w14:textId="77777777" w:rsidR="009D6D4E" w:rsidRPr="00E34D81" w:rsidRDefault="009D6D4E" w:rsidP="00BF3B71">
            <w:pPr>
              <w:jc w:val="right"/>
              <w:rPr>
                <w:color w:val="000000"/>
                <w:sz w:val="18"/>
                <w:szCs w:val="18"/>
              </w:rPr>
            </w:pPr>
            <w:r w:rsidRPr="00E34D81">
              <w:rPr>
                <w:color w:val="000000"/>
                <w:sz w:val="18"/>
                <w:szCs w:val="18"/>
              </w:rPr>
              <w:t>1,050,000.00</w:t>
            </w:r>
          </w:p>
        </w:tc>
        <w:tc>
          <w:tcPr>
            <w:tcW w:w="846" w:type="dxa"/>
            <w:tcBorders>
              <w:top w:val="nil"/>
              <w:left w:val="nil"/>
              <w:bottom w:val="single" w:sz="8" w:space="0" w:color="auto"/>
              <w:right w:val="single" w:sz="8" w:space="0" w:color="auto"/>
            </w:tcBorders>
            <w:shd w:val="clear" w:color="auto" w:fill="auto"/>
            <w:vAlign w:val="center"/>
            <w:hideMark/>
          </w:tcPr>
          <w:p w14:paraId="5515FA97" w14:textId="77777777" w:rsidR="009D6D4E" w:rsidRPr="00E34D81" w:rsidRDefault="009D6D4E" w:rsidP="00BF3B71">
            <w:pPr>
              <w:jc w:val="center"/>
              <w:rPr>
                <w:color w:val="000000"/>
                <w:sz w:val="18"/>
                <w:szCs w:val="18"/>
              </w:rPr>
            </w:pPr>
            <w:r w:rsidRPr="00E34D81">
              <w:rPr>
                <w:color w:val="000000"/>
                <w:sz w:val="18"/>
                <w:szCs w:val="18"/>
              </w:rPr>
              <w:t>0.00</w:t>
            </w:r>
          </w:p>
        </w:tc>
        <w:tc>
          <w:tcPr>
            <w:tcW w:w="1597" w:type="dxa"/>
            <w:gridSpan w:val="2"/>
            <w:tcBorders>
              <w:top w:val="nil"/>
              <w:left w:val="nil"/>
              <w:bottom w:val="single" w:sz="8" w:space="0" w:color="auto"/>
              <w:right w:val="single" w:sz="8" w:space="0" w:color="auto"/>
            </w:tcBorders>
            <w:shd w:val="clear" w:color="auto" w:fill="auto"/>
            <w:vAlign w:val="center"/>
            <w:hideMark/>
          </w:tcPr>
          <w:p w14:paraId="473B4D12" w14:textId="77777777" w:rsidR="009D6D4E" w:rsidRPr="00E34D81" w:rsidRDefault="009D6D4E" w:rsidP="00BF3B71">
            <w:pPr>
              <w:jc w:val="center"/>
              <w:rPr>
                <w:color w:val="000000"/>
                <w:sz w:val="18"/>
                <w:szCs w:val="18"/>
              </w:rPr>
            </w:pPr>
            <w:r w:rsidRPr="00E34D81">
              <w:rPr>
                <w:color w:val="000000"/>
                <w:sz w:val="18"/>
                <w:szCs w:val="18"/>
              </w:rPr>
              <w:t>0.00</w:t>
            </w:r>
          </w:p>
        </w:tc>
        <w:tc>
          <w:tcPr>
            <w:tcW w:w="960" w:type="dxa"/>
            <w:tcBorders>
              <w:top w:val="nil"/>
              <w:left w:val="nil"/>
              <w:bottom w:val="single" w:sz="8" w:space="0" w:color="auto"/>
              <w:right w:val="single" w:sz="8" w:space="0" w:color="auto"/>
            </w:tcBorders>
            <w:shd w:val="clear" w:color="auto" w:fill="auto"/>
            <w:vAlign w:val="center"/>
            <w:hideMark/>
          </w:tcPr>
          <w:p w14:paraId="490879B0" w14:textId="77777777" w:rsidR="009D6D4E" w:rsidRPr="00E34D81" w:rsidRDefault="009D6D4E" w:rsidP="00BF3B71">
            <w:pPr>
              <w:jc w:val="center"/>
              <w:rPr>
                <w:color w:val="000000"/>
                <w:sz w:val="18"/>
                <w:szCs w:val="18"/>
              </w:rPr>
            </w:pPr>
            <w:r w:rsidRPr="00E34D81">
              <w:rPr>
                <w:color w:val="000000"/>
                <w:sz w:val="18"/>
                <w:szCs w:val="18"/>
              </w:rPr>
              <w:t>0.00</w:t>
            </w:r>
          </w:p>
        </w:tc>
        <w:tc>
          <w:tcPr>
            <w:tcW w:w="1551" w:type="dxa"/>
            <w:gridSpan w:val="2"/>
            <w:tcBorders>
              <w:top w:val="nil"/>
              <w:left w:val="nil"/>
              <w:bottom w:val="single" w:sz="8" w:space="0" w:color="auto"/>
              <w:right w:val="single" w:sz="8" w:space="0" w:color="auto"/>
            </w:tcBorders>
            <w:shd w:val="clear" w:color="auto" w:fill="auto"/>
            <w:vAlign w:val="center"/>
            <w:hideMark/>
          </w:tcPr>
          <w:p w14:paraId="65314015" w14:textId="77777777" w:rsidR="009D6D4E" w:rsidRPr="00E34D81" w:rsidRDefault="009D6D4E" w:rsidP="00BF3B71">
            <w:pPr>
              <w:jc w:val="right"/>
              <w:rPr>
                <w:color w:val="000000"/>
                <w:sz w:val="18"/>
                <w:szCs w:val="18"/>
              </w:rPr>
            </w:pPr>
            <w:r w:rsidRPr="00E34D81">
              <w:rPr>
                <w:color w:val="000000"/>
                <w:sz w:val="18"/>
                <w:szCs w:val="18"/>
              </w:rPr>
              <w:t>944,032.00</w:t>
            </w:r>
          </w:p>
        </w:tc>
        <w:tc>
          <w:tcPr>
            <w:tcW w:w="860" w:type="dxa"/>
            <w:tcBorders>
              <w:top w:val="nil"/>
              <w:left w:val="nil"/>
              <w:bottom w:val="single" w:sz="8" w:space="0" w:color="auto"/>
              <w:right w:val="single" w:sz="8" w:space="0" w:color="auto"/>
            </w:tcBorders>
            <w:shd w:val="clear" w:color="auto" w:fill="auto"/>
            <w:vAlign w:val="center"/>
            <w:hideMark/>
          </w:tcPr>
          <w:p w14:paraId="2D745C18" w14:textId="77777777" w:rsidR="009D6D4E" w:rsidRPr="00E34D81" w:rsidRDefault="009D6D4E" w:rsidP="00BF3B71">
            <w:pPr>
              <w:jc w:val="center"/>
              <w:rPr>
                <w:color w:val="000000"/>
                <w:sz w:val="18"/>
                <w:szCs w:val="18"/>
              </w:rPr>
            </w:pPr>
            <w:r w:rsidRPr="00E34D81">
              <w:rPr>
                <w:color w:val="000000"/>
                <w:sz w:val="18"/>
                <w:szCs w:val="18"/>
              </w:rPr>
              <w:t>0.00</w:t>
            </w:r>
          </w:p>
        </w:tc>
        <w:tc>
          <w:tcPr>
            <w:tcW w:w="1463" w:type="dxa"/>
            <w:gridSpan w:val="2"/>
            <w:tcBorders>
              <w:top w:val="nil"/>
              <w:left w:val="nil"/>
              <w:bottom w:val="single" w:sz="8" w:space="0" w:color="auto"/>
              <w:right w:val="single" w:sz="8" w:space="0" w:color="auto"/>
            </w:tcBorders>
            <w:shd w:val="clear" w:color="auto" w:fill="auto"/>
            <w:vAlign w:val="center"/>
            <w:hideMark/>
          </w:tcPr>
          <w:p w14:paraId="63FDBEDC" w14:textId="77777777" w:rsidR="009D6D4E" w:rsidRPr="00E34D81" w:rsidRDefault="009D6D4E" w:rsidP="00BF3B71">
            <w:pPr>
              <w:jc w:val="center"/>
              <w:rPr>
                <w:color w:val="000000"/>
                <w:sz w:val="18"/>
                <w:szCs w:val="18"/>
              </w:rPr>
            </w:pPr>
            <w:r w:rsidRPr="00E34D81">
              <w:rPr>
                <w:color w:val="000000"/>
                <w:sz w:val="18"/>
                <w:szCs w:val="18"/>
              </w:rPr>
              <w:t>0.00</w:t>
            </w:r>
          </w:p>
        </w:tc>
        <w:tc>
          <w:tcPr>
            <w:tcW w:w="1161" w:type="dxa"/>
            <w:tcBorders>
              <w:top w:val="nil"/>
              <w:left w:val="nil"/>
              <w:bottom w:val="single" w:sz="8" w:space="0" w:color="auto"/>
              <w:right w:val="single" w:sz="8" w:space="0" w:color="auto"/>
            </w:tcBorders>
            <w:shd w:val="clear" w:color="auto" w:fill="auto"/>
            <w:vAlign w:val="center"/>
            <w:hideMark/>
          </w:tcPr>
          <w:p w14:paraId="188FFC54" w14:textId="77777777" w:rsidR="009D6D4E" w:rsidRPr="00E34D81" w:rsidRDefault="009D6D4E" w:rsidP="00BF3B71">
            <w:pPr>
              <w:jc w:val="both"/>
              <w:rPr>
                <w:b/>
                <w:bCs/>
                <w:color w:val="000000"/>
                <w:sz w:val="18"/>
                <w:szCs w:val="18"/>
              </w:rPr>
            </w:pPr>
            <w:r w:rsidRPr="00E34D81">
              <w:rPr>
                <w:b/>
                <w:bCs/>
                <w:color w:val="000000"/>
                <w:sz w:val="18"/>
                <w:szCs w:val="18"/>
              </w:rPr>
              <w:t>1,994,032.00</w:t>
            </w:r>
          </w:p>
        </w:tc>
      </w:tr>
      <w:tr w:rsidR="009D6D4E" w:rsidRPr="00E34D81" w14:paraId="74D40EAA" w14:textId="77777777" w:rsidTr="00BF3B71">
        <w:trPr>
          <w:trHeight w:val="273"/>
        </w:trPr>
        <w:tc>
          <w:tcPr>
            <w:tcW w:w="691" w:type="dxa"/>
            <w:gridSpan w:val="2"/>
            <w:tcBorders>
              <w:top w:val="nil"/>
              <w:left w:val="single" w:sz="8" w:space="0" w:color="auto"/>
              <w:bottom w:val="single" w:sz="8" w:space="0" w:color="auto"/>
              <w:right w:val="single" w:sz="8" w:space="0" w:color="auto"/>
            </w:tcBorders>
            <w:shd w:val="clear" w:color="auto" w:fill="auto"/>
            <w:vAlign w:val="center"/>
            <w:hideMark/>
          </w:tcPr>
          <w:p w14:paraId="50C6C69F" w14:textId="77777777" w:rsidR="009D6D4E" w:rsidRPr="00E34D81" w:rsidRDefault="009D6D4E" w:rsidP="00BF3B71">
            <w:pPr>
              <w:jc w:val="both"/>
              <w:rPr>
                <w:color w:val="000000"/>
                <w:sz w:val="18"/>
                <w:szCs w:val="18"/>
              </w:rPr>
            </w:pPr>
            <w:r w:rsidRPr="00E34D81">
              <w:rPr>
                <w:color w:val="000000"/>
                <w:sz w:val="18"/>
                <w:szCs w:val="18"/>
              </w:rPr>
              <w:t>2021</w:t>
            </w:r>
          </w:p>
        </w:tc>
        <w:tc>
          <w:tcPr>
            <w:tcW w:w="1162" w:type="dxa"/>
            <w:tcBorders>
              <w:top w:val="nil"/>
              <w:left w:val="nil"/>
              <w:bottom w:val="single" w:sz="8" w:space="0" w:color="auto"/>
              <w:right w:val="single" w:sz="8" w:space="0" w:color="auto"/>
            </w:tcBorders>
            <w:shd w:val="clear" w:color="auto" w:fill="auto"/>
            <w:vAlign w:val="center"/>
            <w:hideMark/>
          </w:tcPr>
          <w:p w14:paraId="74BEAD5B" w14:textId="77777777" w:rsidR="009D6D4E" w:rsidRPr="00E34D81" w:rsidRDefault="009D6D4E" w:rsidP="00BF3B71">
            <w:pPr>
              <w:jc w:val="right"/>
              <w:rPr>
                <w:color w:val="000000"/>
                <w:sz w:val="18"/>
                <w:szCs w:val="18"/>
              </w:rPr>
            </w:pPr>
            <w:r w:rsidRPr="00E34D81">
              <w:rPr>
                <w:color w:val="000000"/>
                <w:sz w:val="18"/>
                <w:szCs w:val="18"/>
              </w:rPr>
              <w:t>1,050,000.00</w:t>
            </w:r>
          </w:p>
        </w:tc>
        <w:tc>
          <w:tcPr>
            <w:tcW w:w="846" w:type="dxa"/>
            <w:tcBorders>
              <w:top w:val="nil"/>
              <w:left w:val="nil"/>
              <w:bottom w:val="single" w:sz="8" w:space="0" w:color="auto"/>
              <w:right w:val="single" w:sz="8" w:space="0" w:color="auto"/>
            </w:tcBorders>
            <w:shd w:val="clear" w:color="auto" w:fill="auto"/>
            <w:vAlign w:val="center"/>
            <w:hideMark/>
          </w:tcPr>
          <w:p w14:paraId="520D75F7" w14:textId="77777777" w:rsidR="009D6D4E" w:rsidRPr="00E34D81" w:rsidRDefault="009D6D4E" w:rsidP="00BF3B71">
            <w:pPr>
              <w:jc w:val="center"/>
              <w:rPr>
                <w:color w:val="000000"/>
                <w:sz w:val="18"/>
                <w:szCs w:val="18"/>
              </w:rPr>
            </w:pPr>
            <w:r w:rsidRPr="00E34D81">
              <w:rPr>
                <w:color w:val="000000"/>
                <w:sz w:val="18"/>
                <w:szCs w:val="18"/>
              </w:rPr>
              <w:t>0.00</w:t>
            </w:r>
          </w:p>
        </w:tc>
        <w:tc>
          <w:tcPr>
            <w:tcW w:w="1597" w:type="dxa"/>
            <w:gridSpan w:val="2"/>
            <w:tcBorders>
              <w:top w:val="nil"/>
              <w:left w:val="nil"/>
              <w:bottom w:val="single" w:sz="8" w:space="0" w:color="auto"/>
              <w:right w:val="single" w:sz="8" w:space="0" w:color="auto"/>
            </w:tcBorders>
            <w:shd w:val="clear" w:color="auto" w:fill="auto"/>
            <w:vAlign w:val="center"/>
            <w:hideMark/>
          </w:tcPr>
          <w:p w14:paraId="697372F3" w14:textId="77777777" w:rsidR="009D6D4E" w:rsidRPr="00E34D81" w:rsidRDefault="009D6D4E" w:rsidP="00BF3B71">
            <w:pPr>
              <w:jc w:val="center"/>
              <w:rPr>
                <w:color w:val="000000"/>
                <w:sz w:val="18"/>
                <w:szCs w:val="18"/>
              </w:rPr>
            </w:pPr>
            <w:r w:rsidRPr="00E34D81">
              <w:rPr>
                <w:color w:val="000000"/>
                <w:sz w:val="18"/>
                <w:szCs w:val="18"/>
              </w:rPr>
              <w:t>0.00</w:t>
            </w:r>
          </w:p>
        </w:tc>
        <w:tc>
          <w:tcPr>
            <w:tcW w:w="960" w:type="dxa"/>
            <w:tcBorders>
              <w:top w:val="nil"/>
              <w:left w:val="nil"/>
              <w:bottom w:val="single" w:sz="8" w:space="0" w:color="auto"/>
              <w:right w:val="single" w:sz="8" w:space="0" w:color="auto"/>
            </w:tcBorders>
            <w:shd w:val="clear" w:color="auto" w:fill="auto"/>
            <w:vAlign w:val="center"/>
            <w:hideMark/>
          </w:tcPr>
          <w:p w14:paraId="0D0DB58A" w14:textId="77777777" w:rsidR="009D6D4E" w:rsidRPr="00E34D81" w:rsidRDefault="009D6D4E" w:rsidP="00BF3B71">
            <w:pPr>
              <w:jc w:val="center"/>
              <w:rPr>
                <w:color w:val="000000"/>
                <w:sz w:val="18"/>
                <w:szCs w:val="18"/>
              </w:rPr>
            </w:pPr>
            <w:r w:rsidRPr="00E34D81">
              <w:rPr>
                <w:color w:val="000000"/>
                <w:sz w:val="18"/>
                <w:szCs w:val="18"/>
              </w:rPr>
              <w:t>0.00</w:t>
            </w:r>
          </w:p>
        </w:tc>
        <w:tc>
          <w:tcPr>
            <w:tcW w:w="1551" w:type="dxa"/>
            <w:gridSpan w:val="2"/>
            <w:tcBorders>
              <w:top w:val="nil"/>
              <w:left w:val="nil"/>
              <w:bottom w:val="single" w:sz="8" w:space="0" w:color="auto"/>
              <w:right w:val="single" w:sz="8" w:space="0" w:color="auto"/>
            </w:tcBorders>
            <w:shd w:val="clear" w:color="auto" w:fill="auto"/>
            <w:vAlign w:val="center"/>
            <w:hideMark/>
          </w:tcPr>
          <w:p w14:paraId="61FA19C4" w14:textId="77777777" w:rsidR="009D6D4E" w:rsidRPr="00E34D81" w:rsidRDefault="009D6D4E" w:rsidP="00BF3B71">
            <w:pPr>
              <w:jc w:val="right"/>
              <w:rPr>
                <w:color w:val="000000"/>
                <w:sz w:val="18"/>
                <w:szCs w:val="18"/>
              </w:rPr>
            </w:pPr>
            <w:r w:rsidRPr="00E34D81">
              <w:rPr>
                <w:color w:val="000000"/>
                <w:sz w:val="18"/>
                <w:szCs w:val="18"/>
              </w:rPr>
              <w:t>1,585,032.00</w:t>
            </w:r>
          </w:p>
        </w:tc>
        <w:tc>
          <w:tcPr>
            <w:tcW w:w="860" w:type="dxa"/>
            <w:tcBorders>
              <w:top w:val="nil"/>
              <w:left w:val="nil"/>
              <w:bottom w:val="single" w:sz="8" w:space="0" w:color="auto"/>
              <w:right w:val="single" w:sz="8" w:space="0" w:color="auto"/>
            </w:tcBorders>
            <w:shd w:val="clear" w:color="auto" w:fill="auto"/>
            <w:vAlign w:val="center"/>
            <w:hideMark/>
          </w:tcPr>
          <w:p w14:paraId="52BB5B9A" w14:textId="77777777" w:rsidR="009D6D4E" w:rsidRPr="00E34D81" w:rsidRDefault="009D6D4E" w:rsidP="00BF3B71">
            <w:pPr>
              <w:jc w:val="center"/>
              <w:rPr>
                <w:color w:val="000000"/>
                <w:sz w:val="18"/>
                <w:szCs w:val="18"/>
              </w:rPr>
            </w:pPr>
            <w:r w:rsidRPr="00E34D81">
              <w:rPr>
                <w:color w:val="000000"/>
                <w:sz w:val="18"/>
                <w:szCs w:val="18"/>
              </w:rPr>
              <w:t>0.00</w:t>
            </w:r>
          </w:p>
        </w:tc>
        <w:tc>
          <w:tcPr>
            <w:tcW w:w="1463" w:type="dxa"/>
            <w:gridSpan w:val="2"/>
            <w:tcBorders>
              <w:top w:val="nil"/>
              <w:left w:val="nil"/>
              <w:bottom w:val="single" w:sz="8" w:space="0" w:color="auto"/>
              <w:right w:val="single" w:sz="8" w:space="0" w:color="auto"/>
            </w:tcBorders>
            <w:shd w:val="clear" w:color="auto" w:fill="auto"/>
            <w:vAlign w:val="center"/>
            <w:hideMark/>
          </w:tcPr>
          <w:p w14:paraId="78B61642" w14:textId="77777777" w:rsidR="009D6D4E" w:rsidRPr="00E34D81" w:rsidRDefault="009D6D4E" w:rsidP="00BF3B71">
            <w:pPr>
              <w:jc w:val="center"/>
              <w:rPr>
                <w:color w:val="000000"/>
                <w:sz w:val="18"/>
                <w:szCs w:val="18"/>
              </w:rPr>
            </w:pPr>
            <w:r w:rsidRPr="00E34D81">
              <w:rPr>
                <w:color w:val="000000"/>
                <w:sz w:val="18"/>
                <w:szCs w:val="18"/>
              </w:rPr>
              <w:t>0.00</w:t>
            </w:r>
          </w:p>
        </w:tc>
        <w:tc>
          <w:tcPr>
            <w:tcW w:w="1161" w:type="dxa"/>
            <w:tcBorders>
              <w:top w:val="nil"/>
              <w:left w:val="nil"/>
              <w:bottom w:val="single" w:sz="8" w:space="0" w:color="auto"/>
              <w:right w:val="single" w:sz="8" w:space="0" w:color="auto"/>
            </w:tcBorders>
            <w:shd w:val="clear" w:color="auto" w:fill="auto"/>
            <w:vAlign w:val="center"/>
            <w:hideMark/>
          </w:tcPr>
          <w:p w14:paraId="7C80D0B8" w14:textId="77777777" w:rsidR="009D6D4E" w:rsidRPr="00E34D81" w:rsidRDefault="009D6D4E" w:rsidP="00BF3B71">
            <w:pPr>
              <w:jc w:val="both"/>
              <w:rPr>
                <w:b/>
                <w:bCs/>
                <w:color w:val="000000"/>
                <w:sz w:val="18"/>
                <w:szCs w:val="18"/>
              </w:rPr>
            </w:pPr>
            <w:r w:rsidRPr="00E34D81">
              <w:rPr>
                <w:b/>
                <w:bCs/>
                <w:color w:val="000000"/>
                <w:sz w:val="18"/>
                <w:szCs w:val="18"/>
              </w:rPr>
              <w:t>2,635,032.00</w:t>
            </w:r>
          </w:p>
        </w:tc>
      </w:tr>
      <w:tr w:rsidR="009D6D4E" w:rsidRPr="00E34D81" w14:paraId="1DB42F5D" w14:textId="77777777" w:rsidTr="00BF3B71">
        <w:trPr>
          <w:trHeight w:val="273"/>
        </w:trPr>
        <w:tc>
          <w:tcPr>
            <w:tcW w:w="691" w:type="dxa"/>
            <w:gridSpan w:val="2"/>
            <w:tcBorders>
              <w:top w:val="nil"/>
              <w:left w:val="single" w:sz="8" w:space="0" w:color="auto"/>
              <w:bottom w:val="single" w:sz="8" w:space="0" w:color="auto"/>
              <w:right w:val="single" w:sz="8" w:space="0" w:color="auto"/>
            </w:tcBorders>
            <w:shd w:val="clear" w:color="auto" w:fill="auto"/>
            <w:vAlign w:val="center"/>
            <w:hideMark/>
          </w:tcPr>
          <w:p w14:paraId="06437849" w14:textId="77777777" w:rsidR="009D6D4E" w:rsidRPr="00E34D81" w:rsidRDefault="009D6D4E" w:rsidP="00BF3B71">
            <w:pPr>
              <w:jc w:val="both"/>
              <w:rPr>
                <w:color w:val="000000"/>
                <w:sz w:val="18"/>
                <w:szCs w:val="18"/>
              </w:rPr>
            </w:pPr>
            <w:r w:rsidRPr="00E34D81">
              <w:rPr>
                <w:color w:val="000000"/>
                <w:sz w:val="18"/>
                <w:szCs w:val="18"/>
              </w:rPr>
              <w:t>2022</w:t>
            </w:r>
          </w:p>
        </w:tc>
        <w:tc>
          <w:tcPr>
            <w:tcW w:w="1162" w:type="dxa"/>
            <w:tcBorders>
              <w:top w:val="nil"/>
              <w:left w:val="nil"/>
              <w:bottom w:val="single" w:sz="8" w:space="0" w:color="auto"/>
              <w:right w:val="single" w:sz="8" w:space="0" w:color="auto"/>
            </w:tcBorders>
            <w:shd w:val="clear" w:color="auto" w:fill="auto"/>
            <w:vAlign w:val="center"/>
            <w:hideMark/>
          </w:tcPr>
          <w:p w14:paraId="656A4AFB" w14:textId="77777777" w:rsidR="009D6D4E" w:rsidRPr="00E34D81" w:rsidRDefault="009D6D4E" w:rsidP="00BF3B71">
            <w:pPr>
              <w:jc w:val="center"/>
              <w:rPr>
                <w:color w:val="000000"/>
                <w:sz w:val="18"/>
                <w:szCs w:val="18"/>
              </w:rPr>
            </w:pPr>
            <w:r w:rsidRPr="00E34D81">
              <w:rPr>
                <w:color w:val="000000"/>
                <w:sz w:val="18"/>
                <w:szCs w:val="18"/>
              </w:rPr>
              <w:t>0.00</w:t>
            </w:r>
          </w:p>
        </w:tc>
        <w:tc>
          <w:tcPr>
            <w:tcW w:w="846" w:type="dxa"/>
            <w:tcBorders>
              <w:top w:val="nil"/>
              <w:left w:val="nil"/>
              <w:bottom w:val="single" w:sz="8" w:space="0" w:color="auto"/>
              <w:right w:val="single" w:sz="8" w:space="0" w:color="auto"/>
            </w:tcBorders>
            <w:shd w:val="clear" w:color="auto" w:fill="auto"/>
            <w:vAlign w:val="center"/>
            <w:hideMark/>
          </w:tcPr>
          <w:p w14:paraId="39CB5D72" w14:textId="77777777" w:rsidR="009D6D4E" w:rsidRPr="00E34D81" w:rsidRDefault="009D6D4E" w:rsidP="00BF3B71">
            <w:pPr>
              <w:jc w:val="center"/>
              <w:rPr>
                <w:color w:val="000000"/>
                <w:sz w:val="18"/>
                <w:szCs w:val="18"/>
              </w:rPr>
            </w:pPr>
            <w:r w:rsidRPr="00E34D81">
              <w:rPr>
                <w:color w:val="000000"/>
                <w:sz w:val="18"/>
                <w:szCs w:val="18"/>
              </w:rPr>
              <w:t>0.00</w:t>
            </w:r>
          </w:p>
        </w:tc>
        <w:tc>
          <w:tcPr>
            <w:tcW w:w="1597" w:type="dxa"/>
            <w:gridSpan w:val="2"/>
            <w:tcBorders>
              <w:top w:val="nil"/>
              <w:left w:val="nil"/>
              <w:bottom w:val="single" w:sz="8" w:space="0" w:color="auto"/>
              <w:right w:val="single" w:sz="8" w:space="0" w:color="auto"/>
            </w:tcBorders>
            <w:shd w:val="clear" w:color="auto" w:fill="auto"/>
            <w:vAlign w:val="center"/>
            <w:hideMark/>
          </w:tcPr>
          <w:p w14:paraId="49CCA539" w14:textId="77777777" w:rsidR="009D6D4E" w:rsidRPr="00E34D81" w:rsidRDefault="009D6D4E" w:rsidP="00BF3B71">
            <w:pPr>
              <w:jc w:val="center"/>
              <w:rPr>
                <w:color w:val="000000"/>
                <w:sz w:val="18"/>
                <w:szCs w:val="18"/>
              </w:rPr>
            </w:pPr>
            <w:r w:rsidRPr="00E34D81">
              <w:rPr>
                <w:color w:val="000000"/>
                <w:sz w:val="18"/>
                <w:szCs w:val="18"/>
              </w:rPr>
              <w:t>0.00</w:t>
            </w:r>
          </w:p>
        </w:tc>
        <w:tc>
          <w:tcPr>
            <w:tcW w:w="960" w:type="dxa"/>
            <w:tcBorders>
              <w:top w:val="nil"/>
              <w:left w:val="nil"/>
              <w:bottom w:val="single" w:sz="8" w:space="0" w:color="auto"/>
              <w:right w:val="single" w:sz="8" w:space="0" w:color="auto"/>
            </w:tcBorders>
            <w:shd w:val="clear" w:color="auto" w:fill="auto"/>
            <w:vAlign w:val="center"/>
            <w:hideMark/>
          </w:tcPr>
          <w:p w14:paraId="4AEB4822" w14:textId="77777777" w:rsidR="009D6D4E" w:rsidRPr="00E34D81" w:rsidRDefault="009D6D4E" w:rsidP="00BF3B71">
            <w:pPr>
              <w:jc w:val="center"/>
              <w:rPr>
                <w:color w:val="000000"/>
                <w:sz w:val="18"/>
                <w:szCs w:val="18"/>
              </w:rPr>
            </w:pPr>
            <w:r w:rsidRPr="00E34D81">
              <w:rPr>
                <w:color w:val="000000"/>
                <w:sz w:val="18"/>
                <w:szCs w:val="18"/>
              </w:rPr>
              <w:t>0.00</w:t>
            </w:r>
          </w:p>
        </w:tc>
        <w:tc>
          <w:tcPr>
            <w:tcW w:w="1551" w:type="dxa"/>
            <w:gridSpan w:val="2"/>
            <w:tcBorders>
              <w:top w:val="nil"/>
              <w:left w:val="nil"/>
              <w:bottom w:val="single" w:sz="8" w:space="0" w:color="auto"/>
              <w:right w:val="single" w:sz="8" w:space="0" w:color="auto"/>
            </w:tcBorders>
            <w:shd w:val="clear" w:color="auto" w:fill="auto"/>
            <w:vAlign w:val="center"/>
            <w:hideMark/>
          </w:tcPr>
          <w:p w14:paraId="3F3B24AE" w14:textId="77777777" w:rsidR="009D6D4E" w:rsidRPr="00E34D81" w:rsidRDefault="009D6D4E" w:rsidP="00BF3B71">
            <w:pPr>
              <w:jc w:val="right"/>
              <w:rPr>
                <w:color w:val="000000"/>
                <w:sz w:val="18"/>
                <w:szCs w:val="18"/>
              </w:rPr>
            </w:pPr>
            <w:r w:rsidRPr="00E34D81">
              <w:rPr>
                <w:color w:val="000000"/>
                <w:sz w:val="18"/>
                <w:szCs w:val="18"/>
              </w:rPr>
              <w:t>2,004,032.00</w:t>
            </w:r>
          </w:p>
        </w:tc>
        <w:tc>
          <w:tcPr>
            <w:tcW w:w="860" w:type="dxa"/>
            <w:tcBorders>
              <w:top w:val="nil"/>
              <w:left w:val="nil"/>
              <w:bottom w:val="single" w:sz="8" w:space="0" w:color="auto"/>
              <w:right w:val="single" w:sz="8" w:space="0" w:color="auto"/>
            </w:tcBorders>
            <w:shd w:val="clear" w:color="auto" w:fill="auto"/>
            <w:vAlign w:val="center"/>
            <w:hideMark/>
          </w:tcPr>
          <w:p w14:paraId="5AFB095E" w14:textId="77777777" w:rsidR="009D6D4E" w:rsidRPr="00E34D81" w:rsidRDefault="009D6D4E" w:rsidP="00BF3B71">
            <w:pPr>
              <w:jc w:val="center"/>
              <w:rPr>
                <w:color w:val="000000"/>
                <w:sz w:val="18"/>
                <w:szCs w:val="18"/>
              </w:rPr>
            </w:pPr>
            <w:r w:rsidRPr="00E34D81">
              <w:rPr>
                <w:color w:val="000000"/>
                <w:sz w:val="18"/>
                <w:szCs w:val="18"/>
              </w:rPr>
              <w:t>0.00</w:t>
            </w:r>
          </w:p>
        </w:tc>
        <w:tc>
          <w:tcPr>
            <w:tcW w:w="1463" w:type="dxa"/>
            <w:gridSpan w:val="2"/>
            <w:tcBorders>
              <w:top w:val="nil"/>
              <w:left w:val="nil"/>
              <w:bottom w:val="single" w:sz="8" w:space="0" w:color="auto"/>
              <w:right w:val="single" w:sz="8" w:space="0" w:color="auto"/>
            </w:tcBorders>
            <w:shd w:val="clear" w:color="auto" w:fill="auto"/>
            <w:vAlign w:val="center"/>
            <w:hideMark/>
          </w:tcPr>
          <w:p w14:paraId="6BA33309" w14:textId="77777777" w:rsidR="009D6D4E" w:rsidRPr="00E34D81" w:rsidRDefault="009D6D4E" w:rsidP="00BF3B71">
            <w:pPr>
              <w:jc w:val="center"/>
              <w:rPr>
                <w:color w:val="000000"/>
                <w:sz w:val="18"/>
                <w:szCs w:val="18"/>
              </w:rPr>
            </w:pPr>
            <w:r w:rsidRPr="00E34D81">
              <w:rPr>
                <w:color w:val="000000"/>
                <w:sz w:val="18"/>
                <w:szCs w:val="18"/>
              </w:rPr>
              <w:t>0.00</w:t>
            </w:r>
          </w:p>
        </w:tc>
        <w:tc>
          <w:tcPr>
            <w:tcW w:w="1161" w:type="dxa"/>
            <w:tcBorders>
              <w:top w:val="nil"/>
              <w:left w:val="nil"/>
              <w:bottom w:val="single" w:sz="8" w:space="0" w:color="auto"/>
              <w:right w:val="single" w:sz="8" w:space="0" w:color="auto"/>
            </w:tcBorders>
            <w:shd w:val="clear" w:color="auto" w:fill="auto"/>
            <w:vAlign w:val="center"/>
            <w:hideMark/>
          </w:tcPr>
          <w:p w14:paraId="6EE9E2F1" w14:textId="77777777" w:rsidR="009D6D4E" w:rsidRPr="00E34D81" w:rsidRDefault="009D6D4E" w:rsidP="00BF3B71">
            <w:pPr>
              <w:jc w:val="both"/>
              <w:rPr>
                <w:b/>
                <w:bCs/>
                <w:color w:val="000000"/>
                <w:sz w:val="18"/>
                <w:szCs w:val="18"/>
              </w:rPr>
            </w:pPr>
            <w:r w:rsidRPr="00E34D81">
              <w:rPr>
                <w:b/>
                <w:bCs/>
                <w:color w:val="000000"/>
                <w:sz w:val="18"/>
                <w:szCs w:val="18"/>
              </w:rPr>
              <w:t>2,004,032.00</w:t>
            </w:r>
          </w:p>
        </w:tc>
      </w:tr>
    </w:tbl>
    <w:p w14:paraId="2489C759" w14:textId="77777777" w:rsidR="009D6D4E" w:rsidRDefault="009D6D4E" w:rsidP="009D6D4E"/>
    <w:p w14:paraId="54B15C86" w14:textId="77777777" w:rsidR="009D6D4E" w:rsidRDefault="009D6D4E" w:rsidP="009D6D4E"/>
    <w:tbl>
      <w:tblPr>
        <w:tblW w:w="10255" w:type="dxa"/>
        <w:tblLook w:val="04A0" w:firstRow="1" w:lastRow="0" w:firstColumn="1" w:lastColumn="0" w:noHBand="0" w:noVBand="1"/>
      </w:tblPr>
      <w:tblGrid>
        <w:gridCol w:w="709"/>
        <w:gridCol w:w="1062"/>
        <w:gridCol w:w="97"/>
        <w:gridCol w:w="781"/>
        <w:gridCol w:w="1450"/>
        <w:gridCol w:w="191"/>
        <w:gridCol w:w="1037"/>
        <w:gridCol w:w="966"/>
        <w:gridCol w:w="527"/>
        <w:gridCol w:w="875"/>
        <w:gridCol w:w="1357"/>
        <w:gridCol w:w="162"/>
        <w:gridCol w:w="1041"/>
      </w:tblGrid>
      <w:tr w:rsidR="009D6D4E" w:rsidRPr="00E34D81" w14:paraId="70729123" w14:textId="77777777" w:rsidTr="00BF3B71">
        <w:trPr>
          <w:trHeight w:val="391"/>
        </w:trPr>
        <w:tc>
          <w:tcPr>
            <w:tcW w:w="10255"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33376D8D" w14:textId="77777777" w:rsidR="009D6D4E" w:rsidRPr="00E34D81" w:rsidRDefault="009D6D4E" w:rsidP="00BF3B71">
            <w:pPr>
              <w:rPr>
                <w:b/>
                <w:bCs/>
                <w:color w:val="000000"/>
                <w:sz w:val="18"/>
                <w:szCs w:val="18"/>
              </w:rPr>
            </w:pPr>
            <w:r w:rsidRPr="00E34D81">
              <w:rPr>
                <w:b/>
                <w:bCs/>
                <w:color w:val="000000"/>
                <w:sz w:val="18"/>
                <w:szCs w:val="18"/>
              </w:rPr>
              <w:t xml:space="preserve">Tabela 10 a.: Kostimi i masës së reformës strukturore:  Masa#18  Ngritja dhe sigurimi i cilësisë në arsimin e lartë përmes fuqizimit të AKA, përmirësimin e formulës së financimit dhe profilizimin e institucioneve të arsimit të lartë </w:t>
            </w:r>
          </w:p>
        </w:tc>
      </w:tr>
      <w:tr w:rsidR="009D6D4E" w:rsidRPr="00E34D81" w14:paraId="66ADE4DD" w14:textId="77777777" w:rsidTr="00BF3B71">
        <w:trPr>
          <w:trHeight w:val="424"/>
        </w:trPr>
        <w:tc>
          <w:tcPr>
            <w:tcW w:w="1885" w:type="dxa"/>
            <w:gridSpan w:val="3"/>
            <w:tcBorders>
              <w:top w:val="nil"/>
              <w:left w:val="single" w:sz="4" w:space="0" w:color="auto"/>
              <w:bottom w:val="single" w:sz="4" w:space="0" w:color="auto"/>
              <w:right w:val="single" w:sz="4" w:space="0" w:color="auto"/>
            </w:tcBorders>
            <w:shd w:val="clear" w:color="auto" w:fill="auto"/>
            <w:vAlign w:val="center"/>
            <w:hideMark/>
          </w:tcPr>
          <w:p w14:paraId="7636E086" w14:textId="77777777" w:rsidR="009D6D4E" w:rsidRPr="00E34D81" w:rsidRDefault="009D6D4E" w:rsidP="00BF3B71">
            <w:pPr>
              <w:jc w:val="both"/>
              <w:rPr>
                <w:color w:val="000000"/>
                <w:sz w:val="18"/>
                <w:szCs w:val="18"/>
              </w:rPr>
            </w:pPr>
            <w:r w:rsidRPr="00E34D81">
              <w:rPr>
                <w:color w:val="000000"/>
                <w:sz w:val="18"/>
                <w:szCs w:val="18"/>
              </w:rPr>
              <w:t xml:space="preserve">Viti </w:t>
            </w:r>
          </w:p>
        </w:tc>
        <w:tc>
          <w:tcPr>
            <w:tcW w:w="2250" w:type="dxa"/>
            <w:gridSpan w:val="2"/>
            <w:tcBorders>
              <w:top w:val="nil"/>
              <w:left w:val="nil"/>
              <w:bottom w:val="single" w:sz="4" w:space="0" w:color="auto"/>
              <w:right w:val="single" w:sz="4" w:space="0" w:color="auto"/>
            </w:tcBorders>
            <w:shd w:val="clear" w:color="auto" w:fill="auto"/>
            <w:vAlign w:val="center"/>
            <w:hideMark/>
          </w:tcPr>
          <w:p w14:paraId="32507BC7" w14:textId="77777777" w:rsidR="009D6D4E" w:rsidRPr="00E34D81" w:rsidRDefault="009D6D4E" w:rsidP="00BF3B71">
            <w:pPr>
              <w:rPr>
                <w:color w:val="000000"/>
                <w:sz w:val="18"/>
                <w:szCs w:val="18"/>
              </w:rPr>
            </w:pPr>
            <w:r w:rsidRPr="00E34D81">
              <w:rPr>
                <w:color w:val="000000"/>
                <w:sz w:val="18"/>
                <w:szCs w:val="18"/>
              </w:rPr>
              <w:t>Pagat</w:t>
            </w:r>
          </w:p>
        </w:tc>
        <w:tc>
          <w:tcPr>
            <w:tcW w:w="2250" w:type="dxa"/>
            <w:gridSpan w:val="3"/>
            <w:tcBorders>
              <w:top w:val="nil"/>
              <w:left w:val="nil"/>
              <w:bottom w:val="single" w:sz="4" w:space="0" w:color="auto"/>
              <w:right w:val="single" w:sz="4" w:space="0" w:color="auto"/>
            </w:tcBorders>
            <w:shd w:val="clear" w:color="auto" w:fill="auto"/>
            <w:vAlign w:val="center"/>
            <w:hideMark/>
          </w:tcPr>
          <w:p w14:paraId="54A947F3" w14:textId="77777777" w:rsidR="009D6D4E" w:rsidRPr="00E34D81" w:rsidRDefault="009D6D4E" w:rsidP="00BF3B71">
            <w:pPr>
              <w:rPr>
                <w:color w:val="000000"/>
                <w:sz w:val="18"/>
                <w:szCs w:val="18"/>
              </w:rPr>
            </w:pPr>
            <w:r w:rsidRPr="00E34D81">
              <w:rPr>
                <w:color w:val="000000"/>
                <w:sz w:val="18"/>
                <w:szCs w:val="18"/>
              </w:rPr>
              <w:t>Mallra dhe shërbime</w:t>
            </w:r>
          </w:p>
        </w:tc>
        <w:tc>
          <w:tcPr>
            <w:tcW w:w="1407" w:type="dxa"/>
            <w:gridSpan w:val="2"/>
            <w:tcBorders>
              <w:top w:val="nil"/>
              <w:left w:val="nil"/>
              <w:bottom w:val="single" w:sz="4" w:space="0" w:color="auto"/>
              <w:right w:val="single" w:sz="4" w:space="0" w:color="auto"/>
            </w:tcBorders>
            <w:shd w:val="clear" w:color="auto" w:fill="auto"/>
            <w:vAlign w:val="center"/>
            <w:hideMark/>
          </w:tcPr>
          <w:p w14:paraId="7D3A1A21" w14:textId="77777777" w:rsidR="009D6D4E" w:rsidRPr="00E34D81" w:rsidRDefault="009D6D4E" w:rsidP="00BF3B71">
            <w:pPr>
              <w:rPr>
                <w:color w:val="000000"/>
                <w:sz w:val="18"/>
                <w:szCs w:val="18"/>
              </w:rPr>
            </w:pPr>
            <w:r w:rsidRPr="00E34D81">
              <w:rPr>
                <w:color w:val="000000"/>
                <w:sz w:val="18"/>
                <w:szCs w:val="18"/>
              </w:rPr>
              <w:t>Subvencione dhe transfere</w:t>
            </w:r>
          </w:p>
        </w:tc>
        <w:tc>
          <w:tcPr>
            <w:tcW w:w="1383" w:type="dxa"/>
            <w:tcBorders>
              <w:top w:val="nil"/>
              <w:left w:val="nil"/>
              <w:bottom w:val="single" w:sz="4" w:space="0" w:color="auto"/>
              <w:right w:val="single" w:sz="4" w:space="0" w:color="auto"/>
            </w:tcBorders>
            <w:shd w:val="clear" w:color="auto" w:fill="auto"/>
            <w:vAlign w:val="center"/>
            <w:hideMark/>
          </w:tcPr>
          <w:p w14:paraId="3909508F" w14:textId="77777777" w:rsidR="009D6D4E" w:rsidRPr="00E34D81" w:rsidRDefault="009D6D4E" w:rsidP="00BF3B71">
            <w:pPr>
              <w:rPr>
                <w:color w:val="000000"/>
                <w:sz w:val="18"/>
                <w:szCs w:val="18"/>
              </w:rPr>
            </w:pPr>
            <w:r w:rsidRPr="00E34D81">
              <w:rPr>
                <w:color w:val="000000"/>
                <w:sz w:val="18"/>
                <w:szCs w:val="18"/>
              </w:rPr>
              <w:t xml:space="preserve">Shpenzimet kapitale </w:t>
            </w:r>
          </w:p>
        </w:tc>
        <w:tc>
          <w:tcPr>
            <w:tcW w:w="1080" w:type="dxa"/>
            <w:gridSpan w:val="2"/>
            <w:tcBorders>
              <w:top w:val="nil"/>
              <w:left w:val="nil"/>
              <w:bottom w:val="single" w:sz="4" w:space="0" w:color="auto"/>
              <w:right w:val="single" w:sz="4" w:space="0" w:color="auto"/>
            </w:tcBorders>
            <w:shd w:val="clear" w:color="auto" w:fill="auto"/>
            <w:vAlign w:val="center"/>
            <w:hideMark/>
          </w:tcPr>
          <w:p w14:paraId="35645F6F" w14:textId="77777777" w:rsidR="009D6D4E" w:rsidRPr="00CB6955" w:rsidRDefault="009D6D4E" w:rsidP="00BF3B71">
            <w:pPr>
              <w:rPr>
                <w:b/>
                <w:color w:val="000000"/>
                <w:sz w:val="18"/>
                <w:szCs w:val="18"/>
              </w:rPr>
            </w:pPr>
            <w:r w:rsidRPr="00CB6955">
              <w:rPr>
                <w:b/>
                <w:color w:val="000000"/>
                <w:sz w:val="18"/>
                <w:szCs w:val="18"/>
              </w:rPr>
              <w:t xml:space="preserve">Totali </w:t>
            </w:r>
          </w:p>
        </w:tc>
      </w:tr>
      <w:tr w:rsidR="009D6D4E" w:rsidRPr="00E34D81" w14:paraId="5C75F9D7" w14:textId="77777777" w:rsidTr="00BF3B71">
        <w:trPr>
          <w:trHeight w:val="332"/>
        </w:trPr>
        <w:tc>
          <w:tcPr>
            <w:tcW w:w="1885" w:type="dxa"/>
            <w:gridSpan w:val="3"/>
            <w:tcBorders>
              <w:top w:val="nil"/>
              <w:left w:val="single" w:sz="4" w:space="0" w:color="auto"/>
              <w:bottom w:val="single" w:sz="4" w:space="0" w:color="auto"/>
              <w:right w:val="single" w:sz="4" w:space="0" w:color="auto"/>
            </w:tcBorders>
            <w:shd w:val="clear" w:color="auto" w:fill="auto"/>
            <w:vAlign w:val="center"/>
            <w:hideMark/>
          </w:tcPr>
          <w:p w14:paraId="3831CD53" w14:textId="77777777" w:rsidR="009D6D4E" w:rsidRPr="00E34D81" w:rsidRDefault="009D6D4E" w:rsidP="00BF3B71">
            <w:pPr>
              <w:jc w:val="both"/>
              <w:rPr>
                <w:color w:val="000000"/>
                <w:sz w:val="18"/>
                <w:szCs w:val="18"/>
              </w:rPr>
            </w:pPr>
            <w:r w:rsidRPr="00E34D81">
              <w:rPr>
                <w:color w:val="000000"/>
                <w:sz w:val="18"/>
                <w:szCs w:val="18"/>
              </w:rPr>
              <w:t>2020</w:t>
            </w:r>
          </w:p>
        </w:tc>
        <w:tc>
          <w:tcPr>
            <w:tcW w:w="2250" w:type="dxa"/>
            <w:gridSpan w:val="2"/>
            <w:tcBorders>
              <w:top w:val="nil"/>
              <w:left w:val="nil"/>
              <w:bottom w:val="single" w:sz="4" w:space="0" w:color="auto"/>
              <w:right w:val="single" w:sz="4" w:space="0" w:color="auto"/>
            </w:tcBorders>
            <w:shd w:val="clear" w:color="auto" w:fill="auto"/>
            <w:vAlign w:val="center"/>
            <w:hideMark/>
          </w:tcPr>
          <w:p w14:paraId="699EB73A" w14:textId="77777777" w:rsidR="009D6D4E" w:rsidRPr="00E34D81" w:rsidRDefault="009D6D4E" w:rsidP="00BF3B71">
            <w:pPr>
              <w:rPr>
                <w:color w:val="000000"/>
                <w:sz w:val="18"/>
                <w:szCs w:val="18"/>
              </w:rPr>
            </w:pPr>
            <w:r w:rsidRPr="00E34D81">
              <w:rPr>
                <w:color w:val="000000"/>
                <w:sz w:val="18"/>
                <w:szCs w:val="18"/>
              </w:rPr>
              <w:t xml:space="preserve">                   125,400 </w:t>
            </w:r>
          </w:p>
        </w:tc>
        <w:tc>
          <w:tcPr>
            <w:tcW w:w="2250" w:type="dxa"/>
            <w:gridSpan w:val="3"/>
            <w:tcBorders>
              <w:top w:val="nil"/>
              <w:left w:val="nil"/>
              <w:bottom w:val="single" w:sz="4" w:space="0" w:color="auto"/>
              <w:right w:val="single" w:sz="4" w:space="0" w:color="auto"/>
            </w:tcBorders>
            <w:shd w:val="clear" w:color="auto" w:fill="auto"/>
            <w:vAlign w:val="center"/>
            <w:hideMark/>
          </w:tcPr>
          <w:p w14:paraId="08E81041" w14:textId="77777777" w:rsidR="009D6D4E" w:rsidRPr="00E34D81" w:rsidRDefault="009D6D4E" w:rsidP="00BF3B71">
            <w:pPr>
              <w:rPr>
                <w:color w:val="000000"/>
                <w:sz w:val="18"/>
                <w:szCs w:val="18"/>
              </w:rPr>
            </w:pPr>
            <w:r w:rsidRPr="00E34D81">
              <w:rPr>
                <w:color w:val="000000"/>
                <w:sz w:val="18"/>
                <w:szCs w:val="18"/>
              </w:rPr>
              <w:t xml:space="preserve">                         135,140 </w:t>
            </w:r>
          </w:p>
        </w:tc>
        <w:tc>
          <w:tcPr>
            <w:tcW w:w="1407" w:type="dxa"/>
            <w:gridSpan w:val="2"/>
            <w:tcBorders>
              <w:top w:val="nil"/>
              <w:left w:val="nil"/>
              <w:bottom w:val="single" w:sz="4" w:space="0" w:color="auto"/>
              <w:right w:val="single" w:sz="4" w:space="0" w:color="auto"/>
            </w:tcBorders>
            <w:shd w:val="clear" w:color="auto" w:fill="auto"/>
            <w:vAlign w:val="center"/>
            <w:hideMark/>
          </w:tcPr>
          <w:p w14:paraId="49C43B78" w14:textId="77777777" w:rsidR="009D6D4E" w:rsidRPr="00E34D81" w:rsidRDefault="009D6D4E" w:rsidP="00BF3B71">
            <w:pPr>
              <w:rPr>
                <w:color w:val="000000"/>
                <w:sz w:val="18"/>
                <w:szCs w:val="18"/>
              </w:rPr>
            </w:pPr>
            <w:r w:rsidRPr="00E34D81">
              <w:rPr>
                <w:color w:val="000000"/>
                <w:sz w:val="18"/>
                <w:szCs w:val="18"/>
              </w:rPr>
              <w:t> </w:t>
            </w:r>
          </w:p>
        </w:tc>
        <w:tc>
          <w:tcPr>
            <w:tcW w:w="1383" w:type="dxa"/>
            <w:tcBorders>
              <w:top w:val="nil"/>
              <w:left w:val="nil"/>
              <w:bottom w:val="single" w:sz="4" w:space="0" w:color="auto"/>
              <w:right w:val="single" w:sz="4" w:space="0" w:color="auto"/>
            </w:tcBorders>
            <w:shd w:val="clear" w:color="auto" w:fill="auto"/>
            <w:vAlign w:val="center"/>
            <w:hideMark/>
          </w:tcPr>
          <w:p w14:paraId="082A4ABB" w14:textId="77777777" w:rsidR="009D6D4E" w:rsidRPr="00E34D81" w:rsidRDefault="009D6D4E" w:rsidP="00BF3B71">
            <w:pPr>
              <w:rPr>
                <w:color w:val="000000"/>
                <w:sz w:val="18"/>
                <w:szCs w:val="18"/>
              </w:rPr>
            </w:pPr>
            <w:r w:rsidRPr="00E34D81">
              <w:rPr>
                <w:color w:val="000000"/>
                <w:sz w:val="18"/>
                <w:szCs w:val="18"/>
              </w:rPr>
              <w:t xml:space="preserve">                                   -   </w:t>
            </w:r>
          </w:p>
        </w:tc>
        <w:tc>
          <w:tcPr>
            <w:tcW w:w="1080" w:type="dxa"/>
            <w:gridSpan w:val="2"/>
            <w:tcBorders>
              <w:top w:val="nil"/>
              <w:left w:val="nil"/>
              <w:bottom w:val="single" w:sz="4" w:space="0" w:color="auto"/>
              <w:right w:val="single" w:sz="4" w:space="0" w:color="auto"/>
            </w:tcBorders>
            <w:shd w:val="clear" w:color="000000" w:fill="FFFFFF"/>
            <w:vAlign w:val="center"/>
            <w:hideMark/>
          </w:tcPr>
          <w:p w14:paraId="59819D22" w14:textId="77777777" w:rsidR="009D6D4E" w:rsidRPr="00CB6955" w:rsidRDefault="009D6D4E" w:rsidP="00BF3B71">
            <w:pPr>
              <w:jc w:val="both"/>
              <w:rPr>
                <w:b/>
                <w:color w:val="000000"/>
                <w:sz w:val="18"/>
                <w:szCs w:val="18"/>
              </w:rPr>
            </w:pPr>
            <w:r w:rsidRPr="00CB6955">
              <w:rPr>
                <w:b/>
                <w:color w:val="000000"/>
                <w:sz w:val="18"/>
                <w:szCs w:val="18"/>
              </w:rPr>
              <w:t xml:space="preserve">                          260,540 </w:t>
            </w:r>
          </w:p>
        </w:tc>
      </w:tr>
      <w:tr w:rsidR="009D6D4E" w:rsidRPr="00E34D81" w14:paraId="0287BED0" w14:textId="77777777" w:rsidTr="00BF3B71">
        <w:trPr>
          <w:trHeight w:val="261"/>
        </w:trPr>
        <w:tc>
          <w:tcPr>
            <w:tcW w:w="1885" w:type="dxa"/>
            <w:gridSpan w:val="3"/>
            <w:tcBorders>
              <w:top w:val="nil"/>
              <w:left w:val="single" w:sz="4" w:space="0" w:color="auto"/>
              <w:bottom w:val="single" w:sz="4" w:space="0" w:color="auto"/>
              <w:right w:val="single" w:sz="4" w:space="0" w:color="auto"/>
            </w:tcBorders>
            <w:shd w:val="clear" w:color="auto" w:fill="auto"/>
            <w:vAlign w:val="center"/>
            <w:hideMark/>
          </w:tcPr>
          <w:p w14:paraId="34FE9ACD" w14:textId="77777777" w:rsidR="009D6D4E" w:rsidRPr="00E34D81" w:rsidRDefault="009D6D4E" w:rsidP="00BF3B71">
            <w:pPr>
              <w:jc w:val="both"/>
              <w:rPr>
                <w:color w:val="000000"/>
                <w:sz w:val="18"/>
                <w:szCs w:val="18"/>
              </w:rPr>
            </w:pPr>
            <w:r w:rsidRPr="00E34D81">
              <w:rPr>
                <w:color w:val="000000"/>
                <w:sz w:val="18"/>
                <w:szCs w:val="18"/>
              </w:rPr>
              <w:t>2021</w:t>
            </w:r>
          </w:p>
        </w:tc>
        <w:tc>
          <w:tcPr>
            <w:tcW w:w="2250" w:type="dxa"/>
            <w:gridSpan w:val="2"/>
            <w:tcBorders>
              <w:top w:val="nil"/>
              <w:left w:val="nil"/>
              <w:bottom w:val="single" w:sz="4" w:space="0" w:color="auto"/>
              <w:right w:val="single" w:sz="4" w:space="0" w:color="auto"/>
            </w:tcBorders>
            <w:shd w:val="clear" w:color="auto" w:fill="auto"/>
            <w:vAlign w:val="center"/>
            <w:hideMark/>
          </w:tcPr>
          <w:p w14:paraId="26858151" w14:textId="77777777" w:rsidR="009D6D4E" w:rsidRPr="00E34D81" w:rsidRDefault="009D6D4E" w:rsidP="00BF3B71">
            <w:pPr>
              <w:rPr>
                <w:color w:val="000000"/>
                <w:sz w:val="18"/>
                <w:szCs w:val="18"/>
              </w:rPr>
            </w:pPr>
            <w:r w:rsidRPr="00E34D81">
              <w:rPr>
                <w:color w:val="000000"/>
                <w:sz w:val="18"/>
                <w:szCs w:val="18"/>
              </w:rPr>
              <w:t> </w:t>
            </w:r>
          </w:p>
        </w:tc>
        <w:tc>
          <w:tcPr>
            <w:tcW w:w="2250" w:type="dxa"/>
            <w:gridSpan w:val="3"/>
            <w:tcBorders>
              <w:top w:val="nil"/>
              <w:left w:val="nil"/>
              <w:bottom w:val="single" w:sz="4" w:space="0" w:color="auto"/>
              <w:right w:val="single" w:sz="4" w:space="0" w:color="auto"/>
            </w:tcBorders>
            <w:shd w:val="clear" w:color="auto" w:fill="auto"/>
            <w:vAlign w:val="center"/>
            <w:hideMark/>
          </w:tcPr>
          <w:p w14:paraId="6ABEC7E8" w14:textId="77777777" w:rsidR="009D6D4E" w:rsidRPr="00E34D81" w:rsidRDefault="009D6D4E" w:rsidP="00BF3B71">
            <w:pPr>
              <w:rPr>
                <w:color w:val="000000"/>
                <w:sz w:val="18"/>
                <w:szCs w:val="18"/>
              </w:rPr>
            </w:pPr>
            <w:r w:rsidRPr="00E34D81">
              <w:rPr>
                <w:color w:val="000000"/>
                <w:sz w:val="18"/>
                <w:szCs w:val="18"/>
              </w:rPr>
              <w:t xml:space="preserve">                         175,800 </w:t>
            </w:r>
          </w:p>
        </w:tc>
        <w:tc>
          <w:tcPr>
            <w:tcW w:w="1407" w:type="dxa"/>
            <w:gridSpan w:val="2"/>
            <w:tcBorders>
              <w:top w:val="nil"/>
              <w:left w:val="nil"/>
              <w:bottom w:val="single" w:sz="4" w:space="0" w:color="auto"/>
              <w:right w:val="single" w:sz="4" w:space="0" w:color="auto"/>
            </w:tcBorders>
            <w:shd w:val="clear" w:color="auto" w:fill="auto"/>
            <w:vAlign w:val="center"/>
            <w:hideMark/>
          </w:tcPr>
          <w:p w14:paraId="3407F410" w14:textId="77777777" w:rsidR="009D6D4E" w:rsidRPr="00E34D81" w:rsidRDefault="009D6D4E" w:rsidP="00BF3B71">
            <w:pPr>
              <w:rPr>
                <w:color w:val="000000"/>
                <w:sz w:val="18"/>
                <w:szCs w:val="18"/>
              </w:rPr>
            </w:pPr>
            <w:r w:rsidRPr="00E34D81">
              <w:rPr>
                <w:color w:val="000000"/>
                <w:sz w:val="18"/>
                <w:szCs w:val="18"/>
              </w:rPr>
              <w:t> </w:t>
            </w:r>
          </w:p>
        </w:tc>
        <w:tc>
          <w:tcPr>
            <w:tcW w:w="1383" w:type="dxa"/>
            <w:tcBorders>
              <w:top w:val="nil"/>
              <w:left w:val="nil"/>
              <w:bottom w:val="single" w:sz="4" w:space="0" w:color="auto"/>
              <w:right w:val="single" w:sz="4" w:space="0" w:color="auto"/>
            </w:tcBorders>
            <w:shd w:val="clear" w:color="auto" w:fill="auto"/>
            <w:vAlign w:val="center"/>
            <w:hideMark/>
          </w:tcPr>
          <w:p w14:paraId="302AC90E" w14:textId="77777777" w:rsidR="009D6D4E" w:rsidRPr="00E34D81" w:rsidRDefault="009D6D4E" w:rsidP="00BF3B71">
            <w:pPr>
              <w:rPr>
                <w:color w:val="000000"/>
                <w:sz w:val="18"/>
                <w:szCs w:val="18"/>
              </w:rPr>
            </w:pPr>
            <w:r w:rsidRPr="00E34D81">
              <w:rPr>
                <w:color w:val="000000"/>
                <w:sz w:val="18"/>
                <w:szCs w:val="18"/>
              </w:rPr>
              <w:t xml:space="preserve">                                   -   </w:t>
            </w:r>
          </w:p>
        </w:tc>
        <w:tc>
          <w:tcPr>
            <w:tcW w:w="1080" w:type="dxa"/>
            <w:gridSpan w:val="2"/>
            <w:tcBorders>
              <w:top w:val="nil"/>
              <w:left w:val="nil"/>
              <w:bottom w:val="single" w:sz="4" w:space="0" w:color="auto"/>
              <w:right w:val="single" w:sz="4" w:space="0" w:color="auto"/>
            </w:tcBorders>
            <w:shd w:val="clear" w:color="000000" w:fill="FFFFFF"/>
            <w:vAlign w:val="center"/>
            <w:hideMark/>
          </w:tcPr>
          <w:p w14:paraId="746FDD3F" w14:textId="77777777" w:rsidR="009D6D4E" w:rsidRPr="00CB6955" w:rsidRDefault="009D6D4E" w:rsidP="00BF3B71">
            <w:pPr>
              <w:jc w:val="both"/>
              <w:rPr>
                <w:b/>
                <w:color w:val="000000"/>
                <w:sz w:val="18"/>
                <w:szCs w:val="18"/>
              </w:rPr>
            </w:pPr>
            <w:r w:rsidRPr="00CB6955">
              <w:rPr>
                <w:b/>
                <w:color w:val="000000"/>
                <w:sz w:val="18"/>
                <w:szCs w:val="18"/>
              </w:rPr>
              <w:t xml:space="preserve">                          175,800 </w:t>
            </w:r>
          </w:p>
        </w:tc>
      </w:tr>
      <w:tr w:rsidR="009D6D4E" w:rsidRPr="00E34D81" w14:paraId="0DEC9EC9" w14:textId="77777777" w:rsidTr="00BF3B71">
        <w:trPr>
          <w:trHeight w:val="261"/>
        </w:trPr>
        <w:tc>
          <w:tcPr>
            <w:tcW w:w="1885" w:type="dxa"/>
            <w:gridSpan w:val="3"/>
            <w:tcBorders>
              <w:top w:val="nil"/>
              <w:left w:val="single" w:sz="4" w:space="0" w:color="auto"/>
              <w:bottom w:val="single" w:sz="4" w:space="0" w:color="auto"/>
              <w:right w:val="single" w:sz="4" w:space="0" w:color="auto"/>
            </w:tcBorders>
            <w:shd w:val="clear" w:color="auto" w:fill="auto"/>
            <w:vAlign w:val="center"/>
            <w:hideMark/>
          </w:tcPr>
          <w:p w14:paraId="2CAFEE08" w14:textId="77777777" w:rsidR="009D6D4E" w:rsidRPr="00E34D81" w:rsidRDefault="009D6D4E" w:rsidP="00BF3B71">
            <w:pPr>
              <w:jc w:val="both"/>
              <w:rPr>
                <w:color w:val="000000"/>
                <w:sz w:val="18"/>
                <w:szCs w:val="18"/>
              </w:rPr>
            </w:pPr>
            <w:r w:rsidRPr="00E34D81">
              <w:rPr>
                <w:color w:val="000000"/>
                <w:sz w:val="18"/>
                <w:szCs w:val="18"/>
              </w:rPr>
              <w:t>2022</w:t>
            </w:r>
          </w:p>
        </w:tc>
        <w:tc>
          <w:tcPr>
            <w:tcW w:w="2250" w:type="dxa"/>
            <w:gridSpan w:val="2"/>
            <w:tcBorders>
              <w:top w:val="nil"/>
              <w:left w:val="nil"/>
              <w:bottom w:val="single" w:sz="4" w:space="0" w:color="auto"/>
              <w:right w:val="single" w:sz="4" w:space="0" w:color="auto"/>
            </w:tcBorders>
            <w:shd w:val="clear" w:color="auto" w:fill="auto"/>
            <w:vAlign w:val="center"/>
            <w:hideMark/>
          </w:tcPr>
          <w:p w14:paraId="744B72C9" w14:textId="77777777" w:rsidR="009D6D4E" w:rsidRPr="00E34D81" w:rsidRDefault="009D6D4E" w:rsidP="00BF3B71">
            <w:pPr>
              <w:rPr>
                <w:color w:val="000000"/>
                <w:sz w:val="18"/>
                <w:szCs w:val="18"/>
              </w:rPr>
            </w:pPr>
            <w:r w:rsidRPr="00E34D81">
              <w:rPr>
                <w:color w:val="000000"/>
                <w:sz w:val="18"/>
                <w:szCs w:val="18"/>
              </w:rPr>
              <w:t> </w:t>
            </w:r>
          </w:p>
        </w:tc>
        <w:tc>
          <w:tcPr>
            <w:tcW w:w="2250" w:type="dxa"/>
            <w:gridSpan w:val="3"/>
            <w:tcBorders>
              <w:top w:val="nil"/>
              <w:left w:val="nil"/>
              <w:bottom w:val="single" w:sz="4" w:space="0" w:color="auto"/>
              <w:right w:val="single" w:sz="4" w:space="0" w:color="auto"/>
            </w:tcBorders>
            <w:shd w:val="clear" w:color="auto" w:fill="auto"/>
            <w:vAlign w:val="center"/>
            <w:hideMark/>
          </w:tcPr>
          <w:p w14:paraId="0D7F7D9D" w14:textId="77777777" w:rsidR="009D6D4E" w:rsidRPr="00E34D81" w:rsidRDefault="009D6D4E" w:rsidP="00BF3B71">
            <w:pPr>
              <w:rPr>
                <w:color w:val="000000"/>
                <w:sz w:val="18"/>
                <w:szCs w:val="18"/>
              </w:rPr>
            </w:pPr>
            <w:r w:rsidRPr="00E34D81">
              <w:rPr>
                <w:color w:val="000000"/>
                <w:sz w:val="18"/>
                <w:szCs w:val="18"/>
              </w:rPr>
              <w:t xml:space="preserve">                            66,800 </w:t>
            </w:r>
          </w:p>
        </w:tc>
        <w:tc>
          <w:tcPr>
            <w:tcW w:w="1407" w:type="dxa"/>
            <w:gridSpan w:val="2"/>
            <w:tcBorders>
              <w:top w:val="nil"/>
              <w:left w:val="nil"/>
              <w:bottom w:val="single" w:sz="4" w:space="0" w:color="auto"/>
              <w:right w:val="single" w:sz="4" w:space="0" w:color="auto"/>
            </w:tcBorders>
            <w:shd w:val="clear" w:color="auto" w:fill="auto"/>
            <w:vAlign w:val="center"/>
            <w:hideMark/>
          </w:tcPr>
          <w:p w14:paraId="6F02956C" w14:textId="77777777" w:rsidR="009D6D4E" w:rsidRPr="00E34D81" w:rsidRDefault="009D6D4E" w:rsidP="00BF3B71">
            <w:pPr>
              <w:rPr>
                <w:color w:val="000000"/>
                <w:sz w:val="18"/>
                <w:szCs w:val="18"/>
              </w:rPr>
            </w:pPr>
            <w:r w:rsidRPr="00E34D81">
              <w:rPr>
                <w:color w:val="000000"/>
                <w:sz w:val="18"/>
                <w:szCs w:val="18"/>
              </w:rPr>
              <w:t xml:space="preserve">                                      -   </w:t>
            </w:r>
          </w:p>
        </w:tc>
        <w:tc>
          <w:tcPr>
            <w:tcW w:w="1383" w:type="dxa"/>
            <w:tcBorders>
              <w:top w:val="nil"/>
              <w:left w:val="nil"/>
              <w:bottom w:val="single" w:sz="4" w:space="0" w:color="auto"/>
              <w:right w:val="single" w:sz="4" w:space="0" w:color="auto"/>
            </w:tcBorders>
            <w:shd w:val="clear" w:color="auto" w:fill="auto"/>
            <w:vAlign w:val="center"/>
            <w:hideMark/>
          </w:tcPr>
          <w:p w14:paraId="512B4293" w14:textId="77777777" w:rsidR="009D6D4E" w:rsidRPr="00E34D81" w:rsidRDefault="009D6D4E" w:rsidP="00BF3B71">
            <w:pPr>
              <w:rPr>
                <w:color w:val="000000"/>
                <w:sz w:val="18"/>
                <w:szCs w:val="18"/>
              </w:rPr>
            </w:pPr>
            <w:r w:rsidRPr="00E34D81">
              <w:rPr>
                <w:color w:val="000000"/>
                <w:sz w:val="18"/>
                <w:szCs w:val="18"/>
              </w:rPr>
              <w:t xml:space="preserve">                                   -   </w:t>
            </w:r>
          </w:p>
        </w:tc>
        <w:tc>
          <w:tcPr>
            <w:tcW w:w="1080" w:type="dxa"/>
            <w:gridSpan w:val="2"/>
            <w:tcBorders>
              <w:top w:val="nil"/>
              <w:left w:val="nil"/>
              <w:bottom w:val="single" w:sz="4" w:space="0" w:color="auto"/>
              <w:right w:val="single" w:sz="4" w:space="0" w:color="auto"/>
            </w:tcBorders>
            <w:shd w:val="clear" w:color="000000" w:fill="FFFFFF"/>
            <w:vAlign w:val="center"/>
            <w:hideMark/>
          </w:tcPr>
          <w:p w14:paraId="03A5E270" w14:textId="77777777" w:rsidR="009D6D4E" w:rsidRPr="00CB6955" w:rsidRDefault="009D6D4E" w:rsidP="00BF3B71">
            <w:pPr>
              <w:jc w:val="both"/>
              <w:rPr>
                <w:b/>
                <w:color w:val="000000"/>
                <w:sz w:val="18"/>
                <w:szCs w:val="18"/>
              </w:rPr>
            </w:pPr>
            <w:r w:rsidRPr="00CB6955">
              <w:rPr>
                <w:b/>
                <w:color w:val="000000"/>
                <w:sz w:val="18"/>
                <w:szCs w:val="18"/>
              </w:rPr>
              <w:t xml:space="preserve">                            66,800 </w:t>
            </w:r>
          </w:p>
        </w:tc>
      </w:tr>
      <w:tr w:rsidR="009D6D4E" w:rsidRPr="00E34D81" w14:paraId="546B0747" w14:textId="77777777" w:rsidTr="00BF3B71">
        <w:trPr>
          <w:trHeight w:val="391"/>
        </w:trPr>
        <w:tc>
          <w:tcPr>
            <w:tcW w:w="10255" w:type="dxa"/>
            <w:gridSpan w:val="13"/>
            <w:tcBorders>
              <w:top w:val="single" w:sz="8" w:space="0" w:color="auto"/>
              <w:left w:val="single" w:sz="8" w:space="0" w:color="auto"/>
              <w:bottom w:val="single" w:sz="8" w:space="0" w:color="auto"/>
              <w:right w:val="single" w:sz="8" w:space="0" w:color="000000"/>
            </w:tcBorders>
            <w:shd w:val="clear" w:color="auto" w:fill="auto"/>
            <w:vAlign w:val="center"/>
            <w:hideMark/>
          </w:tcPr>
          <w:p w14:paraId="49942C0F" w14:textId="77777777" w:rsidR="009D6D4E" w:rsidRPr="00E34D81" w:rsidRDefault="009D6D4E" w:rsidP="00BF3B71">
            <w:pPr>
              <w:rPr>
                <w:b/>
                <w:bCs/>
                <w:color w:val="000000"/>
                <w:sz w:val="18"/>
                <w:szCs w:val="18"/>
              </w:rPr>
            </w:pPr>
            <w:r w:rsidRPr="00E34D81">
              <w:rPr>
                <w:b/>
                <w:bCs/>
                <w:color w:val="000000"/>
                <w:sz w:val="18"/>
                <w:szCs w:val="18"/>
              </w:rPr>
              <w:t>Tabela 10.b:Financimi i masës së reformës strukturore:Masa# 18 Ngritja dhe sigurimi i cilësisë në arsimin e lartë përmes fuqizimit të AKA, përmirësimin e formulës së financimit dhe profilizimin e institucioneve të arsimit të lartē</w:t>
            </w:r>
          </w:p>
        </w:tc>
      </w:tr>
      <w:tr w:rsidR="009D6D4E" w:rsidRPr="00E34D81" w14:paraId="60D3E25C" w14:textId="77777777" w:rsidTr="00BF3B71">
        <w:trPr>
          <w:trHeight w:val="440"/>
        </w:trPr>
        <w:tc>
          <w:tcPr>
            <w:tcW w:w="722" w:type="dxa"/>
            <w:tcBorders>
              <w:top w:val="nil"/>
              <w:left w:val="single" w:sz="8" w:space="0" w:color="auto"/>
              <w:bottom w:val="single" w:sz="8" w:space="0" w:color="auto"/>
              <w:right w:val="single" w:sz="8" w:space="0" w:color="auto"/>
            </w:tcBorders>
            <w:shd w:val="clear" w:color="auto" w:fill="auto"/>
            <w:vAlign w:val="center"/>
            <w:hideMark/>
          </w:tcPr>
          <w:p w14:paraId="290301BE" w14:textId="77777777" w:rsidR="009D6D4E" w:rsidRPr="00E34D81" w:rsidRDefault="009D6D4E" w:rsidP="00BF3B71">
            <w:pPr>
              <w:rPr>
                <w:color w:val="000000"/>
                <w:sz w:val="18"/>
                <w:szCs w:val="18"/>
              </w:rPr>
            </w:pPr>
            <w:r w:rsidRPr="00E34D81">
              <w:rPr>
                <w:color w:val="000000"/>
                <w:sz w:val="18"/>
                <w:szCs w:val="18"/>
              </w:rPr>
              <w:t xml:space="preserve">Viti </w:t>
            </w:r>
          </w:p>
        </w:tc>
        <w:tc>
          <w:tcPr>
            <w:tcW w:w="1064" w:type="dxa"/>
            <w:tcBorders>
              <w:top w:val="nil"/>
              <w:left w:val="nil"/>
              <w:bottom w:val="single" w:sz="8" w:space="0" w:color="auto"/>
              <w:right w:val="single" w:sz="8" w:space="0" w:color="auto"/>
            </w:tcBorders>
            <w:shd w:val="clear" w:color="auto" w:fill="auto"/>
            <w:vAlign w:val="center"/>
            <w:hideMark/>
          </w:tcPr>
          <w:p w14:paraId="73668C6B" w14:textId="77777777" w:rsidR="009D6D4E" w:rsidRPr="00E34D81" w:rsidRDefault="009D6D4E" w:rsidP="00BF3B71">
            <w:pPr>
              <w:rPr>
                <w:color w:val="000000"/>
                <w:sz w:val="18"/>
                <w:szCs w:val="18"/>
              </w:rPr>
            </w:pPr>
            <w:r w:rsidRPr="00E34D81">
              <w:rPr>
                <w:color w:val="000000"/>
                <w:sz w:val="18"/>
                <w:szCs w:val="18"/>
              </w:rPr>
              <w:t>Buxheti Qendror</w:t>
            </w:r>
          </w:p>
        </w:tc>
        <w:tc>
          <w:tcPr>
            <w:tcW w:w="846" w:type="dxa"/>
            <w:gridSpan w:val="2"/>
            <w:tcBorders>
              <w:top w:val="nil"/>
              <w:left w:val="nil"/>
              <w:bottom w:val="single" w:sz="8" w:space="0" w:color="auto"/>
              <w:right w:val="single" w:sz="8" w:space="0" w:color="auto"/>
            </w:tcBorders>
            <w:shd w:val="clear" w:color="auto" w:fill="auto"/>
            <w:vAlign w:val="center"/>
            <w:hideMark/>
          </w:tcPr>
          <w:p w14:paraId="4025E021" w14:textId="77777777" w:rsidR="009D6D4E" w:rsidRPr="00E34D81" w:rsidRDefault="009D6D4E" w:rsidP="00BF3B71">
            <w:pPr>
              <w:rPr>
                <w:color w:val="000000"/>
                <w:sz w:val="18"/>
                <w:szCs w:val="18"/>
              </w:rPr>
            </w:pPr>
            <w:r w:rsidRPr="00E34D81">
              <w:rPr>
                <w:color w:val="000000"/>
                <w:sz w:val="18"/>
                <w:szCs w:val="18"/>
              </w:rPr>
              <w:t>Buxheti komunal</w:t>
            </w:r>
          </w:p>
        </w:tc>
        <w:tc>
          <w:tcPr>
            <w:tcW w:w="1710" w:type="dxa"/>
            <w:gridSpan w:val="2"/>
            <w:tcBorders>
              <w:top w:val="nil"/>
              <w:left w:val="nil"/>
              <w:bottom w:val="single" w:sz="8" w:space="0" w:color="auto"/>
              <w:right w:val="single" w:sz="8" w:space="0" w:color="auto"/>
            </w:tcBorders>
            <w:shd w:val="clear" w:color="auto" w:fill="auto"/>
            <w:vAlign w:val="center"/>
            <w:hideMark/>
          </w:tcPr>
          <w:p w14:paraId="08142430" w14:textId="77777777" w:rsidR="009D6D4E" w:rsidRPr="00E34D81" w:rsidRDefault="009D6D4E" w:rsidP="00BF3B71">
            <w:pPr>
              <w:rPr>
                <w:color w:val="000000"/>
                <w:sz w:val="18"/>
                <w:szCs w:val="18"/>
              </w:rPr>
            </w:pPr>
            <w:r w:rsidRPr="00E34D81">
              <w:rPr>
                <w:color w:val="000000"/>
                <w:sz w:val="18"/>
                <w:szCs w:val="18"/>
              </w:rPr>
              <w:t xml:space="preserve">Burimet e tjera të financimit publik </w:t>
            </w:r>
          </w:p>
        </w:tc>
        <w:tc>
          <w:tcPr>
            <w:tcW w:w="1026" w:type="dxa"/>
            <w:tcBorders>
              <w:top w:val="nil"/>
              <w:left w:val="nil"/>
              <w:bottom w:val="single" w:sz="8" w:space="0" w:color="auto"/>
              <w:right w:val="single" w:sz="8" w:space="0" w:color="auto"/>
            </w:tcBorders>
            <w:shd w:val="clear" w:color="auto" w:fill="auto"/>
            <w:vAlign w:val="center"/>
            <w:hideMark/>
          </w:tcPr>
          <w:p w14:paraId="07BD02E2" w14:textId="77777777" w:rsidR="009D6D4E" w:rsidRPr="00E34D81" w:rsidRDefault="009D6D4E" w:rsidP="00BF3B71">
            <w:pPr>
              <w:jc w:val="center"/>
              <w:rPr>
                <w:color w:val="000000"/>
                <w:sz w:val="18"/>
                <w:szCs w:val="18"/>
              </w:rPr>
            </w:pPr>
            <w:r w:rsidRPr="00E34D81">
              <w:rPr>
                <w:color w:val="000000"/>
                <w:sz w:val="18"/>
                <w:szCs w:val="18"/>
              </w:rPr>
              <w:t>Fondet e IPA-së ( fonde nga EU)</w:t>
            </w:r>
          </w:p>
        </w:tc>
        <w:tc>
          <w:tcPr>
            <w:tcW w:w="1547" w:type="dxa"/>
            <w:gridSpan w:val="2"/>
            <w:tcBorders>
              <w:top w:val="nil"/>
              <w:left w:val="nil"/>
              <w:bottom w:val="single" w:sz="8" w:space="0" w:color="auto"/>
              <w:right w:val="single" w:sz="8" w:space="0" w:color="auto"/>
            </w:tcBorders>
            <w:shd w:val="clear" w:color="auto" w:fill="auto"/>
            <w:vAlign w:val="center"/>
            <w:hideMark/>
          </w:tcPr>
          <w:p w14:paraId="7924497A" w14:textId="77777777" w:rsidR="009D6D4E" w:rsidRPr="00E34D81" w:rsidRDefault="009D6D4E" w:rsidP="00BF3B71">
            <w:pPr>
              <w:rPr>
                <w:color w:val="000000"/>
                <w:sz w:val="18"/>
                <w:szCs w:val="18"/>
              </w:rPr>
            </w:pPr>
            <w:r w:rsidRPr="00E34D81">
              <w:rPr>
                <w:color w:val="000000"/>
                <w:sz w:val="18"/>
                <w:szCs w:val="18"/>
              </w:rPr>
              <w:t xml:space="preserve">Grante të tjera </w:t>
            </w:r>
          </w:p>
        </w:tc>
        <w:tc>
          <w:tcPr>
            <w:tcW w:w="877" w:type="dxa"/>
            <w:tcBorders>
              <w:top w:val="nil"/>
              <w:left w:val="nil"/>
              <w:bottom w:val="single" w:sz="8" w:space="0" w:color="auto"/>
              <w:right w:val="single" w:sz="8" w:space="0" w:color="auto"/>
            </w:tcBorders>
            <w:shd w:val="clear" w:color="auto" w:fill="auto"/>
            <w:vAlign w:val="center"/>
            <w:hideMark/>
          </w:tcPr>
          <w:p w14:paraId="0023C210" w14:textId="77777777" w:rsidR="009D6D4E" w:rsidRPr="00E34D81" w:rsidRDefault="009D6D4E" w:rsidP="00BF3B71">
            <w:pPr>
              <w:rPr>
                <w:color w:val="000000"/>
                <w:sz w:val="18"/>
                <w:szCs w:val="18"/>
              </w:rPr>
            </w:pPr>
            <w:r w:rsidRPr="00E34D81">
              <w:rPr>
                <w:color w:val="000000"/>
                <w:sz w:val="18"/>
                <w:szCs w:val="18"/>
              </w:rPr>
              <w:t xml:space="preserve">Kredi për projekte </w:t>
            </w:r>
          </w:p>
        </w:tc>
        <w:tc>
          <w:tcPr>
            <w:tcW w:w="1561" w:type="dxa"/>
            <w:gridSpan w:val="2"/>
            <w:tcBorders>
              <w:top w:val="nil"/>
              <w:left w:val="nil"/>
              <w:bottom w:val="single" w:sz="8" w:space="0" w:color="auto"/>
              <w:right w:val="single" w:sz="8" w:space="0" w:color="auto"/>
            </w:tcBorders>
            <w:shd w:val="clear" w:color="auto" w:fill="auto"/>
            <w:vAlign w:val="center"/>
            <w:hideMark/>
          </w:tcPr>
          <w:p w14:paraId="76D89349" w14:textId="77777777" w:rsidR="009D6D4E" w:rsidRPr="00E34D81" w:rsidRDefault="009D6D4E" w:rsidP="00BF3B71">
            <w:pPr>
              <w:rPr>
                <w:color w:val="000000"/>
                <w:sz w:val="18"/>
                <w:szCs w:val="18"/>
              </w:rPr>
            </w:pPr>
            <w:r w:rsidRPr="00E34D81">
              <w:rPr>
                <w:color w:val="000000"/>
                <w:sz w:val="18"/>
                <w:szCs w:val="18"/>
              </w:rPr>
              <w:t xml:space="preserve">Të përcaktohet </w:t>
            </w:r>
          </w:p>
        </w:tc>
        <w:tc>
          <w:tcPr>
            <w:tcW w:w="902" w:type="dxa"/>
            <w:tcBorders>
              <w:top w:val="nil"/>
              <w:left w:val="nil"/>
              <w:bottom w:val="single" w:sz="8" w:space="0" w:color="auto"/>
              <w:right w:val="single" w:sz="8" w:space="0" w:color="auto"/>
            </w:tcBorders>
            <w:shd w:val="clear" w:color="auto" w:fill="auto"/>
            <w:vAlign w:val="center"/>
            <w:hideMark/>
          </w:tcPr>
          <w:p w14:paraId="6D974F8E" w14:textId="77777777" w:rsidR="009D6D4E" w:rsidRPr="00E34D81" w:rsidRDefault="009D6D4E" w:rsidP="00BF3B71">
            <w:pPr>
              <w:rPr>
                <w:color w:val="000000"/>
                <w:sz w:val="18"/>
                <w:szCs w:val="18"/>
              </w:rPr>
            </w:pPr>
            <w:r w:rsidRPr="00E34D81">
              <w:rPr>
                <w:color w:val="000000"/>
                <w:sz w:val="18"/>
                <w:szCs w:val="18"/>
              </w:rPr>
              <w:t xml:space="preserve">Totali </w:t>
            </w:r>
          </w:p>
        </w:tc>
      </w:tr>
      <w:tr w:rsidR="009D6D4E" w:rsidRPr="00E34D81" w14:paraId="4C201A51" w14:textId="77777777" w:rsidTr="00BF3B71">
        <w:trPr>
          <w:trHeight w:val="440"/>
        </w:trPr>
        <w:tc>
          <w:tcPr>
            <w:tcW w:w="722" w:type="dxa"/>
            <w:tcBorders>
              <w:top w:val="nil"/>
              <w:left w:val="single" w:sz="8" w:space="0" w:color="auto"/>
              <w:bottom w:val="single" w:sz="8" w:space="0" w:color="auto"/>
              <w:right w:val="single" w:sz="8" w:space="0" w:color="auto"/>
            </w:tcBorders>
            <w:shd w:val="clear" w:color="auto" w:fill="auto"/>
            <w:vAlign w:val="center"/>
            <w:hideMark/>
          </w:tcPr>
          <w:p w14:paraId="3B9FD34A" w14:textId="77777777" w:rsidR="009D6D4E" w:rsidRPr="00E34D81" w:rsidRDefault="009D6D4E" w:rsidP="00BF3B71">
            <w:pPr>
              <w:jc w:val="right"/>
              <w:rPr>
                <w:color w:val="000000"/>
                <w:sz w:val="18"/>
                <w:szCs w:val="18"/>
              </w:rPr>
            </w:pPr>
            <w:r w:rsidRPr="00E34D81">
              <w:rPr>
                <w:color w:val="000000"/>
                <w:sz w:val="18"/>
                <w:szCs w:val="18"/>
              </w:rPr>
              <w:t>2020</w:t>
            </w:r>
          </w:p>
        </w:tc>
        <w:tc>
          <w:tcPr>
            <w:tcW w:w="1064" w:type="dxa"/>
            <w:tcBorders>
              <w:top w:val="nil"/>
              <w:left w:val="nil"/>
              <w:bottom w:val="single" w:sz="8" w:space="0" w:color="auto"/>
              <w:right w:val="single" w:sz="8" w:space="0" w:color="auto"/>
            </w:tcBorders>
            <w:shd w:val="clear" w:color="auto" w:fill="auto"/>
            <w:vAlign w:val="center"/>
            <w:hideMark/>
          </w:tcPr>
          <w:p w14:paraId="7D799EFD" w14:textId="77777777" w:rsidR="009D6D4E" w:rsidRPr="00E34D81" w:rsidRDefault="009D6D4E" w:rsidP="00BF3B71">
            <w:pPr>
              <w:jc w:val="right"/>
              <w:rPr>
                <w:color w:val="000000"/>
                <w:sz w:val="18"/>
                <w:szCs w:val="18"/>
              </w:rPr>
            </w:pPr>
            <w:r w:rsidRPr="00E34D81">
              <w:rPr>
                <w:color w:val="000000"/>
                <w:sz w:val="18"/>
                <w:szCs w:val="18"/>
              </w:rPr>
              <w:t>133,780.00</w:t>
            </w:r>
          </w:p>
        </w:tc>
        <w:tc>
          <w:tcPr>
            <w:tcW w:w="846" w:type="dxa"/>
            <w:gridSpan w:val="2"/>
            <w:tcBorders>
              <w:top w:val="nil"/>
              <w:left w:val="nil"/>
              <w:bottom w:val="single" w:sz="8" w:space="0" w:color="auto"/>
              <w:right w:val="single" w:sz="8" w:space="0" w:color="auto"/>
            </w:tcBorders>
            <w:shd w:val="clear" w:color="auto" w:fill="auto"/>
            <w:vAlign w:val="center"/>
            <w:hideMark/>
          </w:tcPr>
          <w:p w14:paraId="3DD53956" w14:textId="77777777" w:rsidR="009D6D4E" w:rsidRPr="00E34D81" w:rsidRDefault="009D6D4E" w:rsidP="00BF3B71">
            <w:pPr>
              <w:jc w:val="center"/>
              <w:rPr>
                <w:color w:val="000000"/>
                <w:sz w:val="18"/>
                <w:szCs w:val="18"/>
              </w:rPr>
            </w:pPr>
            <w:r w:rsidRPr="00E34D81">
              <w:rPr>
                <w:color w:val="000000"/>
                <w:sz w:val="18"/>
                <w:szCs w:val="18"/>
              </w:rPr>
              <w:t>0.00</w:t>
            </w:r>
          </w:p>
        </w:tc>
        <w:tc>
          <w:tcPr>
            <w:tcW w:w="1710" w:type="dxa"/>
            <w:gridSpan w:val="2"/>
            <w:tcBorders>
              <w:top w:val="nil"/>
              <w:left w:val="nil"/>
              <w:bottom w:val="single" w:sz="8" w:space="0" w:color="auto"/>
              <w:right w:val="single" w:sz="8" w:space="0" w:color="auto"/>
            </w:tcBorders>
            <w:shd w:val="clear" w:color="auto" w:fill="auto"/>
            <w:vAlign w:val="center"/>
            <w:hideMark/>
          </w:tcPr>
          <w:p w14:paraId="38056199" w14:textId="77777777" w:rsidR="009D6D4E" w:rsidRPr="00E34D81" w:rsidRDefault="009D6D4E" w:rsidP="00BF3B71">
            <w:pPr>
              <w:jc w:val="center"/>
              <w:rPr>
                <w:color w:val="000000"/>
                <w:sz w:val="18"/>
                <w:szCs w:val="18"/>
              </w:rPr>
            </w:pPr>
            <w:r w:rsidRPr="00E34D81">
              <w:rPr>
                <w:color w:val="000000"/>
                <w:sz w:val="18"/>
                <w:szCs w:val="18"/>
              </w:rPr>
              <w:t>0.00</w:t>
            </w:r>
          </w:p>
        </w:tc>
        <w:tc>
          <w:tcPr>
            <w:tcW w:w="1026" w:type="dxa"/>
            <w:tcBorders>
              <w:top w:val="nil"/>
              <w:left w:val="nil"/>
              <w:bottom w:val="single" w:sz="8" w:space="0" w:color="auto"/>
              <w:right w:val="single" w:sz="8" w:space="0" w:color="auto"/>
            </w:tcBorders>
            <w:shd w:val="clear" w:color="auto" w:fill="auto"/>
            <w:vAlign w:val="center"/>
            <w:hideMark/>
          </w:tcPr>
          <w:p w14:paraId="417DFDC1" w14:textId="77777777" w:rsidR="009D6D4E" w:rsidRPr="00E34D81" w:rsidRDefault="009D6D4E" w:rsidP="00BF3B71">
            <w:pPr>
              <w:jc w:val="right"/>
              <w:rPr>
                <w:color w:val="000000"/>
                <w:sz w:val="18"/>
                <w:szCs w:val="18"/>
              </w:rPr>
            </w:pPr>
            <w:r w:rsidRPr="00E34D81">
              <w:rPr>
                <w:color w:val="000000"/>
                <w:sz w:val="18"/>
                <w:szCs w:val="18"/>
              </w:rPr>
              <w:t>111,800.00</w:t>
            </w:r>
          </w:p>
        </w:tc>
        <w:tc>
          <w:tcPr>
            <w:tcW w:w="1547" w:type="dxa"/>
            <w:gridSpan w:val="2"/>
            <w:tcBorders>
              <w:top w:val="nil"/>
              <w:left w:val="nil"/>
              <w:bottom w:val="single" w:sz="8" w:space="0" w:color="auto"/>
              <w:right w:val="single" w:sz="8" w:space="0" w:color="auto"/>
            </w:tcBorders>
            <w:shd w:val="clear" w:color="auto" w:fill="auto"/>
            <w:vAlign w:val="center"/>
            <w:hideMark/>
          </w:tcPr>
          <w:p w14:paraId="197CA06B" w14:textId="77777777" w:rsidR="009D6D4E" w:rsidRPr="00E34D81" w:rsidRDefault="009D6D4E" w:rsidP="00BF3B71">
            <w:pPr>
              <w:jc w:val="right"/>
              <w:rPr>
                <w:color w:val="000000"/>
                <w:sz w:val="18"/>
                <w:szCs w:val="18"/>
              </w:rPr>
            </w:pPr>
            <w:r w:rsidRPr="00E34D81">
              <w:rPr>
                <w:color w:val="000000"/>
                <w:sz w:val="18"/>
                <w:szCs w:val="18"/>
              </w:rPr>
              <w:t>14,960.00</w:t>
            </w:r>
          </w:p>
        </w:tc>
        <w:tc>
          <w:tcPr>
            <w:tcW w:w="877" w:type="dxa"/>
            <w:tcBorders>
              <w:top w:val="nil"/>
              <w:left w:val="nil"/>
              <w:bottom w:val="single" w:sz="8" w:space="0" w:color="auto"/>
              <w:right w:val="single" w:sz="8" w:space="0" w:color="auto"/>
            </w:tcBorders>
            <w:shd w:val="clear" w:color="auto" w:fill="auto"/>
            <w:vAlign w:val="center"/>
            <w:hideMark/>
          </w:tcPr>
          <w:p w14:paraId="5D22F166" w14:textId="77777777" w:rsidR="009D6D4E" w:rsidRPr="00E34D81" w:rsidRDefault="009D6D4E" w:rsidP="00BF3B71">
            <w:pPr>
              <w:jc w:val="center"/>
              <w:rPr>
                <w:color w:val="000000"/>
                <w:sz w:val="18"/>
                <w:szCs w:val="18"/>
              </w:rPr>
            </w:pPr>
            <w:r w:rsidRPr="00E34D81">
              <w:rPr>
                <w:color w:val="000000"/>
                <w:sz w:val="18"/>
                <w:szCs w:val="18"/>
              </w:rPr>
              <w:t>0.00</w:t>
            </w:r>
          </w:p>
        </w:tc>
        <w:tc>
          <w:tcPr>
            <w:tcW w:w="1561" w:type="dxa"/>
            <w:gridSpan w:val="2"/>
            <w:tcBorders>
              <w:top w:val="nil"/>
              <w:left w:val="nil"/>
              <w:bottom w:val="single" w:sz="8" w:space="0" w:color="auto"/>
              <w:right w:val="single" w:sz="8" w:space="0" w:color="auto"/>
            </w:tcBorders>
            <w:shd w:val="clear" w:color="auto" w:fill="auto"/>
            <w:vAlign w:val="center"/>
            <w:hideMark/>
          </w:tcPr>
          <w:p w14:paraId="2093CFAA" w14:textId="77777777" w:rsidR="009D6D4E" w:rsidRPr="00E34D81" w:rsidRDefault="009D6D4E" w:rsidP="00BF3B71">
            <w:pPr>
              <w:jc w:val="center"/>
              <w:rPr>
                <w:color w:val="000000"/>
                <w:sz w:val="18"/>
                <w:szCs w:val="18"/>
              </w:rPr>
            </w:pPr>
            <w:r w:rsidRPr="00E34D81">
              <w:rPr>
                <w:color w:val="000000"/>
                <w:sz w:val="18"/>
                <w:szCs w:val="18"/>
              </w:rPr>
              <w:t>0.00</w:t>
            </w:r>
          </w:p>
        </w:tc>
        <w:tc>
          <w:tcPr>
            <w:tcW w:w="902" w:type="dxa"/>
            <w:tcBorders>
              <w:top w:val="nil"/>
              <w:left w:val="nil"/>
              <w:bottom w:val="single" w:sz="8" w:space="0" w:color="auto"/>
              <w:right w:val="single" w:sz="8" w:space="0" w:color="auto"/>
            </w:tcBorders>
            <w:shd w:val="clear" w:color="auto" w:fill="auto"/>
            <w:vAlign w:val="center"/>
            <w:hideMark/>
          </w:tcPr>
          <w:p w14:paraId="61927F07" w14:textId="77777777" w:rsidR="009D6D4E" w:rsidRPr="00E34D81" w:rsidRDefault="009D6D4E" w:rsidP="00BF3B71">
            <w:pPr>
              <w:jc w:val="both"/>
              <w:rPr>
                <w:b/>
                <w:bCs/>
                <w:color w:val="000000"/>
                <w:sz w:val="18"/>
                <w:szCs w:val="18"/>
              </w:rPr>
            </w:pPr>
            <w:r w:rsidRPr="00E34D81">
              <w:rPr>
                <w:b/>
                <w:bCs/>
                <w:color w:val="000000"/>
                <w:sz w:val="18"/>
                <w:szCs w:val="18"/>
              </w:rPr>
              <w:t>260,540.00</w:t>
            </w:r>
          </w:p>
        </w:tc>
      </w:tr>
      <w:tr w:rsidR="009D6D4E" w:rsidRPr="00E34D81" w14:paraId="3A33BD6C" w14:textId="77777777" w:rsidTr="00BF3B71">
        <w:trPr>
          <w:trHeight w:val="277"/>
        </w:trPr>
        <w:tc>
          <w:tcPr>
            <w:tcW w:w="722" w:type="dxa"/>
            <w:tcBorders>
              <w:top w:val="nil"/>
              <w:left w:val="single" w:sz="8" w:space="0" w:color="auto"/>
              <w:bottom w:val="single" w:sz="8" w:space="0" w:color="auto"/>
              <w:right w:val="single" w:sz="8" w:space="0" w:color="auto"/>
            </w:tcBorders>
            <w:shd w:val="clear" w:color="auto" w:fill="auto"/>
            <w:vAlign w:val="center"/>
            <w:hideMark/>
          </w:tcPr>
          <w:p w14:paraId="069E690D" w14:textId="77777777" w:rsidR="009D6D4E" w:rsidRPr="00E34D81" w:rsidRDefault="009D6D4E" w:rsidP="00BF3B71">
            <w:pPr>
              <w:jc w:val="right"/>
              <w:rPr>
                <w:color w:val="000000"/>
                <w:sz w:val="18"/>
                <w:szCs w:val="18"/>
              </w:rPr>
            </w:pPr>
            <w:r w:rsidRPr="00E34D81">
              <w:rPr>
                <w:color w:val="000000"/>
                <w:sz w:val="18"/>
                <w:szCs w:val="18"/>
              </w:rPr>
              <w:t>2021</w:t>
            </w:r>
          </w:p>
        </w:tc>
        <w:tc>
          <w:tcPr>
            <w:tcW w:w="1064" w:type="dxa"/>
            <w:tcBorders>
              <w:top w:val="nil"/>
              <w:left w:val="nil"/>
              <w:bottom w:val="single" w:sz="8" w:space="0" w:color="auto"/>
              <w:right w:val="single" w:sz="8" w:space="0" w:color="auto"/>
            </w:tcBorders>
            <w:shd w:val="clear" w:color="auto" w:fill="auto"/>
            <w:vAlign w:val="center"/>
            <w:hideMark/>
          </w:tcPr>
          <w:p w14:paraId="0630C01D" w14:textId="77777777" w:rsidR="009D6D4E" w:rsidRPr="00E34D81" w:rsidRDefault="009D6D4E" w:rsidP="00BF3B71">
            <w:pPr>
              <w:jc w:val="right"/>
              <w:rPr>
                <w:color w:val="000000"/>
                <w:sz w:val="18"/>
                <w:szCs w:val="18"/>
              </w:rPr>
            </w:pPr>
            <w:r w:rsidRPr="00E34D81">
              <w:rPr>
                <w:color w:val="000000"/>
                <w:sz w:val="18"/>
                <w:szCs w:val="18"/>
              </w:rPr>
              <w:t>112,000.00</w:t>
            </w:r>
          </w:p>
        </w:tc>
        <w:tc>
          <w:tcPr>
            <w:tcW w:w="846" w:type="dxa"/>
            <w:gridSpan w:val="2"/>
            <w:tcBorders>
              <w:top w:val="nil"/>
              <w:left w:val="nil"/>
              <w:bottom w:val="single" w:sz="8" w:space="0" w:color="auto"/>
              <w:right w:val="single" w:sz="8" w:space="0" w:color="auto"/>
            </w:tcBorders>
            <w:shd w:val="clear" w:color="auto" w:fill="auto"/>
            <w:vAlign w:val="center"/>
            <w:hideMark/>
          </w:tcPr>
          <w:p w14:paraId="1746C858" w14:textId="77777777" w:rsidR="009D6D4E" w:rsidRPr="00E34D81" w:rsidRDefault="009D6D4E" w:rsidP="00BF3B71">
            <w:pPr>
              <w:jc w:val="center"/>
              <w:rPr>
                <w:color w:val="000000"/>
                <w:sz w:val="18"/>
                <w:szCs w:val="18"/>
              </w:rPr>
            </w:pPr>
            <w:r w:rsidRPr="00E34D81">
              <w:rPr>
                <w:color w:val="000000"/>
                <w:sz w:val="18"/>
                <w:szCs w:val="18"/>
              </w:rPr>
              <w:t>0.00</w:t>
            </w:r>
          </w:p>
        </w:tc>
        <w:tc>
          <w:tcPr>
            <w:tcW w:w="1710" w:type="dxa"/>
            <w:gridSpan w:val="2"/>
            <w:tcBorders>
              <w:top w:val="nil"/>
              <w:left w:val="nil"/>
              <w:bottom w:val="single" w:sz="8" w:space="0" w:color="auto"/>
              <w:right w:val="single" w:sz="8" w:space="0" w:color="auto"/>
            </w:tcBorders>
            <w:shd w:val="clear" w:color="auto" w:fill="auto"/>
            <w:vAlign w:val="center"/>
            <w:hideMark/>
          </w:tcPr>
          <w:p w14:paraId="1180871A" w14:textId="77777777" w:rsidR="009D6D4E" w:rsidRPr="00E34D81" w:rsidRDefault="009D6D4E" w:rsidP="00BF3B71">
            <w:pPr>
              <w:jc w:val="center"/>
              <w:rPr>
                <w:color w:val="000000"/>
                <w:sz w:val="18"/>
                <w:szCs w:val="18"/>
              </w:rPr>
            </w:pPr>
            <w:r w:rsidRPr="00E34D81">
              <w:rPr>
                <w:color w:val="000000"/>
                <w:sz w:val="18"/>
                <w:szCs w:val="18"/>
              </w:rPr>
              <w:t>0.00</w:t>
            </w:r>
          </w:p>
        </w:tc>
        <w:tc>
          <w:tcPr>
            <w:tcW w:w="1026" w:type="dxa"/>
            <w:tcBorders>
              <w:top w:val="nil"/>
              <w:left w:val="nil"/>
              <w:bottom w:val="single" w:sz="8" w:space="0" w:color="auto"/>
              <w:right w:val="single" w:sz="8" w:space="0" w:color="auto"/>
            </w:tcBorders>
            <w:shd w:val="clear" w:color="auto" w:fill="auto"/>
            <w:vAlign w:val="center"/>
            <w:hideMark/>
          </w:tcPr>
          <w:p w14:paraId="0ACBAD97" w14:textId="77777777" w:rsidR="009D6D4E" w:rsidRPr="00E34D81" w:rsidRDefault="009D6D4E" w:rsidP="00BF3B71">
            <w:pPr>
              <w:jc w:val="right"/>
              <w:rPr>
                <w:color w:val="000000"/>
                <w:sz w:val="18"/>
                <w:szCs w:val="18"/>
              </w:rPr>
            </w:pPr>
            <w:r w:rsidRPr="00E34D81">
              <w:rPr>
                <w:color w:val="000000"/>
                <w:sz w:val="18"/>
                <w:szCs w:val="18"/>
              </w:rPr>
              <w:t>63,800.00</w:t>
            </w:r>
          </w:p>
        </w:tc>
        <w:tc>
          <w:tcPr>
            <w:tcW w:w="1547" w:type="dxa"/>
            <w:gridSpan w:val="2"/>
            <w:tcBorders>
              <w:top w:val="nil"/>
              <w:left w:val="nil"/>
              <w:bottom w:val="single" w:sz="8" w:space="0" w:color="auto"/>
              <w:right w:val="single" w:sz="8" w:space="0" w:color="auto"/>
            </w:tcBorders>
            <w:shd w:val="clear" w:color="auto" w:fill="auto"/>
            <w:vAlign w:val="center"/>
            <w:hideMark/>
          </w:tcPr>
          <w:p w14:paraId="42CF35B9" w14:textId="77777777" w:rsidR="009D6D4E" w:rsidRPr="00E34D81" w:rsidRDefault="009D6D4E" w:rsidP="00BF3B71">
            <w:pPr>
              <w:jc w:val="right"/>
              <w:rPr>
                <w:color w:val="000000"/>
                <w:sz w:val="18"/>
                <w:szCs w:val="18"/>
              </w:rPr>
            </w:pPr>
            <w:r w:rsidRPr="00E34D81">
              <w:rPr>
                <w:color w:val="000000"/>
                <w:sz w:val="18"/>
                <w:szCs w:val="18"/>
              </w:rPr>
              <w:t>0.00</w:t>
            </w:r>
          </w:p>
        </w:tc>
        <w:tc>
          <w:tcPr>
            <w:tcW w:w="877" w:type="dxa"/>
            <w:tcBorders>
              <w:top w:val="nil"/>
              <w:left w:val="nil"/>
              <w:bottom w:val="single" w:sz="8" w:space="0" w:color="auto"/>
              <w:right w:val="single" w:sz="8" w:space="0" w:color="auto"/>
            </w:tcBorders>
            <w:shd w:val="clear" w:color="auto" w:fill="auto"/>
            <w:vAlign w:val="center"/>
            <w:hideMark/>
          </w:tcPr>
          <w:p w14:paraId="224CD912" w14:textId="77777777" w:rsidR="009D6D4E" w:rsidRPr="00E34D81" w:rsidRDefault="009D6D4E" w:rsidP="00BF3B71">
            <w:pPr>
              <w:jc w:val="center"/>
              <w:rPr>
                <w:color w:val="000000"/>
                <w:sz w:val="18"/>
                <w:szCs w:val="18"/>
              </w:rPr>
            </w:pPr>
            <w:r w:rsidRPr="00E34D81">
              <w:rPr>
                <w:color w:val="000000"/>
                <w:sz w:val="18"/>
                <w:szCs w:val="18"/>
              </w:rPr>
              <w:t>0.00</w:t>
            </w:r>
          </w:p>
        </w:tc>
        <w:tc>
          <w:tcPr>
            <w:tcW w:w="1561" w:type="dxa"/>
            <w:gridSpan w:val="2"/>
            <w:tcBorders>
              <w:top w:val="nil"/>
              <w:left w:val="nil"/>
              <w:bottom w:val="single" w:sz="8" w:space="0" w:color="auto"/>
              <w:right w:val="single" w:sz="8" w:space="0" w:color="auto"/>
            </w:tcBorders>
            <w:shd w:val="clear" w:color="auto" w:fill="auto"/>
            <w:vAlign w:val="center"/>
            <w:hideMark/>
          </w:tcPr>
          <w:p w14:paraId="7930395D" w14:textId="77777777" w:rsidR="009D6D4E" w:rsidRPr="00E34D81" w:rsidRDefault="009D6D4E" w:rsidP="00BF3B71">
            <w:pPr>
              <w:jc w:val="center"/>
              <w:rPr>
                <w:color w:val="000000"/>
                <w:sz w:val="18"/>
                <w:szCs w:val="18"/>
              </w:rPr>
            </w:pPr>
            <w:r w:rsidRPr="00E34D81">
              <w:rPr>
                <w:color w:val="000000"/>
                <w:sz w:val="18"/>
                <w:szCs w:val="18"/>
              </w:rPr>
              <w:t>0.00</w:t>
            </w:r>
          </w:p>
        </w:tc>
        <w:tc>
          <w:tcPr>
            <w:tcW w:w="902" w:type="dxa"/>
            <w:tcBorders>
              <w:top w:val="nil"/>
              <w:left w:val="nil"/>
              <w:bottom w:val="single" w:sz="8" w:space="0" w:color="auto"/>
              <w:right w:val="single" w:sz="8" w:space="0" w:color="auto"/>
            </w:tcBorders>
            <w:shd w:val="clear" w:color="auto" w:fill="auto"/>
            <w:vAlign w:val="center"/>
            <w:hideMark/>
          </w:tcPr>
          <w:p w14:paraId="4A159CF8" w14:textId="77777777" w:rsidR="009D6D4E" w:rsidRPr="00E34D81" w:rsidRDefault="009D6D4E" w:rsidP="00BF3B71">
            <w:pPr>
              <w:jc w:val="both"/>
              <w:rPr>
                <w:b/>
                <w:bCs/>
                <w:color w:val="000000"/>
                <w:sz w:val="18"/>
                <w:szCs w:val="18"/>
              </w:rPr>
            </w:pPr>
            <w:r w:rsidRPr="00E34D81">
              <w:rPr>
                <w:b/>
                <w:bCs/>
                <w:color w:val="000000"/>
                <w:sz w:val="18"/>
                <w:szCs w:val="18"/>
              </w:rPr>
              <w:t>175,800.00</w:t>
            </w:r>
          </w:p>
        </w:tc>
      </w:tr>
      <w:tr w:rsidR="009D6D4E" w:rsidRPr="00E34D81" w14:paraId="7C896A42" w14:textId="77777777" w:rsidTr="00BF3B71">
        <w:trPr>
          <w:trHeight w:val="277"/>
        </w:trPr>
        <w:tc>
          <w:tcPr>
            <w:tcW w:w="722" w:type="dxa"/>
            <w:tcBorders>
              <w:top w:val="nil"/>
              <w:left w:val="single" w:sz="8" w:space="0" w:color="auto"/>
              <w:bottom w:val="single" w:sz="8" w:space="0" w:color="auto"/>
              <w:right w:val="single" w:sz="8" w:space="0" w:color="auto"/>
            </w:tcBorders>
            <w:shd w:val="clear" w:color="auto" w:fill="auto"/>
            <w:vAlign w:val="center"/>
            <w:hideMark/>
          </w:tcPr>
          <w:p w14:paraId="6DF69E37" w14:textId="77777777" w:rsidR="009D6D4E" w:rsidRPr="00E34D81" w:rsidRDefault="009D6D4E" w:rsidP="00BF3B71">
            <w:pPr>
              <w:jc w:val="right"/>
              <w:rPr>
                <w:color w:val="000000"/>
                <w:sz w:val="18"/>
                <w:szCs w:val="18"/>
              </w:rPr>
            </w:pPr>
            <w:r w:rsidRPr="00E34D81">
              <w:rPr>
                <w:color w:val="000000"/>
                <w:sz w:val="18"/>
                <w:szCs w:val="18"/>
              </w:rPr>
              <w:t>2022</w:t>
            </w:r>
          </w:p>
        </w:tc>
        <w:tc>
          <w:tcPr>
            <w:tcW w:w="1064" w:type="dxa"/>
            <w:tcBorders>
              <w:top w:val="nil"/>
              <w:left w:val="nil"/>
              <w:bottom w:val="single" w:sz="8" w:space="0" w:color="auto"/>
              <w:right w:val="single" w:sz="8" w:space="0" w:color="auto"/>
            </w:tcBorders>
            <w:shd w:val="clear" w:color="auto" w:fill="auto"/>
            <w:vAlign w:val="center"/>
            <w:hideMark/>
          </w:tcPr>
          <w:p w14:paraId="292096D9" w14:textId="77777777" w:rsidR="009D6D4E" w:rsidRPr="00E34D81" w:rsidRDefault="009D6D4E" w:rsidP="00BF3B71">
            <w:pPr>
              <w:jc w:val="right"/>
              <w:rPr>
                <w:color w:val="000000"/>
                <w:sz w:val="18"/>
                <w:szCs w:val="18"/>
              </w:rPr>
            </w:pPr>
            <w:r w:rsidRPr="00E34D81">
              <w:rPr>
                <w:color w:val="000000"/>
                <w:sz w:val="18"/>
                <w:szCs w:val="18"/>
              </w:rPr>
              <w:t>0.00</w:t>
            </w:r>
          </w:p>
        </w:tc>
        <w:tc>
          <w:tcPr>
            <w:tcW w:w="846" w:type="dxa"/>
            <w:gridSpan w:val="2"/>
            <w:tcBorders>
              <w:top w:val="nil"/>
              <w:left w:val="nil"/>
              <w:bottom w:val="single" w:sz="8" w:space="0" w:color="auto"/>
              <w:right w:val="single" w:sz="8" w:space="0" w:color="auto"/>
            </w:tcBorders>
            <w:shd w:val="clear" w:color="auto" w:fill="auto"/>
            <w:vAlign w:val="center"/>
            <w:hideMark/>
          </w:tcPr>
          <w:p w14:paraId="6247C7D7" w14:textId="77777777" w:rsidR="009D6D4E" w:rsidRPr="00E34D81" w:rsidRDefault="009D6D4E" w:rsidP="00BF3B71">
            <w:pPr>
              <w:jc w:val="center"/>
              <w:rPr>
                <w:color w:val="000000"/>
                <w:sz w:val="18"/>
                <w:szCs w:val="18"/>
              </w:rPr>
            </w:pPr>
            <w:r w:rsidRPr="00E34D81">
              <w:rPr>
                <w:color w:val="000000"/>
                <w:sz w:val="18"/>
                <w:szCs w:val="18"/>
              </w:rPr>
              <w:t>0.00</w:t>
            </w:r>
          </w:p>
        </w:tc>
        <w:tc>
          <w:tcPr>
            <w:tcW w:w="1710" w:type="dxa"/>
            <w:gridSpan w:val="2"/>
            <w:tcBorders>
              <w:top w:val="nil"/>
              <w:left w:val="nil"/>
              <w:bottom w:val="single" w:sz="8" w:space="0" w:color="auto"/>
              <w:right w:val="single" w:sz="8" w:space="0" w:color="auto"/>
            </w:tcBorders>
            <w:shd w:val="clear" w:color="auto" w:fill="auto"/>
            <w:vAlign w:val="center"/>
            <w:hideMark/>
          </w:tcPr>
          <w:p w14:paraId="76CA681B" w14:textId="77777777" w:rsidR="009D6D4E" w:rsidRPr="00E34D81" w:rsidRDefault="009D6D4E" w:rsidP="00BF3B71">
            <w:pPr>
              <w:jc w:val="center"/>
              <w:rPr>
                <w:color w:val="000000"/>
                <w:sz w:val="18"/>
                <w:szCs w:val="18"/>
              </w:rPr>
            </w:pPr>
            <w:r w:rsidRPr="00E34D81">
              <w:rPr>
                <w:color w:val="000000"/>
                <w:sz w:val="18"/>
                <w:szCs w:val="18"/>
              </w:rPr>
              <w:t>0.00</w:t>
            </w:r>
          </w:p>
        </w:tc>
        <w:tc>
          <w:tcPr>
            <w:tcW w:w="1026" w:type="dxa"/>
            <w:tcBorders>
              <w:top w:val="nil"/>
              <w:left w:val="nil"/>
              <w:bottom w:val="single" w:sz="8" w:space="0" w:color="auto"/>
              <w:right w:val="single" w:sz="8" w:space="0" w:color="auto"/>
            </w:tcBorders>
            <w:shd w:val="clear" w:color="auto" w:fill="auto"/>
            <w:vAlign w:val="center"/>
            <w:hideMark/>
          </w:tcPr>
          <w:p w14:paraId="4E08CE51" w14:textId="77777777" w:rsidR="009D6D4E" w:rsidRPr="00E34D81" w:rsidRDefault="009D6D4E" w:rsidP="00BF3B71">
            <w:pPr>
              <w:jc w:val="right"/>
              <w:rPr>
                <w:color w:val="000000"/>
                <w:sz w:val="18"/>
                <w:szCs w:val="18"/>
              </w:rPr>
            </w:pPr>
            <w:r w:rsidRPr="00E34D81">
              <w:rPr>
                <w:color w:val="000000"/>
                <w:sz w:val="18"/>
                <w:szCs w:val="18"/>
              </w:rPr>
              <w:t>63,800.00</w:t>
            </w:r>
          </w:p>
        </w:tc>
        <w:tc>
          <w:tcPr>
            <w:tcW w:w="1547" w:type="dxa"/>
            <w:gridSpan w:val="2"/>
            <w:tcBorders>
              <w:top w:val="nil"/>
              <w:left w:val="nil"/>
              <w:bottom w:val="single" w:sz="8" w:space="0" w:color="auto"/>
              <w:right w:val="single" w:sz="8" w:space="0" w:color="auto"/>
            </w:tcBorders>
            <w:shd w:val="clear" w:color="auto" w:fill="auto"/>
            <w:vAlign w:val="center"/>
            <w:hideMark/>
          </w:tcPr>
          <w:p w14:paraId="42DFD2AA" w14:textId="77777777" w:rsidR="009D6D4E" w:rsidRPr="00E34D81" w:rsidRDefault="009D6D4E" w:rsidP="00BF3B71">
            <w:pPr>
              <w:jc w:val="right"/>
              <w:rPr>
                <w:color w:val="000000"/>
                <w:sz w:val="18"/>
                <w:szCs w:val="18"/>
              </w:rPr>
            </w:pPr>
            <w:r w:rsidRPr="00E34D81">
              <w:rPr>
                <w:color w:val="000000"/>
                <w:sz w:val="18"/>
                <w:szCs w:val="18"/>
              </w:rPr>
              <w:t>3,000.00</w:t>
            </w:r>
          </w:p>
        </w:tc>
        <w:tc>
          <w:tcPr>
            <w:tcW w:w="877" w:type="dxa"/>
            <w:tcBorders>
              <w:top w:val="nil"/>
              <w:left w:val="nil"/>
              <w:bottom w:val="single" w:sz="8" w:space="0" w:color="auto"/>
              <w:right w:val="single" w:sz="8" w:space="0" w:color="auto"/>
            </w:tcBorders>
            <w:shd w:val="clear" w:color="auto" w:fill="auto"/>
            <w:vAlign w:val="center"/>
            <w:hideMark/>
          </w:tcPr>
          <w:p w14:paraId="1FA1AA69" w14:textId="77777777" w:rsidR="009D6D4E" w:rsidRPr="00E34D81" w:rsidRDefault="009D6D4E" w:rsidP="00BF3B71">
            <w:pPr>
              <w:jc w:val="center"/>
              <w:rPr>
                <w:color w:val="000000"/>
                <w:sz w:val="18"/>
                <w:szCs w:val="18"/>
              </w:rPr>
            </w:pPr>
            <w:r w:rsidRPr="00E34D81">
              <w:rPr>
                <w:color w:val="000000"/>
                <w:sz w:val="18"/>
                <w:szCs w:val="18"/>
              </w:rPr>
              <w:t>0.00</w:t>
            </w:r>
          </w:p>
        </w:tc>
        <w:tc>
          <w:tcPr>
            <w:tcW w:w="1561" w:type="dxa"/>
            <w:gridSpan w:val="2"/>
            <w:tcBorders>
              <w:top w:val="nil"/>
              <w:left w:val="nil"/>
              <w:bottom w:val="single" w:sz="8" w:space="0" w:color="auto"/>
              <w:right w:val="single" w:sz="8" w:space="0" w:color="auto"/>
            </w:tcBorders>
            <w:shd w:val="clear" w:color="auto" w:fill="auto"/>
            <w:vAlign w:val="center"/>
            <w:hideMark/>
          </w:tcPr>
          <w:p w14:paraId="18135224" w14:textId="77777777" w:rsidR="009D6D4E" w:rsidRPr="00E34D81" w:rsidRDefault="009D6D4E" w:rsidP="00BF3B71">
            <w:pPr>
              <w:jc w:val="center"/>
              <w:rPr>
                <w:color w:val="000000"/>
                <w:sz w:val="18"/>
                <w:szCs w:val="18"/>
              </w:rPr>
            </w:pPr>
            <w:r w:rsidRPr="00E34D81">
              <w:rPr>
                <w:color w:val="000000"/>
                <w:sz w:val="18"/>
                <w:szCs w:val="18"/>
              </w:rPr>
              <w:t>0.00</w:t>
            </w:r>
          </w:p>
        </w:tc>
        <w:tc>
          <w:tcPr>
            <w:tcW w:w="902" w:type="dxa"/>
            <w:tcBorders>
              <w:top w:val="nil"/>
              <w:left w:val="nil"/>
              <w:bottom w:val="single" w:sz="8" w:space="0" w:color="auto"/>
              <w:right w:val="single" w:sz="8" w:space="0" w:color="auto"/>
            </w:tcBorders>
            <w:shd w:val="clear" w:color="auto" w:fill="auto"/>
            <w:vAlign w:val="center"/>
            <w:hideMark/>
          </w:tcPr>
          <w:p w14:paraId="3842FA4F" w14:textId="77777777" w:rsidR="009D6D4E" w:rsidRPr="00E34D81" w:rsidRDefault="009D6D4E" w:rsidP="00BF3B71">
            <w:pPr>
              <w:jc w:val="both"/>
              <w:rPr>
                <w:b/>
                <w:bCs/>
                <w:color w:val="000000"/>
                <w:sz w:val="18"/>
                <w:szCs w:val="18"/>
              </w:rPr>
            </w:pPr>
            <w:r w:rsidRPr="00E34D81">
              <w:rPr>
                <w:b/>
                <w:bCs/>
                <w:color w:val="000000"/>
                <w:sz w:val="18"/>
                <w:szCs w:val="18"/>
              </w:rPr>
              <w:t>66,800.00</w:t>
            </w:r>
          </w:p>
        </w:tc>
      </w:tr>
    </w:tbl>
    <w:p w14:paraId="3EBE63B5" w14:textId="77777777" w:rsidR="009D6D4E" w:rsidRDefault="009D6D4E" w:rsidP="009D6D4E"/>
    <w:tbl>
      <w:tblPr>
        <w:tblW w:w="10165" w:type="dxa"/>
        <w:tblLook w:val="04A0" w:firstRow="1" w:lastRow="0" w:firstColumn="1" w:lastColumn="0" w:noHBand="0" w:noVBand="1"/>
      </w:tblPr>
      <w:tblGrid>
        <w:gridCol w:w="601"/>
        <w:gridCol w:w="52"/>
        <w:gridCol w:w="830"/>
        <w:gridCol w:w="119"/>
        <w:gridCol w:w="854"/>
        <w:gridCol w:w="1663"/>
        <w:gridCol w:w="461"/>
        <w:gridCol w:w="479"/>
        <w:gridCol w:w="1141"/>
        <w:gridCol w:w="649"/>
        <w:gridCol w:w="187"/>
        <w:gridCol w:w="1277"/>
        <w:gridCol w:w="62"/>
        <w:gridCol w:w="1790"/>
      </w:tblGrid>
      <w:tr w:rsidR="009D6D4E" w:rsidRPr="00E34D81" w14:paraId="1606D658" w14:textId="77777777" w:rsidTr="00BF3B71">
        <w:trPr>
          <w:trHeight w:val="856"/>
        </w:trPr>
        <w:tc>
          <w:tcPr>
            <w:tcW w:w="10165"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2903E8CD" w14:textId="77777777" w:rsidR="009D6D4E" w:rsidRPr="00E34D81" w:rsidRDefault="009D6D4E" w:rsidP="00BF3B71">
            <w:pPr>
              <w:rPr>
                <w:b/>
                <w:bCs/>
                <w:color w:val="000000"/>
                <w:sz w:val="18"/>
                <w:szCs w:val="18"/>
              </w:rPr>
            </w:pPr>
            <w:r w:rsidRPr="00E34D81">
              <w:rPr>
                <w:b/>
                <w:bCs/>
                <w:color w:val="000000"/>
                <w:sz w:val="18"/>
                <w:szCs w:val="18"/>
              </w:rPr>
              <w:t>Tabela 10 a.: Kostimi i masës së reformës strukturore:  Masa#19   Ngritja e qasjes në tregun e punës së grupeve të cënuara përmes ngritjes së efiksatitetit të shërbimeve publike dhe masave aktive të punësimit</w:t>
            </w:r>
          </w:p>
        </w:tc>
      </w:tr>
      <w:tr w:rsidR="009D6D4E" w:rsidRPr="00E34D81" w14:paraId="33A2D8FE" w14:textId="77777777" w:rsidTr="00BF3B71">
        <w:trPr>
          <w:trHeight w:val="674"/>
        </w:trPr>
        <w:tc>
          <w:tcPr>
            <w:tcW w:w="601" w:type="dxa"/>
            <w:tcBorders>
              <w:top w:val="nil"/>
              <w:left w:val="single" w:sz="4" w:space="0" w:color="auto"/>
              <w:bottom w:val="single" w:sz="4" w:space="0" w:color="auto"/>
              <w:right w:val="single" w:sz="4" w:space="0" w:color="auto"/>
            </w:tcBorders>
            <w:shd w:val="clear" w:color="auto" w:fill="auto"/>
            <w:vAlign w:val="center"/>
            <w:hideMark/>
          </w:tcPr>
          <w:p w14:paraId="1F59A797" w14:textId="77777777" w:rsidR="009D6D4E" w:rsidRPr="00E34D81" w:rsidRDefault="009D6D4E" w:rsidP="00BF3B71">
            <w:pPr>
              <w:rPr>
                <w:color w:val="000000"/>
                <w:sz w:val="18"/>
                <w:szCs w:val="18"/>
              </w:rPr>
            </w:pPr>
            <w:r w:rsidRPr="00E34D81">
              <w:rPr>
                <w:color w:val="000000"/>
                <w:sz w:val="18"/>
                <w:szCs w:val="18"/>
              </w:rPr>
              <w:t xml:space="preserve">Viti </w:t>
            </w:r>
          </w:p>
        </w:tc>
        <w:tc>
          <w:tcPr>
            <w:tcW w:w="882" w:type="dxa"/>
            <w:gridSpan w:val="2"/>
            <w:tcBorders>
              <w:top w:val="nil"/>
              <w:left w:val="nil"/>
              <w:bottom w:val="single" w:sz="4" w:space="0" w:color="auto"/>
              <w:right w:val="single" w:sz="4" w:space="0" w:color="auto"/>
            </w:tcBorders>
            <w:shd w:val="clear" w:color="auto" w:fill="auto"/>
            <w:vAlign w:val="center"/>
            <w:hideMark/>
          </w:tcPr>
          <w:p w14:paraId="4D7F197B" w14:textId="77777777" w:rsidR="009D6D4E" w:rsidRPr="00E34D81" w:rsidRDefault="009D6D4E" w:rsidP="00BF3B71">
            <w:pPr>
              <w:rPr>
                <w:color w:val="000000"/>
                <w:sz w:val="18"/>
                <w:szCs w:val="18"/>
              </w:rPr>
            </w:pPr>
            <w:r w:rsidRPr="00E34D81">
              <w:rPr>
                <w:color w:val="000000"/>
                <w:sz w:val="18"/>
                <w:szCs w:val="18"/>
              </w:rPr>
              <w:t>Pagat</w:t>
            </w:r>
          </w:p>
        </w:tc>
        <w:tc>
          <w:tcPr>
            <w:tcW w:w="3102" w:type="dxa"/>
            <w:gridSpan w:val="4"/>
            <w:tcBorders>
              <w:top w:val="nil"/>
              <w:left w:val="nil"/>
              <w:bottom w:val="single" w:sz="4" w:space="0" w:color="auto"/>
              <w:right w:val="single" w:sz="4" w:space="0" w:color="auto"/>
            </w:tcBorders>
            <w:shd w:val="clear" w:color="auto" w:fill="auto"/>
            <w:vAlign w:val="center"/>
            <w:hideMark/>
          </w:tcPr>
          <w:p w14:paraId="2001646B" w14:textId="77777777" w:rsidR="009D6D4E" w:rsidRPr="00E34D81" w:rsidRDefault="009D6D4E" w:rsidP="00BF3B71">
            <w:pPr>
              <w:rPr>
                <w:color w:val="000000"/>
                <w:sz w:val="18"/>
                <w:szCs w:val="18"/>
              </w:rPr>
            </w:pPr>
            <w:r w:rsidRPr="00E34D81">
              <w:rPr>
                <w:color w:val="000000"/>
                <w:sz w:val="18"/>
                <w:szCs w:val="18"/>
              </w:rPr>
              <w:t>Mallra dhe shërbime</w:t>
            </w:r>
          </w:p>
        </w:tc>
        <w:tc>
          <w:tcPr>
            <w:tcW w:w="2250" w:type="dxa"/>
            <w:gridSpan w:val="3"/>
            <w:tcBorders>
              <w:top w:val="nil"/>
              <w:left w:val="nil"/>
              <w:bottom w:val="single" w:sz="4" w:space="0" w:color="auto"/>
              <w:right w:val="single" w:sz="4" w:space="0" w:color="auto"/>
            </w:tcBorders>
            <w:shd w:val="clear" w:color="auto" w:fill="auto"/>
            <w:vAlign w:val="center"/>
            <w:hideMark/>
          </w:tcPr>
          <w:p w14:paraId="70762373" w14:textId="77777777" w:rsidR="009D6D4E" w:rsidRPr="00E34D81" w:rsidRDefault="009D6D4E" w:rsidP="00BF3B71">
            <w:pPr>
              <w:rPr>
                <w:color w:val="000000"/>
                <w:sz w:val="18"/>
                <w:szCs w:val="18"/>
              </w:rPr>
            </w:pPr>
            <w:r w:rsidRPr="00E34D81">
              <w:rPr>
                <w:color w:val="000000"/>
                <w:sz w:val="18"/>
                <w:szCs w:val="18"/>
              </w:rPr>
              <w:t xml:space="preserve">Subvencione dhe transfere </w:t>
            </w:r>
          </w:p>
        </w:tc>
        <w:tc>
          <w:tcPr>
            <w:tcW w:w="1530" w:type="dxa"/>
            <w:gridSpan w:val="3"/>
            <w:tcBorders>
              <w:top w:val="nil"/>
              <w:left w:val="nil"/>
              <w:bottom w:val="single" w:sz="4" w:space="0" w:color="auto"/>
              <w:right w:val="single" w:sz="4" w:space="0" w:color="auto"/>
            </w:tcBorders>
            <w:shd w:val="clear" w:color="auto" w:fill="auto"/>
            <w:vAlign w:val="center"/>
            <w:hideMark/>
          </w:tcPr>
          <w:p w14:paraId="7F3AF706" w14:textId="77777777" w:rsidR="009D6D4E" w:rsidRPr="00E34D81" w:rsidRDefault="009D6D4E" w:rsidP="00BF3B71">
            <w:pPr>
              <w:rPr>
                <w:color w:val="000000"/>
                <w:sz w:val="18"/>
                <w:szCs w:val="18"/>
              </w:rPr>
            </w:pPr>
            <w:r w:rsidRPr="00E34D81">
              <w:rPr>
                <w:color w:val="000000"/>
                <w:sz w:val="18"/>
                <w:szCs w:val="18"/>
              </w:rPr>
              <w:t xml:space="preserve">Shpenzimet kapitale </w:t>
            </w:r>
          </w:p>
        </w:tc>
        <w:tc>
          <w:tcPr>
            <w:tcW w:w="1800" w:type="dxa"/>
            <w:tcBorders>
              <w:top w:val="nil"/>
              <w:left w:val="nil"/>
              <w:bottom w:val="single" w:sz="4" w:space="0" w:color="auto"/>
              <w:right w:val="single" w:sz="4" w:space="0" w:color="auto"/>
            </w:tcBorders>
            <w:shd w:val="clear" w:color="auto" w:fill="auto"/>
            <w:vAlign w:val="center"/>
            <w:hideMark/>
          </w:tcPr>
          <w:p w14:paraId="142391F3" w14:textId="77777777" w:rsidR="009D6D4E" w:rsidRPr="00CB6955" w:rsidRDefault="009D6D4E" w:rsidP="00BF3B71">
            <w:pPr>
              <w:jc w:val="right"/>
              <w:rPr>
                <w:b/>
                <w:color w:val="000000"/>
                <w:sz w:val="18"/>
                <w:szCs w:val="18"/>
              </w:rPr>
            </w:pPr>
            <w:r w:rsidRPr="00CB6955">
              <w:rPr>
                <w:b/>
                <w:color w:val="000000"/>
                <w:sz w:val="18"/>
                <w:szCs w:val="18"/>
              </w:rPr>
              <w:t xml:space="preserve">Totali </w:t>
            </w:r>
          </w:p>
        </w:tc>
      </w:tr>
      <w:tr w:rsidR="009D6D4E" w:rsidRPr="00E34D81" w14:paraId="58975608" w14:textId="77777777" w:rsidTr="00BF3B71">
        <w:trPr>
          <w:trHeight w:val="415"/>
        </w:trPr>
        <w:tc>
          <w:tcPr>
            <w:tcW w:w="601" w:type="dxa"/>
            <w:tcBorders>
              <w:top w:val="nil"/>
              <w:left w:val="single" w:sz="4" w:space="0" w:color="auto"/>
              <w:bottom w:val="single" w:sz="4" w:space="0" w:color="auto"/>
              <w:right w:val="single" w:sz="4" w:space="0" w:color="auto"/>
            </w:tcBorders>
            <w:shd w:val="clear" w:color="auto" w:fill="auto"/>
            <w:vAlign w:val="center"/>
            <w:hideMark/>
          </w:tcPr>
          <w:p w14:paraId="096B4738" w14:textId="77777777" w:rsidR="009D6D4E" w:rsidRPr="00E34D81" w:rsidRDefault="009D6D4E" w:rsidP="00BF3B71">
            <w:pPr>
              <w:jc w:val="right"/>
              <w:rPr>
                <w:color w:val="000000"/>
                <w:sz w:val="18"/>
                <w:szCs w:val="18"/>
              </w:rPr>
            </w:pPr>
            <w:r w:rsidRPr="00E34D81">
              <w:rPr>
                <w:color w:val="000000"/>
                <w:sz w:val="18"/>
                <w:szCs w:val="18"/>
              </w:rPr>
              <w:t>2020</w:t>
            </w:r>
          </w:p>
        </w:tc>
        <w:tc>
          <w:tcPr>
            <w:tcW w:w="882" w:type="dxa"/>
            <w:gridSpan w:val="2"/>
            <w:tcBorders>
              <w:top w:val="nil"/>
              <w:left w:val="nil"/>
              <w:bottom w:val="single" w:sz="4" w:space="0" w:color="auto"/>
              <w:right w:val="single" w:sz="4" w:space="0" w:color="auto"/>
            </w:tcBorders>
            <w:shd w:val="clear" w:color="auto" w:fill="auto"/>
            <w:vAlign w:val="center"/>
            <w:hideMark/>
          </w:tcPr>
          <w:p w14:paraId="7397D2A2" w14:textId="77777777" w:rsidR="009D6D4E" w:rsidRPr="00E34D81" w:rsidRDefault="009D6D4E" w:rsidP="00BF3B71">
            <w:pPr>
              <w:rPr>
                <w:color w:val="000000"/>
                <w:sz w:val="18"/>
                <w:szCs w:val="18"/>
              </w:rPr>
            </w:pPr>
            <w:r w:rsidRPr="00E34D81">
              <w:rPr>
                <w:color w:val="000000"/>
                <w:sz w:val="18"/>
                <w:szCs w:val="18"/>
              </w:rPr>
              <w:t> </w:t>
            </w:r>
          </w:p>
        </w:tc>
        <w:tc>
          <w:tcPr>
            <w:tcW w:w="3102" w:type="dxa"/>
            <w:gridSpan w:val="4"/>
            <w:tcBorders>
              <w:top w:val="nil"/>
              <w:left w:val="nil"/>
              <w:bottom w:val="single" w:sz="4" w:space="0" w:color="auto"/>
              <w:right w:val="single" w:sz="4" w:space="0" w:color="auto"/>
            </w:tcBorders>
            <w:shd w:val="clear" w:color="auto" w:fill="auto"/>
            <w:vAlign w:val="center"/>
            <w:hideMark/>
          </w:tcPr>
          <w:p w14:paraId="22787FE6" w14:textId="77777777" w:rsidR="009D6D4E" w:rsidRPr="00E34D81" w:rsidRDefault="009D6D4E" w:rsidP="00BF3B71">
            <w:pPr>
              <w:rPr>
                <w:color w:val="000000"/>
                <w:sz w:val="18"/>
                <w:szCs w:val="18"/>
              </w:rPr>
            </w:pPr>
            <w:r w:rsidRPr="00E34D81">
              <w:rPr>
                <w:color w:val="000000"/>
                <w:sz w:val="18"/>
                <w:szCs w:val="18"/>
              </w:rPr>
              <w:t xml:space="preserve">                         596,344 </w:t>
            </w:r>
          </w:p>
        </w:tc>
        <w:tc>
          <w:tcPr>
            <w:tcW w:w="2250" w:type="dxa"/>
            <w:gridSpan w:val="3"/>
            <w:tcBorders>
              <w:top w:val="nil"/>
              <w:left w:val="nil"/>
              <w:bottom w:val="single" w:sz="4" w:space="0" w:color="auto"/>
              <w:right w:val="single" w:sz="4" w:space="0" w:color="auto"/>
            </w:tcBorders>
            <w:shd w:val="clear" w:color="auto" w:fill="auto"/>
            <w:vAlign w:val="center"/>
            <w:hideMark/>
          </w:tcPr>
          <w:p w14:paraId="03CF5587" w14:textId="77777777" w:rsidR="009D6D4E" w:rsidRPr="00E34D81" w:rsidRDefault="009D6D4E" w:rsidP="00BF3B71">
            <w:pPr>
              <w:rPr>
                <w:color w:val="000000"/>
                <w:sz w:val="18"/>
                <w:szCs w:val="18"/>
              </w:rPr>
            </w:pPr>
            <w:r w:rsidRPr="00E34D81">
              <w:rPr>
                <w:color w:val="000000"/>
                <w:sz w:val="18"/>
                <w:szCs w:val="18"/>
              </w:rPr>
              <w:t xml:space="preserve">                      4,500,000 </w:t>
            </w:r>
          </w:p>
        </w:tc>
        <w:tc>
          <w:tcPr>
            <w:tcW w:w="1530" w:type="dxa"/>
            <w:gridSpan w:val="3"/>
            <w:tcBorders>
              <w:top w:val="nil"/>
              <w:left w:val="nil"/>
              <w:bottom w:val="single" w:sz="4" w:space="0" w:color="auto"/>
              <w:right w:val="single" w:sz="4" w:space="0" w:color="auto"/>
            </w:tcBorders>
            <w:shd w:val="clear" w:color="auto" w:fill="auto"/>
            <w:vAlign w:val="center"/>
            <w:hideMark/>
          </w:tcPr>
          <w:p w14:paraId="4410CDA5" w14:textId="77777777" w:rsidR="009D6D4E" w:rsidRPr="00E34D81" w:rsidRDefault="009D6D4E" w:rsidP="00BF3B71">
            <w:pPr>
              <w:rPr>
                <w:color w:val="000000"/>
                <w:sz w:val="18"/>
                <w:szCs w:val="18"/>
              </w:rPr>
            </w:pPr>
            <w:r w:rsidRPr="00E34D81">
              <w:rPr>
                <w:color w:val="000000"/>
                <w:sz w:val="18"/>
                <w:szCs w:val="18"/>
              </w:rPr>
              <w:t xml:space="preserve">                                   -   </w:t>
            </w:r>
          </w:p>
        </w:tc>
        <w:tc>
          <w:tcPr>
            <w:tcW w:w="1800" w:type="dxa"/>
            <w:tcBorders>
              <w:top w:val="nil"/>
              <w:left w:val="nil"/>
              <w:bottom w:val="single" w:sz="4" w:space="0" w:color="auto"/>
              <w:right w:val="single" w:sz="4" w:space="0" w:color="auto"/>
            </w:tcBorders>
            <w:shd w:val="clear" w:color="000000" w:fill="FFFFFF"/>
            <w:vAlign w:val="center"/>
            <w:hideMark/>
          </w:tcPr>
          <w:p w14:paraId="53AE1638" w14:textId="77777777" w:rsidR="009D6D4E" w:rsidRPr="00CB6955" w:rsidRDefault="009D6D4E" w:rsidP="00BF3B71">
            <w:pPr>
              <w:jc w:val="right"/>
              <w:rPr>
                <w:b/>
                <w:color w:val="000000"/>
                <w:sz w:val="18"/>
                <w:szCs w:val="18"/>
              </w:rPr>
            </w:pPr>
            <w:r w:rsidRPr="00CB6955">
              <w:rPr>
                <w:b/>
                <w:color w:val="000000"/>
                <w:sz w:val="18"/>
                <w:szCs w:val="18"/>
              </w:rPr>
              <w:t xml:space="preserve">                      5,096,344 </w:t>
            </w:r>
          </w:p>
        </w:tc>
      </w:tr>
      <w:tr w:rsidR="009D6D4E" w:rsidRPr="00E34D81" w14:paraId="021D62D4" w14:textId="77777777" w:rsidTr="00BF3B71">
        <w:trPr>
          <w:trHeight w:val="415"/>
        </w:trPr>
        <w:tc>
          <w:tcPr>
            <w:tcW w:w="601" w:type="dxa"/>
            <w:tcBorders>
              <w:top w:val="nil"/>
              <w:left w:val="single" w:sz="4" w:space="0" w:color="auto"/>
              <w:bottom w:val="single" w:sz="4" w:space="0" w:color="auto"/>
              <w:right w:val="single" w:sz="4" w:space="0" w:color="auto"/>
            </w:tcBorders>
            <w:shd w:val="clear" w:color="auto" w:fill="auto"/>
            <w:vAlign w:val="center"/>
            <w:hideMark/>
          </w:tcPr>
          <w:p w14:paraId="40CC5C21" w14:textId="77777777" w:rsidR="009D6D4E" w:rsidRPr="00E34D81" w:rsidRDefault="009D6D4E" w:rsidP="00BF3B71">
            <w:pPr>
              <w:jc w:val="right"/>
              <w:rPr>
                <w:color w:val="000000"/>
                <w:sz w:val="18"/>
                <w:szCs w:val="18"/>
              </w:rPr>
            </w:pPr>
            <w:r w:rsidRPr="00E34D81">
              <w:rPr>
                <w:color w:val="000000"/>
                <w:sz w:val="18"/>
                <w:szCs w:val="18"/>
              </w:rPr>
              <w:t>2021</w:t>
            </w:r>
          </w:p>
        </w:tc>
        <w:tc>
          <w:tcPr>
            <w:tcW w:w="882" w:type="dxa"/>
            <w:gridSpan w:val="2"/>
            <w:tcBorders>
              <w:top w:val="nil"/>
              <w:left w:val="nil"/>
              <w:bottom w:val="single" w:sz="4" w:space="0" w:color="auto"/>
              <w:right w:val="single" w:sz="4" w:space="0" w:color="auto"/>
            </w:tcBorders>
            <w:shd w:val="clear" w:color="auto" w:fill="auto"/>
            <w:vAlign w:val="center"/>
            <w:hideMark/>
          </w:tcPr>
          <w:p w14:paraId="7AF7350D" w14:textId="77777777" w:rsidR="009D6D4E" w:rsidRPr="00E34D81" w:rsidRDefault="009D6D4E" w:rsidP="00BF3B71">
            <w:pPr>
              <w:rPr>
                <w:color w:val="000000"/>
                <w:sz w:val="18"/>
                <w:szCs w:val="18"/>
              </w:rPr>
            </w:pPr>
            <w:r w:rsidRPr="00E34D81">
              <w:rPr>
                <w:color w:val="000000"/>
                <w:sz w:val="18"/>
                <w:szCs w:val="18"/>
              </w:rPr>
              <w:t> </w:t>
            </w:r>
          </w:p>
        </w:tc>
        <w:tc>
          <w:tcPr>
            <w:tcW w:w="3102" w:type="dxa"/>
            <w:gridSpan w:val="4"/>
            <w:tcBorders>
              <w:top w:val="nil"/>
              <w:left w:val="nil"/>
              <w:bottom w:val="single" w:sz="4" w:space="0" w:color="auto"/>
              <w:right w:val="single" w:sz="4" w:space="0" w:color="auto"/>
            </w:tcBorders>
            <w:shd w:val="clear" w:color="auto" w:fill="auto"/>
            <w:vAlign w:val="center"/>
            <w:hideMark/>
          </w:tcPr>
          <w:p w14:paraId="78BB3678" w14:textId="77777777" w:rsidR="009D6D4E" w:rsidRPr="00E34D81" w:rsidRDefault="009D6D4E" w:rsidP="00BF3B71">
            <w:pPr>
              <w:rPr>
                <w:color w:val="000000"/>
                <w:sz w:val="18"/>
                <w:szCs w:val="18"/>
              </w:rPr>
            </w:pPr>
            <w:r w:rsidRPr="00E34D81">
              <w:rPr>
                <w:color w:val="000000"/>
                <w:sz w:val="18"/>
                <w:szCs w:val="18"/>
              </w:rPr>
              <w:t xml:space="preserve">                         861,348 </w:t>
            </w:r>
          </w:p>
        </w:tc>
        <w:tc>
          <w:tcPr>
            <w:tcW w:w="2250" w:type="dxa"/>
            <w:gridSpan w:val="3"/>
            <w:tcBorders>
              <w:top w:val="nil"/>
              <w:left w:val="nil"/>
              <w:bottom w:val="single" w:sz="4" w:space="0" w:color="auto"/>
              <w:right w:val="single" w:sz="4" w:space="0" w:color="auto"/>
            </w:tcBorders>
            <w:shd w:val="clear" w:color="auto" w:fill="auto"/>
            <w:vAlign w:val="center"/>
            <w:hideMark/>
          </w:tcPr>
          <w:p w14:paraId="41259873" w14:textId="77777777" w:rsidR="009D6D4E" w:rsidRPr="00E34D81" w:rsidRDefault="009D6D4E" w:rsidP="00BF3B71">
            <w:pPr>
              <w:rPr>
                <w:color w:val="000000"/>
                <w:sz w:val="18"/>
                <w:szCs w:val="18"/>
              </w:rPr>
            </w:pPr>
            <w:r w:rsidRPr="00E34D81">
              <w:rPr>
                <w:color w:val="000000"/>
                <w:sz w:val="18"/>
                <w:szCs w:val="18"/>
              </w:rPr>
              <w:t xml:space="preserve">                      4,500,000 </w:t>
            </w:r>
          </w:p>
        </w:tc>
        <w:tc>
          <w:tcPr>
            <w:tcW w:w="1530" w:type="dxa"/>
            <w:gridSpan w:val="3"/>
            <w:tcBorders>
              <w:top w:val="nil"/>
              <w:left w:val="nil"/>
              <w:bottom w:val="single" w:sz="4" w:space="0" w:color="auto"/>
              <w:right w:val="single" w:sz="4" w:space="0" w:color="auto"/>
            </w:tcBorders>
            <w:shd w:val="clear" w:color="auto" w:fill="auto"/>
            <w:vAlign w:val="center"/>
            <w:hideMark/>
          </w:tcPr>
          <w:p w14:paraId="5A563B2F" w14:textId="77777777" w:rsidR="009D6D4E" w:rsidRPr="00E34D81" w:rsidRDefault="009D6D4E" w:rsidP="00BF3B71">
            <w:pPr>
              <w:rPr>
                <w:color w:val="000000"/>
                <w:sz w:val="18"/>
                <w:szCs w:val="18"/>
              </w:rPr>
            </w:pPr>
            <w:r w:rsidRPr="00E34D81">
              <w:rPr>
                <w:color w:val="000000"/>
                <w:sz w:val="18"/>
                <w:szCs w:val="18"/>
              </w:rPr>
              <w:t xml:space="preserve">                                   -   </w:t>
            </w:r>
          </w:p>
        </w:tc>
        <w:tc>
          <w:tcPr>
            <w:tcW w:w="1800" w:type="dxa"/>
            <w:tcBorders>
              <w:top w:val="nil"/>
              <w:left w:val="nil"/>
              <w:bottom w:val="single" w:sz="4" w:space="0" w:color="auto"/>
              <w:right w:val="single" w:sz="4" w:space="0" w:color="auto"/>
            </w:tcBorders>
            <w:shd w:val="clear" w:color="000000" w:fill="FFFFFF"/>
            <w:vAlign w:val="center"/>
            <w:hideMark/>
          </w:tcPr>
          <w:p w14:paraId="392957E3" w14:textId="77777777" w:rsidR="009D6D4E" w:rsidRPr="00CB6955" w:rsidRDefault="009D6D4E" w:rsidP="00BF3B71">
            <w:pPr>
              <w:jc w:val="right"/>
              <w:rPr>
                <w:b/>
                <w:color w:val="000000"/>
                <w:sz w:val="18"/>
                <w:szCs w:val="18"/>
              </w:rPr>
            </w:pPr>
            <w:r w:rsidRPr="00CB6955">
              <w:rPr>
                <w:b/>
                <w:color w:val="000000"/>
                <w:sz w:val="18"/>
                <w:szCs w:val="18"/>
              </w:rPr>
              <w:t xml:space="preserve">                      5,361,348 </w:t>
            </w:r>
          </w:p>
        </w:tc>
      </w:tr>
      <w:tr w:rsidR="009D6D4E" w:rsidRPr="00E34D81" w14:paraId="404DD428" w14:textId="77777777" w:rsidTr="00BF3B71">
        <w:trPr>
          <w:trHeight w:val="415"/>
        </w:trPr>
        <w:tc>
          <w:tcPr>
            <w:tcW w:w="601" w:type="dxa"/>
            <w:tcBorders>
              <w:top w:val="nil"/>
              <w:left w:val="single" w:sz="4" w:space="0" w:color="auto"/>
              <w:bottom w:val="single" w:sz="4" w:space="0" w:color="auto"/>
              <w:right w:val="single" w:sz="4" w:space="0" w:color="auto"/>
            </w:tcBorders>
            <w:shd w:val="clear" w:color="auto" w:fill="auto"/>
            <w:vAlign w:val="center"/>
            <w:hideMark/>
          </w:tcPr>
          <w:p w14:paraId="3C651DCE" w14:textId="77777777" w:rsidR="009D6D4E" w:rsidRPr="00E34D81" w:rsidRDefault="009D6D4E" w:rsidP="00BF3B71">
            <w:pPr>
              <w:jc w:val="right"/>
              <w:rPr>
                <w:color w:val="000000"/>
                <w:sz w:val="18"/>
                <w:szCs w:val="18"/>
              </w:rPr>
            </w:pPr>
            <w:r w:rsidRPr="00E34D81">
              <w:rPr>
                <w:color w:val="000000"/>
                <w:sz w:val="18"/>
                <w:szCs w:val="18"/>
              </w:rPr>
              <w:t>2022</w:t>
            </w:r>
          </w:p>
        </w:tc>
        <w:tc>
          <w:tcPr>
            <w:tcW w:w="882" w:type="dxa"/>
            <w:gridSpan w:val="2"/>
            <w:tcBorders>
              <w:top w:val="nil"/>
              <w:left w:val="nil"/>
              <w:bottom w:val="single" w:sz="4" w:space="0" w:color="auto"/>
              <w:right w:val="single" w:sz="4" w:space="0" w:color="auto"/>
            </w:tcBorders>
            <w:shd w:val="clear" w:color="auto" w:fill="auto"/>
            <w:vAlign w:val="center"/>
            <w:hideMark/>
          </w:tcPr>
          <w:p w14:paraId="0E3549EC" w14:textId="77777777" w:rsidR="009D6D4E" w:rsidRPr="00E34D81" w:rsidRDefault="009D6D4E" w:rsidP="00BF3B71">
            <w:pPr>
              <w:rPr>
                <w:color w:val="000000"/>
                <w:sz w:val="18"/>
                <w:szCs w:val="18"/>
              </w:rPr>
            </w:pPr>
            <w:r w:rsidRPr="00E34D81">
              <w:rPr>
                <w:color w:val="000000"/>
                <w:sz w:val="18"/>
                <w:szCs w:val="18"/>
              </w:rPr>
              <w:t> </w:t>
            </w:r>
          </w:p>
        </w:tc>
        <w:tc>
          <w:tcPr>
            <w:tcW w:w="3102" w:type="dxa"/>
            <w:gridSpan w:val="4"/>
            <w:tcBorders>
              <w:top w:val="nil"/>
              <w:left w:val="nil"/>
              <w:bottom w:val="single" w:sz="4" w:space="0" w:color="auto"/>
              <w:right w:val="single" w:sz="4" w:space="0" w:color="auto"/>
            </w:tcBorders>
            <w:shd w:val="clear" w:color="auto" w:fill="auto"/>
            <w:vAlign w:val="center"/>
            <w:hideMark/>
          </w:tcPr>
          <w:p w14:paraId="2D61A44C" w14:textId="77777777" w:rsidR="009D6D4E" w:rsidRPr="00E34D81" w:rsidRDefault="009D6D4E" w:rsidP="00BF3B71">
            <w:pPr>
              <w:rPr>
                <w:color w:val="000000"/>
                <w:sz w:val="18"/>
                <w:szCs w:val="18"/>
              </w:rPr>
            </w:pPr>
            <w:r w:rsidRPr="00E34D81">
              <w:rPr>
                <w:color w:val="000000"/>
                <w:sz w:val="18"/>
                <w:szCs w:val="18"/>
              </w:rPr>
              <w:t xml:space="preserve">                         534,674 </w:t>
            </w:r>
          </w:p>
        </w:tc>
        <w:tc>
          <w:tcPr>
            <w:tcW w:w="2250" w:type="dxa"/>
            <w:gridSpan w:val="3"/>
            <w:tcBorders>
              <w:top w:val="nil"/>
              <w:left w:val="nil"/>
              <w:bottom w:val="single" w:sz="4" w:space="0" w:color="auto"/>
              <w:right w:val="single" w:sz="4" w:space="0" w:color="auto"/>
            </w:tcBorders>
            <w:shd w:val="clear" w:color="auto" w:fill="auto"/>
            <w:vAlign w:val="center"/>
            <w:hideMark/>
          </w:tcPr>
          <w:p w14:paraId="15E8CEFB" w14:textId="77777777" w:rsidR="009D6D4E" w:rsidRPr="00E34D81" w:rsidRDefault="009D6D4E" w:rsidP="00BF3B71">
            <w:pPr>
              <w:rPr>
                <w:color w:val="000000"/>
                <w:sz w:val="18"/>
                <w:szCs w:val="18"/>
              </w:rPr>
            </w:pPr>
            <w:r w:rsidRPr="00E34D81">
              <w:rPr>
                <w:color w:val="000000"/>
                <w:sz w:val="18"/>
                <w:szCs w:val="18"/>
              </w:rPr>
              <w:t xml:space="preserve">                      4,500,000 </w:t>
            </w:r>
          </w:p>
        </w:tc>
        <w:tc>
          <w:tcPr>
            <w:tcW w:w="1530" w:type="dxa"/>
            <w:gridSpan w:val="3"/>
            <w:tcBorders>
              <w:top w:val="nil"/>
              <w:left w:val="nil"/>
              <w:bottom w:val="single" w:sz="4" w:space="0" w:color="auto"/>
              <w:right w:val="single" w:sz="4" w:space="0" w:color="auto"/>
            </w:tcBorders>
            <w:shd w:val="clear" w:color="auto" w:fill="auto"/>
            <w:vAlign w:val="center"/>
            <w:hideMark/>
          </w:tcPr>
          <w:p w14:paraId="1F591EB8" w14:textId="77777777" w:rsidR="009D6D4E" w:rsidRPr="00E34D81" w:rsidRDefault="009D6D4E" w:rsidP="00BF3B71">
            <w:pPr>
              <w:rPr>
                <w:color w:val="000000"/>
                <w:sz w:val="18"/>
                <w:szCs w:val="18"/>
              </w:rPr>
            </w:pPr>
            <w:r w:rsidRPr="00E34D81">
              <w:rPr>
                <w:color w:val="000000"/>
                <w:sz w:val="18"/>
                <w:szCs w:val="18"/>
              </w:rPr>
              <w:t xml:space="preserve">                                   -   </w:t>
            </w:r>
          </w:p>
        </w:tc>
        <w:tc>
          <w:tcPr>
            <w:tcW w:w="1800" w:type="dxa"/>
            <w:tcBorders>
              <w:top w:val="nil"/>
              <w:left w:val="nil"/>
              <w:bottom w:val="single" w:sz="4" w:space="0" w:color="auto"/>
              <w:right w:val="single" w:sz="4" w:space="0" w:color="auto"/>
            </w:tcBorders>
            <w:shd w:val="clear" w:color="000000" w:fill="FFFFFF"/>
            <w:vAlign w:val="center"/>
            <w:hideMark/>
          </w:tcPr>
          <w:p w14:paraId="38FC40C7" w14:textId="77777777" w:rsidR="009D6D4E" w:rsidRPr="00CB6955" w:rsidRDefault="009D6D4E" w:rsidP="00BF3B71">
            <w:pPr>
              <w:jc w:val="right"/>
              <w:rPr>
                <w:b/>
                <w:color w:val="000000"/>
                <w:sz w:val="18"/>
                <w:szCs w:val="18"/>
              </w:rPr>
            </w:pPr>
            <w:r w:rsidRPr="00CB6955">
              <w:rPr>
                <w:b/>
                <w:color w:val="000000"/>
                <w:sz w:val="18"/>
                <w:szCs w:val="18"/>
              </w:rPr>
              <w:t xml:space="preserve">                      5,034,674 </w:t>
            </w:r>
          </w:p>
        </w:tc>
      </w:tr>
      <w:tr w:rsidR="009D6D4E" w:rsidRPr="00E34D81" w14:paraId="59B1B08E" w14:textId="77777777" w:rsidTr="00BF3B71">
        <w:trPr>
          <w:trHeight w:val="622"/>
        </w:trPr>
        <w:tc>
          <w:tcPr>
            <w:tcW w:w="10165" w:type="dxa"/>
            <w:gridSpan w:val="14"/>
            <w:tcBorders>
              <w:top w:val="single" w:sz="8" w:space="0" w:color="auto"/>
              <w:left w:val="single" w:sz="8" w:space="0" w:color="auto"/>
              <w:bottom w:val="single" w:sz="8" w:space="0" w:color="auto"/>
              <w:right w:val="single" w:sz="8" w:space="0" w:color="000000"/>
            </w:tcBorders>
            <w:shd w:val="clear" w:color="auto" w:fill="auto"/>
            <w:vAlign w:val="center"/>
            <w:hideMark/>
          </w:tcPr>
          <w:p w14:paraId="04D0CF69" w14:textId="77777777" w:rsidR="009D6D4E" w:rsidRPr="00E34D81" w:rsidRDefault="009D6D4E" w:rsidP="00BF3B71">
            <w:pPr>
              <w:rPr>
                <w:b/>
                <w:bCs/>
                <w:color w:val="000000"/>
                <w:sz w:val="18"/>
                <w:szCs w:val="18"/>
              </w:rPr>
            </w:pPr>
            <w:r w:rsidRPr="00E34D81">
              <w:rPr>
                <w:b/>
                <w:bCs/>
                <w:color w:val="000000"/>
                <w:sz w:val="18"/>
                <w:szCs w:val="18"/>
              </w:rPr>
              <w:t>Tabela 10.b:Financimi i masës së reformës strukturore:Masa#19  Ngritja e qasjes në tregun e punës së grupeve të cënuara përmes ngritjes së efiksatitetit të shërbimeve publike dhe masave aktive të punësimit</w:t>
            </w:r>
          </w:p>
        </w:tc>
      </w:tr>
      <w:tr w:rsidR="009D6D4E" w:rsidRPr="00E34D81" w14:paraId="6CBC1680" w14:textId="77777777" w:rsidTr="00BF3B71">
        <w:trPr>
          <w:trHeight w:val="415"/>
        </w:trPr>
        <w:tc>
          <w:tcPr>
            <w:tcW w:w="653"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10CF2762" w14:textId="77777777" w:rsidR="009D6D4E" w:rsidRPr="00E34D81" w:rsidRDefault="009D6D4E" w:rsidP="00BF3B71">
            <w:pPr>
              <w:rPr>
                <w:color w:val="000000"/>
                <w:sz w:val="18"/>
                <w:szCs w:val="18"/>
              </w:rPr>
            </w:pPr>
            <w:r w:rsidRPr="00E34D81">
              <w:rPr>
                <w:color w:val="000000"/>
                <w:sz w:val="18"/>
                <w:szCs w:val="18"/>
              </w:rPr>
              <w:t xml:space="preserve">Viti </w:t>
            </w:r>
          </w:p>
        </w:tc>
        <w:tc>
          <w:tcPr>
            <w:tcW w:w="949"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76268E60" w14:textId="77777777" w:rsidR="009D6D4E" w:rsidRPr="00E34D81" w:rsidRDefault="009D6D4E" w:rsidP="00BF3B71">
            <w:pPr>
              <w:rPr>
                <w:color w:val="000000"/>
                <w:sz w:val="18"/>
                <w:szCs w:val="18"/>
              </w:rPr>
            </w:pPr>
            <w:r w:rsidRPr="00E34D81">
              <w:rPr>
                <w:color w:val="000000"/>
                <w:sz w:val="18"/>
                <w:szCs w:val="18"/>
              </w:rPr>
              <w:t>Buxheti Qendror</w:t>
            </w:r>
          </w:p>
        </w:tc>
        <w:tc>
          <w:tcPr>
            <w:tcW w:w="846" w:type="dxa"/>
            <w:vMerge w:val="restart"/>
            <w:tcBorders>
              <w:top w:val="nil"/>
              <w:left w:val="single" w:sz="8" w:space="0" w:color="auto"/>
              <w:bottom w:val="single" w:sz="8" w:space="0" w:color="000000"/>
              <w:right w:val="single" w:sz="8" w:space="0" w:color="auto"/>
            </w:tcBorders>
            <w:shd w:val="clear" w:color="auto" w:fill="auto"/>
            <w:vAlign w:val="center"/>
            <w:hideMark/>
          </w:tcPr>
          <w:p w14:paraId="4030E66C" w14:textId="77777777" w:rsidR="009D6D4E" w:rsidRPr="00E34D81" w:rsidRDefault="009D6D4E" w:rsidP="00BF3B71">
            <w:pPr>
              <w:rPr>
                <w:color w:val="000000"/>
                <w:sz w:val="18"/>
                <w:szCs w:val="18"/>
              </w:rPr>
            </w:pPr>
            <w:r w:rsidRPr="00E34D81">
              <w:rPr>
                <w:color w:val="000000"/>
                <w:sz w:val="18"/>
                <w:szCs w:val="18"/>
              </w:rPr>
              <w:t>Buxheti komunal</w:t>
            </w:r>
          </w:p>
        </w:tc>
        <w:tc>
          <w:tcPr>
            <w:tcW w:w="1675" w:type="dxa"/>
            <w:vMerge w:val="restart"/>
            <w:tcBorders>
              <w:top w:val="nil"/>
              <w:left w:val="single" w:sz="8" w:space="0" w:color="auto"/>
              <w:bottom w:val="single" w:sz="8" w:space="0" w:color="000000"/>
              <w:right w:val="single" w:sz="8" w:space="0" w:color="auto"/>
            </w:tcBorders>
            <w:shd w:val="clear" w:color="auto" w:fill="auto"/>
            <w:vAlign w:val="center"/>
            <w:hideMark/>
          </w:tcPr>
          <w:p w14:paraId="2F04864A" w14:textId="77777777" w:rsidR="009D6D4E" w:rsidRPr="00E34D81" w:rsidRDefault="009D6D4E" w:rsidP="00BF3B71">
            <w:pPr>
              <w:rPr>
                <w:color w:val="000000"/>
                <w:sz w:val="18"/>
                <w:szCs w:val="18"/>
              </w:rPr>
            </w:pPr>
            <w:r w:rsidRPr="00E34D81">
              <w:rPr>
                <w:color w:val="000000"/>
                <w:sz w:val="18"/>
                <w:szCs w:val="18"/>
              </w:rPr>
              <w:t xml:space="preserve">Burimet e tjera të financimit publik </w:t>
            </w:r>
          </w:p>
        </w:tc>
        <w:tc>
          <w:tcPr>
            <w:tcW w:w="943"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5BA0A28B" w14:textId="77777777" w:rsidR="009D6D4E" w:rsidRPr="00E34D81" w:rsidRDefault="009D6D4E" w:rsidP="00BF3B71">
            <w:pPr>
              <w:rPr>
                <w:color w:val="000000"/>
                <w:sz w:val="18"/>
                <w:szCs w:val="18"/>
              </w:rPr>
            </w:pPr>
            <w:r w:rsidRPr="00E34D81">
              <w:rPr>
                <w:color w:val="000000"/>
                <w:sz w:val="18"/>
                <w:szCs w:val="18"/>
              </w:rPr>
              <w:t xml:space="preserve">Fondet e IPA-së </w:t>
            </w:r>
          </w:p>
        </w:tc>
        <w:tc>
          <w:tcPr>
            <w:tcW w:w="1143" w:type="dxa"/>
            <w:vMerge w:val="restart"/>
            <w:tcBorders>
              <w:top w:val="nil"/>
              <w:left w:val="single" w:sz="8" w:space="0" w:color="auto"/>
              <w:bottom w:val="single" w:sz="8" w:space="0" w:color="000000"/>
              <w:right w:val="single" w:sz="8" w:space="0" w:color="auto"/>
            </w:tcBorders>
            <w:shd w:val="clear" w:color="auto" w:fill="auto"/>
            <w:vAlign w:val="center"/>
            <w:hideMark/>
          </w:tcPr>
          <w:p w14:paraId="3C888A49" w14:textId="77777777" w:rsidR="009D6D4E" w:rsidRPr="00E34D81" w:rsidRDefault="009D6D4E" w:rsidP="00BF3B71">
            <w:pPr>
              <w:rPr>
                <w:color w:val="000000"/>
                <w:sz w:val="18"/>
                <w:szCs w:val="18"/>
              </w:rPr>
            </w:pPr>
            <w:r w:rsidRPr="00E34D81">
              <w:rPr>
                <w:color w:val="000000"/>
                <w:sz w:val="18"/>
                <w:szCs w:val="18"/>
              </w:rPr>
              <w:t xml:space="preserve">Grante të tjera </w:t>
            </w:r>
          </w:p>
        </w:tc>
        <w:tc>
          <w:tcPr>
            <w:tcW w:w="813"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5D2DD98D" w14:textId="77777777" w:rsidR="009D6D4E" w:rsidRPr="00E34D81" w:rsidRDefault="009D6D4E" w:rsidP="00BF3B71">
            <w:pPr>
              <w:rPr>
                <w:color w:val="000000"/>
                <w:sz w:val="18"/>
                <w:szCs w:val="18"/>
              </w:rPr>
            </w:pPr>
            <w:r w:rsidRPr="00E34D81">
              <w:rPr>
                <w:color w:val="000000"/>
                <w:sz w:val="18"/>
                <w:szCs w:val="18"/>
              </w:rPr>
              <w:t xml:space="preserve">Kredi për projekte </w:t>
            </w:r>
          </w:p>
        </w:tc>
        <w:tc>
          <w:tcPr>
            <w:tcW w:w="1280" w:type="dxa"/>
            <w:vMerge w:val="restart"/>
            <w:tcBorders>
              <w:top w:val="nil"/>
              <w:left w:val="single" w:sz="8" w:space="0" w:color="auto"/>
              <w:bottom w:val="single" w:sz="8" w:space="0" w:color="000000"/>
              <w:right w:val="single" w:sz="8" w:space="0" w:color="auto"/>
            </w:tcBorders>
            <w:shd w:val="clear" w:color="auto" w:fill="auto"/>
            <w:vAlign w:val="center"/>
            <w:hideMark/>
          </w:tcPr>
          <w:p w14:paraId="42FFD78E" w14:textId="77777777" w:rsidR="009D6D4E" w:rsidRPr="00E34D81" w:rsidRDefault="009D6D4E" w:rsidP="00BF3B71">
            <w:pPr>
              <w:rPr>
                <w:color w:val="000000"/>
                <w:sz w:val="18"/>
                <w:szCs w:val="18"/>
              </w:rPr>
            </w:pPr>
            <w:r w:rsidRPr="00E34D81">
              <w:rPr>
                <w:color w:val="000000"/>
                <w:sz w:val="18"/>
                <w:szCs w:val="18"/>
              </w:rPr>
              <w:t xml:space="preserve">Të përcaktohet </w:t>
            </w:r>
          </w:p>
        </w:tc>
        <w:tc>
          <w:tcPr>
            <w:tcW w:w="1863"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6BFD3A8D" w14:textId="77777777" w:rsidR="009D6D4E" w:rsidRPr="00CB6955" w:rsidRDefault="009D6D4E" w:rsidP="00BF3B71">
            <w:pPr>
              <w:jc w:val="right"/>
              <w:rPr>
                <w:b/>
                <w:color w:val="000000"/>
                <w:sz w:val="18"/>
                <w:szCs w:val="18"/>
              </w:rPr>
            </w:pPr>
            <w:r w:rsidRPr="00CB6955">
              <w:rPr>
                <w:b/>
                <w:color w:val="000000"/>
                <w:sz w:val="18"/>
                <w:szCs w:val="18"/>
              </w:rPr>
              <w:t xml:space="preserve">Totali </w:t>
            </w:r>
          </w:p>
        </w:tc>
      </w:tr>
      <w:tr w:rsidR="009D6D4E" w:rsidRPr="00E34D81" w14:paraId="7FE9ADDE" w14:textId="77777777" w:rsidTr="00BF3B71">
        <w:trPr>
          <w:trHeight w:val="415"/>
        </w:trPr>
        <w:tc>
          <w:tcPr>
            <w:tcW w:w="653" w:type="dxa"/>
            <w:gridSpan w:val="2"/>
            <w:vMerge/>
            <w:tcBorders>
              <w:top w:val="nil"/>
              <w:left w:val="single" w:sz="8" w:space="0" w:color="auto"/>
              <w:bottom w:val="single" w:sz="8" w:space="0" w:color="000000"/>
              <w:right w:val="single" w:sz="8" w:space="0" w:color="auto"/>
            </w:tcBorders>
            <w:vAlign w:val="center"/>
            <w:hideMark/>
          </w:tcPr>
          <w:p w14:paraId="06B82045" w14:textId="77777777" w:rsidR="009D6D4E" w:rsidRPr="00E34D81" w:rsidRDefault="009D6D4E" w:rsidP="00BF3B71">
            <w:pPr>
              <w:rPr>
                <w:color w:val="000000"/>
                <w:sz w:val="18"/>
                <w:szCs w:val="18"/>
              </w:rPr>
            </w:pPr>
          </w:p>
        </w:tc>
        <w:tc>
          <w:tcPr>
            <w:tcW w:w="949" w:type="dxa"/>
            <w:gridSpan w:val="2"/>
            <w:vMerge/>
            <w:tcBorders>
              <w:top w:val="nil"/>
              <w:left w:val="single" w:sz="8" w:space="0" w:color="auto"/>
              <w:bottom w:val="single" w:sz="8" w:space="0" w:color="000000"/>
              <w:right w:val="single" w:sz="8" w:space="0" w:color="auto"/>
            </w:tcBorders>
            <w:vAlign w:val="center"/>
            <w:hideMark/>
          </w:tcPr>
          <w:p w14:paraId="60BA9C9B" w14:textId="77777777" w:rsidR="009D6D4E" w:rsidRPr="00E34D81" w:rsidRDefault="009D6D4E" w:rsidP="00BF3B71">
            <w:pPr>
              <w:rPr>
                <w:color w:val="000000"/>
                <w:sz w:val="18"/>
                <w:szCs w:val="18"/>
              </w:rPr>
            </w:pPr>
          </w:p>
        </w:tc>
        <w:tc>
          <w:tcPr>
            <w:tcW w:w="846" w:type="dxa"/>
            <w:vMerge/>
            <w:tcBorders>
              <w:top w:val="nil"/>
              <w:left w:val="single" w:sz="8" w:space="0" w:color="auto"/>
              <w:bottom w:val="single" w:sz="8" w:space="0" w:color="000000"/>
              <w:right w:val="single" w:sz="8" w:space="0" w:color="auto"/>
            </w:tcBorders>
            <w:vAlign w:val="center"/>
            <w:hideMark/>
          </w:tcPr>
          <w:p w14:paraId="7216C038" w14:textId="77777777" w:rsidR="009D6D4E" w:rsidRPr="00E34D81" w:rsidRDefault="009D6D4E" w:rsidP="00BF3B71">
            <w:pPr>
              <w:rPr>
                <w:color w:val="000000"/>
                <w:sz w:val="18"/>
                <w:szCs w:val="18"/>
              </w:rPr>
            </w:pPr>
          </w:p>
        </w:tc>
        <w:tc>
          <w:tcPr>
            <w:tcW w:w="1675" w:type="dxa"/>
            <w:vMerge/>
            <w:tcBorders>
              <w:top w:val="nil"/>
              <w:left w:val="single" w:sz="8" w:space="0" w:color="auto"/>
              <w:bottom w:val="single" w:sz="8" w:space="0" w:color="000000"/>
              <w:right w:val="single" w:sz="8" w:space="0" w:color="auto"/>
            </w:tcBorders>
            <w:vAlign w:val="center"/>
            <w:hideMark/>
          </w:tcPr>
          <w:p w14:paraId="6DD92358" w14:textId="77777777" w:rsidR="009D6D4E" w:rsidRPr="00E34D81" w:rsidRDefault="009D6D4E" w:rsidP="00BF3B71">
            <w:pPr>
              <w:rPr>
                <w:color w:val="000000"/>
                <w:sz w:val="18"/>
                <w:szCs w:val="18"/>
              </w:rPr>
            </w:pPr>
          </w:p>
        </w:tc>
        <w:tc>
          <w:tcPr>
            <w:tcW w:w="943" w:type="dxa"/>
            <w:gridSpan w:val="2"/>
            <w:vMerge/>
            <w:tcBorders>
              <w:top w:val="nil"/>
              <w:left w:val="single" w:sz="8" w:space="0" w:color="auto"/>
              <w:bottom w:val="single" w:sz="8" w:space="0" w:color="000000"/>
              <w:right w:val="single" w:sz="8" w:space="0" w:color="auto"/>
            </w:tcBorders>
            <w:vAlign w:val="center"/>
            <w:hideMark/>
          </w:tcPr>
          <w:p w14:paraId="3E2DE2AD" w14:textId="77777777" w:rsidR="009D6D4E" w:rsidRPr="00E34D81" w:rsidRDefault="009D6D4E" w:rsidP="00BF3B71">
            <w:pPr>
              <w:rPr>
                <w:color w:val="000000"/>
                <w:sz w:val="18"/>
                <w:szCs w:val="18"/>
              </w:rPr>
            </w:pPr>
          </w:p>
        </w:tc>
        <w:tc>
          <w:tcPr>
            <w:tcW w:w="1143" w:type="dxa"/>
            <w:vMerge/>
            <w:tcBorders>
              <w:top w:val="nil"/>
              <w:left w:val="single" w:sz="8" w:space="0" w:color="auto"/>
              <w:bottom w:val="single" w:sz="8" w:space="0" w:color="000000"/>
              <w:right w:val="single" w:sz="8" w:space="0" w:color="auto"/>
            </w:tcBorders>
            <w:vAlign w:val="center"/>
            <w:hideMark/>
          </w:tcPr>
          <w:p w14:paraId="015DDC7F" w14:textId="77777777" w:rsidR="009D6D4E" w:rsidRPr="00E34D81" w:rsidRDefault="009D6D4E" w:rsidP="00BF3B71">
            <w:pPr>
              <w:rPr>
                <w:color w:val="000000"/>
                <w:sz w:val="18"/>
                <w:szCs w:val="18"/>
              </w:rPr>
            </w:pPr>
          </w:p>
        </w:tc>
        <w:tc>
          <w:tcPr>
            <w:tcW w:w="813" w:type="dxa"/>
            <w:gridSpan w:val="2"/>
            <w:vMerge/>
            <w:tcBorders>
              <w:top w:val="nil"/>
              <w:left w:val="single" w:sz="8" w:space="0" w:color="auto"/>
              <w:bottom w:val="single" w:sz="8" w:space="0" w:color="000000"/>
              <w:right w:val="single" w:sz="8" w:space="0" w:color="auto"/>
            </w:tcBorders>
            <w:vAlign w:val="center"/>
            <w:hideMark/>
          </w:tcPr>
          <w:p w14:paraId="08E098DB" w14:textId="77777777" w:rsidR="009D6D4E" w:rsidRPr="00E34D81" w:rsidRDefault="009D6D4E" w:rsidP="00BF3B71">
            <w:pPr>
              <w:rPr>
                <w:color w:val="000000"/>
                <w:sz w:val="18"/>
                <w:szCs w:val="18"/>
              </w:rPr>
            </w:pPr>
          </w:p>
        </w:tc>
        <w:tc>
          <w:tcPr>
            <w:tcW w:w="1280" w:type="dxa"/>
            <w:vMerge/>
            <w:tcBorders>
              <w:top w:val="nil"/>
              <w:left w:val="single" w:sz="8" w:space="0" w:color="auto"/>
              <w:bottom w:val="single" w:sz="8" w:space="0" w:color="000000"/>
              <w:right w:val="single" w:sz="8" w:space="0" w:color="auto"/>
            </w:tcBorders>
            <w:vAlign w:val="center"/>
            <w:hideMark/>
          </w:tcPr>
          <w:p w14:paraId="2B54BD30" w14:textId="77777777" w:rsidR="009D6D4E" w:rsidRPr="00E34D81" w:rsidRDefault="009D6D4E" w:rsidP="00BF3B71">
            <w:pPr>
              <w:rPr>
                <w:color w:val="000000"/>
                <w:sz w:val="18"/>
                <w:szCs w:val="18"/>
              </w:rPr>
            </w:pPr>
          </w:p>
        </w:tc>
        <w:tc>
          <w:tcPr>
            <w:tcW w:w="1863" w:type="dxa"/>
            <w:gridSpan w:val="2"/>
            <w:vMerge/>
            <w:tcBorders>
              <w:top w:val="nil"/>
              <w:left w:val="single" w:sz="8" w:space="0" w:color="auto"/>
              <w:bottom w:val="single" w:sz="8" w:space="0" w:color="000000"/>
              <w:right w:val="single" w:sz="8" w:space="0" w:color="auto"/>
            </w:tcBorders>
            <w:vAlign w:val="center"/>
            <w:hideMark/>
          </w:tcPr>
          <w:p w14:paraId="6CEA9F2F" w14:textId="77777777" w:rsidR="009D6D4E" w:rsidRPr="00CB6955" w:rsidRDefault="009D6D4E" w:rsidP="00BF3B71">
            <w:pPr>
              <w:jc w:val="right"/>
              <w:rPr>
                <w:b/>
                <w:color w:val="000000"/>
                <w:sz w:val="18"/>
                <w:szCs w:val="18"/>
              </w:rPr>
            </w:pPr>
          </w:p>
        </w:tc>
      </w:tr>
      <w:tr w:rsidR="009D6D4E" w:rsidRPr="00E34D81" w14:paraId="54B15497" w14:textId="77777777" w:rsidTr="00BF3B71">
        <w:trPr>
          <w:trHeight w:val="397"/>
        </w:trPr>
        <w:tc>
          <w:tcPr>
            <w:tcW w:w="653" w:type="dxa"/>
            <w:gridSpan w:val="2"/>
            <w:vMerge/>
            <w:tcBorders>
              <w:top w:val="nil"/>
              <w:left w:val="single" w:sz="8" w:space="0" w:color="auto"/>
              <w:bottom w:val="single" w:sz="8" w:space="0" w:color="000000"/>
              <w:right w:val="single" w:sz="8" w:space="0" w:color="auto"/>
            </w:tcBorders>
            <w:vAlign w:val="center"/>
            <w:hideMark/>
          </w:tcPr>
          <w:p w14:paraId="42C01383" w14:textId="77777777" w:rsidR="009D6D4E" w:rsidRPr="00E34D81" w:rsidRDefault="009D6D4E" w:rsidP="00BF3B71">
            <w:pPr>
              <w:rPr>
                <w:color w:val="000000"/>
                <w:sz w:val="18"/>
                <w:szCs w:val="18"/>
              </w:rPr>
            </w:pPr>
          </w:p>
        </w:tc>
        <w:tc>
          <w:tcPr>
            <w:tcW w:w="949" w:type="dxa"/>
            <w:gridSpan w:val="2"/>
            <w:vMerge/>
            <w:tcBorders>
              <w:top w:val="nil"/>
              <w:left w:val="single" w:sz="8" w:space="0" w:color="auto"/>
              <w:bottom w:val="single" w:sz="8" w:space="0" w:color="000000"/>
              <w:right w:val="single" w:sz="8" w:space="0" w:color="auto"/>
            </w:tcBorders>
            <w:vAlign w:val="center"/>
            <w:hideMark/>
          </w:tcPr>
          <w:p w14:paraId="5DB957CA" w14:textId="77777777" w:rsidR="009D6D4E" w:rsidRPr="00E34D81" w:rsidRDefault="009D6D4E" w:rsidP="00BF3B71">
            <w:pPr>
              <w:rPr>
                <w:color w:val="000000"/>
                <w:sz w:val="18"/>
                <w:szCs w:val="18"/>
              </w:rPr>
            </w:pPr>
          </w:p>
        </w:tc>
        <w:tc>
          <w:tcPr>
            <w:tcW w:w="846" w:type="dxa"/>
            <w:vMerge/>
            <w:tcBorders>
              <w:top w:val="nil"/>
              <w:left w:val="single" w:sz="8" w:space="0" w:color="auto"/>
              <w:bottom w:val="single" w:sz="8" w:space="0" w:color="000000"/>
              <w:right w:val="single" w:sz="8" w:space="0" w:color="auto"/>
            </w:tcBorders>
            <w:vAlign w:val="center"/>
            <w:hideMark/>
          </w:tcPr>
          <w:p w14:paraId="2A69BA00" w14:textId="77777777" w:rsidR="009D6D4E" w:rsidRPr="00E34D81" w:rsidRDefault="009D6D4E" w:rsidP="00BF3B71">
            <w:pPr>
              <w:rPr>
                <w:color w:val="000000"/>
                <w:sz w:val="18"/>
                <w:szCs w:val="18"/>
              </w:rPr>
            </w:pPr>
          </w:p>
        </w:tc>
        <w:tc>
          <w:tcPr>
            <w:tcW w:w="1675" w:type="dxa"/>
            <w:vMerge/>
            <w:tcBorders>
              <w:top w:val="nil"/>
              <w:left w:val="single" w:sz="8" w:space="0" w:color="auto"/>
              <w:bottom w:val="single" w:sz="8" w:space="0" w:color="000000"/>
              <w:right w:val="single" w:sz="8" w:space="0" w:color="auto"/>
            </w:tcBorders>
            <w:vAlign w:val="center"/>
            <w:hideMark/>
          </w:tcPr>
          <w:p w14:paraId="35114EC5" w14:textId="77777777" w:rsidR="009D6D4E" w:rsidRPr="00E34D81" w:rsidRDefault="009D6D4E" w:rsidP="00BF3B71">
            <w:pPr>
              <w:rPr>
                <w:color w:val="000000"/>
                <w:sz w:val="18"/>
                <w:szCs w:val="18"/>
              </w:rPr>
            </w:pPr>
          </w:p>
        </w:tc>
        <w:tc>
          <w:tcPr>
            <w:tcW w:w="943" w:type="dxa"/>
            <w:gridSpan w:val="2"/>
            <w:vMerge/>
            <w:tcBorders>
              <w:top w:val="nil"/>
              <w:left w:val="single" w:sz="8" w:space="0" w:color="auto"/>
              <w:bottom w:val="single" w:sz="8" w:space="0" w:color="000000"/>
              <w:right w:val="single" w:sz="8" w:space="0" w:color="auto"/>
            </w:tcBorders>
            <w:vAlign w:val="center"/>
            <w:hideMark/>
          </w:tcPr>
          <w:p w14:paraId="74079AF4" w14:textId="77777777" w:rsidR="009D6D4E" w:rsidRPr="00E34D81" w:rsidRDefault="009D6D4E" w:rsidP="00BF3B71">
            <w:pPr>
              <w:rPr>
                <w:color w:val="000000"/>
                <w:sz w:val="18"/>
                <w:szCs w:val="18"/>
              </w:rPr>
            </w:pPr>
          </w:p>
        </w:tc>
        <w:tc>
          <w:tcPr>
            <w:tcW w:w="1143" w:type="dxa"/>
            <w:vMerge/>
            <w:tcBorders>
              <w:top w:val="nil"/>
              <w:left w:val="single" w:sz="8" w:space="0" w:color="auto"/>
              <w:bottom w:val="single" w:sz="8" w:space="0" w:color="000000"/>
              <w:right w:val="single" w:sz="8" w:space="0" w:color="auto"/>
            </w:tcBorders>
            <w:vAlign w:val="center"/>
            <w:hideMark/>
          </w:tcPr>
          <w:p w14:paraId="62D0761A" w14:textId="77777777" w:rsidR="009D6D4E" w:rsidRPr="00E34D81" w:rsidRDefault="009D6D4E" w:rsidP="00BF3B71">
            <w:pPr>
              <w:rPr>
                <w:color w:val="000000"/>
                <w:sz w:val="18"/>
                <w:szCs w:val="18"/>
              </w:rPr>
            </w:pPr>
          </w:p>
        </w:tc>
        <w:tc>
          <w:tcPr>
            <w:tcW w:w="813" w:type="dxa"/>
            <w:gridSpan w:val="2"/>
            <w:vMerge/>
            <w:tcBorders>
              <w:top w:val="nil"/>
              <w:left w:val="single" w:sz="8" w:space="0" w:color="auto"/>
              <w:bottom w:val="single" w:sz="8" w:space="0" w:color="000000"/>
              <w:right w:val="single" w:sz="8" w:space="0" w:color="auto"/>
            </w:tcBorders>
            <w:vAlign w:val="center"/>
            <w:hideMark/>
          </w:tcPr>
          <w:p w14:paraId="724FC033" w14:textId="77777777" w:rsidR="009D6D4E" w:rsidRPr="00E34D81" w:rsidRDefault="009D6D4E" w:rsidP="00BF3B71">
            <w:pPr>
              <w:rPr>
                <w:color w:val="000000"/>
                <w:sz w:val="18"/>
                <w:szCs w:val="18"/>
              </w:rPr>
            </w:pPr>
          </w:p>
        </w:tc>
        <w:tc>
          <w:tcPr>
            <w:tcW w:w="1280" w:type="dxa"/>
            <w:vMerge/>
            <w:tcBorders>
              <w:top w:val="nil"/>
              <w:left w:val="single" w:sz="8" w:space="0" w:color="auto"/>
              <w:bottom w:val="single" w:sz="8" w:space="0" w:color="000000"/>
              <w:right w:val="single" w:sz="8" w:space="0" w:color="auto"/>
            </w:tcBorders>
            <w:vAlign w:val="center"/>
            <w:hideMark/>
          </w:tcPr>
          <w:p w14:paraId="788D4EEC" w14:textId="77777777" w:rsidR="009D6D4E" w:rsidRPr="00E34D81" w:rsidRDefault="009D6D4E" w:rsidP="00BF3B71">
            <w:pPr>
              <w:rPr>
                <w:color w:val="000000"/>
                <w:sz w:val="18"/>
                <w:szCs w:val="18"/>
              </w:rPr>
            </w:pPr>
          </w:p>
        </w:tc>
        <w:tc>
          <w:tcPr>
            <w:tcW w:w="1863" w:type="dxa"/>
            <w:gridSpan w:val="2"/>
            <w:vMerge/>
            <w:tcBorders>
              <w:top w:val="nil"/>
              <w:left w:val="single" w:sz="8" w:space="0" w:color="auto"/>
              <w:bottom w:val="single" w:sz="8" w:space="0" w:color="000000"/>
              <w:right w:val="single" w:sz="8" w:space="0" w:color="auto"/>
            </w:tcBorders>
            <w:vAlign w:val="center"/>
            <w:hideMark/>
          </w:tcPr>
          <w:p w14:paraId="6019B13D" w14:textId="77777777" w:rsidR="009D6D4E" w:rsidRPr="00CB6955" w:rsidRDefault="009D6D4E" w:rsidP="00BF3B71">
            <w:pPr>
              <w:jc w:val="right"/>
              <w:rPr>
                <w:b/>
                <w:color w:val="000000"/>
                <w:sz w:val="18"/>
                <w:szCs w:val="18"/>
              </w:rPr>
            </w:pPr>
          </w:p>
        </w:tc>
      </w:tr>
      <w:tr w:rsidR="009D6D4E" w:rsidRPr="00E34D81" w14:paraId="3BE81B4B" w14:textId="77777777" w:rsidTr="00BF3B71">
        <w:trPr>
          <w:trHeight w:val="441"/>
        </w:trPr>
        <w:tc>
          <w:tcPr>
            <w:tcW w:w="653" w:type="dxa"/>
            <w:gridSpan w:val="2"/>
            <w:tcBorders>
              <w:top w:val="nil"/>
              <w:left w:val="single" w:sz="8" w:space="0" w:color="auto"/>
              <w:bottom w:val="single" w:sz="8" w:space="0" w:color="auto"/>
              <w:right w:val="single" w:sz="8" w:space="0" w:color="auto"/>
            </w:tcBorders>
            <w:shd w:val="clear" w:color="auto" w:fill="auto"/>
            <w:vAlign w:val="center"/>
            <w:hideMark/>
          </w:tcPr>
          <w:p w14:paraId="3207001F" w14:textId="77777777" w:rsidR="009D6D4E" w:rsidRPr="00E34D81" w:rsidRDefault="009D6D4E" w:rsidP="00BF3B71">
            <w:pPr>
              <w:jc w:val="right"/>
              <w:rPr>
                <w:color w:val="000000"/>
                <w:sz w:val="18"/>
                <w:szCs w:val="18"/>
              </w:rPr>
            </w:pPr>
            <w:r w:rsidRPr="00E34D81">
              <w:rPr>
                <w:color w:val="000000"/>
                <w:sz w:val="18"/>
                <w:szCs w:val="18"/>
              </w:rPr>
              <w:t>2020</w:t>
            </w:r>
          </w:p>
        </w:tc>
        <w:tc>
          <w:tcPr>
            <w:tcW w:w="949" w:type="dxa"/>
            <w:gridSpan w:val="2"/>
            <w:tcBorders>
              <w:top w:val="nil"/>
              <w:left w:val="nil"/>
              <w:bottom w:val="single" w:sz="8" w:space="0" w:color="auto"/>
              <w:right w:val="single" w:sz="8" w:space="0" w:color="auto"/>
            </w:tcBorders>
            <w:shd w:val="clear" w:color="auto" w:fill="auto"/>
            <w:vAlign w:val="center"/>
            <w:hideMark/>
          </w:tcPr>
          <w:p w14:paraId="519C61E1" w14:textId="77777777" w:rsidR="009D6D4E" w:rsidRPr="00E34D81" w:rsidRDefault="009D6D4E" w:rsidP="00BF3B71">
            <w:pPr>
              <w:jc w:val="right"/>
              <w:rPr>
                <w:color w:val="000000"/>
                <w:sz w:val="18"/>
                <w:szCs w:val="18"/>
              </w:rPr>
            </w:pPr>
            <w:r w:rsidRPr="00E34D81">
              <w:rPr>
                <w:color w:val="000000"/>
                <w:sz w:val="18"/>
                <w:szCs w:val="18"/>
              </w:rPr>
              <w:t>4,520,000</w:t>
            </w:r>
          </w:p>
        </w:tc>
        <w:tc>
          <w:tcPr>
            <w:tcW w:w="846" w:type="dxa"/>
            <w:tcBorders>
              <w:top w:val="nil"/>
              <w:left w:val="nil"/>
              <w:bottom w:val="single" w:sz="8" w:space="0" w:color="auto"/>
              <w:right w:val="single" w:sz="8" w:space="0" w:color="auto"/>
            </w:tcBorders>
            <w:shd w:val="clear" w:color="auto" w:fill="auto"/>
            <w:vAlign w:val="center"/>
            <w:hideMark/>
          </w:tcPr>
          <w:p w14:paraId="7763CC8D" w14:textId="77777777" w:rsidR="009D6D4E" w:rsidRPr="00E34D81" w:rsidRDefault="009D6D4E" w:rsidP="00BF3B71">
            <w:pPr>
              <w:jc w:val="center"/>
              <w:rPr>
                <w:color w:val="000000"/>
                <w:sz w:val="18"/>
                <w:szCs w:val="18"/>
              </w:rPr>
            </w:pPr>
            <w:r w:rsidRPr="00E34D81">
              <w:rPr>
                <w:color w:val="000000"/>
                <w:sz w:val="18"/>
                <w:szCs w:val="18"/>
              </w:rPr>
              <w:t>0</w:t>
            </w:r>
          </w:p>
        </w:tc>
        <w:tc>
          <w:tcPr>
            <w:tcW w:w="1675" w:type="dxa"/>
            <w:tcBorders>
              <w:top w:val="nil"/>
              <w:left w:val="nil"/>
              <w:bottom w:val="single" w:sz="8" w:space="0" w:color="auto"/>
              <w:right w:val="single" w:sz="8" w:space="0" w:color="auto"/>
            </w:tcBorders>
            <w:shd w:val="clear" w:color="auto" w:fill="auto"/>
            <w:vAlign w:val="center"/>
            <w:hideMark/>
          </w:tcPr>
          <w:p w14:paraId="4AAB38EE" w14:textId="77777777" w:rsidR="009D6D4E" w:rsidRPr="00E34D81" w:rsidRDefault="009D6D4E" w:rsidP="00BF3B71">
            <w:pPr>
              <w:jc w:val="center"/>
              <w:rPr>
                <w:color w:val="000000"/>
                <w:sz w:val="18"/>
                <w:szCs w:val="18"/>
              </w:rPr>
            </w:pPr>
            <w:r w:rsidRPr="00E34D81">
              <w:rPr>
                <w:color w:val="000000"/>
                <w:sz w:val="18"/>
                <w:szCs w:val="18"/>
              </w:rPr>
              <w:t>0</w:t>
            </w:r>
          </w:p>
        </w:tc>
        <w:tc>
          <w:tcPr>
            <w:tcW w:w="943" w:type="dxa"/>
            <w:gridSpan w:val="2"/>
            <w:tcBorders>
              <w:top w:val="nil"/>
              <w:left w:val="nil"/>
              <w:bottom w:val="single" w:sz="8" w:space="0" w:color="auto"/>
              <w:right w:val="single" w:sz="8" w:space="0" w:color="auto"/>
            </w:tcBorders>
            <w:shd w:val="clear" w:color="auto" w:fill="auto"/>
            <w:vAlign w:val="center"/>
            <w:hideMark/>
          </w:tcPr>
          <w:p w14:paraId="25B3D81B" w14:textId="77777777" w:rsidR="009D6D4E" w:rsidRPr="00E34D81" w:rsidRDefault="009D6D4E" w:rsidP="00BF3B71">
            <w:pPr>
              <w:jc w:val="center"/>
              <w:rPr>
                <w:color w:val="000000"/>
                <w:sz w:val="18"/>
                <w:szCs w:val="18"/>
              </w:rPr>
            </w:pPr>
            <w:r w:rsidRPr="00E34D81">
              <w:rPr>
                <w:color w:val="000000"/>
                <w:sz w:val="18"/>
                <w:szCs w:val="18"/>
              </w:rPr>
              <w:t>0</w:t>
            </w:r>
          </w:p>
        </w:tc>
        <w:tc>
          <w:tcPr>
            <w:tcW w:w="1143" w:type="dxa"/>
            <w:tcBorders>
              <w:top w:val="nil"/>
              <w:left w:val="nil"/>
              <w:bottom w:val="single" w:sz="8" w:space="0" w:color="auto"/>
              <w:right w:val="single" w:sz="8" w:space="0" w:color="auto"/>
            </w:tcBorders>
            <w:shd w:val="clear" w:color="auto" w:fill="auto"/>
            <w:vAlign w:val="center"/>
            <w:hideMark/>
          </w:tcPr>
          <w:p w14:paraId="7F764EE2" w14:textId="77777777" w:rsidR="009D6D4E" w:rsidRPr="00E34D81" w:rsidRDefault="009D6D4E" w:rsidP="00BF3B71">
            <w:pPr>
              <w:jc w:val="right"/>
              <w:rPr>
                <w:color w:val="000000"/>
                <w:sz w:val="18"/>
                <w:szCs w:val="18"/>
              </w:rPr>
            </w:pPr>
            <w:r w:rsidRPr="00E34D81">
              <w:rPr>
                <w:color w:val="000000"/>
                <w:sz w:val="18"/>
                <w:szCs w:val="18"/>
              </w:rPr>
              <w:t>576,344</w:t>
            </w:r>
          </w:p>
        </w:tc>
        <w:tc>
          <w:tcPr>
            <w:tcW w:w="813" w:type="dxa"/>
            <w:gridSpan w:val="2"/>
            <w:tcBorders>
              <w:top w:val="nil"/>
              <w:left w:val="nil"/>
              <w:bottom w:val="single" w:sz="8" w:space="0" w:color="auto"/>
              <w:right w:val="single" w:sz="8" w:space="0" w:color="auto"/>
            </w:tcBorders>
            <w:shd w:val="clear" w:color="auto" w:fill="auto"/>
            <w:vAlign w:val="center"/>
            <w:hideMark/>
          </w:tcPr>
          <w:p w14:paraId="78BD3473" w14:textId="77777777" w:rsidR="009D6D4E" w:rsidRPr="00E34D81" w:rsidRDefault="009D6D4E" w:rsidP="00BF3B71">
            <w:pPr>
              <w:jc w:val="center"/>
              <w:rPr>
                <w:color w:val="000000"/>
                <w:sz w:val="18"/>
                <w:szCs w:val="18"/>
              </w:rPr>
            </w:pPr>
            <w:r w:rsidRPr="00E34D81">
              <w:rPr>
                <w:color w:val="000000"/>
                <w:sz w:val="18"/>
                <w:szCs w:val="18"/>
              </w:rPr>
              <w:t>0</w:t>
            </w:r>
          </w:p>
        </w:tc>
        <w:tc>
          <w:tcPr>
            <w:tcW w:w="1280" w:type="dxa"/>
            <w:tcBorders>
              <w:top w:val="nil"/>
              <w:left w:val="nil"/>
              <w:bottom w:val="single" w:sz="8" w:space="0" w:color="auto"/>
              <w:right w:val="single" w:sz="8" w:space="0" w:color="auto"/>
            </w:tcBorders>
            <w:shd w:val="clear" w:color="auto" w:fill="auto"/>
            <w:vAlign w:val="center"/>
            <w:hideMark/>
          </w:tcPr>
          <w:p w14:paraId="0D9225D4" w14:textId="77777777" w:rsidR="009D6D4E" w:rsidRPr="00E34D81" w:rsidRDefault="009D6D4E" w:rsidP="00BF3B71">
            <w:pPr>
              <w:jc w:val="center"/>
              <w:rPr>
                <w:color w:val="000000"/>
                <w:sz w:val="18"/>
                <w:szCs w:val="18"/>
              </w:rPr>
            </w:pPr>
            <w:r w:rsidRPr="00E34D81">
              <w:rPr>
                <w:color w:val="000000"/>
                <w:sz w:val="18"/>
                <w:szCs w:val="18"/>
              </w:rPr>
              <w:t>0</w:t>
            </w:r>
          </w:p>
        </w:tc>
        <w:tc>
          <w:tcPr>
            <w:tcW w:w="1863" w:type="dxa"/>
            <w:gridSpan w:val="2"/>
            <w:tcBorders>
              <w:top w:val="nil"/>
              <w:left w:val="nil"/>
              <w:bottom w:val="single" w:sz="8" w:space="0" w:color="auto"/>
              <w:right w:val="single" w:sz="8" w:space="0" w:color="auto"/>
            </w:tcBorders>
            <w:shd w:val="clear" w:color="auto" w:fill="auto"/>
            <w:vAlign w:val="center"/>
            <w:hideMark/>
          </w:tcPr>
          <w:p w14:paraId="3AC1E7D8" w14:textId="77777777" w:rsidR="009D6D4E" w:rsidRPr="00CB6955" w:rsidRDefault="009D6D4E" w:rsidP="00BF3B71">
            <w:pPr>
              <w:jc w:val="right"/>
              <w:rPr>
                <w:b/>
                <w:bCs/>
                <w:color w:val="000000"/>
                <w:sz w:val="18"/>
                <w:szCs w:val="18"/>
              </w:rPr>
            </w:pPr>
            <w:r w:rsidRPr="00CB6955">
              <w:rPr>
                <w:b/>
                <w:bCs/>
                <w:color w:val="000000"/>
                <w:sz w:val="18"/>
                <w:szCs w:val="18"/>
              </w:rPr>
              <w:t>5,096,344.00</w:t>
            </w:r>
          </w:p>
        </w:tc>
      </w:tr>
      <w:tr w:rsidR="009D6D4E" w:rsidRPr="00E34D81" w14:paraId="4415F979" w14:textId="77777777" w:rsidTr="00BF3B71">
        <w:trPr>
          <w:trHeight w:val="441"/>
        </w:trPr>
        <w:tc>
          <w:tcPr>
            <w:tcW w:w="653" w:type="dxa"/>
            <w:gridSpan w:val="2"/>
            <w:tcBorders>
              <w:top w:val="nil"/>
              <w:left w:val="single" w:sz="8" w:space="0" w:color="auto"/>
              <w:bottom w:val="single" w:sz="8" w:space="0" w:color="auto"/>
              <w:right w:val="single" w:sz="8" w:space="0" w:color="auto"/>
            </w:tcBorders>
            <w:shd w:val="clear" w:color="auto" w:fill="auto"/>
            <w:vAlign w:val="center"/>
            <w:hideMark/>
          </w:tcPr>
          <w:p w14:paraId="526BCD35" w14:textId="77777777" w:rsidR="009D6D4E" w:rsidRPr="00E34D81" w:rsidRDefault="009D6D4E" w:rsidP="00BF3B71">
            <w:pPr>
              <w:jc w:val="right"/>
              <w:rPr>
                <w:color w:val="000000"/>
                <w:sz w:val="18"/>
                <w:szCs w:val="18"/>
              </w:rPr>
            </w:pPr>
            <w:r w:rsidRPr="00E34D81">
              <w:rPr>
                <w:color w:val="000000"/>
                <w:sz w:val="18"/>
                <w:szCs w:val="18"/>
              </w:rPr>
              <w:t>2021</w:t>
            </w:r>
          </w:p>
        </w:tc>
        <w:tc>
          <w:tcPr>
            <w:tcW w:w="949" w:type="dxa"/>
            <w:gridSpan w:val="2"/>
            <w:tcBorders>
              <w:top w:val="nil"/>
              <w:left w:val="nil"/>
              <w:bottom w:val="single" w:sz="8" w:space="0" w:color="auto"/>
              <w:right w:val="single" w:sz="8" w:space="0" w:color="auto"/>
            </w:tcBorders>
            <w:shd w:val="clear" w:color="auto" w:fill="auto"/>
            <w:vAlign w:val="center"/>
            <w:hideMark/>
          </w:tcPr>
          <w:p w14:paraId="0CAC569B" w14:textId="77777777" w:rsidR="009D6D4E" w:rsidRPr="00E34D81" w:rsidRDefault="009D6D4E" w:rsidP="00BF3B71">
            <w:pPr>
              <w:jc w:val="right"/>
              <w:rPr>
                <w:color w:val="000000"/>
                <w:sz w:val="18"/>
                <w:szCs w:val="18"/>
              </w:rPr>
            </w:pPr>
            <w:r w:rsidRPr="00E34D81">
              <w:rPr>
                <w:color w:val="000000"/>
                <w:sz w:val="18"/>
                <w:szCs w:val="18"/>
              </w:rPr>
              <w:t>4,500,000</w:t>
            </w:r>
          </w:p>
        </w:tc>
        <w:tc>
          <w:tcPr>
            <w:tcW w:w="846" w:type="dxa"/>
            <w:tcBorders>
              <w:top w:val="nil"/>
              <w:left w:val="nil"/>
              <w:bottom w:val="single" w:sz="8" w:space="0" w:color="auto"/>
              <w:right w:val="single" w:sz="8" w:space="0" w:color="auto"/>
            </w:tcBorders>
            <w:shd w:val="clear" w:color="auto" w:fill="auto"/>
            <w:vAlign w:val="center"/>
            <w:hideMark/>
          </w:tcPr>
          <w:p w14:paraId="4A831E72" w14:textId="77777777" w:rsidR="009D6D4E" w:rsidRPr="00E34D81" w:rsidRDefault="009D6D4E" w:rsidP="00BF3B71">
            <w:pPr>
              <w:jc w:val="center"/>
              <w:rPr>
                <w:color w:val="000000"/>
                <w:sz w:val="18"/>
                <w:szCs w:val="18"/>
              </w:rPr>
            </w:pPr>
            <w:r w:rsidRPr="00E34D81">
              <w:rPr>
                <w:color w:val="000000"/>
                <w:sz w:val="18"/>
                <w:szCs w:val="18"/>
              </w:rPr>
              <w:t>0</w:t>
            </w:r>
          </w:p>
        </w:tc>
        <w:tc>
          <w:tcPr>
            <w:tcW w:w="1675" w:type="dxa"/>
            <w:tcBorders>
              <w:top w:val="nil"/>
              <w:left w:val="nil"/>
              <w:bottom w:val="single" w:sz="8" w:space="0" w:color="auto"/>
              <w:right w:val="single" w:sz="8" w:space="0" w:color="auto"/>
            </w:tcBorders>
            <w:shd w:val="clear" w:color="auto" w:fill="auto"/>
            <w:vAlign w:val="center"/>
            <w:hideMark/>
          </w:tcPr>
          <w:p w14:paraId="2333E6B7" w14:textId="77777777" w:rsidR="009D6D4E" w:rsidRPr="00E34D81" w:rsidRDefault="009D6D4E" w:rsidP="00BF3B71">
            <w:pPr>
              <w:jc w:val="center"/>
              <w:rPr>
                <w:color w:val="000000"/>
                <w:sz w:val="18"/>
                <w:szCs w:val="18"/>
              </w:rPr>
            </w:pPr>
            <w:r w:rsidRPr="00E34D81">
              <w:rPr>
                <w:color w:val="000000"/>
                <w:sz w:val="18"/>
                <w:szCs w:val="18"/>
              </w:rPr>
              <w:t>0</w:t>
            </w:r>
          </w:p>
        </w:tc>
        <w:tc>
          <w:tcPr>
            <w:tcW w:w="943" w:type="dxa"/>
            <w:gridSpan w:val="2"/>
            <w:tcBorders>
              <w:top w:val="nil"/>
              <w:left w:val="nil"/>
              <w:bottom w:val="single" w:sz="8" w:space="0" w:color="auto"/>
              <w:right w:val="single" w:sz="8" w:space="0" w:color="auto"/>
            </w:tcBorders>
            <w:shd w:val="clear" w:color="auto" w:fill="auto"/>
            <w:vAlign w:val="center"/>
            <w:hideMark/>
          </w:tcPr>
          <w:p w14:paraId="1926B228" w14:textId="77777777" w:rsidR="009D6D4E" w:rsidRPr="00E34D81" w:rsidRDefault="009D6D4E" w:rsidP="00BF3B71">
            <w:pPr>
              <w:jc w:val="center"/>
              <w:rPr>
                <w:color w:val="000000"/>
                <w:sz w:val="18"/>
                <w:szCs w:val="18"/>
              </w:rPr>
            </w:pPr>
            <w:r w:rsidRPr="00E34D81">
              <w:rPr>
                <w:color w:val="000000"/>
                <w:sz w:val="18"/>
                <w:szCs w:val="18"/>
              </w:rPr>
              <w:t>0</w:t>
            </w:r>
          </w:p>
        </w:tc>
        <w:tc>
          <w:tcPr>
            <w:tcW w:w="1143" w:type="dxa"/>
            <w:tcBorders>
              <w:top w:val="nil"/>
              <w:left w:val="nil"/>
              <w:bottom w:val="single" w:sz="8" w:space="0" w:color="auto"/>
              <w:right w:val="single" w:sz="8" w:space="0" w:color="auto"/>
            </w:tcBorders>
            <w:shd w:val="clear" w:color="auto" w:fill="auto"/>
            <w:vAlign w:val="center"/>
            <w:hideMark/>
          </w:tcPr>
          <w:p w14:paraId="7C8D5A6E" w14:textId="77777777" w:rsidR="009D6D4E" w:rsidRPr="00E34D81" w:rsidRDefault="009D6D4E" w:rsidP="00BF3B71">
            <w:pPr>
              <w:jc w:val="right"/>
              <w:rPr>
                <w:color w:val="000000"/>
                <w:sz w:val="18"/>
                <w:szCs w:val="18"/>
              </w:rPr>
            </w:pPr>
            <w:r w:rsidRPr="00E34D81">
              <w:rPr>
                <w:color w:val="000000"/>
                <w:sz w:val="18"/>
                <w:szCs w:val="18"/>
              </w:rPr>
              <w:t>861,348</w:t>
            </w:r>
          </w:p>
        </w:tc>
        <w:tc>
          <w:tcPr>
            <w:tcW w:w="813" w:type="dxa"/>
            <w:gridSpan w:val="2"/>
            <w:tcBorders>
              <w:top w:val="nil"/>
              <w:left w:val="nil"/>
              <w:bottom w:val="single" w:sz="8" w:space="0" w:color="auto"/>
              <w:right w:val="single" w:sz="8" w:space="0" w:color="auto"/>
            </w:tcBorders>
            <w:shd w:val="clear" w:color="auto" w:fill="auto"/>
            <w:vAlign w:val="center"/>
            <w:hideMark/>
          </w:tcPr>
          <w:p w14:paraId="55D32D1D" w14:textId="77777777" w:rsidR="009D6D4E" w:rsidRPr="00E34D81" w:rsidRDefault="009D6D4E" w:rsidP="00BF3B71">
            <w:pPr>
              <w:jc w:val="center"/>
              <w:rPr>
                <w:color w:val="000000"/>
                <w:sz w:val="18"/>
                <w:szCs w:val="18"/>
              </w:rPr>
            </w:pPr>
            <w:r w:rsidRPr="00E34D81">
              <w:rPr>
                <w:color w:val="000000"/>
                <w:sz w:val="18"/>
                <w:szCs w:val="18"/>
              </w:rPr>
              <w:t>0</w:t>
            </w:r>
          </w:p>
        </w:tc>
        <w:tc>
          <w:tcPr>
            <w:tcW w:w="1280" w:type="dxa"/>
            <w:tcBorders>
              <w:top w:val="nil"/>
              <w:left w:val="nil"/>
              <w:bottom w:val="single" w:sz="8" w:space="0" w:color="auto"/>
              <w:right w:val="single" w:sz="8" w:space="0" w:color="auto"/>
            </w:tcBorders>
            <w:shd w:val="clear" w:color="auto" w:fill="auto"/>
            <w:vAlign w:val="center"/>
            <w:hideMark/>
          </w:tcPr>
          <w:p w14:paraId="217694D1" w14:textId="77777777" w:rsidR="009D6D4E" w:rsidRPr="00E34D81" w:rsidRDefault="009D6D4E" w:rsidP="00BF3B71">
            <w:pPr>
              <w:jc w:val="center"/>
              <w:rPr>
                <w:color w:val="000000"/>
                <w:sz w:val="18"/>
                <w:szCs w:val="18"/>
              </w:rPr>
            </w:pPr>
            <w:r w:rsidRPr="00E34D81">
              <w:rPr>
                <w:color w:val="000000"/>
                <w:sz w:val="18"/>
                <w:szCs w:val="18"/>
              </w:rPr>
              <w:t>0</w:t>
            </w:r>
          </w:p>
        </w:tc>
        <w:tc>
          <w:tcPr>
            <w:tcW w:w="1863" w:type="dxa"/>
            <w:gridSpan w:val="2"/>
            <w:tcBorders>
              <w:top w:val="nil"/>
              <w:left w:val="nil"/>
              <w:bottom w:val="single" w:sz="8" w:space="0" w:color="auto"/>
              <w:right w:val="single" w:sz="8" w:space="0" w:color="auto"/>
            </w:tcBorders>
            <w:shd w:val="clear" w:color="auto" w:fill="auto"/>
            <w:vAlign w:val="center"/>
            <w:hideMark/>
          </w:tcPr>
          <w:p w14:paraId="5D37E340" w14:textId="77777777" w:rsidR="009D6D4E" w:rsidRPr="00CB6955" w:rsidRDefault="009D6D4E" w:rsidP="00BF3B71">
            <w:pPr>
              <w:jc w:val="right"/>
              <w:rPr>
                <w:b/>
                <w:bCs/>
                <w:color w:val="000000"/>
                <w:sz w:val="18"/>
                <w:szCs w:val="18"/>
              </w:rPr>
            </w:pPr>
            <w:r w:rsidRPr="00CB6955">
              <w:rPr>
                <w:b/>
                <w:bCs/>
                <w:color w:val="000000"/>
                <w:sz w:val="18"/>
                <w:szCs w:val="18"/>
              </w:rPr>
              <w:t>5,361,348.00</w:t>
            </w:r>
          </w:p>
        </w:tc>
      </w:tr>
      <w:tr w:rsidR="009D6D4E" w:rsidRPr="00E34D81" w14:paraId="5A20DA90" w14:textId="77777777" w:rsidTr="00BF3B71">
        <w:trPr>
          <w:trHeight w:val="441"/>
        </w:trPr>
        <w:tc>
          <w:tcPr>
            <w:tcW w:w="653" w:type="dxa"/>
            <w:gridSpan w:val="2"/>
            <w:tcBorders>
              <w:top w:val="nil"/>
              <w:left w:val="single" w:sz="8" w:space="0" w:color="auto"/>
              <w:bottom w:val="single" w:sz="8" w:space="0" w:color="auto"/>
              <w:right w:val="single" w:sz="8" w:space="0" w:color="auto"/>
            </w:tcBorders>
            <w:shd w:val="clear" w:color="auto" w:fill="auto"/>
            <w:vAlign w:val="center"/>
            <w:hideMark/>
          </w:tcPr>
          <w:p w14:paraId="1A106E07" w14:textId="77777777" w:rsidR="009D6D4E" w:rsidRPr="00E34D81" w:rsidRDefault="009D6D4E" w:rsidP="00BF3B71">
            <w:pPr>
              <w:jc w:val="right"/>
              <w:rPr>
                <w:color w:val="000000"/>
                <w:sz w:val="18"/>
                <w:szCs w:val="18"/>
              </w:rPr>
            </w:pPr>
            <w:r w:rsidRPr="00E34D81">
              <w:rPr>
                <w:color w:val="000000"/>
                <w:sz w:val="18"/>
                <w:szCs w:val="18"/>
              </w:rPr>
              <w:t>2022</w:t>
            </w:r>
          </w:p>
        </w:tc>
        <w:tc>
          <w:tcPr>
            <w:tcW w:w="949" w:type="dxa"/>
            <w:gridSpan w:val="2"/>
            <w:tcBorders>
              <w:top w:val="nil"/>
              <w:left w:val="nil"/>
              <w:bottom w:val="single" w:sz="8" w:space="0" w:color="auto"/>
              <w:right w:val="single" w:sz="8" w:space="0" w:color="auto"/>
            </w:tcBorders>
            <w:shd w:val="clear" w:color="auto" w:fill="auto"/>
            <w:vAlign w:val="center"/>
            <w:hideMark/>
          </w:tcPr>
          <w:p w14:paraId="0359B892" w14:textId="77777777" w:rsidR="009D6D4E" w:rsidRPr="00E34D81" w:rsidRDefault="009D6D4E" w:rsidP="00BF3B71">
            <w:pPr>
              <w:jc w:val="right"/>
              <w:rPr>
                <w:color w:val="000000"/>
                <w:sz w:val="18"/>
                <w:szCs w:val="18"/>
              </w:rPr>
            </w:pPr>
            <w:r w:rsidRPr="00E34D81">
              <w:rPr>
                <w:color w:val="000000"/>
                <w:sz w:val="18"/>
                <w:szCs w:val="18"/>
              </w:rPr>
              <w:t>5,504,000</w:t>
            </w:r>
          </w:p>
        </w:tc>
        <w:tc>
          <w:tcPr>
            <w:tcW w:w="846" w:type="dxa"/>
            <w:tcBorders>
              <w:top w:val="nil"/>
              <w:left w:val="nil"/>
              <w:bottom w:val="single" w:sz="8" w:space="0" w:color="auto"/>
              <w:right w:val="single" w:sz="8" w:space="0" w:color="auto"/>
            </w:tcBorders>
            <w:shd w:val="clear" w:color="auto" w:fill="auto"/>
            <w:vAlign w:val="center"/>
            <w:hideMark/>
          </w:tcPr>
          <w:p w14:paraId="240A6B18" w14:textId="77777777" w:rsidR="009D6D4E" w:rsidRPr="00E34D81" w:rsidRDefault="009D6D4E" w:rsidP="00BF3B71">
            <w:pPr>
              <w:jc w:val="center"/>
              <w:rPr>
                <w:color w:val="000000"/>
                <w:sz w:val="18"/>
                <w:szCs w:val="18"/>
              </w:rPr>
            </w:pPr>
            <w:r w:rsidRPr="00E34D81">
              <w:rPr>
                <w:color w:val="000000"/>
                <w:sz w:val="18"/>
                <w:szCs w:val="18"/>
              </w:rPr>
              <w:t>0</w:t>
            </w:r>
          </w:p>
        </w:tc>
        <w:tc>
          <w:tcPr>
            <w:tcW w:w="1675" w:type="dxa"/>
            <w:tcBorders>
              <w:top w:val="nil"/>
              <w:left w:val="nil"/>
              <w:bottom w:val="single" w:sz="8" w:space="0" w:color="auto"/>
              <w:right w:val="single" w:sz="8" w:space="0" w:color="auto"/>
            </w:tcBorders>
            <w:shd w:val="clear" w:color="auto" w:fill="auto"/>
            <w:vAlign w:val="center"/>
            <w:hideMark/>
          </w:tcPr>
          <w:p w14:paraId="3EBB3815" w14:textId="77777777" w:rsidR="009D6D4E" w:rsidRPr="00E34D81" w:rsidRDefault="009D6D4E" w:rsidP="00BF3B71">
            <w:pPr>
              <w:jc w:val="center"/>
              <w:rPr>
                <w:color w:val="000000"/>
                <w:sz w:val="18"/>
                <w:szCs w:val="18"/>
              </w:rPr>
            </w:pPr>
            <w:r w:rsidRPr="00E34D81">
              <w:rPr>
                <w:color w:val="000000"/>
                <w:sz w:val="18"/>
                <w:szCs w:val="18"/>
              </w:rPr>
              <w:t>0</w:t>
            </w:r>
          </w:p>
        </w:tc>
        <w:tc>
          <w:tcPr>
            <w:tcW w:w="943" w:type="dxa"/>
            <w:gridSpan w:val="2"/>
            <w:tcBorders>
              <w:top w:val="nil"/>
              <w:left w:val="nil"/>
              <w:bottom w:val="single" w:sz="8" w:space="0" w:color="auto"/>
              <w:right w:val="single" w:sz="8" w:space="0" w:color="auto"/>
            </w:tcBorders>
            <w:shd w:val="clear" w:color="auto" w:fill="auto"/>
            <w:vAlign w:val="center"/>
            <w:hideMark/>
          </w:tcPr>
          <w:p w14:paraId="2F635898" w14:textId="77777777" w:rsidR="009D6D4E" w:rsidRPr="00E34D81" w:rsidRDefault="009D6D4E" w:rsidP="00BF3B71">
            <w:pPr>
              <w:jc w:val="center"/>
              <w:rPr>
                <w:color w:val="000000"/>
                <w:sz w:val="18"/>
                <w:szCs w:val="18"/>
              </w:rPr>
            </w:pPr>
            <w:r w:rsidRPr="00E34D81">
              <w:rPr>
                <w:color w:val="000000"/>
                <w:sz w:val="18"/>
                <w:szCs w:val="18"/>
              </w:rPr>
              <w:t>0</w:t>
            </w:r>
          </w:p>
        </w:tc>
        <w:tc>
          <w:tcPr>
            <w:tcW w:w="1143" w:type="dxa"/>
            <w:tcBorders>
              <w:top w:val="nil"/>
              <w:left w:val="nil"/>
              <w:bottom w:val="single" w:sz="8" w:space="0" w:color="auto"/>
              <w:right w:val="single" w:sz="8" w:space="0" w:color="auto"/>
            </w:tcBorders>
            <w:shd w:val="clear" w:color="auto" w:fill="auto"/>
            <w:vAlign w:val="center"/>
            <w:hideMark/>
          </w:tcPr>
          <w:p w14:paraId="114A8654" w14:textId="77777777" w:rsidR="009D6D4E" w:rsidRPr="00E34D81" w:rsidRDefault="009D6D4E" w:rsidP="00BF3B71">
            <w:pPr>
              <w:jc w:val="right"/>
              <w:rPr>
                <w:color w:val="000000"/>
                <w:sz w:val="18"/>
                <w:szCs w:val="18"/>
              </w:rPr>
            </w:pPr>
            <w:r w:rsidRPr="00E34D81">
              <w:rPr>
                <w:color w:val="000000"/>
                <w:sz w:val="18"/>
                <w:szCs w:val="18"/>
              </w:rPr>
              <w:t>530,674</w:t>
            </w:r>
          </w:p>
        </w:tc>
        <w:tc>
          <w:tcPr>
            <w:tcW w:w="813" w:type="dxa"/>
            <w:gridSpan w:val="2"/>
            <w:tcBorders>
              <w:top w:val="nil"/>
              <w:left w:val="nil"/>
              <w:bottom w:val="single" w:sz="8" w:space="0" w:color="auto"/>
              <w:right w:val="single" w:sz="8" w:space="0" w:color="auto"/>
            </w:tcBorders>
            <w:shd w:val="clear" w:color="auto" w:fill="auto"/>
            <w:vAlign w:val="center"/>
            <w:hideMark/>
          </w:tcPr>
          <w:p w14:paraId="73100673" w14:textId="77777777" w:rsidR="009D6D4E" w:rsidRPr="00E34D81" w:rsidRDefault="009D6D4E" w:rsidP="00BF3B71">
            <w:pPr>
              <w:jc w:val="center"/>
              <w:rPr>
                <w:color w:val="000000"/>
                <w:sz w:val="18"/>
                <w:szCs w:val="18"/>
              </w:rPr>
            </w:pPr>
            <w:r w:rsidRPr="00E34D81">
              <w:rPr>
                <w:color w:val="000000"/>
                <w:sz w:val="18"/>
                <w:szCs w:val="18"/>
              </w:rPr>
              <w:t>0</w:t>
            </w:r>
          </w:p>
        </w:tc>
        <w:tc>
          <w:tcPr>
            <w:tcW w:w="1280" w:type="dxa"/>
            <w:tcBorders>
              <w:top w:val="nil"/>
              <w:left w:val="nil"/>
              <w:bottom w:val="single" w:sz="8" w:space="0" w:color="auto"/>
              <w:right w:val="single" w:sz="8" w:space="0" w:color="auto"/>
            </w:tcBorders>
            <w:shd w:val="clear" w:color="auto" w:fill="auto"/>
            <w:vAlign w:val="center"/>
            <w:hideMark/>
          </w:tcPr>
          <w:p w14:paraId="48D463FC" w14:textId="77777777" w:rsidR="009D6D4E" w:rsidRPr="00E34D81" w:rsidRDefault="009D6D4E" w:rsidP="00BF3B71">
            <w:pPr>
              <w:jc w:val="center"/>
              <w:rPr>
                <w:color w:val="000000"/>
                <w:sz w:val="18"/>
                <w:szCs w:val="18"/>
              </w:rPr>
            </w:pPr>
            <w:r w:rsidRPr="00E34D81">
              <w:rPr>
                <w:color w:val="000000"/>
                <w:sz w:val="18"/>
                <w:szCs w:val="18"/>
              </w:rPr>
              <w:t>0</w:t>
            </w:r>
          </w:p>
        </w:tc>
        <w:tc>
          <w:tcPr>
            <w:tcW w:w="1863" w:type="dxa"/>
            <w:gridSpan w:val="2"/>
            <w:tcBorders>
              <w:top w:val="nil"/>
              <w:left w:val="nil"/>
              <w:bottom w:val="single" w:sz="8" w:space="0" w:color="auto"/>
              <w:right w:val="single" w:sz="8" w:space="0" w:color="auto"/>
            </w:tcBorders>
            <w:shd w:val="clear" w:color="auto" w:fill="auto"/>
            <w:vAlign w:val="center"/>
            <w:hideMark/>
          </w:tcPr>
          <w:p w14:paraId="170C9E47" w14:textId="77777777" w:rsidR="009D6D4E" w:rsidRPr="00CB6955" w:rsidRDefault="009D6D4E" w:rsidP="00BF3B71">
            <w:pPr>
              <w:jc w:val="right"/>
              <w:rPr>
                <w:b/>
                <w:bCs/>
                <w:color w:val="000000"/>
                <w:sz w:val="18"/>
                <w:szCs w:val="18"/>
              </w:rPr>
            </w:pPr>
            <w:r w:rsidRPr="00CB6955">
              <w:rPr>
                <w:b/>
                <w:bCs/>
                <w:color w:val="000000"/>
                <w:sz w:val="18"/>
                <w:szCs w:val="18"/>
              </w:rPr>
              <w:t>6,034,674.00</w:t>
            </w:r>
          </w:p>
        </w:tc>
      </w:tr>
    </w:tbl>
    <w:p w14:paraId="396DBF2C" w14:textId="77777777" w:rsidR="009D6D4E" w:rsidRDefault="009D6D4E" w:rsidP="009D6D4E"/>
    <w:tbl>
      <w:tblPr>
        <w:tblW w:w="10165" w:type="dxa"/>
        <w:tblLook w:val="04A0" w:firstRow="1" w:lastRow="0" w:firstColumn="1" w:lastColumn="0" w:noHBand="0" w:noVBand="1"/>
      </w:tblPr>
      <w:tblGrid>
        <w:gridCol w:w="660"/>
        <w:gridCol w:w="1251"/>
        <w:gridCol w:w="158"/>
        <w:gridCol w:w="696"/>
        <w:gridCol w:w="1684"/>
        <w:gridCol w:w="316"/>
        <w:gridCol w:w="668"/>
        <w:gridCol w:w="1320"/>
        <w:gridCol w:w="84"/>
        <w:gridCol w:w="749"/>
        <w:gridCol w:w="1239"/>
        <w:gridCol w:w="1340"/>
      </w:tblGrid>
      <w:tr w:rsidR="009D6D4E" w:rsidRPr="00E34D81" w14:paraId="721C553A" w14:textId="77777777" w:rsidTr="00BF3B71">
        <w:trPr>
          <w:trHeight w:val="280"/>
        </w:trPr>
        <w:tc>
          <w:tcPr>
            <w:tcW w:w="10165"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424BD44D" w14:textId="77777777" w:rsidR="009D6D4E" w:rsidRPr="00E34D81" w:rsidRDefault="009D6D4E" w:rsidP="00BF3B71">
            <w:pPr>
              <w:rPr>
                <w:b/>
                <w:bCs/>
                <w:color w:val="000000"/>
                <w:sz w:val="18"/>
                <w:szCs w:val="18"/>
              </w:rPr>
            </w:pPr>
            <w:r w:rsidRPr="00E34D81">
              <w:rPr>
                <w:b/>
                <w:bCs/>
                <w:color w:val="000000"/>
                <w:sz w:val="18"/>
                <w:szCs w:val="18"/>
              </w:rPr>
              <w:t xml:space="preserve">Tabela 10 a.: Kostimi i masës së reformës strukturore:  Masa#20  Permiresimi i Sherbimeve Sociale </w:t>
            </w:r>
          </w:p>
        </w:tc>
      </w:tr>
      <w:tr w:rsidR="009D6D4E" w:rsidRPr="00E34D81" w14:paraId="0BEAE25B" w14:textId="77777777" w:rsidTr="00BF3B71">
        <w:trPr>
          <w:trHeight w:val="428"/>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43FE884F" w14:textId="77777777" w:rsidR="009D6D4E" w:rsidRPr="00E34D81" w:rsidRDefault="009D6D4E" w:rsidP="00BF3B71">
            <w:pPr>
              <w:rPr>
                <w:color w:val="000000"/>
                <w:sz w:val="18"/>
                <w:szCs w:val="18"/>
              </w:rPr>
            </w:pPr>
            <w:r w:rsidRPr="00E34D81">
              <w:rPr>
                <w:color w:val="000000"/>
                <w:sz w:val="18"/>
                <w:szCs w:val="18"/>
              </w:rPr>
              <w:t xml:space="preserve">Viti </w:t>
            </w:r>
          </w:p>
        </w:tc>
        <w:tc>
          <w:tcPr>
            <w:tcW w:w="1404" w:type="dxa"/>
            <w:gridSpan w:val="2"/>
            <w:tcBorders>
              <w:top w:val="nil"/>
              <w:left w:val="nil"/>
              <w:bottom w:val="single" w:sz="4" w:space="0" w:color="auto"/>
              <w:right w:val="single" w:sz="4" w:space="0" w:color="auto"/>
            </w:tcBorders>
            <w:shd w:val="clear" w:color="auto" w:fill="auto"/>
            <w:vAlign w:val="center"/>
            <w:hideMark/>
          </w:tcPr>
          <w:p w14:paraId="16C00A74" w14:textId="77777777" w:rsidR="009D6D4E" w:rsidRPr="00E34D81" w:rsidRDefault="009D6D4E" w:rsidP="00BF3B71">
            <w:pPr>
              <w:jc w:val="both"/>
              <w:rPr>
                <w:color w:val="000000"/>
                <w:sz w:val="18"/>
                <w:szCs w:val="18"/>
              </w:rPr>
            </w:pPr>
            <w:r w:rsidRPr="00E34D81">
              <w:rPr>
                <w:color w:val="000000"/>
                <w:sz w:val="18"/>
                <w:szCs w:val="18"/>
              </w:rPr>
              <w:t>Pagat</w:t>
            </w:r>
          </w:p>
        </w:tc>
        <w:tc>
          <w:tcPr>
            <w:tcW w:w="2700" w:type="dxa"/>
            <w:gridSpan w:val="3"/>
            <w:tcBorders>
              <w:top w:val="nil"/>
              <w:left w:val="nil"/>
              <w:bottom w:val="single" w:sz="4" w:space="0" w:color="auto"/>
              <w:right w:val="single" w:sz="4" w:space="0" w:color="auto"/>
            </w:tcBorders>
            <w:shd w:val="clear" w:color="auto" w:fill="auto"/>
            <w:vAlign w:val="center"/>
            <w:hideMark/>
          </w:tcPr>
          <w:p w14:paraId="605DD01E" w14:textId="77777777" w:rsidR="009D6D4E" w:rsidRPr="00E34D81" w:rsidRDefault="009D6D4E" w:rsidP="00BF3B71">
            <w:pPr>
              <w:jc w:val="both"/>
              <w:rPr>
                <w:color w:val="000000"/>
                <w:sz w:val="18"/>
                <w:szCs w:val="18"/>
              </w:rPr>
            </w:pPr>
            <w:r w:rsidRPr="00E34D81">
              <w:rPr>
                <w:color w:val="000000"/>
                <w:sz w:val="18"/>
                <w:szCs w:val="18"/>
              </w:rPr>
              <w:t>Mallra dhe shërbime</w:t>
            </w:r>
          </w:p>
        </w:tc>
        <w:tc>
          <w:tcPr>
            <w:tcW w:w="2070" w:type="dxa"/>
            <w:gridSpan w:val="3"/>
            <w:tcBorders>
              <w:top w:val="nil"/>
              <w:left w:val="nil"/>
              <w:bottom w:val="single" w:sz="4" w:space="0" w:color="auto"/>
              <w:right w:val="single" w:sz="4" w:space="0" w:color="auto"/>
            </w:tcBorders>
            <w:shd w:val="clear" w:color="auto" w:fill="auto"/>
            <w:vAlign w:val="center"/>
            <w:hideMark/>
          </w:tcPr>
          <w:p w14:paraId="0A05EFC9" w14:textId="77777777" w:rsidR="009D6D4E" w:rsidRPr="00E34D81" w:rsidRDefault="009D6D4E" w:rsidP="00BF3B71">
            <w:pPr>
              <w:jc w:val="both"/>
              <w:rPr>
                <w:color w:val="000000"/>
                <w:sz w:val="18"/>
                <w:szCs w:val="18"/>
              </w:rPr>
            </w:pPr>
            <w:r w:rsidRPr="00E34D81">
              <w:rPr>
                <w:color w:val="000000"/>
                <w:sz w:val="18"/>
                <w:szCs w:val="18"/>
              </w:rPr>
              <w:t>Subvencione dhe transfere</w:t>
            </w:r>
          </w:p>
        </w:tc>
        <w:tc>
          <w:tcPr>
            <w:tcW w:w="1987" w:type="dxa"/>
            <w:gridSpan w:val="2"/>
            <w:tcBorders>
              <w:top w:val="nil"/>
              <w:left w:val="nil"/>
              <w:bottom w:val="single" w:sz="4" w:space="0" w:color="auto"/>
              <w:right w:val="single" w:sz="4" w:space="0" w:color="auto"/>
            </w:tcBorders>
            <w:shd w:val="clear" w:color="auto" w:fill="auto"/>
            <w:vAlign w:val="center"/>
            <w:hideMark/>
          </w:tcPr>
          <w:p w14:paraId="20CCA02D" w14:textId="77777777" w:rsidR="009D6D4E" w:rsidRPr="00E34D81" w:rsidRDefault="009D6D4E" w:rsidP="00BF3B71">
            <w:pPr>
              <w:jc w:val="both"/>
              <w:rPr>
                <w:color w:val="000000"/>
                <w:sz w:val="18"/>
                <w:szCs w:val="18"/>
              </w:rPr>
            </w:pPr>
            <w:r w:rsidRPr="00E34D81">
              <w:rPr>
                <w:color w:val="000000"/>
                <w:sz w:val="18"/>
                <w:szCs w:val="18"/>
              </w:rPr>
              <w:t>Shpenzimet kapitale</w:t>
            </w:r>
          </w:p>
        </w:tc>
        <w:tc>
          <w:tcPr>
            <w:tcW w:w="1343" w:type="dxa"/>
            <w:tcBorders>
              <w:top w:val="nil"/>
              <w:left w:val="nil"/>
              <w:bottom w:val="single" w:sz="4" w:space="0" w:color="auto"/>
              <w:right w:val="single" w:sz="4" w:space="0" w:color="auto"/>
            </w:tcBorders>
            <w:shd w:val="clear" w:color="auto" w:fill="auto"/>
            <w:vAlign w:val="center"/>
            <w:hideMark/>
          </w:tcPr>
          <w:p w14:paraId="6529B3FD" w14:textId="77777777" w:rsidR="009D6D4E" w:rsidRPr="00CB6955" w:rsidRDefault="009D6D4E" w:rsidP="00BF3B71">
            <w:pPr>
              <w:jc w:val="right"/>
              <w:rPr>
                <w:b/>
                <w:color w:val="000000"/>
                <w:sz w:val="18"/>
                <w:szCs w:val="18"/>
              </w:rPr>
            </w:pPr>
            <w:r w:rsidRPr="00CB6955">
              <w:rPr>
                <w:b/>
                <w:color w:val="000000"/>
                <w:sz w:val="18"/>
                <w:szCs w:val="18"/>
              </w:rPr>
              <w:t xml:space="preserve">Totali </w:t>
            </w:r>
          </w:p>
        </w:tc>
      </w:tr>
      <w:tr w:rsidR="009D6D4E" w:rsidRPr="00E34D81" w14:paraId="450DD5EF" w14:textId="77777777" w:rsidTr="00BF3B71">
        <w:trPr>
          <w:trHeight w:val="263"/>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4CFA70AF" w14:textId="77777777" w:rsidR="009D6D4E" w:rsidRPr="00E34D81" w:rsidRDefault="009D6D4E" w:rsidP="00BF3B71">
            <w:pPr>
              <w:jc w:val="right"/>
              <w:rPr>
                <w:color w:val="000000"/>
                <w:sz w:val="18"/>
                <w:szCs w:val="18"/>
              </w:rPr>
            </w:pPr>
            <w:r w:rsidRPr="00E34D81">
              <w:rPr>
                <w:color w:val="000000"/>
                <w:sz w:val="18"/>
                <w:szCs w:val="18"/>
              </w:rPr>
              <w:t>2020</w:t>
            </w:r>
          </w:p>
        </w:tc>
        <w:tc>
          <w:tcPr>
            <w:tcW w:w="1404" w:type="dxa"/>
            <w:gridSpan w:val="2"/>
            <w:tcBorders>
              <w:top w:val="nil"/>
              <w:left w:val="nil"/>
              <w:bottom w:val="single" w:sz="4" w:space="0" w:color="auto"/>
              <w:right w:val="single" w:sz="4" w:space="0" w:color="auto"/>
            </w:tcBorders>
            <w:shd w:val="clear" w:color="auto" w:fill="auto"/>
            <w:vAlign w:val="center"/>
            <w:hideMark/>
          </w:tcPr>
          <w:p w14:paraId="3EC1C92F" w14:textId="77777777" w:rsidR="009D6D4E" w:rsidRPr="00E34D81" w:rsidRDefault="009D6D4E" w:rsidP="00BF3B71">
            <w:pPr>
              <w:jc w:val="both"/>
              <w:rPr>
                <w:color w:val="000000"/>
                <w:sz w:val="18"/>
                <w:szCs w:val="18"/>
              </w:rPr>
            </w:pPr>
            <w:r w:rsidRPr="00E34D81">
              <w:rPr>
                <w:color w:val="000000"/>
                <w:sz w:val="18"/>
                <w:szCs w:val="18"/>
              </w:rPr>
              <w:t> </w:t>
            </w:r>
          </w:p>
        </w:tc>
        <w:tc>
          <w:tcPr>
            <w:tcW w:w="2700" w:type="dxa"/>
            <w:gridSpan w:val="3"/>
            <w:tcBorders>
              <w:top w:val="nil"/>
              <w:left w:val="nil"/>
              <w:bottom w:val="single" w:sz="4" w:space="0" w:color="auto"/>
              <w:right w:val="single" w:sz="4" w:space="0" w:color="auto"/>
            </w:tcBorders>
            <w:shd w:val="clear" w:color="auto" w:fill="auto"/>
            <w:vAlign w:val="center"/>
            <w:hideMark/>
          </w:tcPr>
          <w:p w14:paraId="2B4FE139" w14:textId="77777777" w:rsidR="009D6D4E" w:rsidRPr="00E34D81" w:rsidRDefault="009D6D4E" w:rsidP="00BF3B71">
            <w:pPr>
              <w:jc w:val="both"/>
              <w:rPr>
                <w:rFonts w:ascii="Book Antiqua" w:hAnsi="Book Antiqua" w:cs="Calibri"/>
                <w:color w:val="000000"/>
                <w:sz w:val="18"/>
                <w:szCs w:val="18"/>
              </w:rPr>
            </w:pPr>
            <w:r w:rsidRPr="00E34D81">
              <w:rPr>
                <w:rFonts w:ascii="Book Antiqua" w:hAnsi="Book Antiqua" w:cs="Calibri"/>
                <w:color w:val="000000"/>
                <w:sz w:val="18"/>
                <w:szCs w:val="18"/>
              </w:rPr>
              <w:t xml:space="preserve">                      480,000.0 </w:t>
            </w:r>
          </w:p>
        </w:tc>
        <w:tc>
          <w:tcPr>
            <w:tcW w:w="2070" w:type="dxa"/>
            <w:gridSpan w:val="3"/>
            <w:tcBorders>
              <w:top w:val="nil"/>
              <w:left w:val="nil"/>
              <w:bottom w:val="single" w:sz="4" w:space="0" w:color="auto"/>
              <w:right w:val="single" w:sz="4" w:space="0" w:color="auto"/>
            </w:tcBorders>
            <w:shd w:val="clear" w:color="auto" w:fill="auto"/>
            <w:vAlign w:val="center"/>
            <w:hideMark/>
          </w:tcPr>
          <w:p w14:paraId="328016AF" w14:textId="77777777" w:rsidR="009D6D4E" w:rsidRPr="00E34D81" w:rsidRDefault="009D6D4E" w:rsidP="00BF3B71">
            <w:pPr>
              <w:jc w:val="both"/>
              <w:rPr>
                <w:rFonts w:ascii="Book Antiqua" w:hAnsi="Book Antiqua" w:cs="Calibri"/>
                <w:color w:val="000000"/>
                <w:sz w:val="18"/>
                <w:szCs w:val="18"/>
              </w:rPr>
            </w:pPr>
            <w:r w:rsidRPr="00E34D81">
              <w:rPr>
                <w:rFonts w:ascii="Book Antiqua" w:hAnsi="Book Antiqua" w:cs="Calibri"/>
                <w:color w:val="000000"/>
                <w:sz w:val="18"/>
                <w:szCs w:val="18"/>
              </w:rPr>
              <w:t xml:space="preserve">                  1,150,000.0 </w:t>
            </w:r>
          </w:p>
        </w:tc>
        <w:tc>
          <w:tcPr>
            <w:tcW w:w="1987" w:type="dxa"/>
            <w:gridSpan w:val="2"/>
            <w:tcBorders>
              <w:top w:val="nil"/>
              <w:left w:val="nil"/>
              <w:bottom w:val="single" w:sz="4" w:space="0" w:color="auto"/>
              <w:right w:val="single" w:sz="4" w:space="0" w:color="auto"/>
            </w:tcBorders>
            <w:shd w:val="clear" w:color="auto" w:fill="auto"/>
            <w:vAlign w:val="center"/>
            <w:hideMark/>
          </w:tcPr>
          <w:p w14:paraId="76F2FC48" w14:textId="77777777" w:rsidR="009D6D4E" w:rsidRPr="00E34D81" w:rsidRDefault="009D6D4E" w:rsidP="00BF3B71">
            <w:pPr>
              <w:jc w:val="both"/>
              <w:rPr>
                <w:rFonts w:ascii="Book Antiqua" w:hAnsi="Book Antiqua" w:cs="Calibri"/>
                <w:color w:val="000000"/>
                <w:sz w:val="18"/>
                <w:szCs w:val="18"/>
              </w:rPr>
            </w:pPr>
            <w:r w:rsidRPr="00E34D81">
              <w:rPr>
                <w:rFonts w:ascii="Book Antiqua" w:hAnsi="Book Antiqua" w:cs="Calibri"/>
                <w:color w:val="000000"/>
                <w:sz w:val="18"/>
                <w:szCs w:val="18"/>
              </w:rPr>
              <w:t xml:space="preserve">                      30,000.0 </w:t>
            </w:r>
          </w:p>
        </w:tc>
        <w:tc>
          <w:tcPr>
            <w:tcW w:w="1343" w:type="dxa"/>
            <w:tcBorders>
              <w:top w:val="nil"/>
              <w:left w:val="nil"/>
              <w:bottom w:val="single" w:sz="4" w:space="0" w:color="auto"/>
              <w:right w:val="single" w:sz="4" w:space="0" w:color="auto"/>
            </w:tcBorders>
            <w:shd w:val="clear" w:color="000000" w:fill="FFFFFF"/>
            <w:vAlign w:val="center"/>
            <w:hideMark/>
          </w:tcPr>
          <w:p w14:paraId="62C545A6" w14:textId="77777777" w:rsidR="009D6D4E" w:rsidRPr="00CB6955" w:rsidRDefault="009D6D4E" w:rsidP="00BF3B71">
            <w:pPr>
              <w:jc w:val="right"/>
              <w:rPr>
                <w:b/>
                <w:color w:val="000000"/>
                <w:sz w:val="18"/>
                <w:szCs w:val="18"/>
              </w:rPr>
            </w:pPr>
            <w:r w:rsidRPr="00CB6955">
              <w:rPr>
                <w:b/>
                <w:color w:val="000000"/>
                <w:sz w:val="18"/>
                <w:szCs w:val="18"/>
              </w:rPr>
              <w:t xml:space="preserve">                      1,660,000 </w:t>
            </w:r>
          </w:p>
        </w:tc>
      </w:tr>
      <w:tr w:rsidR="009D6D4E" w:rsidRPr="00E34D81" w14:paraId="6C59F142" w14:textId="77777777" w:rsidTr="00BF3B71">
        <w:trPr>
          <w:trHeight w:val="263"/>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3ED5097E" w14:textId="77777777" w:rsidR="009D6D4E" w:rsidRPr="00E34D81" w:rsidRDefault="009D6D4E" w:rsidP="00BF3B71">
            <w:pPr>
              <w:jc w:val="right"/>
              <w:rPr>
                <w:color w:val="000000"/>
                <w:sz w:val="18"/>
                <w:szCs w:val="18"/>
              </w:rPr>
            </w:pPr>
            <w:r w:rsidRPr="00E34D81">
              <w:rPr>
                <w:color w:val="000000"/>
                <w:sz w:val="18"/>
                <w:szCs w:val="18"/>
              </w:rPr>
              <w:t>2021</w:t>
            </w:r>
          </w:p>
        </w:tc>
        <w:tc>
          <w:tcPr>
            <w:tcW w:w="1404" w:type="dxa"/>
            <w:gridSpan w:val="2"/>
            <w:tcBorders>
              <w:top w:val="nil"/>
              <w:left w:val="nil"/>
              <w:bottom w:val="single" w:sz="4" w:space="0" w:color="auto"/>
              <w:right w:val="single" w:sz="4" w:space="0" w:color="auto"/>
            </w:tcBorders>
            <w:shd w:val="clear" w:color="auto" w:fill="auto"/>
            <w:vAlign w:val="center"/>
            <w:hideMark/>
          </w:tcPr>
          <w:p w14:paraId="0DD9EE2F" w14:textId="77777777" w:rsidR="009D6D4E" w:rsidRPr="00E34D81" w:rsidRDefault="009D6D4E" w:rsidP="00BF3B71">
            <w:pPr>
              <w:jc w:val="both"/>
              <w:rPr>
                <w:b/>
                <w:bCs/>
                <w:i/>
                <w:iCs/>
                <w:color w:val="000000"/>
                <w:sz w:val="18"/>
                <w:szCs w:val="18"/>
              </w:rPr>
            </w:pPr>
            <w:r w:rsidRPr="00E34D81">
              <w:rPr>
                <w:b/>
                <w:bCs/>
                <w:i/>
                <w:iCs/>
                <w:color w:val="000000"/>
                <w:sz w:val="18"/>
                <w:szCs w:val="18"/>
              </w:rPr>
              <w:t> </w:t>
            </w:r>
          </w:p>
        </w:tc>
        <w:tc>
          <w:tcPr>
            <w:tcW w:w="2700" w:type="dxa"/>
            <w:gridSpan w:val="3"/>
            <w:tcBorders>
              <w:top w:val="nil"/>
              <w:left w:val="nil"/>
              <w:bottom w:val="single" w:sz="4" w:space="0" w:color="auto"/>
              <w:right w:val="single" w:sz="4" w:space="0" w:color="auto"/>
            </w:tcBorders>
            <w:shd w:val="clear" w:color="auto" w:fill="auto"/>
            <w:vAlign w:val="center"/>
            <w:hideMark/>
          </w:tcPr>
          <w:p w14:paraId="7C933885" w14:textId="77777777" w:rsidR="009D6D4E" w:rsidRPr="00E34D81" w:rsidRDefault="009D6D4E" w:rsidP="00BF3B71">
            <w:pPr>
              <w:jc w:val="both"/>
              <w:rPr>
                <w:rFonts w:ascii="Book Antiqua" w:hAnsi="Book Antiqua" w:cs="Calibri"/>
                <w:color w:val="000000"/>
                <w:sz w:val="18"/>
                <w:szCs w:val="18"/>
              </w:rPr>
            </w:pPr>
            <w:r w:rsidRPr="00E34D81">
              <w:rPr>
                <w:rFonts w:ascii="Book Antiqua" w:hAnsi="Book Antiqua" w:cs="Calibri"/>
                <w:color w:val="000000"/>
                <w:sz w:val="18"/>
                <w:szCs w:val="18"/>
              </w:rPr>
              <w:t xml:space="preserve">                      150,000.0 </w:t>
            </w:r>
          </w:p>
        </w:tc>
        <w:tc>
          <w:tcPr>
            <w:tcW w:w="2070" w:type="dxa"/>
            <w:gridSpan w:val="3"/>
            <w:tcBorders>
              <w:top w:val="nil"/>
              <w:left w:val="nil"/>
              <w:bottom w:val="single" w:sz="4" w:space="0" w:color="auto"/>
              <w:right w:val="single" w:sz="4" w:space="0" w:color="auto"/>
            </w:tcBorders>
            <w:shd w:val="clear" w:color="auto" w:fill="auto"/>
            <w:vAlign w:val="center"/>
            <w:hideMark/>
          </w:tcPr>
          <w:p w14:paraId="36EC300B" w14:textId="77777777" w:rsidR="009D6D4E" w:rsidRPr="00E34D81" w:rsidRDefault="009D6D4E" w:rsidP="00BF3B71">
            <w:pPr>
              <w:jc w:val="both"/>
              <w:rPr>
                <w:rFonts w:ascii="Book Antiqua" w:hAnsi="Book Antiqua" w:cs="Calibri"/>
                <w:color w:val="000000"/>
                <w:sz w:val="18"/>
                <w:szCs w:val="18"/>
              </w:rPr>
            </w:pPr>
            <w:r w:rsidRPr="00E34D81">
              <w:rPr>
                <w:rFonts w:ascii="Book Antiqua" w:hAnsi="Book Antiqua" w:cs="Calibri"/>
                <w:color w:val="000000"/>
                <w:sz w:val="18"/>
                <w:szCs w:val="18"/>
              </w:rPr>
              <w:t xml:space="preserve">                  2,200,000.0 </w:t>
            </w:r>
          </w:p>
        </w:tc>
        <w:tc>
          <w:tcPr>
            <w:tcW w:w="1987" w:type="dxa"/>
            <w:gridSpan w:val="2"/>
            <w:tcBorders>
              <w:top w:val="nil"/>
              <w:left w:val="nil"/>
              <w:bottom w:val="single" w:sz="4" w:space="0" w:color="auto"/>
              <w:right w:val="single" w:sz="4" w:space="0" w:color="auto"/>
            </w:tcBorders>
            <w:shd w:val="clear" w:color="auto" w:fill="auto"/>
            <w:vAlign w:val="center"/>
            <w:hideMark/>
          </w:tcPr>
          <w:p w14:paraId="1DFBD4DD" w14:textId="77777777" w:rsidR="009D6D4E" w:rsidRPr="00E34D81" w:rsidRDefault="009D6D4E" w:rsidP="00BF3B71">
            <w:pPr>
              <w:jc w:val="both"/>
              <w:rPr>
                <w:color w:val="000000"/>
                <w:sz w:val="18"/>
                <w:szCs w:val="18"/>
              </w:rPr>
            </w:pPr>
            <w:r w:rsidRPr="00E34D81">
              <w:rPr>
                <w:color w:val="000000"/>
                <w:sz w:val="18"/>
                <w:szCs w:val="18"/>
              </w:rPr>
              <w:t xml:space="preserve">                                   -   </w:t>
            </w:r>
          </w:p>
        </w:tc>
        <w:tc>
          <w:tcPr>
            <w:tcW w:w="1343" w:type="dxa"/>
            <w:tcBorders>
              <w:top w:val="nil"/>
              <w:left w:val="nil"/>
              <w:bottom w:val="single" w:sz="4" w:space="0" w:color="auto"/>
              <w:right w:val="single" w:sz="4" w:space="0" w:color="auto"/>
            </w:tcBorders>
            <w:shd w:val="clear" w:color="000000" w:fill="FFFFFF"/>
            <w:vAlign w:val="center"/>
            <w:hideMark/>
          </w:tcPr>
          <w:p w14:paraId="6121E4F8" w14:textId="77777777" w:rsidR="009D6D4E" w:rsidRPr="00CB6955" w:rsidRDefault="009D6D4E" w:rsidP="00BF3B71">
            <w:pPr>
              <w:jc w:val="right"/>
              <w:rPr>
                <w:b/>
                <w:color w:val="000000"/>
                <w:sz w:val="18"/>
                <w:szCs w:val="18"/>
              </w:rPr>
            </w:pPr>
            <w:r w:rsidRPr="00CB6955">
              <w:rPr>
                <w:b/>
                <w:color w:val="000000"/>
                <w:sz w:val="18"/>
                <w:szCs w:val="18"/>
              </w:rPr>
              <w:t xml:space="preserve">                      2,350,000 </w:t>
            </w:r>
          </w:p>
        </w:tc>
      </w:tr>
      <w:tr w:rsidR="009D6D4E" w:rsidRPr="00E34D81" w14:paraId="5023F505" w14:textId="77777777" w:rsidTr="00BF3B71">
        <w:trPr>
          <w:trHeight w:val="263"/>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518951C8" w14:textId="77777777" w:rsidR="009D6D4E" w:rsidRPr="00E34D81" w:rsidRDefault="009D6D4E" w:rsidP="00BF3B71">
            <w:pPr>
              <w:jc w:val="right"/>
              <w:rPr>
                <w:color w:val="000000"/>
                <w:sz w:val="18"/>
                <w:szCs w:val="18"/>
              </w:rPr>
            </w:pPr>
            <w:r w:rsidRPr="00E34D81">
              <w:rPr>
                <w:color w:val="000000"/>
                <w:sz w:val="18"/>
                <w:szCs w:val="18"/>
              </w:rPr>
              <w:t>2022</w:t>
            </w:r>
          </w:p>
        </w:tc>
        <w:tc>
          <w:tcPr>
            <w:tcW w:w="1404" w:type="dxa"/>
            <w:gridSpan w:val="2"/>
            <w:tcBorders>
              <w:top w:val="nil"/>
              <w:left w:val="nil"/>
              <w:bottom w:val="single" w:sz="4" w:space="0" w:color="auto"/>
              <w:right w:val="single" w:sz="4" w:space="0" w:color="auto"/>
            </w:tcBorders>
            <w:shd w:val="clear" w:color="auto" w:fill="auto"/>
            <w:vAlign w:val="center"/>
            <w:hideMark/>
          </w:tcPr>
          <w:p w14:paraId="1C135993" w14:textId="77777777" w:rsidR="009D6D4E" w:rsidRPr="00E34D81" w:rsidRDefault="009D6D4E" w:rsidP="00BF3B71">
            <w:pPr>
              <w:jc w:val="both"/>
              <w:rPr>
                <w:b/>
                <w:bCs/>
                <w:i/>
                <w:iCs/>
                <w:color w:val="000000"/>
                <w:sz w:val="18"/>
                <w:szCs w:val="18"/>
              </w:rPr>
            </w:pPr>
            <w:r w:rsidRPr="00E34D81">
              <w:rPr>
                <w:b/>
                <w:bCs/>
                <w:i/>
                <w:iCs/>
                <w:color w:val="000000"/>
                <w:sz w:val="18"/>
                <w:szCs w:val="18"/>
              </w:rPr>
              <w:t> </w:t>
            </w:r>
          </w:p>
        </w:tc>
        <w:tc>
          <w:tcPr>
            <w:tcW w:w="2700" w:type="dxa"/>
            <w:gridSpan w:val="3"/>
            <w:tcBorders>
              <w:top w:val="nil"/>
              <w:left w:val="nil"/>
              <w:bottom w:val="single" w:sz="4" w:space="0" w:color="auto"/>
              <w:right w:val="single" w:sz="4" w:space="0" w:color="auto"/>
            </w:tcBorders>
            <w:shd w:val="clear" w:color="auto" w:fill="auto"/>
            <w:vAlign w:val="center"/>
            <w:hideMark/>
          </w:tcPr>
          <w:p w14:paraId="2D600FCE" w14:textId="77777777" w:rsidR="009D6D4E" w:rsidRPr="00E34D81" w:rsidRDefault="009D6D4E" w:rsidP="00BF3B71">
            <w:pPr>
              <w:jc w:val="both"/>
              <w:rPr>
                <w:color w:val="000000"/>
                <w:sz w:val="18"/>
                <w:szCs w:val="18"/>
              </w:rPr>
            </w:pPr>
            <w:r w:rsidRPr="00E34D81">
              <w:rPr>
                <w:color w:val="000000"/>
                <w:sz w:val="18"/>
                <w:szCs w:val="18"/>
              </w:rPr>
              <w:t> </w:t>
            </w:r>
          </w:p>
        </w:tc>
        <w:tc>
          <w:tcPr>
            <w:tcW w:w="2070" w:type="dxa"/>
            <w:gridSpan w:val="3"/>
            <w:tcBorders>
              <w:top w:val="nil"/>
              <w:left w:val="nil"/>
              <w:bottom w:val="single" w:sz="4" w:space="0" w:color="auto"/>
              <w:right w:val="single" w:sz="4" w:space="0" w:color="auto"/>
            </w:tcBorders>
            <w:shd w:val="clear" w:color="auto" w:fill="auto"/>
            <w:vAlign w:val="center"/>
            <w:hideMark/>
          </w:tcPr>
          <w:p w14:paraId="594B1C8A" w14:textId="77777777" w:rsidR="009D6D4E" w:rsidRPr="00E34D81" w:rsidRDefault="009D6D4E" w:rsidP="00BF3B71">
            <w:pPr>
              <w:jc w:val="both"/>
              <w:rPr>
                <w:rFonts w:ascii="Book Antiqua" w:hAnsi="Book Antiqua" w:cs="Calibri"/>
                <w:color w:val="000000"/>
                <w:sz w:val="18"/>
                <w:szCs w:val="18"/>
              </w:rPr>
            </w:pPr>
            <w:r w:rsidRPr="00E34D81">
              <w:rPr>
                <w:rFonts w:ascii="Book Antiqua" w:hAnsi="Book Antiqua" w:cs="Calibri"/>
                <w:color w:val="000000"/>
                <w:sz w:val="18"/>
                <w:szCs w:val="18"/>
              </w:rPr>
              <w:t xml:space="preserve">                21,000,000.0 </w:t>
            </w:r>
          </w:p>
        </w:tc>
        <w:tc>
          <w:tcPr>
            <w:tcW w:w="1987" w:type="dxa"/>
            <w:gridSpan w:val="2"/>
            <w:tcBorders>
              <w:top w:val="nil"/>
              <w:left w:val="nil"/>
              <w:bottom w:val="single" w:sz="4" w:space="0" w:color="auto"/>
              <w:right w:val="single" w:sz="4" w:space="0" w:color="auto"/>
            </w:tcBorders>
            <w:shd w:val="clear" w:color="auto" w:fill="auto"/>
            <w:vAlign w:val="center"/>
            <w:hideMark/>
          </w:tcPr>
          <w:p w14:paraId="3192B7A5" w14:textId="77777777" w:rsidR="009D6D4E" w:rsidRPr="00E34D81" w:rsidRDefault="009D6D4E" w:rsidP="00BF3B71">
            <w:pPr>
              <w:jc w:val="both"/>
              <w:rPr>
                <w:color w:val="000000"/>
                <w:sz w:val="18"/>
                <w:szCs w:val="18"/>
              </w:rPr>
            </w:pPr>
            <w:r w:rsidRPr="00E34D81">
              <w:rPr>
                <w:color w:val="000000"/>
                <w:sz w:val="18"/>
                <w:szCs w:val="18"/>
              </w:rPr>
              <w:t xml:space="preserve">                                   -   </w:t>
            </w:r>
          </w:p>
        </w:tc>
        <w:tc>
          <w:tcPr>
            <w:tcW w:w="1343" w:type="dxa"/>
            <w:tcBorders>
              <w:top w:val="nil"/>
              <w:left w:val="nil"/>
              <w:bottom w:val="single" w:sz="4" w:space="0" w:color="auto"/>
              <w:right w:val="single" w:sz="4" w:space="0" w:color="auto"/>
            </w:tcBorders>
            <w:shd w:val="clear" w:color="000000" w:fill="FFFFFF"/>
            <w:vAlign w:val="center"/>
            <w:hideMark/>
          </w:tcPr>
          <w:p w14:paraId="649C02CA" w14:textId="77777777" w:rsidR="009D6D4E" w:rsidRPr="00CB6955" w:rsidRDefault="009D6D4E" w:rsidP="00BF3B71">
            <w:pPr>
              <w:jc w:val="right"/>
              <w:rPr>
                <w:b/>
                <w:color w:val="000000"/>
                <w:sz w:val="18"/>
                <w:szCs w:val="18"/>
              </w:rPr>
            </w:pPr>
            <w:r w:rsidRPr="00CB6955">
              <w:rPr>
                <w:b/>
                <w:color w:val="000000"/>
                <w:sz w:val="18"/>
                <w:szCs w:val="18"/>
              </w:rPr>
              <w:t xml:space="preserve">                    21,000,000 </w:t>
            </w:r>
          </w:p>
        </w:tc>
      </w:tr>
      <w:tr w:rsidR="009D6D4E" w:rsidRPr="00E34D81" w14:paraId="37EBA511" w14:textId="77777777" w:rsidTr="00BF3B71">
        <w:trPr>
          <w:trHeight w:val="280"/>
        </w:trPr>
        <w:tc>
          <w:tcPr>
            <w:tcW w:w="10165" w:type="dxa"/>
            <w:gridSpan w:val="12"/>
            <w:tcBorders>
              <w:top w:val="single" w:sz="8" w:space="0" w:color="auto"/>
              <w:left w:val="single" w:sz="8" w:space="0" w:color="auto"/>
              <w:bottom w:val="single" w:sz="8" w:space="0" w:color="auto"/>
              <w:right w:val="single" w:sz="8" w:space="0" w:color="000000"/>
            </w:tcBorders>
            <w:shd w:val="clear" w:color="auto" w:fill="auto"/>
            <w:vAlign w:val="center"/>
            <w:hideMark/>
          </w:tcPr>
          <w:p w14:paraId="0E7BA167" w14:textId="77777777" w:rsidR="009D6D4E" w:rsidRPr="00E34D81" w:rsidRDefault="009D6D4E" w:rsidP="00BF3B71">
            <w:pPr>
              <w:rPr>
                <w:b/>
                <w:bCs/>
                <w:color w:val="000000"/>
                <w:sz w:val="18"/>
                <w:szCs w:val="18"/>
              </w:rPr>
            </w:pPr>
            <w:r w:rsidRPr="00E34D81">
              <w:rPr>
                <w:b/>
                <w:bCs/>
                <w:color w:val="000000"/>
                <w:sz w:val="18"/>
                <w:szCs w:val="18"/>
              </w:rPr>
              <w:t>Tabela 10.b:Financimi i masës së reformës strukturore:Masa#20 Permiresimi i Sherbimeve Sociale</w:t>
            </w:r>
          </w:p>
        </w:tc>
      </w:tr>
      <w:tr w:rsidR="009D6D4E" w:rsidRPr="00E34D81" w14:paraId="674E4415" w14:textId="77777777" w:rsidTr="00BF3B71">
        <w:trPr>
          <w:trHeight w:val="397"/>
        </w:trPr>
        <w:tc>
          <w:tcPr>
            <w:tcW w:w="661" w:type="dxa"/>
            <w:vMerge w:val="restart"/>
            <w:tcBorders>
              <w:top w:val="nil"/>
              <w:left w:val="single" w:sz="8" w:space="0" w:color="auto"/>
              <w:bottom w:val="single" w:sz="8" w:space="0" w:color="000000"/>
              <w:right w:val="single" w:sz="8" w:space="0" w:color="auto"/>
            </w:tcBorders>
            <w:shd w:val="clear" w:color="auto" w:fill="auto"/>
            <w:vAlign w:val="center"/>
            <w:hideMark/>
          </w:tcPr>
          <w:p w14:paraId="66283CF0" w14:textId="77777777" w:rsidR="009D6D4E" w:rsidRPr="00E34D81" w:rsidRDefault="009D6D4E" w:rsidP="00BF3B71">
            <w:pPr>
              <w:jc w:val="both"/>
              <w:rPr>
                <w:color w:val="000000"/>
                <w:sz w:val="18"/>
                <w:szCs w:val="18"/>
              </w:rPr>
            </w:pPr>
            <w:r w:rsidRPr="00E34D81">
              <w:rPr>
                <w:color w:val="000000"/>
                <w:sz w:val="18"/>
                <w:szCs w:val="18"/>
              </w:rPr>
              <w:t>Viti</w:t>
            </w:r>
          </w:p>
        </w:tc>
        <w:tc>
          <w:tcPr>
            <w:tcW w:w="1251" w:type="dxa"/>
            <w:vMerge w:val="restart"/>
            <w:tcBorders>
              <w:top w:val="nil"/>
              <w:left w:val="single" w:sz="8" w:space="0" w:color="auto"/>
              <w:bottom w:val="single" w:sz="8" w:space="0" w:color="000000"/>
              <w:right w:val="single" w:sz="8" w:space="0" w:color="auto"/>
            </w:tcBorders>
            <w:shd w:val="clear" w:color="auto" w:fill="auto"/>
            <w:vAlign w:val="center"/>
            <w:hideMark/>
          </w:tcPr>
          <w:p w14:paraId="30B6B322" w14:textId="77777777" w:rsidR="009D6D4E" w:rsidRPr="00E34D81" w:rsidRDefault="009D6D4E" w:rsidP="00BF3B71">
            <w:pPr>
              <w:jc w:val="both"/>
              <w:rPr>
                <w:color w:val="000000"/>
                <w:sz w:val="18"/>
                <w:szCs w:val="18"/>
              </w:rPr>
            </w:pPr>
            <w:r w:rsidRPr="00E34D81">
              <w:rPr>
                <w:color w:val="000000"/>
                <w:sz w:val="18"/>
                <w:szCs w:val="18"/>
              </w:rPr>
              <w:t>Buxheti Qendror</w:t>
            </w:r>
          </w:p>
        </w:tc>
        <w:tc>
          <w:tcPr>
            <w:tcW w:w="846"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6C02E110" w14:textId="77777777" w:rsidR="009D6D4E" w:rsidRPr="00E34D81" w:rsidRDefault="009D6D4E" w:rsidP="00BF3B71">
            <w:pPr>
              <w:jc w:val="both"/>
              <w:rPr>
                <w:color w:val="000000"/>
                <w:sz w:val="18"/>
                <w:szCs w:val="18"/>
              </w:rPr>
            </w:pPr>
            <w:r w:rsidRPr="00E34D81">
              <w:rPr>
                <w:color w:val="000000"/>
                <w:sz w:val="18"/>
                <w:szCs w:val="18"/>
              </w:rPr>
              <w:t>Buxheti komunal</w:t>
            </w:r>
          </w:p>
        </w:tc>
        <w:tc>
          <w:tcPr>
            <w:tcW w:w="1691" w:type="dxa"/>
            <w:vMerge w:val="restart"/>
            <w:tcBorders>
              <w:top w:val="nil"/>
              <w:left w:val="single" w:sz="8" w:space="0" w:color="auto"/>
              <w:bottom w:val="single" w:sz="8" w:space="0" w:color="000000"/>
              <w:right w:val="single" w:sz="8" w:space="0" w:color="auto"/>
            </w:tcBorders>
            <w:shd w:val="clear" w:color="auto" w:fill="auto"/>
            <w:vAlign w:val="center"/>
            <w:hideMark/>
          </w:tcPr>
          <w:p w14:paraId="4581081E" w14:textId="77777777" w:rsidR="009D6D4E" w:rsidRPr="00E34D81" w:rsidRDefault="009D6D4E" w:rsidP="00BF3B71">
            <w:pPr>
              <w:jc w:val="both"/>
              <w:rPr>
                <w:color w:val="000000"/>
                <w:sz w:val="18"/>
                <w:szCs w:val="18"/>
              </w:rPr>
            </w:pPr>
            <w:r w:rsidRPr="00E34D81">
              <w:rPr>
                <w:color w:val="000000"/>
                <w:sz w:val="18"/>
                <w:szCs w:val="18"/>
              </w:rPr>
              <w:t>Burimet e tjera të financimit publik</w:t>
            </w:r>
          </w:p>
        </w:tc>
        <w:tc>
          <w:tcPr>
            <w:tcW w:w="986"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0221308F" w14:textId="77777777" w:rsidR="009D6D4E" w:rsidRPr="00E34D81" w:rsidRDefault="009D6D4E" w:rsidP="00BF3B71">
            <w:pPr>
              <w:jc w:val="both"/>
              <w:rPr>
                <w:color w:val="000000"/>
                <w:sz w:val="18"/>
                <w:szCs w:val="18"/>
              </w:rPr>
            </w:pPr>
            <w:r w:rsidRPr="00E34D81">
              <w:rPr>
                <w:color w:val="000000"/>
                <w:sz w:val="18"/>
                <w:szCs w:val="18"/>
              </w:rPr>
              <w:t>Fondet e IPA-së</w:t>
            </w:r>
          </w:p>
        </w:tc>
        <w:tc>
          <w:tcPr>
            <w:tcW w:w="1321" w:type="dxa"/>
            <w:vMerge w:val="restart"/>
            <w:tcBorders>
              <w:top w:val="nil"/>
              <w:left w:val="single" w:sz="8" w:space="0" w:color="auto"/>
              <w:bottom w:val="single" w:sz="8" w:space="0" w:color="000000"/>
              <w:right w:val="single" w:sz="8" w:space="0" w:color="auto"/>
            </w:tcBorders>
            <w:shd w:val="clear" w:color="auto" w:fill="auto"/>
            <w:vAlign w:val="center"/>
            <w:hideMark/>
          </w:tcPr>
          <w:p w14:paraId="4E508044" w14:textId="77777777" w:rsidR="009D6D4E" w:rsidRPr="00E34D81" w:rsidRDefault="009D6D4E" w:rsidP="00BF3B71">
            <w:pPr>
              <w:jc w:val="both"/>
              <w:rPr>
                <w:color w:val="000000"/>
                <w:sz w:val="18"/>
                <w:szCs w:val="18"/>
              </w:rPr>
            </w:pPr>
            <w:r w:rsidRPr="00E34D81">
              <w:rPr>
                <w:color w:val="000000"/>
                <w:sz w:val="18"/>
                <w:szCs w:val="18"/>
              </w:rPr>
              <w:t>Grante të tjera ( WBIF)</w:t>
            </w:r>
          </w:p>
        </w:tc>
        <w:tc>
          <w:tcPr>
            <w:tcW w:w="826"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015591E4" w14:textId="77777777" w:rsidR="009D6D4E" w:rsidRPr="00E34D81" w:rsidRDefault="009D6D4E" w:rsidP="00BF3B71">
            <w:pPr>
              <w:jc w:val="both"/>
              <w:rPr>
                <w:color w:val="000000"/>
                <w:sz w:val="18"/>
                <w:szCs w:val="18"/>
              </w:rPr>
            </w:pPr>
            <w:r w:rsidRPr="00E34D81">
              <w:rPr>
                <w:color w:val="000000"/>
                <w:sz w:val="18"/>
                <w:szCs w:val="18"/>
              </w:rPr>
              <w:t>Kredi për projekte</w:t>
            </w:r>
          </w:p>
        </w:tc>
        <w:tc>
          <w:tcPr>
            <w:tcW w:w="1240" w:type="dxa"/>
            <w:vMerge w:val="restart"/>
            <w:tcBorders>
              <w:top w:val="nil"/>
              <w:left w:val="single" w:sz="8" w:space="0" w:color="auto"/>
              <w:bottom w:val="single" w:sz="8" w:space="0" w:color="000000"/>
              <w:right w:val="single" w:sz="8" w:space="0" w:color="auto"/>
            </w:tcBorders>
            <w:shd w:val="clear" w:color="auto" w:fill="auto"/>
            <w:vAlign w:val="center"/>
            <w:hideMark/>
          </w:tcPr>
          <w:p w14:paraId="4ACA927F" w14:textId="77777777" w:rsidR="009D6D4E" w:rsidRPr="00E34D81" w:rsidRDefault="009D6D4E" w:rsidP="00BF3B71">
            <w:pPr>
              <w:jc w:val="both"/>
              <w:rPr>
                <w:color w:val="000000"/>
                <w:sz w:val="18"/>
                <w:szCs w:val="18"/>
              </w:rPr>
            </w:pPr>
            <w:r w:rsidRPr="00E34D81">
              <w:rPr>
                <w:color w:val="000000"/>
                <w:sz w:val="18"/>
                <w:szCs w:val="18"/>
              </w:rPr>
              <w:t>Të përcaktohet</w:t>
            </w:r>
          </w:p>
        </w:tc>
        <w:tc>
          <w:tcPr>
            <w:tcW w:w="1343" w:type="dxa"/>
            <w:vMerge w:val="restart"/>
            <w:tcBorders>
              <w:top w:val="nil"/>
              <w:left w:val="single" w:sz="8" w:space="0" w:color="auto"/>
              <w:bottom w:val="single" w:sz="8" w:space="0" w:color="000000"/>
              <w:right w:val="single" w:sz="8" w:space="0" w:color="auto"/>
            </w:tcBorders>
            <w:shd w:val="clear" w:color="auto" w:fill="auto"/>
            <w:vAlign w:val="center"/>
            <w:hideMark/>
          </w:tcPr>
          <w:p w14:paraId="5862F498" w14:textId="77777777" w:rsidR="009D6D4E" w:rsidRPr="00CB6955" w:rsidRDefault="009D6D4E" w:rsidP="00BF3B71">
            <w:pPr>
              <w:jc w:val="right"/>
              <w:rPr>
                <w:b/>
                <w:color w:val="000000"/>
                <w:sz w:val="18"/>
                <w:szCs w:val="18"/>
              </w:rPr>
            </w:pPr>
            <w:r w:rsidRPr="00CB6955">
              <w:rPr>
                <w:b/>
                <w:color w:val="000000"/>
                <w:sz w:val="18"/>
                <w:szCs w:val="18"/>
              </w:rPr>
              <w:t xml:space="preserve">Totali </w:t>
            </w:r>
          </w:p>
        </w:tc>
      </w:tr>
      <w:tr w:rsidR="009D6D4E" w:rsidRPr="00E34D81" w14:paraId="071258F9" w14:textId="77777777" w:rsidTr="00BF3B71">
        <w:trPr>
          <w:trHeight w:val="397"/>
        </w:trPr>
        <w:tc>
          <w:tcPr>
            <w:tcW w:w="661" w:type="dxa"/>
            <w:vMerge/>
            <w:tcBorders>
              <w:top w:val="nil"/>
              <w:left w:val="single" w:sz="8" w:space="0" w:color="auto"/>
              <w:bottom w:val="single" w:sz="8" w:space="0" w:color="000000"/>
              <w:right w:val="single" w:sz="8" w:space="0" w:color="auto"/>
            </w:tcBorders>
            <w:vAlign w:val="center"/>
            <w:hideMark/>
          </w:tcPr>
          <w:p w14:paraId="4096C3CD" w14:textId="77777777" w:rsidR="009D6D4E" w:rsidRPr="00E34D81" w:rsidRDefault="009D6D4E" w:rsidP="00BF3B71">
            <w:pPr>
              <w:rPr>
                <w:color w:val="000000"/>
                <w:sz w:val="18"/>
                <w:szCs w:val="18"/>
              </w:rPr>
            </w:pPr>
          </w:p>
        </w:tc>
        <w:tc>
          <w:tcPr>
            <w:tcW w:w="1251" w:type="dxa"/>
            <w:vMerge/>
            <w:tcBorders>
              <w:top w:val="nil"/>
              <w:left w:val="single" w:sz="8" w:space="0" w:color="auto"/>
              <w:bottom w:val="single" w:sz="8" w:space="0" w:color="000000"/>
              <w:right w:val="single" w:sz="8" w:space="0" w:color="auto"/>
            </w:tcBorders>
            <w:vAlign w:val="center"/>
            <w:hideMark/>
          </w:tcPr>
          <w:p w14:paraId="72E27812" w14:textId="77777777" w:rsidR="009D6D4E" w:rsidRPr="00E34D81" w:rsidRDefault="009D6D4E" w:rsidP="00BF3B71">
            <w:pPr>
              <w:rPr>
                <w:color w:val="000000"/>
                <w:sz w:val="18"/>
                <w:szCs w:val="18"/>
              </w:rPr>
            </w:pPr>
          </w:p>
        </w:tc>
        <w:tc>
          <w:tcPr>
            <w:tcW w:w="846" w:type="dxa"/>
            <w:gridSpan w:val="2"/>
            <w:vMerge/>
            <w:tcBorders>
              <w:top w:val="nil"/>
              <w:left w:val="single" w:sz="8" w:space="0" w:color="auto"/>
              <w:bottom w:val="single" w:sz="8" w:space="0" w:color="000000"/>
              <w:right w:val="single" w:sz="8" w:space="0" w:color="auto"/>
            </w:tcBorders>
            <w:vAlign w:val="center"/>
            <w:hideMark/>
          </w:tcPr>
          <w:p w14:paraId="75253A41" w14:textId="77777777" w:rsidR="009D6D4E" w:rsidRPr="00E34D81" w:rsidRDefault="009D6D4E" w:rsidP="00BF3B71">
            <w:pPr>
              <w:rPr>
                <w:color w:val="000000"/>
                <w:sz w:val="18"/>
                <w:szCs w:val="18"/>
              </w:rPr>
            </w:pPr>
          </w:p>
        </w:tc>
        <w:tc>
          <w:tcPr>
            <w:tcW w:w="1691" w:type="dxa"/>
            <w:vMerge/>
            <w:tcBorders>
              <w:top w:val="nil"/>
              <w:left w:val="single" w:sz="8" w:space="0" w:color="auto"/>
              <w:bottom w:val="single" w:sz="8" w:space="0" w:color="000000"/>
              <w:right w:val="single" w:sz="8" w:space="0" w:color="auto"/>
            </w:tcBorders>
            <w:vAlign w:val="center"/>
            <w:hideMark/>
          </w:tcPr>
          <w:p w14:paraId="3038C939" w14:textId="77777777" w:rsidR="009D6D4E" w:rsidRPr="00E34D81" w:rsidRDefault="009D6D4E" w:rsidP="00BF3B71">
            <w:pPr>
              <w:rPr>
                <w:color w:val="000000"/>
                <w:sz w:val="18"/>
                <w:szCs w:val="18"/>
              </w:rPr>
            </w:pPr>
          </w:p>
        </w:tc>
        <w:tc>
          <w:tcPr>
            <w:tcW w:w="986" w:type="dxa"/>
            <w:gridSpan w:val="2"/>
            <w:vMerge/>
            <w:tcBorders>
              <w:top w:val="nil"/>
              <w:left w:val="single" w:sz="8" w:space="0" w:color="auto"/>
              <w:bottom w:val="single" w:sz="8" w:space="0" w:color="000000"/>
              <w:right w:val="single" w:sz="8" w:space="0" w:color="auto"/>
            </w:tcBorders>
            <w:vAlign w:val="center"/>
            <w:hideMark/>
          </w:tcPr>
          <w:p w14:paraId="0D8C620E" w14:textId="77777777" w:rsidR="009D6D4E" w:rsidRPr="00E34D81" w:rsidRDefault="009D6D4E" w:rsidP="00BF3B71">
            <w:pPr>
              <w:rPr>
                <w:color w:val="000000"/>
                <w:sz w:val="18"/>
                <w:szCs w:val="18"/>
              </w:rPr>
            </w:pPr>
          </w:p>
        </w:tc>
        <w:tc>
          <w:tcPr>
            <w:tcW w:w="1321" w:type="dxa"/>
            <w:vMerge/>
            <w:tcBorders>
              <w:top w:val="nil"/>
              <w:left w:val="single" w:sz="8" w:space="0" w:color="auto"/>
              <w:bottom w:val="single" w:sz="8" w:space="0" w:color="000000"/>
              <w:right w:val="single" w:sz="8" w:space="0" w:color="auto"/>
            </w:tcBorders>
            <w:vAlign w:val="center"/>
            <w:hideMark/>
          </w:tcPr>
          <w:p w14:paraId="5D9A7E76" w14:textId="77777777" w:rsidR="009D6D4E" w:rsidRPr="00E34D81" w:rsidRDefault="009D6D4E" w:rsidP="00BF3B71">
            <w:pPr>
              <w:rPr>
                <w:color w:val="000000"/>
                <w:sz w:val="18"/>
                <w:szCs w:val="18"/>
              </w:rPr>
            </w:pPr>
          </w:p>
        </w:tc>
        <w:tc>
          <w:tcPr>
            <w:tcW w:w="826" w:type="dxa"/>
            <w:gridSpan w:val="2"/>
            <w:vMerge/>
            <w:tcBorders>
              <w:top w:val="nil"/>
              <w:left w:val="single" w:sz="8" w:space="0" w:color="auto"/>
              <w:bottom w:val="single" w:sz="8" w:space="0" w:color="000000"/>
              <w:right w:val="single" w:sz="8" w:space="0" w:color="auto"/>
            </w:tcBorders>
            <w:vAlign w:val="center"/>
            <w:hideMark/>
          </w:tcPr>
          <w:p w14:paraId="0AF26ABC" w14:textId="77777777" w:rsidR="009D6D4E" w:rsidRPr="00E34D81" w:rsidRDefault="009D6D4E" w:rsidP="00BF3B71">
            <w:pPr>
              <w:rPr>
                <w:color w:val="000000"/>
                <w:sz w:val="18"/>
                <w:szCs w:val="18"/>
              </w:rPr>
            </w:pPr>
          </w:p>
        </w:tc>
        <w:tc>
          <w:tcPr>
            <w:tcW w:w="1240" w:type="dxa"/>
            <w:vMerge/>
            <w:tcBorders>
              <w:top w:val="nil"/>
              <w:left w:val="single" w:sz="8" w:space="0" w:color="auto"/>
              <w:bottom w:val="single" w:sz="8" w:space="0" w:color="000000"/>
              <w:right w:val="single" w:sz="8" w:space="0" w:color="auto"/>
            </w:tcBorders>
            <w:vAlign w:val="center"/>
            <w:hideMark/>
          </w:tcPr>
          <w:p w14:paraId="10F55710" w14:textId="77777777" w:rsidR="009D6D4E" w:rsidRPr="00E34D81" w:rsidRDefault="009D6D4E" w:rsidP="00BF3B71">
            <w:pPr>
              <w:rPr>
                <w:color w:val="000000"/>
                <w:sz w:val="18"/>
                <w:szCs w:val="18"/>
              </w:rPr>
            </w:pPr>
          </w:p>
        </w:tc>
        <w:tc>
          <w:tcPr>
            <w:tcW w:w="1343" w:type="dxa"/>
            <w:vMerge/>
            <w:tcBorders>
              <w:top w:val="nil"/>
              <w:left w:val="single" w:sz="8" w:space="0" w:color="auto"/>
              <w:bottom w:val="single" w:sz="8" w:space="0" w:color="000000"/>
              <w:right w:val="single" w:sz="8" w:space="0" w:color="auto"/>
            </w:tcBorders>
            <w:vAlign w:val="center"/>
            <w:hideMark/>
          </w:tcPr>
          <w:p w14:paraId="2F19AD19" w14:textId="77777777" w:rsidR="009D6D4E" w:rsidRPr="00CB6955" w:rsidRDefault="009D6D4E" w:rsidP="00BF3B71">
            <w:pPr>
              <w:jc w:val="right"/>
              <w:rPr>
                <w:b/>
                <w:color w:val="000000"/>
                <w:sz w:val="18"/>
                <w:szCs w:val="18"/>
              </w:rPr>
            </w:pPr>
          </w:p>
        </w:tc>
      </w:tr>
      <w:tr w:rsidR="009D6D4E" w:rsidRPr="00E34D81" w14:paraId="0DF2ABA2" w14:textId="77777777" w:rsidTr="00BF3B71">
        <w:trPr>
          <w:trHeight w:val="445"/>
        </w:trPr>
        <w:tc>
          <w:tcPr>
            <w:tcW w:w="661" w:type="dxa"/>
            <w:tcBorders>
              <w:top w:val="nil"/>
              <w:left w:val="single" w:sz="8" w:space="0" w:color="auto"/>
              <w:bottom w:val="single" w:sz="8" w:space="0" w:color="auto"/>
              <w:right w:val="single" w:sz="8" w:space="0" w:color="auto"/>
            </w:tcBorders>
            <w:shd w:val="clear" w:color="auto" w:fill="auto"/>
            <w:vAlign w:val="center"/>
            <w:hideMark/>
          </w:tcPr>
          <w:p w14:paraId="65EC0778" w14:textId="77777777" w:rsidR="009D6D4E" w:rsidRPr="00E34D81" w:rsidRDefault="009D6D4E" w:rsidP="00BF3B71">
            <w:pPr>
              <w:jc w:val="both"/>
              <w:rPr>
                <w:color w:val="000000"/>
                <w:sz w:val="18"/>
                <w:szCs w:val="18"/>
              </w:rPr>
            </w:pPr>
            <w:r w:rsidRPr="00E34D81">
              <w:rPr>
                <w:color w:val="000000"/>
                <w:sz w:val="18"/>
                <w:szCs w:val="18"/>
              </w:rPr>
              <w:t>2020</w:t>
            </w:r>
          </w:p>
        </w:tc>
        <w:tc>
          <w:tcPr>
            <w:tcW w:w="1251" w:type="dxa"/>
            <w:tcBorders>
              <w:top w:val="nil"/>
              <w:left w:val="nil"/>
              <w:bottom w:val="single" w:sz="8" w:space="0" w:color="auto"/>
              <w:right w:val="single" w:sz="8" w:space="0" w:color="auto"/>
            </w:tcBorders>
            <w:shd w:val="clear" w:color="auto" w:fill="auto"/>
            <w:vAlign w:val="center"/>
            <w:hideMark/>
          </w:tcPr>
          <w:p w14:paraId="2AE77D95" w14:textId="77777777" w:rsidR="009D6D4E" w:rsidRPr="00E34D81" w:rsidRDefault="009D6D4E" w:rsidP="00BF3B71">
            <w:pPr>
              <w:jc w:val="both"/>
              <w:rPr>
                <w:rFonts w:ascii="Book Antiqua" w:hAnsi="Book Antiqua" w:cs="Calibri"/>
                <w:color w:val="000000"/>
                <w:sz w:val="18"/>
                <w:szCs w:val="18"/>
              </w:rPr>
            </w:pPr>
            <w:r w:rsidRPr="00E34D81">
              <w:rPr>
                <w:rFonts w:ascii="Book Antiqua" w:hAnsi="Book Antiqua" w:cs="Calibri"/>
                <w:color w:val="000000"/>
                <w:sz w:val="18"/>
                <w:szCs w:val="18"/>
              </w:rPr>
              <w:t>1,250,000.00</w:t>
            </w:r>
          </w:p>
        </w:tc>
        <w:tc>
          <w:tcPr>
            <w:tcW w:w="846" w:type="dxa"/>
            <w:gridSpan w:val="2"/>
            <w:tcBorders>
              <w:top w:val="nil"/>
              <w:left w:val="nil"/>
              <w:bottom w:val="single" w:sz="8" w:space="0" w:color="auto"/>
              <w:right w:val="single" w:sz="8" w:space="0" w:color="auto"/>
            </w:tcBorders>
            <w:shd w:val="clear" w:color="auto" w:fill="auto"/>
            <w:vAlign w:val="center"/>
            <w:hideMark/>
          </w:tcPr>
          <w:p w14:paraId="0DC981B1" w14:textId="77777777" w:rsidR="009D6D4E" w:rsidRPr="00E34D81" w:rsidRDefault="009D6D4E" w:rsidP="00BF3B71">
            <w:pPr>
              <w:jc w:val="center"/>
              <w:rPr>
                <w:color w:val="000000"/>
                <w:sz w:val="18"/>
                <w:szCs w:val="18"/>
              </w:rPr>
            </w:pPr>
            <w:r w:rsidRPr="00E34D81">
              <w:rPr>
                <w:color w:val="000000"/>
                <w:sz w:val="18"/>
                <w:szCs w:val="18"/>
              </w:rPr>
              <w:t>0.00</w:t>
            </w:r>
          </w:p>
        </w:tc>
        <w:tc>
          <w:tcPr>
            <w:tcW w:w="1691" w:type="dxa"/>
            <w:tcBorders>
              <w:top w:val="nil"/>
              <w:left w:val="nil"/>
              <w:bottom w:val="single" w:sz="8" w:space="0" w:color="auto"/>
              <w:right w:val="single" w:sz="8" w:space="0" w:color="auto"/>
            </w:tcBorders>
            <w:shd w:val="clear" w:color="auto" w:fill="auto"/>
            <w:vAlign w:val="center"/>
            <w:hideMark/>
          </w:tcPr>
          <w:p w14:paraId="06811E7F" w14:textId="77777777" w:rsidR="009D6D4E" w:rsidRPr="00E34D81" w:rsidRDefault="009D6D4E" w:rsidP="00BF3B71">
            <w:pPr>
              <w:jc w:val="center"/>
              <w:rPr>
                <w:color w:val="000000"/>
                <w:sz w:val="18"/>
                <w:szCs w:val="18"/>
              </w:rPr>
            </w:pPr>
            <w:r w:rsidRPr="00E34D81">
              <w:rPr>
                <w:color w:val="000000"/>
                <w:sz w:val="18"/>
                <w:szCs w:val="18"/>
              </w:rPr>
              <w:t>0.00</w:t>
            </w:r>
          </w:p>
        </w:tc>
        <w:tc>
          <w:tcPr>
            <w:tcW w:w="986" w:type="dxa"/>
            <w:gridSpan w:val="2"/>
            <w:tcBorders>
              <w:top w:val="nil"/>
              <w:left w:val="nil"/>
              <w:bottom w:val="single" w:sz="8" w:space="0" w:color="auto"/>
              <w:right w:val="single" w:sz="8" w:space="0" w:color="auto"/>
            </w:tcBorders>
            <w:shd w:val="clear" w:color="auto" w:fill="auto"/>
            <w:vAlign w:val="center"/>
            <w:hideMark/>
          </w:tcPr>
          <w:p w14:paraId="227BB4A5" w14:textId="77777777" w:rsidR="009D6D4E" w:rsidRPr="00E34D81" w:rsidRDefault="009D6D4E" w:rsidP="00BF3B71">
            <w:pPr>
              <w:jc w:val="center"/>
              <w:rPr>
                <w:color w:val="000000"/>
                <w:sz w:val="18"/>
                <w:szCs w:val="18"/>
              </w:rPr>
            </w:pPr>
            <w:r w:rsidRPr="00E34D81">
              <w:rPr>
                <w:color w:val="000000"/>
                <w:sz w:val="18"/>
                <w:szCs w:val="18"/>
              </w:rPr>
              <w:t>0.00</w:t>
            </w:r>
          </w:p>
        </w:tc>
        <w:tc>
          <w:tcPr>
            <w:tcW w:w="1321" w:type="dxa"/>
            <w:tcBorders>
              <w:top w:val="nil"/>
              <w:left w:val="nil"/>
              <w:bottom w:val="single" w:sz="8" w:space="0" w:color="auto"/>
              <w:right w:val="single" w:sz="8" w:space="0" w:color="auto"/>
            </w:tcBorders>
            <w:shd w:val="clear" w:color="auto" w:fill="auto"/>
            <w:vAlign w:val="center"/>
            <w:hideMark/>
          </w:tcPr>
          <w:p w14:paraId="7ECDF4DB" w14:textId="77777777" w:rsidR="009D6D4E" w:rsidRPr="00E34D81" w:rsidRDefault="009D6D4E" w:rsidP="00BF3B71">
            <w:pPr>
              <w:jc w:val="both"/>
              <w:rPr>
                <w:rFonts w:ascii="Book Antiqua" w:hAnsi="Book Antiqua" w:cs="Calibri"/>
                <w:color w:val="000000"/>
                <w:sz w:val="18"/>
                <w:szCs w:val="18"/>
              </w:rPr>
            </w:pPr>
            <w:r w:rsidRPr="00E34D81">
              <w:rPr>
                <w:rFonts w:ascii="Book Antiqua" w:hAnsi="Book Antiqua" w:cs="Calibri"/>
                <w:color w:val="000000"/>
                <w:sz w:val="18"/>
                <w:szCs w:val="18"/>
              </w:rPr>
              <w:t>410,000.00</w:t>
            </w:r>
          </w:p>
        </w:tc>
        <w:tc>
          <w:tcPr>
            <w:tcW w:w="826" w:type="dxa"/>
            <w:gridSpan w:val="2"/>
            <w:tcBorders>
              <w:top w:val="nil"/>
              <w:left w:val="nil"/>
              <w:bottom w:val="single" w:sz="8" w:space="0" w:color="auto"/>
              <w:right w:val="single" w:sz="8" w:space="0" w:color="auto"/>
            </w:tcBorders>
            <w:shd w:val="clear" w:color="auto" w:fill="auto"/>
            <w:vAlign w:val="center"/>
            <w:hideMark/>
          </w:tcPr>
          <w:p w14:paraId="3E376A5F" w14:textId="77777777" w:rsidR="009D6D4E" w:rsidRPr="00E34D81" w:rsidRDefault="009D6D4E" w:rsidP="00BF3B71">
            <w:pPr>
              <w:jc w:val="center"/>
              <w:rPr>
                <w:color w:val="000000"/>
                <w:sz w:val="18"/>
                <w:szCs w:val="18"/>
              </w:rPr>
            </w:pPr>
            <w:r w:rsidRPr="00E34D81">
              <w:rPr>
                <w:color w:val="000000"/>
                <w:sz w:val="18"/>
                <w:szCs w:val="18"/>
              </w:rPr>
              <w:t>0.00</w:t>
            </w:r>
          </w:p>
        </w:tc>
        <w:tc>
          <w:tcPr>
            <w:tcW w:w="1240" w:type="dxa"/>
            <w:tcBorders>
              <w:top w:val="nil"/>
              <w:left w:val="nil"/>
              <w:bottom w:val="single" w:sz="8" w:space="0" w:color="auto"/>
              <w:right w:val="single" w:sz="8" w:space="0" w:color="auto"/>
            </w:tcBorders>
            <w:shd w:val="clear" w:color="auto" w:fill="auto"/>
            <w:vAlign w:val="center"/>
            <w:hideMark/>
          </w:tcPr>
          <w:p w14:paraId="6EF89F3E" w14:textId="77777777" w:rsidR="009D6D4E" w:rsidRPr="00E34D81" w:rsidRDefault="009D6D4E" w:rsidP="00BF3B71">
            <w:pPr>
              <w:jc w:val="center"/>
              <w:rPr>
                <w:color w:val="000000"/>
                <w:sz w:val="18"/>
                <w:szCs w:val="18"/>
              </w:rPr>
            </w:pPr>
            <w:r w:rsidRPr="00E34D81">
              <w:rPr>
                <w:color w:val="000000"/>
                <w:sz w:val="18"/>
                <w:szCs w:val="18"/>
              </w:rPr>
              <w:t>0.00</w:t>
            </w:r>
          </w:p>
        </w:tc>
        <w:tc>
          <w:tcPr>
            <w:tcW w:w="1343" w:type="dxa"/>
            <w:tcBorders>
              <w:top w:val="nil"/>
              <w:left w:val="nil"/>
              <w:bottom w:val="single" w:sz="8" w:space="0" w:color="auto"/>
              <w:right w:val="single" w:sz="8" w:space="0" w:color="auto"/>
            </w:tcBorders>
            <w:shd w:val="clear" w:color="auto" w:fill="auto"/>
            <w:vAlign w:val="center"/>
            <w:hideMark/>
          </w:tcPr>
          <w:p w14:paraId="5301FA78" w14:textId="77777777" w:rsidR="009D6D4E" w:rsidRPr="00CB6955" w:rsidRDefault="009D6D4E" w:rsidP="00BF3B71">
            <w:pPr>
              <w:jc w:val="right"/>
              <w:rPr>
                <w:b/>
                <w:bCs/>
                <w:color w:val="000000"/>
                <w:sz w:val="18"/>
                <w:szCs w:val="18"/>
              </w:rPr>
            </w:pPr>
            <w:r w:rsidRPr="00CB6955">
              <w:rPr>
                <w:b/>
                <w:bCs/>
                <w:color w:val="000000"/>
                <w:sz w:val="18"/>
                <w:szCs w:val="18"/>
              </w:rPr>
              <w:t>1,660,000</w:t>
            </w:r>
          </w:p>
        </w:tc>
      </w:tr>
      <w:tr w:rsidR="009D6D4E" w:rsidRPr="00E34D81" w14:paraId="403BCCDC" w14:textId="77777777" w:rsidTr="00BF3B71">
        <w:trPr>
          <w:trHeight w:val="280"/>
        </w:trPr>
        <w:tc>
          <w:tcPr>
            <w:tcW w:w="661" w:type="dxa"/>
            <w:tcBorders>
              <w:top w:val="nil"/>
              <w:left w:val="single" w:sz="8" w:space="0" w:color="auto"/>
              <w:bottom w:val="single" w:sz="8" w:space="0" w:color="auto"/>
              <w:right w:val="single" w:sz="8" w:space="0" w:color="auto"/>
            </w:tcBorders>
            <w:shd w:val="clear" w:color="auto" w:fill="auto"/>
            <w:vAlign w:val="center"/>
            <w:hideMark/>
          </w:tcPr>
          <w:p w14:paraId="31AF17C1" w14:textId="77777777" w:rsidR="009D6D4E" w:rsidRPr="00E34D81" w:rsidRDefault="009D6D4E" w:rsidP="00BF3B71">
            <w:pPr>
              <w:jc w:val="both"/>
              <w:rPr>
                <w:color w:val="000000"/>
                <w:sz w:val="18"/>
                <w:szCs w:val="18"/>
              </w:rPr>
            </w:pPr>
            <w:r w:rsidRPr="00E34D81">
              <w:rPr>
                <w:color w:val="000000"/>
                <w:sz w:val="18"/>
                <w:szCs w:val="18"/>
              </w:rPr>
              <w:t>2021</w:t>
            </w:r>
          </w:p>
        </w:tc>
        <w:tc>
          <w:tcPr>
            <w:tcW w:w="1251" w:type="dxa"/>
            <w:tcBorders>
              <w:top w:val="nil"/>
              <w:left w:val="nil"/>
              <w:bottom w:val="single" w:sz="8" w:space="0" w:color="auto"/>
              <w:right w:val="single" w:sz="8" w:space="0" w:color="auto"/>
            </w:tcBorders>
            <w:shd w:val="clear" w:color="auto" w:fill="auto"/>
            <w:vAlign w:val="center"/>
            <w:hideMark/>
          </w:tcPr>
          <w:p w14:paraId="252F1FE8" w14:textId="77777777" w:rsidR="009D6D4E" w:rsidRPr="00E34D81" w:rsidRDefault="009D6D4E" w:rsidP="00BF3B71">
            <w:pPr>
              <w:jc w:val="both"/>
              <w:rPr>
                <w:rFonts w:ascii="Book Antiqua" w:hAnsi="Book Antiqua" w:cs="Calibri"/>
                <w:color w:val="000000"/>
                <w:sz w:val="18"/>
                <w:szCs w:val="18"/>
              </w:rPr>
            </w:pPr>
            <w:r w:rsidRPr="00E34D81">
              <w:rPr>
                <w:rFonts w:ascii="Book Antiqua" w:hAnsi="Book Antiqua" w:cs="Calibri"/>
                <w:color w:val="000000"/>
                <w:sz w:val="18"/>
                <w:szCs w:val="18"/>
              </w:rPr>
              <w:t>1,200,000.00</w:t>
            </w:r>
          </w:p>
        </w:tc>
        <w:tc>
          <w:tcPr>
            <w:tcW w:w="846" w:type="dxa"/>
            <w:gridSpan w:val="2"/>
            <w:tcBorders>
              <w:top w:val="nil"/>
              <w:left w:val="nil"/>
              <w:bottom w:val="single" w:sz="8" w:space="0" w:color="auto"/>
              <w:right w:val="single" w:sz="8" w:space="0" w:color="auto"/>
            </w:tcBorders>
            <w:shd w:val="clear" w:color="auto" w:fill="auto"/>
            <w:vAlign w:val="center"/>
            <w:hideMark/>
          </w:tcPr>
          <w:p w14:paraId="1BE7C420" w14:textId="77777777" w:rsidR="009D6D4E" w:rsidRPr="00E34D81" w:rsidRDefault="009D6D4E" w:rsidP="00BF3B71">
            <w:pPr>
              <w:jc w:val="center"/>
              <w:rPr>
                <w:color w:val="000000"/>
                <w:sz w:val="18"/>
                <w:szCs w:val="18"/>
              </w:rPr>
            </w:pPr>
            <w:r w:rsidRPr="00E34D81">
              <w:rPr>
                <w:color w:val="000000"/>
                <w:sz w:val="18"/>
                <w:szCs w:val="18"/>
              </w:rPr>
              <w:t>0.00</w:t>
            </w:r>
          </w:p>
        </w:tc>
        <w:tc>
          <w:tcPr>
            <w:tcW w:w="1691" w:type="dxa"/>
            <w:tcBorders>
              <w:top w:val="nil"/>
              <w:left w:val="nil"/>
              <w:bottom w:val="single" w:sz="8" w:space="0" w:color="auto"/>
              <w:right w:val="single" w:sz="8" w:space="0" w:color="auto"/>
            </w:tcBorders>
            <w:shd w:val="clear" w:color="auto" w:fill="auto"/>
            <w:vAlign w:val="center"/>
            <w:hideMark/>
          </w:tcPr>
          <w:p w14:paraId="255BC5FC" w14:textId="77777777" w:rsidR="009D6D4E" w:rsidRPr="00E34D81" w:rsidRDefault="009D6D4E" w:rsidP="00BF3B71">
            <w:pPr>
              <w:jc w:val="center"/>
              <w:rPr>
                <w:color w:val="000000"/>
                <w:sz w:val="18"/>
                <w:szCs w:val="18"/>
              </w:rPr>
            </w:pPr>
            <w:r w:rsidRPr="00E34D81">
              <w:rPr>
                <w:color w:val="000000"/>
                <w:sz w:val="18"/>
                <w:szCs w:val="18"/>
              </w:rPr>
              <w:t>0.00</w:t>
            </w:r>
          </w:p>
        </w:tc>
        <w:tc>
          <w:tcPr>
            <w:tcW w:w="986" w:type="dxa"/>
            <w:gridSpan w:val="2"/>
            <w:tcBorders>
              <w:top w:val="nil"/>
              <w:left w:val="nil"/>
              <w:bottom w:val="single" w:sz="8" w:space="0" w:color="auto"/>
              <w:right w:val="single" w:sz="8" w:space="0" w:color="auto"/>
            </w:tcBorders>
            <w:shd w:val="clear" w:color="auto" w:fill="auto"/>
            <w:vAlign w:val="center"/>
            <w:hideMark/>
          </w:tcPr>
          <w:p w14:paraId="4CC71D87" w14:textId="77777777" w:rsidR="009D6D4E" w:rsidRPr="00E34D81" w:rsidRDefault="009D6D4E" w:rsidP="00BF3B71">
            <w:pPr>
              <w:jc w:val="center"/>
              <w:rPr>
                <w:color w:val="000000"/>
                <w:sz w:val="18"/>
                <w:szCs w:val="18"/>
              </w:rPr>
            </w:pPr>
            <w:r w:rsidRPr="00E34D81">
              <w:rPr>
                <w:color w:val="000000"/>
                <w:sz w:val="18"/>
                <w:szCs w:val="18"/>
              </w:rPr>
              <w:t>0.00</w:t>
            </w:r>
          </w:p>
        </w:tc>
        <w:tc>
          <w:tcPr>
            <w:tcW w:w="1321" w:type="dxa"/>
            <w:tcBorders>
              <w:top w:val="nil"/>
              <w:left w:val="nil"/>
              <w:bottom w:val="single" w:sz="8" w:space="0" w:color="auto"/>
              <w:right w:val="single" w:sz="8" w:space="0" w:color="auto"/>
            </w:tcBorders>
            <w:shd w:val="clear" w:color="auto" w:fill="auto"/>
            <w:vAlign w:val="center"/>
            <w:hideMark/>
          </w:tcPr>
          <w:p w14:paraId="0DC49ABD" w14:textId="77777777" w:rsidR="009D6D4E" w:rsidRPr="00E34D81" w:rsidRDefault="009D6D4E" w:rsidP="00BF3B71">
            <w:pPr>
              <w:jc w:val="both"/>
              <w:rPr>
                <w:rFonts w:ascii="Book Antiqua" w:hAnsi="Book Antiqua" w:cs="Calibri"/>
                <w:color w:val="000000"/>
                <w:sz w:val="18"/>
                <w:szCs w:val="18"/>
              </w:rPr>
            </w:pPr>
            <w:r w:rsidRPr="00E34D81">
              <w:rPr>
                <w:rFonts w:ascii="Book Antiqua" w:hAnsi="Book Antiqua" w:cs="Calibri"/>
                <w:color w:val="000000"/>
                <w:sz w:val="18"/>
                <w:szCs w:val="18"/>
              </w:rPr>
              <w:t>1,150,000.00</w:t>
            </w:r>
          </w:p>
        </w:tc>
        <w:tc>
          <w:tcPr>
            <w:tcW w:w="826" w:type="dxa"/>
            <w:gridSpan w:val="2"/>
            <w:tcBorders>
              <w:top w:val="nil"/>
              <w:left w:val="nil"/>
              <w:bottom w:val="single" w:sz="8" w:space="0" w:color="auto"/>
              <w:right w:val="single" w:sz="8" w:space="0" w:color="auto"/>
            </w:tcBorders>
            <w:shd w:val="clear" w:color="auto" w:fill="auto"/>
            <w:vAlign w:val="center"/>
            <w:hideMark/>
          </w:tcPr>
          <w:p w14:paraId="4A70FE34" w14:textId="77777777" w:rsidR="009D6D4E" w:rsidRPr="00E34D81" w:rsidRDefault="009D6D4E" w:rsidP="00BF3B71">
            <w:pPr>
              <w:jc w:val="center"/>
              <w:rPr>
                <w:color w:val="000000"/>
                <w:sz w:val="18"/>
                <w:szCs w:val="18"/>
              </w:rPr>
            </w:pPr>
            <w:r w:rsidRPr="00E34D81">
              <w:rPr>
                <w:color w:val="000000"/>
                <w:sz w:val="18"/>
                <w:szCs w:val="18"/>
              </w:rPr>
              <w:t>0.00</w:t>
            </w:r>
          </w:p>
        </w:tc>
        <w:tc>
          <w:tcPr>
            <w:tcW w:w="1240" w:type="dxa"/>
            <w:tcBorders>
              <w:top w:val="nil"/>
              <w:left w:val="nil"/>
              <w:bottom w:val="single" w:sz="8" w:space="0" w:color="auto"/>
              <w:right w:val="single" w:sz="8" w:space="0" w:color="auto"/>
            </w:tcBorders>
            <w:shd w:val="clear" w:color="auto" w:fill="auto"/>
            <w:vAlign w:val="center"/>
            <w:hideMark/>
          </w:tcPr>
          <w:p w14:paraId="6BD4FDE9" w14:textId="77777777" w:rsidR="009D6D4E" w:rsidRPr="00E34D81" w:rsidRDefault="009D6D4E" w:rsidP="00BF3B71">
            <w:pPr>
              <w:jc w:val="center"/>
              <w:rPr>
                <w:color w:val="000000"/>
                <w:sz w:val="18"/>
                <w:szCs w:val="18"/>
              </w:rPr>
            </w:pPr>
            <w:r w:rsidRPr="00E34D81">
              <w:rPr>
                <w:color w:val="000000"/>
                <w:sz w:val="18"/>
                <w:szCs w:val="18"/>
              </w:rPr>
              <w:t>0.00</w:t>
            </w:r>
          </w:p>
        </w:tc>
        <w:tc>
          <w:tcPr>
            <w:tcW w:w="1343" w:type="dxa"/>
            <w:tcBorders>
              <w:top w:val="nil"/>
              <w:left w:val="nil"/>
              <w:bottom w:val="single" w:sz="8" w:space="0" w:color="auto"/>
              <w:right w:val="single" w:sz="8" w:space="0" w:color="auto"/>
            </w:tcBorders>
            <w:shd w:val="clear" w:color="auto" w:fill="auto"/>
            <w:vAlign w:val="center"/>
            <w:hideMark/>
          </w:tcPr>
          <w:p w14:paraId="651DB87F" w14:textId="77777777" w:rsidR="009D6D4E" w:rsidRPr="00CB6955" w:rsidRDefault="009D6D4E" w:rsidP="00BF3B71">
            <w:pPr>
              <w:jc w:val="right"/>
              <w:rPr>
                <w:b/>
                <w:bCs/>
                <w:color w:val="000000"/>
                <w:sz w:val="18"/>
                <w:szCs w:val="18"/>
              </w:rPr>
            </w:pPr>
            <w:r w:rsidRPr="00CB6955">
              <w:rPr>
                <w:b/>
                <w:bCs/>
                <w:color w:val="000000"/>
                <w:sz w:val="18"/>
                <w:szCs w:val="18"/>
              </w:rPr>
              <w:t>2,350,000</w:t>
            </w:r>
          </w:p>
        </w:tc>
      </w:tr>
      <w:tr w:rsidR="009D6D4E" w:rsidRPr="00E34D81" w14:paraId="04107F25" w14:textId="77777777" w:rsidTr="00BF3B71">
        <w:trPr>
          <w:trHeight w:val="280"/>
        </w:trPr>
        <w:tc>
          <w:tcPr>
            <w:tcW w:w="661" w:type="dxa"/>
            <w:tcBorders>
              <w:top w:val="nil"/>
              <w:left w:val="single" w:sz="8" w:space="0" w:color="auto"/>
              <w:bottom w:val="single" w:sz="8" w:space="0" w:color="auto"/>
              <w:right w:val="single" w:sz="8" w:space="0" w:color="auto"/>
            </w:tcBorders>
            <w:shd w:val="clear" w:color="auto" w:fill="auto"/>
            <w:vAlign w:val="center"/>
            <w:hideMark/>
          </w:tcPr>
          <w:p w14:paraId="512EDCE7" w14:textId="77777777" w:rsidR="009D6D4E" w:rsidRPr="00E34D81" w:rsidRDefault="009D6D4E" w:rsidP="00BF3B71">
            <w:pPr>
              <w:jc w:val="both"/>
              <w:rPr>
                <w:color w:val="000000"/>
                <w:sz w:val="18"/>
                <w:szCs w:val="18"/>
              </w:rPr>
            </w:pPr>
            <w:r w:rsidRPr="00E34D81">
              <w:rPr>
                <w:color w:val="000000"/>
                <w:sz w:val="18"/>
                <w:szCs w:val="18"/>
              </w:rPr>
              <w:t>2022</w:t>
            </w:r>
          </w:p>
        </w:tc>
        <w:tc>
          <w:tcPr>
            <w:tcW w:w="1251" w:type="dxa"/>
            <w:tcBorders>
              <w:top w:val="nil"/>
              <w:left w:val="nil"/>
              <w:bottom w:val="single" w:sz="8" w:space="0" w:color="auto"/>
              <w:right w:val="single" w:sz="8" w:space="0" w:color="auto"/>
            </w:tcBorders>
            <w:shd w:val="clear" w:color="auto" w:fill="auto"/>
            <w:vAlign w:val="center"/>
            <w:hideMark/>
          </w:tcPr>
          <w:p w14:paraId="0DDD609D" w14:textId="77777777" w:rsidR="009D6D4E" w:rsidRPr="00CB6955" w:rsidRDefault="009D6D4E" w:rsidP="00BF3B71">
            <w:pPr>
              <w:jc w:val="both"/>
              <w:rPr>
                <w:rFonts w:ascii="Book Antiqua" w:hAnsi="Book Antiqua" w:cs="Calibri"/>
                <w:color w:val="000000" w:themeColor="text1"/>
                <w:sz w:val="18"/>
                <w:szCs w:val="18"/>
              </w:rPr>
            </w:pPr>
            <w:r w:rsidRPr="00CB6955">
              <w:rPr>
                <w:rFonts w:ascii="Book Antiqua" w:hAnsi="Book Antiqua" w:cs="Calibri"/>
                <w:color w:val="000000" w:themeColor="text1"/>
                <w:sz w:val="18"/>
                <w:szCs w:val="18"/>
              </w:rPr>
              <w:t>20,500,000.00</w:t>
            </w:r>
          </w:p>
        </w:tc>
        <w:tc>
          <w:tcPr>
            <w:tcW w:w="846" w:type="dxa"/>
            <w:gridSpan w:val="2"/>
            <w:tcBorders>
              <w:top w:val="nil"/>
              <w:left w:val="nil"/>
              <w:bottom w:val="single" w:sz="8" w:space="0" w:color="auto"/>
              <w:right w:val="single" w:sz="8" w:space="0" w:color="auto"/>
            </w:tcBorders>
            <w:shd w:val="clear" w:color="auto" w:fill="auto"/>
            <w:vAlign w:val="center"/>
            <w:hideMark/>
          </w:tcPr>
          <w:p w14:paraId="00D02096" w14:textId="77777777" w:rsidR="009D6D4E" w:rsidRPr="00CB6955" w:rsidRDefault="009D6D4E" w:rsidP="00BF3B71">
            <w:pPr>
              <w:jc w:val="center"/>
              <w:rPr>
                <w:color w:val="000000" w:themeColor="text1"/>
                <w:sz w:val="18"/>
                <w:szCs w:val="18"/>
              </w:rPr>
            </w:pPr>
            <w:r w:rsidRPr="00CB6955">
              <w:rPr>
                <w:color w:val="000000" w:themeColor="text1"/>
                <w:sz w:val="18"/>
                <w:szCs w:val="18"/>
              </w:rPr>
              <w:t>0.00</w:t>
            </w:r>
          </w:p>
        </w:tc>
        <w:tc>
          <w:tcPr>
            <w:tcW w:w="1691" w:type="dxa"/>
            <w:tcBorders>
              <w:top w:val="nil"/>
              <w:left w:val="nil"/>
              <w:bottom w:val="single" w:sz="8" w:space="0" w:color="auto"/>
              <w:right w:val="single" w:sz="8" w:space="0" w:color="auto"/>
            </w:tcBorders>
            <w:shd w:val="clear" w:color="auto" w:fill="auto"/>
            <w:vAlign w:val="center"/>
            <w:hideMark/>
          </w:tcPr>
          <w:p w14:paraId="4B7EBAC9" w14:textId="77777777" w:rsidR="009D6D4E" w:rsidRPr="00CB6955" w:rsidRDefault="009D6D4E" w:rsidP="00BF3B71">
            <w:pPr>
              <w:jc w:val="center"/>
              <w:rPr>
                <w:color w:val="000000" w:themeColor="text1"/>
                <w:sz w:val="18"/>
                <w:szCs w:val="18"/>
              </w:rPr>
            </w:pPr>
            <w:r w:rsidRPr="00CB6955">
              <w:rPr>
                <w:color w:val="000000" w:themeColor="text1"/>
                <w:sz w:val="18"/>
                <w:szCs w:val="18"/>
              </w:rPr>
              <w:t>0.00</w:t>
            </w:r>
          </w:p>
        </w:tc>
        <w:tc>
          <w:tcPr>
            <w:tcW w:w="986" w:type="dxa"/>
            <w:gridSpan w:val="2"/>
            <w:tcBorders>
              <w:top w:val="nil"/>
              <w:left w:val="nil"/>
              <w:bottom w:val="single" w:sz="8" w:space="0" w:color="auto"/>
              <w:right w:val="single" w:sz="8" w:space="0" w:color="auto"/>
            </w:tcBorders>
            <w:shd w:val="clear" w:color="auto" w:fill="auto"/>
            <w:vAlign w:val="center"/>
            <w:hideMark/>
          </w:tcPr>
          <w:p w14:paraId="57D095E0" w14:textId="77777777" w:rsidR="009D6D4E" w:rsidRPr="00CB6955" w:rsidRDefault="009D6D4E" w:rsidP="00BF3B71">
            <w:pPr>
              <w:jc w:val="center"/>
              <w:rPr>
                <w:color w:val="000000" w:themeColor="text1"/>
                <w:sz w:val="18"/>
                <w:szCs w:val="18"/>
              </w:rPr>
            </w:pPr>
            <w:r w:rsidRPr="00CB6955">
              <w:rPr>
                <w:color w:val="000000" w:themeColor="text1"/>
                <w:sz w:val="18"/>
                <w:szCs w:val="18"/>
              </w:rPr>
              <w:t>0.00</w:t>
            </w:r>
          </w:p>
        </w:tc>
        <w:tc>
          <w:tcPr>
            <w:tcW w:w="1321" w:type="dxa"/>
            <w:tcBorders>
              <w:top w:val="nil"/>
              <w:left w:val="nil"/>
              <w:bottom w:val="single" w:sz="8" w:space="0" w:color="auto"/>
              <w:right w:val="single" w:sz="8" w:space="0" w:color="auto"/>
            </w:tcBorders>
            <w:shd w:val="clear" w:color="auto" w:fill="auto"/>
            <w:vAlign w:val="center"/>
            <w:hideMark/>
          </w:tcPr>
          <w:p w14:paraId="7812840B" w14:textId="77777777" w:rsidR="009D6D4E" w:rsidRPr="00CB6955" w:rsidRDefault="009D6D4E" w:rsidP="00BF3B71">
            <w:pPr>
              <w:jc w:val="both"/>
              <w:rPr>
                <w:rFonts w:ascii="Book Antiqua" w:hAnsi="Book Antiqua" w:cs="Calibri"/>
                <w:color w:val="000000" w:themeColor="text1"/>
                <w:sz w:val="18"/>
                <w:szCs w:val="18"/>
              </w:rPr>
            </w:pPr>
            <w:r w:rsidRPr="00CB6955">
              <w:rPr>
                <w:rFonts w:ascii="Book Antiqua" w:hAnsi="Book Antiqua" w:cs="Calibri"/>
                <w:color w:val="000000" w:themeColor="text1"/>
                <w:sz w:val="18"/>
                <w:szCs w:val="18"/>
              </w:rPr>
              <w:t>500,000.00</w:t>
            </w:r>
          </w:p>
        </w:tc>
        <w:tc>
          <w:tcPr>
            <w:tcW w:w="826" w:type="dxa"/>
            <w:gridSpan w:val="2"/>
            <w:tcBorders>
              <w:top w:val="nil"/>
              <w:left w:val="nil"/>
              <w:bottom w:val="single" w:sz="8" w:space="0" w:color="auto"/>
              <w:right w:val="single" w:sz="8" w:space="0" w:color="auto"/>
            </w:tcBorders>
            <w:shd w:val="clear" w:color="auto" w:fill="auto"/>
            <w:vAlign w:val="center"/>
            <w:hideMark/>
          </w:tcPr>
          <w:p w14:paraId="796099BF" w14:textId="77777777" w:rsidR="009D6D4E" w:rsidRPr="00E34D81" w:rsidRDefault="009D6D4E" w:rsidP="00BF3B71">
            <w:pPr>
              <w:jc w:val="center"/>
              <w:rPr>
                <w:color w:val="000000"/>
                <w:sz w:val="18"/>
                <w:szCs w:val="18"/>
              </w:rPr>
            </w:pPr>
            <w:r w:rsidRPr="00E34D81">
              <w:rPr>
                <w:color w:val="000000"/>
                <w:sz w:val="18"/>
                <w:szCs w:val="18"/>
              </w:rPr>
              <w:t>0.00</w:t>
            </w:r>
          </w:p>
        </w:tc>
        <w:tc>
          <w:tcPr>
            <w:tcW w:w="1240" w:type="dxa"/>
            <w:tcBorders>
              <w:top w:val="nil"/>
              <w:left w:val="nil"/>
              <w:bottom w:val="single" w:sz="8" w:space="0" w:color="auto"/>
              <w:right w:val="single" w:sz="8" w:space="0" w:color="auto"/>
            </w:tcBorders>
            <w:shd w:val="clear" w:color="auto" w:fill="auto"/>
            <w:vAlign w:val="center"/>
            <w:hideMark/>
          </w:tcPr>
          <w:p w14:paraId="09F7290E" w14:textId="77777777" w:rsidR="009D6D4E" w:rsidRPr="00E34D81" w:rsidRDefault="009D6D4E" w:rsidP="00BF3B71">
            <w:pPr>
              <w:jc w:val="center"/>
              <w:rPr>
                <w:color w:val="000000"/>
                <w:sz w:val="18"/>
                <w:szCs w:val="18"/>
              </w:rPr>
            </w:pPr>
            <w:r w:rsidRPr="00E34D81">
              <w:rPr>
                <w:color w:val="000000"/>
                <w:sz w:val="18"/>
                <w:szCs w:val="18"/>
              </w:rPr>
              <w:t>0.00</w:t>
            </w:r>
          </w:p>
        </w:tc>
        <w:tc>
          <w:tcPr>
            <w:tcW w:w="1343" w:type="dxa"/>
            <w:tcBorders>
              <w:top w:val="nil"/>
              <w:left w:val="nil"/>
              <w:bottom w:val="single" w:sz="8" w:space="0" w:color="auto"/>
              <w:right w:val="single" w:sz="8" w:space="0" w:color="auto"/>
            </w:tcBorders>
            <w:shd w:val="clear" w:color="auto" w:fill="auto"/>
            <w:vAlign w:val="center"/>
            <w:hideMark/>
          </w:tcPr>
          <w:p w14:paraId="69EEAA84" w14:textId="77777777" w:rsidR="009D6D4E" w:rsidRPr="00CB6955" w:rsidRDefault="009D6D4E" w:rsidP="00BF3B71">
            <w:pPr>
              <w:jc w:val="right"/>
              <w:rPr>
                <w:b/>
                <w:bCs/>
                <w:color w:val="000000"/>
                <w:sz w:val="18"/>
                <w:szCs w:val="18"/>
              </w:rPr>
            </w:pPr>
            <w:r w:rsidRPr="00CB6955">
              <w:rPr>
                <w:b/>
                <w:bCs/>
                <w:color w:val="000000"/>
                <w:sz w:val="18"/>
                <w:szCs w:val="18"/>
              </w:rPr>
              <w:t>21,000,000</w:t>
            </w:r>
          </w:p>
        </w:tc>
      </w:tr>
    </w:tbl>
    <w:p w14:paraId="07EA6538" w14:textId="77777777" w:rsidR="009D6D4E" w:rsidRDefault="009D6D4E" w:rsidP="009D6D4E"/>
    <w:p w14:paraId="70E23B2B" w14:textId="77777777" w:rsidR="009D6D4E" w:rsidRPr="00554FAF" w:rsidRDefault="009D6D4E" w:rsidP="00085F16">
      <w:pPr>
        <w:spacing w:after="120"/>
        <w:rPr>
          <w:rFonts w:ascii="Times New Roman" w:hAnsi="Times New Roman" w:cs="Times New Roman"/>
          <w:sz w:val="24"/>
          <w:szCs w:val="24"/>
        </w:rPr>
      </w:pPr>
    </w:p>
    <w:sectPr w:rsidR="009D6D4E" w:rsidRPr="00554FAF">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CAA0BF" w14:textId="77777777" w:rsidR="00FC648F" w:rsidRDefault="00FC648F" w:rsidP="00823915">
      <w:pPr>
        <w:spacing w:after="0" w:line="240" w:lineRule="auto"/>
      </w:pPr>
      <w:r>
        <w:separator/>
      </w:r>
    </w:p>
  </w:endnote>
  <w:endnote w:type="continuationSeparator" w:id="0">
    <w:p w14:paraId="2FCDABDD" w14:textId="77777777" w:rsidR="00FC648F" w:rsidRDefault="00FC648F" w:rsidP="00823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auto"/>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icrosoft Uighur">
    <w:panose1 w:val="02000000000000000000"/>
    <w:charset w:val="00"/>
    <w:family w:val="auto"/>
    <w:pitch w:val="variable"/>
    <w:sig w:usb0="80002023" w:usb1="80000002" w:usb2="00000008" w:usb3="00000000" w:csb0="00000041"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imesNewRoman">
    <w:altName w:val="Cambria"/>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4231561"/>
      <w:docPartObj>
        <w:docPartGallery w:val="Page Numbers (Bottom of Page)"/>
        <w:docPartUnique/>
      </w:docPartObj>
    </w:sdtPr>
    <w:sdtEndPr>
      <w:rPr>
        <w:noProof/>
      </w:rPr>
    </w:sdtEndPr>
    <w:sdtContent>
      <w:p w14:paraId="5F401766" w14:textId="77777777" w:rsidR="00FC648F" w:rsidRDefault="00FC648F">
        <w:pPr>
          <w:pStyle w:val="Footer"/>
          <w:jc w:val="center"/>
        </w:pPr>
        <w:r>
          <w:fldChar w:fldCharType="begin"/>
        </w:r>
        <w:r>
          <w:instrText xml:space="preserve"> PAGE   \* MERGEFORMAT </w:instrText>
        </w:r>
        <w:r>
          <w:fldChar w:fldCharType="separate"/>
        </w:r>
        <w:r w:rsidR="009D10BE">
          <w:rPr>
            <w:noProof/>
          </w:rPr>
          <w:t>5</w:t>
        </w:r>
        <w:r>
          <w:rPr>
            <w:noProof/>
          </w:rPr>
          <w:fldChar w:fldCharType="end"/>
        </w:r>
      </w:p>
    </w:sdtContent>
  </w:sdt>
  <w:p w14:paraId="38CE810B" w14:textId="77777777" w:rsidR="00FC648F" w:rsidRDefault="00FC64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0734844"/>
      <w:docPartObj>
        <w:docPartGallery w:val="Page Numbers (Bottom of Page)"/>
        <w:docPartUnique/>
      </w:docPartObj>
    </w:sdtPr>
    <w:sdtEndPr>
      <w:rPr>
        <w:noProof/>
      </w:rPr>
    </w:sdtEndPr>
    <w:sdtContent>
      <w:p w14:paraId="6AAB4ADA" w14:textId="2929ADCC" w:rsidR="00FC648F" w:rsidRDefault="00FC648F">
        <w:pPr>
          <w:pStyle w:val="Footer"/>
          <w:jc w:val="right"/>
        </w:pPr>
        <w:r>
          <w:fldChar w:fldCharType="begin"/>
        </w:r>
        <w:r>
          <w:instrText xml:space="preserve"> PAGE   \* MERGEFORMAT </w:instrText>
        </w:r>
        <w:r>
          <w:fldChar w:fldCharType="separate"/>
        </w:r>
        <w:r w:rsidR="009D10BE">
          <w:rPr>
            <w:noProof/>
          </w:rPr>
          <w:t>68</w:t>
        </w:r>
        <w:r>
          <w:rPr>
            <w:noProof/>
          </w:rPr>
          <w:fldChar w:fldCharType="end"/>
        </w:r>
      </w:p>
    </w:sdtContent>
  </w:sdt>
  <w:p w14:paraId="0B48A23F" w14:textId="77777777" w:rsidR="00FC648F" w:rsidRDefault="00FC64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62F5D7" w14:textId="77777777" w:rsidR="00FC648F" w:rsidRDefault="00FC648F" w:rsidP="00823915">
      <w:pPr>
        <w:spacing w:after="0" w:line="240" w:lineRule="auto"/>
      </w:pPr>
      <w:r>
        <w:separator/>
      </w:r>
    </w:p>
  </w:footnote>
  <w:footnote w:type="continuationSeparator" w:id="0">
    <w:p w14:paraId="7EABFCEC" w14:textId="77777777" w:rsidR="00FC648F" w:rsidRDefault="00FC648F" w:rsidP="00823915">
      <w:pPr>
        <w:spacing w:after="0" w:line="240" w:lineRule="auto"/>
      </w:pPr>
      <w:r>
        <w:continuationSeparator/>
      </w:r>
    </w:p>
  </w:footnote>
  <w:footnote w:id="1">
    <w:p w14:paraId="049D69E8" w14:textId="77777777" w:rsidR="00FC648F" w:rsidRPr="008C2EB0" w:rsidRDefault="00FC648F" w:rsidP="00085F16">
      <w:pPr>
        <w:pStyle w:val="FootnoteText"/>
        <w:rPr>
          <w:lang w:val="en-US"/>
        </w:rPr>
      </w:pPr>
      <w:r>
        <w:rPr>
          <w:rStyle w:val="FootnoteReference"/>
        </w:rPr>
        <w:footnoteRef/>
      </w:r>
      <w:r>
        <w:t xml:space="preserve"> </w:t>
      </w:r>
      <w:r>
        <w:rPr>
          <w:lang w:val="en-US"/>
        </w:rPr>
        <w:t>WEO, përditësimi Tetor 2019</w:t>
      </w:r>
    </w:p>
  </w:footnote>
  <w:footnote w:id="2">
    <w:p w14:paraId="25F4A29A" w14:textId="77777777" w:rsidR="00FC648F" w:rsidRPr="008C2EB0" w:rsidRDefault="00FC648F" w:rsidP="00085F16">
      <w:pPr>
        <w:pStyle w:val="FootnoteText"/>
        <w:rPr>
          <w:lang w:val="en-US"/>
        </w:rPr>
      </w:pPr>
      <w:r>
        <w:rPr>
          <w:rStyle w:val="FootnoteReference"/>
        </w:rPr>
        <w:footnoteRef/>
      </w:r>
      <w:r>
        <w:t xml:space="preserve"> </w:t>
      </w:r>
      <w:r>
        <w:rPr>
          <w:lang w:val="en-US"/>
        </w:rPr>
        <w:t>Indeksi i cmimeve të konsumit, WEO, Tetor 2019</w:t>
      </w:r>
    </w:p>
  </w:footnote>
  <w:footnote w:id="3">
    <w:p w14:paraId="350EC610" w14:textId="77777777" w:rsidR="00FC648F" w:rsidRPr="00F20DF3" w:rsidRDefault="00FC648F" w:rsidP="00085F16">
      <w:pPr>
        <w:pStyle w:val="FootnoteText"/>
        <w:rPr>
          <w:szCs w:val="16"/>
        </w:rPr>
      </w:pPr>
      <w:r w:rsidRPr="00F20DF3">
        <w:rPr>
          <w:rStyle w:val="FootnoteReference"/>
          <w:szCs w:val="16"/>
        </w:rPr>
        <w:footnoteRef/>
      </w:r>
      <w:r w:rsidRPr="00F20DF3">
        <w:rPr>
          <w:szCs w:val="16"/>
        </w:rPr>
        <w:t xml:space="preserve"> </w:t>
      </w:r>
      <w:r>
        <w:rPr>
          <w:szCs w:val="16"/>
        </w:rPr>
        <w:t>BE, parashikimet ekonomike, Verë 2019</w:t>
      </w:r>
    </w:p>
  </w:footnote>
  <w:footnote w:id="4">
    <w:p w14:paraId="12D11EAB" w14:textId="77777777" w:rsidR="00FC648F" w:rsidRPr="00663D04" w:rsidRDefault="00FC648F" w:rsidP="00085F16">
      <w:pPr>
        <w:pStyle w:val="FootnoteText"/>
        <w:rPr>
          <w:lang w:val="en-US"/>
        </w:rPr>
      </w:pPr>
      <w:r>
        <w:rPr>
          <w:rStyle w:val="FootnoteReference"/>
        </w:rPr>
        <w:footnoteRef/>
      </w:r>
      <w:r>
        <w:t xml:space="preserve"> Inflacioni bazë mat ndryshimin e çmimeve të produkteve të shportës së konsumatorit, duke përjashtuar luhatshmërinë e përkohshme dhe tranzitore, e cila kryesisht karakterizon kategorinë e ushqimeve apo të energjisë.</w:t>
      </w:r>
    </w:p>
  </w:footnote>
  <w:footnote w:id="5">
    <w:p w14:paraId="7B924B34" w14:textId="77777777" w:rsidR="00FC648F" w:rsidRPr="00CF4271" w:rsidRDefault="00FC648F" w:rsidP="00085F16">
      <w:pPr>
        <w:pStyle w:val="FootnoteText"/>
      </w:pPr>
      <w:r w:rsidRPr="00CF4271">
        <w:rPr>
          <w:rStyle w:val="FootnoteReference"/>
        </w:rPr>
        <w:footnoteRef/>
      </w:r>
      <w:r w:rsidRPr="00CF4271">
        <w:t xml:space="preserve"> ULC represents the share of total</w:t>
      </w:r>
      <w:r>
        <w:t xml:space="preserve"> labour</w:t>
      </w:r>
      <w:r w:rsidRPr="00CF4271">
        <w:t xml:space="preserve"> compensation to nominal GDP</w:t>
      </w:r>
    </w:p>
  </w:footnote>
  <w:footnote w:id="6">
    <w:p w14:paraId="365BF5DD" w14:textId="77777777" w:rsidR="00FC648F" w:rsidRPr="00C707EE" w:rsidRDefault="00FC648F" w:rsidP="00085F16">
      <w:pPr>
        <w:pStyle w:val="FootnoteText"/>
        <w:rPr>
          <w:lang w:val="en-US"/>
        </w:rPr>
      </w:pPr>
      <w:r>
        <w:rPr>
          <w:rStyle w:val="FootnoteReference"/>
        </w:rPr>
        <w:footnoteRef/>
      </w:r>
      <w:r>
        <w:t xml:space="preserve"> </w:t>
      </w:r>
      <w:r>
        <w:rPr>
          <w:lang w:val="en-US"/>
        </w:rPr>
        <w:t xml:space="preserve">World Bank Top 20 Reformers </w:t>
      </w:r>
      <w:hyperlink r:id="rId1" w:history="1">
        <w:r w:rsidRPr="00C707EE">
          <w:rPr>
            <w:rStyle w:val="Hyperlink"/>
            <w:sz w:val="18"/>
          </w:rPr>
          <w:t>https://www.doingbusiness.org/en/reforms/top-20-reformers-in-db2020</w:t>
        </w:r>
      </w:hyperlink>
      <w:r w:rsidRPr="00C707EE">
        <w:rPr>
          <w:rFonts w:ascii="Segoe UI" w:hAnsi="Segoe UI" w:cs="Segoe UI"/>
          <w:color w:val="000000"/>
          <w:sz w:val="18"/>
        </w:rPr>
        <w:t xml:space="preserve"> </w:t>
      </w:r>
    </w:p>
  </w:footnote>
  <w:footnote w:id="7">
    <w:p w14:paraId="00F3EF63" w14:textId="77777777" w:rsidR="00FC648F" w:rsidRPr="00CF6A68" w:rsidRDefault="00FC648F" w:rsidP="00085F16">
      <w:pPr>
        <w:pStyle w:val="FootnoteText"/>
        <w:rPr>
          <w:lang w:val="en-US"/>
        </w:rPr>
      </w:pPr>
      <w:r>
        <w:rPr>
          <w:rStyle w:val="FootnoteReference"/>
        </w:rPr>
        <w:footnoteRef/>
      </w:r>
      <w:r>
        <w:t xml:space="preserve"> </w:t>
      </w:r>
      <w:r w:rsidRPr="006621FC">
        <w:rPr>
          <w:szCs w:val="16"/>
        </w:rPr>
        <w:t xml:space="preserve">REER- është mesatarja e </w:t>
      </w:r>
      <w:r>
        <w:rPr>
          <w:szCs w:val="16"/>
        </w:rPr>
        <w:t>peshuar</w:t>
      </w:r>
      <w:r w:rsidRPr="006621FC">
        <w:rPr>
          <w:szCs w:val="16"/>
        </w:rPr>
        <w:t xml:space="preserve"> e </w:t>
      </w:r>
      <w:r>
        <w:rPr>
          <w:szCs w:val="16"/>
        </w:rPr>
        <w:t>valutës</w:t>
      </w:r>
      <w:r w:rsidRPr="006621FC">
        <w:rPr>
          <w:szCs w:val="16"/>
        </w:rPr>
        <w:t xml:space="preserve"> së një vendi në </w:t>
      </w:r>
      <w:r>
        <w:rPr>
          <w:szCs w:val="16"/>
        </w:rPr>
        <w:t>raport</w:t>
      </w:r>
      <w:r w:rsidRPr="006621FC">
        <w:rPr>
          <w:szCs w:val="16"/>
        </w:rPr>
        <w:t xml:space="preserve"> me një indeks ose shportë të </w:t>
      </w:r>
      <w:r>
        <w:rPr>
          <w:szCs w:val="16"/>
        </w:rPr>
        <w:t>valutave</w:t>
      </w:r>
      <w:r w:rsidRPr="006621FC">
        <w:rPr>
          <w:szCs w:val="16"/>
        </w:rPr>
        <w:t xml:space="preserve"> të tjera kryesore, të rregulluar</w:t>
      </w:r>
      <w:r>
        <w:rPr>
          <w:szCs w:val="16"/>
        </w:rPr>
        <w:t>a</w:t>
      </w:r>
      <w:r w:rsidRPr="006621FC">
        <w:rPr>
          <w:szCs w:val="16"/>
        </w:rPr>
        <w:t xml:space="preserve"> për efektet e inflacionit; ndërsa NEER (kursi nominal efektiv i këmbimit) nuk është i </w:t>
      </w:r>
      <w:r>
        <w:rPr>
          <w:szCs w:val="16"/>
        </w:rPr>
        <w:t>regulluar</w:t>
      </w:r>
      <w:r w:rsidRPr="006621FC">
        <w:rPr>
          <w:szCs w:val="16"/>
        </w:rPr>
        <w:t xml:space="preserve"> për inflacionin.</w:t>
      </w:r>
    </w:p>
  </w:footnote>
  <w:footnote w:id="8">
    <w:p w14:paraId="2933631C" w14:textId="77777777" w:rsidR="00FC648F" w:rsidRPr="00140810" w:rsidRDefault="00FC648F" w:rsidP="00085F16">
      <w:pPr>
        <w:pStyle w:val="FootnoteText"/>
        <w:rPr>
          <w:lang w:val="en-US"/>
        </w:rPr>
      </w:pPr>
      <w:r>
        <w:rPr>
          <w:rStyle w:val="FootnoteReference"/>
        </w:rPr>
        <w:footnoteRef/>
      </w:r>
      <w:r>
        <w:t xml:space="preserve"> 3 Indeksi i Herfindal-Hirschman kalkulohet bazuar në shumat e katrorëve të pjesëmarrjes të secilit produkt në eksportet totale. Një shtet me nje portfolio të diversifikuar të eksportit ka një indeks afër zero, ndërsa një që eksporton vetëm një lloj produkti ka një indeks me vlerën 1.</w:t>
      </w:r>
    </w:p>
  </w:footnote>
  <w:footnote w:id="9">
    <w:p w14:paraId="336E0137" w14:textId="77777777" w:rsidR="00FC648F" w:rsidRPr="006621FC" w:rsidRDefault="00FC648F" w:rsidP="00085F16">
      <w:pPr>
        <w:pStyle w:val="FootnoteText"/>
        <w:rPr>
          <w:lang w:val="en-US"/>
        </w:rPr>
      </w:pPr>
      <w:r>
        <w:rPr>
          <w:rStyle w:val="FootnoteReference"/>
        </w:rPr>
        <w:footnoteRef/>
      </w:r>
      <w:r>
        <w:t xml:space="preserve"> </w:t>
      </w:r>
      <w:r w:rsidRPr="006621FC">
        <w:t>Indeksi i Hapjes</w:t>
      </w:r>
      <w:r>
        <w:t xml:space="preserve"> së Tregtisë</w:t>
      </w:r>
      <w:r w:rsidRPr="006621FC">
        <w:t xml:space="preserve"> është një metrikë ekonomike e llogaritur si raporti i tregtisë totale të vendit, shumës së eksporteve plus importeve, </w:t>
      </w:r>
      <w:r>
        <w:t>ndaj BPV-së</w:t>
      </w:r>
      <w:r w:rsidRPr="006621FC">
        <w:t>. = (Eksportet + Importet) / (</w:t>
      </w:r>
      <w:r>
        <w:t>BPV</w:t>
      </w:r>
      <w:r w:rsidRPr="006621FC">
        <w:t>). "Sa më i lartë indeksi, aq më shumë ndikim ka tregtia në veprimtarinë e vendit të këtij vendi."</w:t>
      </w:r>
    </w:p>
  </w:footnote>
  <w:footnote w:id="10">
    <w:p w14:paraId="1E316A5F" w14:textId="77777777" w:rsidR="00FC648F" w:rsidRPr="009239BD" w:rsidRDefault="00FC648F" w:rsidP="00085F16">
      <w:pPr>
        <w:pStyle w:val="FootnoteText"/>
        <w:rPr>
          <w:lang w:val="en-US"/>
        </w:rPr>
      </w:pPr>
      <w:r>
        <w:rPr>
          <w:rStyle w:val="FootnoteReference"/>
        </w:rPr>
        <w:footnoteRef/>
      </w:r>
      <w:r>
        <w:t xml:space="preserve"> Mesatarja e shtator 2018/ shtator 2017 (e aplikuar edhe në krahasimet tjera në tekst) </w:t>
      </w:r>
    </w:p>
  </w:footnote>
  <w:footnote w:id="11">
    <w:p w14:paraId="68CA7000" w14:textId="77777777" w:rsidR="00FC648F" w:rsidRPr="005A7AC2" w:rsidRDefault="00FC648F" w:rsidP="00085F16">
      <w:pPr>
        <w:pStyle w:val="FootnoteText"/>
        <w:rPr>
          <w:lang w:val="en-US"/>
        </w:rPr>
      </w:pPr>
      <w:r>
        <w:rPr>
          <w:rStyle w:val="FootnoteReference"/>
        </w:rPr>
        <w:footnoteRef/>
      </w:r>
      <w:r>
        <w:t xml:space="preserve"> Drafti final i PRE (2020) do të përfshijë një vlerësim të deri 5 reforma strukturore, të cilat kanë impaktin më të madh ekonomik në periudhën afatmesme. </w:t>
      </w:r>
    </w:p>
  </w:footnote>
  <w:footnote w:id="12">
    <w:p w14:paraId="39379C03" w14:textId="77777777" w:rsidR="00FC648F" w:rsidRPr="002C68A9" w:rsidRDefault="00FC648F" w:rsidP="00085F16">
      <w:pPr>
        <w:pStyle w:val="FootnoteText"/>
        <w:rPr>
          <w:lang w:val="en-US"/>
        </w:rPr>
      </w:pPr>
      <w:r>
        <w:rPr>
          <w:rStyle w:val="FootnoteReference"/>
        </w:rPr>
        <w:footnoteRef/>
      </w:r>
      <w:r>
        <w:t xml:space="preserve"> </w:t>
      </w:r>
      <w:r w:rsidRPr="005A7AC2">
        <w:rPr>
          <w:lang w:val="en-US"/>
        </w:rPr>
        <w:t>Vlerësimi i ndikimit ekonomik të reformave strukturore është realizuar duke përdorur një metodologji të re që konsiston në modelin e ekuilibrit të përgjithshëm të llogaritshëm</w:t>
      </w:r>
      <w:r>
        <w:rPr>
          <w:lang w:val="en-US"/>
        </w:rPr>
        <w:t xml:space="preserve"> (CGE)</w:t>
      </w:r>
      <w:r w:rsidRPr="005A7AC2">
        <w:rPr>
          <w:lang w:val="en-US"/>
        </w:rPr>
        <w:t>, mbi të cilin mund të gjendet një përshkrim i shkurtër në figurën 1 të Shtojcës.</w:t>
      </w:r>
    </w:p>
  </w:footnote>
  <w:footnote w:id="13">
    <w:p w14:paraId="2568DF61" w14:textId="77777777" w:rsidR="00FC648F" w:rsidRPr="00867ECD" w:rsidRDefault="00FC648F" w:rsidP="00085F16">
      <w:pPr>
        <w:jc w:val="both"/>
        <w:rPr>
          <w:rFonts w:ascii="Calibri" w:hAnsi="Calibri" w:cs="Calibri"/>
          <w:sz w:val="16"/>
          <w:szCs w:val="16"/>
        </w:rPr>
      </w:pPr>
      <w:r w:rsidRPr="00867ECD">
        <w:rPr>
          <w:rStyle w:val="FootnoteReference"/>
        </w:rPr>
        <w:footnoteRef/>
      </w:r>
      <w:r w:rsidRPr="00867ECD">
        <w:rPr>
          <w:sz w:val="16"/>
          <w:szCs w:val="16"/>
        </w:rPr>
        <w:t xml:space="preserve"> </w:t>
      </w:r>
      <w:r w:rsidRPr="00696705">
        <w:rPr>
          <w:sz w:val="16"/>
          <w:szCs w:val="16"/>
        </w:rPr>
        <w:t xml:space="preserve">Rritja e akumulimit të kapitalit </w:t>
      </w:r>
      <w:r>
        <w:rPr>
          <w:sz w:val="16"/>
          <w:szCs w:val="16"/>
        </w:rPr>
        <w:t>ndihmon</w:t>
      </w:r>
      <w:r w:rsidRPr="00696705">
        <w:rPr>
          <w:sz w:val="16"/>
          <w:szCs w:val="16"/>
        </w:rPr>
        <w:t xml:space="preserve"> sektorët që janë më intensivë </w:t>
      </w:r>
      <w:r>
        <w:rPr>
          <w:sz w:val="16"/>
          <w:szCs w:val="16"/>
        </w:rPr>
        <w:t>në</w:t>
      </w:r>
      <w:r w:rsidRPr="00696705">
        <w:rPr>
          <w:sz w:val="16"/>
          <w:szCs w:val="16"/>
        </w:rPr>
        <w:t xml:space="preserve"> kapital, duke çuar në uljen e çmimit relativ të kapitalit dhe rritjen e pagave. Pagat më të larta rritin deflatorin e furnizimit të shërbimeve publike dhe rrisin konsumin nominal për një nivel të caktuar të konsumit publik.</w:t>
      </w:r>
    </w:p>
    <w:p w14:paraId="434E603C" w14:textId="77777777" w:rsidR="00FC648F" w:rsidRPr="00FC648F" w:rsidRDefault="00FC648F" w:rsidP="00085F16">
      <w:pPr>
        <w:pStyle w:val="FootnoteText"/>
        <w:rPr>
          <w:lang w:val="sq-AL"/>
        </w:rPr>
      </w:pPr>
    </w:p>
  </w:footnote>
  <w:footnote w:id="14">
    <w:p w14:paraId="30CEA907" w14:textId="77777777" w:rsidR="00FC648F" w:rsidRPr="00AA26FA" w:rsidRDefault="00FC648F" w:rsidP="00085F16">
      <w:pPr>
        <w:rPr>
          <w:rStyle w:val="FootnoteReference"/>
          <w:sz w:val="16"/>
          <w:szCs w:val="16"/>
        </w:rPr>
      </w:pPr>
      <w:r w:rsidRPr="001907B7">
        <w:rPr>
          <w:rStyle w:val="FootnoteReference"/>
          <w:sz w:val="16"/>
          <w:szCs w:val="20"/>
        </w:rPr>
        <w:footnoteRef/>
      </w:r>
      <w:r w:rsidRPr="001907B7">
        <w:rPr>
          <w:rStyle w:val="FootnoteReference"/>
          <w:sz w:val="16"/>
          <w:szCs w:val="20"/>
        </w:rPr>
        <w:t xml:space="preserve"> </w:t>
      </w:r>
      <w:r w:rsidRPr="00AA26FA">
        <w:rPr>
          <w:sz w:val="16"/>
          <w:szCs w:val="16"/>
        </w:rPr>
        <w:t>Ky zë ngërthen në vete tatimin e mbajtur në burim, tatimin nga të ardhurat e biznesit individual si dhe tatimin në interes, qira dhe lojëra të fatit</w:t>
      </w:r>
    </w:p>
  </w:footnote>
  <w:footnote w:id="15">
    <w:p w14:paraId="0337331C" w14:textId="77777777" w:rsidR="00FC648F" w:rsidRPr="004B2439" w:rsidRDefault="00FC648F" w:rsidP="00085F16">
      <w:pPr>
        <w:pStyle w:val="FootnoteText"/>
        <w:rPr>
          <w:lang w:val="en-US"/>
        </w:rPr>
      </w:pPr>
      <w:r>
        <w:rPr>
          <w:rStyle w:val="FootnoteReference"/>
        </w:rPr>
        <w:footnoteRef/>
      </w:r>
      <w:r>
        <w:t xml:space="preserve"> </w:t>
      </w:r>
      <w:r>
        <w:rPr>
          <w:lang w:val="en-US"/>
        </w:rPr>
        <w:t>Agjensioni Rregullativ I Komunikimeve Elektronike dhe Postare</w:t>
      </w:r>
    </w:p>
  </w:footnote>
  <w:footnote w:id="16">
    <w:p w14:paraId="77B06A2C" w14:textId="77777777" w:rsidR="00FC648F" w:rsidRPr="004E221D" w:rsidRDefault="00FC648F" w:rsidP="00085F16">
      <w:pPr>
        <w:pStyle w:val="FootnoteText"/>
        <w:rPr>
          <w:szCs w:val="16"/>
        </w:rPr>
      </w:pPr>
      <w:r w:rsidRPr="004E221D">
        <w:rPr>
          <w:rStyle w:val="FootnoteReference"/>
          <w:szCs w:val="16"/>
        </w:rPr>
        <w:footnoteRef/>
      </w:r>
      <w:r w:rsidRPr="004E221D">
        <w:rPr>
          <w:szCs w:val="16"/>
          <w:lang w:val="sq-AL"/>
        </w:rPr>
        <w:t xml:space="preserve"> Ministria e Drejtësisë, Këshilli Gjyqësor i Kosovës, Këshilli Prokurorial i Kosovës, Gjykata Kushtetuese, Avokati i Popullit, Agjencioni për ndihmë juridike falas, Agjencioni Kosovar i Intelegjencës, Ministria e Punëve të Brendshme.</w:t>
      </w:r>
    </w:p>
  </w:footnote>
  <w:footnote w:id="17">
    <w:p w14:paraId="45E6123F" w14:textId="77777777" w:rsidR="00FC648F" w:rsidRPr="00275288" w:rsidRDefault="00FC648F" w:rsidP="00085F16">
      <w:pPr>
        <w:pStyle w:val="FootnoteText"/>
        <w:rPr>
          <w:sz w:val="14"/>
          <w:szCs w:val="14"/>
        </w:rPr>
      </w:pPr>
      <w:r w:rsidRPr="004E221D">
        <w:rPr>
          <w:rStyle w:val="FootnoteReference"/>
          <w:szCs w:val="16"/>
        </w:rPr>
        <w:footnoteRef/>
      </w:r>
      <w:r w:rsidRPr="004E221D">
        <w:rPr>
          <w:szCs w:val="16"/>
        </w:rPr>
        <w:t xml:space="preserve"> FSK</w:t>
      </w:r>
    </w:p>
  </w:footnote>
  <w:footnote w:id="18">
    <w:p w14:paraId="2656D9D3" w14:textId="77777777" w:rsidR="00FC648F" w:rsidRPr="004E221D" w:rsidRDefault="00FC648F" w:rsidP="00085F16">
      <w:pPr>
        <w:pStyle w:val="FootnoteText"/>
        <w:rPr>
          <w:szCs w:val="16"/>
        </w:rPr>
      </w:pPr>
      <w:r w:rsidRPr="004E221D">
        <w:rPr>
          <w:rStyle w:val="FootnoteReference"/>
          <w:szCs w:val="16"/>
        </w:rPr>
        <w:footnoteRef/>
      </w:r>
      <w:r w:rsidRPr="004E221D">
        <w:rPr>
          <w:szCs w:val="16"/>
        </w:rPr>
        <w:t xml:space="preserve"> Ministria e Ambientit dhe Planifikimit Hapësinor, Autoriteti Rregullativ i Ujrave.</w:t>
      </w:r>
    </w:p>
  </w:footnote>
  <w:footnote w:id="19">
    <w:p w14:paraId="6CEF2C72" w14:textId="77777777" w:rsidR="00FC648F" w:rsidRPr="004E221D" w:rsidRDefault="00FC648F" w:rsidP="00085F16">
      <w:pPr>
        <w:pStyle w:val="FootnoteText"/>
        <w:rPr>
          <w:szCs w:val="16"/>
        </w:rPr>
      </w:pPr>
      <w:r w:rsidRPr="004E221D">
        <w:rPr>
          <w:rStyle w:val="FootnoteReference"/>
          <w:szCs w:val="16"/>
        </w:rPr>
        <w:footnoteRef/>
      </w:r>
      <w:r w:rsidRPr="004E221D">
        <w:rPr>
          <w:szCs w:val="16"/>
        </w:rPr>
        <w:t xml:space="preserve"> Ministria e Infrastrukturës, Ministria e Zhvillimit Ekonomik, Ministria e Tregtisë dhe Industrisë, Agjencioni Kosovar I Privatizimit, Autoriteti Rregullative për Komunikime Elektronike dhe Postare, Agjencioni Kosovar I Konkurrencës, Komisioni I Pavarur I Minierave dhe Mineraleve, Autoriteti I Aviacionit Civil,  Autoriteti Rregullativ I Hekurudhave, Agjencioni I Shërbimeve të Navigimit Ajror. Zyra Rregullative e Energjisë, Ministria e Inovacionit dhe Ndërrmarrësisë, Ministria e Zhvillimit Rajonal.</w:t>
      </w:r>
    </w:p>
  </w:footnote>
  <w:footnote w:id="20">
    <w:p w14:paraId="2E89057B" w14:textId="77777777" w:rsidR="00FC648F" w:rsidRPr="004E221D" w:rsidRDefault="00FC648F" w:rsidP="00085F16">
      <w:pPr>
        <w:pStyle w:val="HTMLPreformatted"/>
        <w:shd w:val="clear" w:color="auto" w:fill="FFFFFF"/>
        <w:rPr>
          <w:rFonts w:ascii="Times New Roman" w:hAnsi="Times New Roman" w:cs="Times New Roman"/>
          <w:color w:val="212121"/>
          <w:sz w:val="16"/>
          <w:szCs w:val="16"/>
        </w:rPr>
      </w:pPr>
      <w:r w:rsidRPr="004E221D">
        <w:rPr>
          <w:rStyle w:val="FootnoteReference"/>
          <w:rFonts w:ascii="Times New Roman" w:hAnsi="Times New Roman" w:cs="Times New Roman"/>
          <w:sz w:val="16"/>
          <w:szCs w:val="16"/>
        </w:rPr>
        <w:footnoteRef/>
      </w:r>
      <w:r w:rsidRPr="004E221D">
        <w:rPr>
          <w:rFonts w:ascii="Times New Roman" w:hAnsi="Times New Roman" w:cs="Times New Roman"/>
          <w:sz w:val="16"/>
          <w:szCs w:val="16"/>
        </w:rPr>
        <w:t xml:space="preserve"> </w:t>
      </w:r>
      <w:r w:rsidRPr="004E221D">
        <w:rPr>
          <w:rFonts w:ascii="Times New Roman" w:hAnsi="Times New Roman" w:cs="Times New Roman"/>
          <w:color w:val="212121"/>
          <w:sz w:val="16"/>
          <w:szCs w:val="16"/>
          <w:lang w:val="sq-AL"/>
        </w:rPr>
        <w:t>Kuvendi i Kosovës, Zyra e Presidentit, Zyra e Kryeministrit, Ministria e Financave, Ministria e Administratës Publike, Ministria e Administrimit të Pushtetit Lokal, Ministria e Zhvillimit Rajonal, Ministria e Punëve të Jashtme, Ministria e Integrimit Evropian, Ministria e Diasporës dhe Investimeve Strategjike, Komisioni Rregullativ i Prokurimit Publik, Agjencia Kundër Korrupsionit, Organi Shqyrtues i Prokurimit, Zyra për Ankesa dhe Parashtesa, Agjencia për Mbrojtjen e të Dhënave Personale, Zyra Kombëtare e Auditimit, Komisioni Qendror i Zgjedhjeve, Bordi i Pavarur Mbikëqyrës për Shërbimin Civil të Kosovës dhe Shpenzimet e Paparashikueshme.</w:t>
      </w:r>
    </w:p>
  </w:footnote>
  <w:footnote w:id="21">
    <w:p w14:paraId="59A40118" w14:textId="77777777" w:rsidR="00FC648F" w:rsidRPr="00CE3CF7" w:rsidRDefault="00FC648F" w:rsidP="00085F16">
      <w:pPr>
        <w:pStyle w:val="FootnoteText"/>
        <w:rPr>
          <w:lang w:val="en-US"/>
        </w:rPr>
      </w:pPr>
      <w:r>
        <w:rPr>
          <w:rStyle w:val="FootnoteReference"/>
        </w:rPr>
        <w:footnoteRef/>
      </w:r>
      <w:r>
        <w:t xml:space="preserve"> Parametri zbutës i përdorur në filtrin Hodrick Prescot,është λ= 480, sugjeruar nga BQE-ja ( Bouthevillain et al. (ECB 2001), “Cyclically adjusted budget balance: An alternative approach”)</w:t>
      </w:r>
    </w:p>
  </w:footnote>
  <w:footnote w:id="22">
    <w:p w14:paraId="03CAE584" w14:textId="77777777" w:rsidR="00FC648F" w:rsidRPr="00CE3CF7" w:rsidRDefault="00FC648F" w:rsidP="00085F16">
      <w:pPr>
        <w:pStyle w:val="FootnoteText"/>
        <w:rPr>
          <w:lang w:val="en-US"/>
        </w:rPr>
      </w:pPr>
      <w:r>
        <w:rPr>
          <w:rStyle w:val="FootnoteReference"/>
        </w:rPr>
        <w:footnoteRef/>
      </w:r>
      <w:r>
        <w:t xml:space="preserve"> </w:t>
      </w:r>
      <w:r w:rsidRPr="00CE3CF7">
        <w:t xml:space="preserve">Seritë kohore reale të </w:t>
      </w:r>
      <w:r>
        <w:t>BPV-</w:t>
      </w:r>
      <w:r w:rsidRPr="00CE3CF7">
        <w:t xml:space="preserve">së përfaqësojnë të dhënat e </w:t>
      </w:r>
      <w:r>
        <w:t>BPV</w:t>
      </w:r>
      <w:r w:rsidRPr="00CE3CF7">
        <w:t xml:space="preserve">-së me 2014 = 100 çmimet e vitit bazë, dhe bazohet në llogaritjet e vetë autorëve duke pasur parasysh që ASK publikon të dhëna vetëm në lidhje me </w:t>
      </w:r>
      <w:r>
        <w:t>BPV</w:t>
      </w:r>
      <w:r w:rsidRPr="00CE3CF7">
        <w:t xml:space="preserve"> me çmimet aktuale dhe P</w:t>
      </w:r>
      <w:r>
        <w:t>PV</w:t>
      </w:r>
      <w:r w:rsidRPr="00CE3CF7">
        <w:t xml:space="preserve"> me çmimet e vitit të kaluar. Gjithashtu, meqenëse ka pasur ndryshime metodologjike në seritë kohore të </w:t>
      </w:r>
      <w:r>
        <w:t>BPV</w:t>
      </w:r>
      <w:r w:rsidRPr="00CE3CF7">
        <w:t>-së me kalimin e kohës, janë bërë rregullime të nevojshme.</w:t>
      </w:r>
    </w:p>
  </w:footnote>
  <w:footnote w:id="23">
    <w:p w14:paraId="19D3ACBB" w14:textId="77777777" w:rsidR="00FC648F" w:rsidRPr="0064146A" w:rsidRDefault="00FC648F" w:rsidP="00085F16">
      <w:pPr>
        <w:pStyle w:val="FootnoteText"/>
        <w:rPr>
          <w:lang w:val="en-US"/>
        </w:rPr>
      </w:pPr>
      <w:r>
        <w:rPr>
          <w:rStyle w:val="FootnoteReference"/>
        </w:rPr>
        <w:footnoteRef/>
      </w:r>
      <w:r>
        <w:t xml:space="preserve"> </w:t>
      </w:r>
      <w:r w:rsidRPr="00F33879">
        <w:t xml:space="preserve">Filtri Hodrick-Prescott është aplikuar në të dhënat reale të </w:t>
      </w:r>
      <w:r>
        <w:t>BPV</w:t>
      </w:r>
      <w:r w:rsidRPr="00F33879">
        <w:t>-së, rregulluar sezonalisht nga Tramo Seats.</w:t>
      </w:r>
    </w:p>
  </w:footnote>
  <w:footnote w:id="24">
    <w:p w14:paraId="6896491D" w14:textId="77777777" w:rsidR="00FC648F" w:rsidRPr="00683F4F" w:rsidRDefault="00FC648F" w:rsidP="00085F16">
      <w:pPr>
        <w:pStyle w:val="FootnoteText"/>
        <w:rPr>
          <w:szCs w:val="16"/>
        </w:rPr>
      </w:pPr>
      <w:r w:rsidRPr="00683F4F">
        <w:rPr>
          <w:rStyle w:val="FootnoteReference"/>
          <w:szCs w:val="16"/>
        </w:rPr>
        <w:footnoteRef/>
      </w:r>
      <w:r w:rsidRPr="00683F4F">
        <w:rPr>
          <w:szCs w:val="16"/>
        </w:rPr>
        <w:t xml:space="preserve"> </w:t>
      </w:r>
      <w:r w:rsidRPr="007C31D7">
        <w:rPr>
          <w:szCs w:val="16"/>
        </w:rPr>
        <w:t>Duke</w:t>
      </w:r>
      <w:r>
        <w:rPr>
          <w:szCs w:val="16"/>
        </w:rPr>
        <w:t xml:space="preserve"> </w:t>
      </w:r>
      <w:r w:rsidRPr="007C31D7">
        <w:rPr>
          <w:szCs w:val="16"/>
        </w:rPr>
        <w:t xml:space="preserve">marrë parasysh që llogaritja është bërë duke përdorur të dhëna tremujore, </w:t>
      </w:r>
      <w:r>
        <w:rPr>
          <w:szCs w:val="16"/>
        </w:rPr>
        <w:t>BPV</w:t>
      </w:r>
      <w:r w:rsidRPr="007C31D7">
        <w:rPr>
          <w:szCs w:val="16"/>
        </w:rPr>
        <w:t xml:space="preserve"> dhe seritë e të ardhurave rregullohen së pari për sezonalitetin dhe më pas shndërrohen në regjistra. </w:t>
      </w:r>
      <w:r>
        <w:rPr>
          <w:szCs w:val="16"/>
        </w:rPr>
        <w:t>MKV</w:t>
      </w:r>
      <w:r w:rsidRPr="007C31D7">
        <w:rPr>
          <w:szCs w:val="16"/>
        </w:rPr>
        <w:t xml:space="preserve"> është </w:t>
      </w:r>
      <w:r>
        <w:rPr>
          <w:szCs w:val="16"/>
        </w:rPr>
        <w:t>përdorur</w:t>
      </w:r>
      <w:r w:rsidRPr="007C31D7">
        <w:rPr>
          <w:szCs w:val="16"/>
        </w:rPr>
        <w:t xml:space="preserve"> më pas në serinë e transformuar.</w:t>
      </w:r>
    </w:p>
  </w:footnote>
  <w:footnote w:id="25">
    <w:p w14:paraId="687FCCCD" w14:textId="77777777" w:rsidR="00FC648F" w:rsidRPr="00CE3CF7" w:rsidRDefault="00FC648F" w:rsidP="00085F16">
      <w:pPr>
        <w:pStyle w:val="FootnoteText"/>
        <w:rPr>
          <w:lang w:val="en-US"/>
        </w:rPr>
      </w:pPr>
      <w:r>
        <w:rPr>
          <w:rStyle w:val="FootnoteReference"/>
        </w:rPr>
        <w:footnoteRef/>
      </w:r>
      <w:r>
        <w:t xml:space="preserve"> </w:t>
      </w:r>
      <w:r w:rsidRPr="00CE3CF7">
        <w:t xml:space="preserve">Dallimet në elasticitetet e paraqitura këtu në krahasim me ato të paraqitura në parashtresën e mëparshme kanë ardhur si rezultat i pikave të shtuara të vëzhgimit (deri në TM2 2019) dhe si rezultat i një serie kohore të ndryshme të përdorur për </w:t>
      </w:r>
      <w:r>
        <w:t>BPV</w:t>
      </w:r>
      <w:r w:rsidRPr="00CE3CF7">
        <w:t xml:space="preserve"> reale (me 2014 = 100 bazë çmimet e vitit).</w:t>
      </w:r>
    </w:p>
  </w:footnote>
  <w:footnote w:id="26">
    <w:p w14:paraId="09E0CA90" w14:textId="77777777" w:rsidR="00FC648F" w:rsidRPr="00D41858" w:rsidRDefault="00FC648F" w:rsidP="00085F16">
      <w:pPr>
        <w:jc w:val="both"/>
        <w:rPr>
          <w:lang w:val="en-US"/>
        </w:rPr>
      </w:pPr>
      <w:r w:rsidRPr="00D41858">
        <w:rPr>
          <w:rStyle w:val="FootnoteReference"/>
          <w:sz w:val="20"/>
        </w:rPr>
        <w:footnoteRef/>
      </w:r>
      <w:r w:rsidRPr="00D41858">
        <w:rPr>
          <w:sz w:val="20"/>
          <w:szCs w:val="20"/>
        </w:rPr>
        <w:t xml:space="preserve"> </w:t>
      </w:r>
      <m:oMath>
        <m:sSup>
          <m:sSupPr>
            <m:ctrlPr>
              <w:rPr>
                <w:rFonts w:ascii="Cambria Math" w:hAnsi="Cambria Math"/>
                <w:i/>
                <w:iCs/>
                <w:sz w:val="16"/>
                <w:szCs w:val="16"/>
              </w:rPr>
            </m:ctrlPr>
          </m:sSupPr>
          <m:e>
            <m:r>
              <w:rPr>
                <w:rFonts w:ascii="Cambria Math" w:hAnsi="Cambria Math"/>
                <w:sz w:val="16"/>
                <w:szCs w:val="16"/>
              </w:rPr>
              <m:t>R</m:t>
            </m:r>
          </m:e>
          <m:sup>
            <m:r>
              <w:rPr>
                <w:rFonts w:ascii="Cambria Math" w:hAnsi="Cambria Math"/>
                <w:sz w:val="16"/>
                <w:szCs w:val="16"/>
              </w:rPr>
              <m:t>s</m:t>
            </m:r>
          </m:sup>
        </m:sSup>
        <m:r>
          <w:rPr>
            <w:rFonts w:ascii="Cambria Math" w:hAnsi="Cambria Math"/>
            <w:sz w:val="16"/>
            <w:szCs w:val="16"/>
          </w:rPr>
          <m:t>=R</m:t>
        </m:r>
        <m:sSup>
          <m:sSupPr>
            <m:ctrlPr>
              <w:rPr>
                <w:rFonts w:ascii="Cambria Math" w:hAnsi="Cambria Math"/>
                <w:i/>
                <w:iCs/>
                <w:sz w:val="16"/>
                <w:szCs w:val="16"/>
              </w:rPr>
            </m:ctrlPr>
          </m:sSupPr>
          <m:e>
            <m:r>
              <w:rPr>
                <w:rFonts w:ascii="Cambria Math" w:hAnsi="Cambria Math"/>
                <w:sz w:val="16"/>
                <w:szCs w:val="16"/>
              </w:rPr>
              <m:t>(</m:t>
            </m:r>
            <m:f>
              <m:fPr>
                <m:ctrlPr>
                  <w:rPr>
                    <w:rFonts w:ascii="Cambria Math" w:hAnsi="Cambria Math"/>
                    <w:i/>
                    <w:iCs/>
                    <w:sz w:val="16"/>
                    <w:szCs w:val="16"/>
                  </w:rPr>
                </m:ctrlPr>
              </m:fPr>
              <m:num>
                <m:sSup>
                  <m:sSupPr>
                    <m:ctrlPr>
                      <w:rPr>
                        <w:rFonts w:ascii="Cambria Math" w:hAnsi="Cambria Math"/>
                        <w:i/>
                        <w:iCs/>
                        <w:sz w:val="16"/>
                        <w:szCs w:val="16"/>
                      </w:rPr>
                    </m:ctrlPr>
                  </m:sSupPr>
                  <m:e>
                    <m:r>
                      <w:rPr>
                        <w:rFonts w:ascii="Cambria Math" w:hAnsi="Cambria Math"/>
                        <w:sz w:val="16"/>
                        <w:szCs w:val="16"/>
                      </w:rPr>
                      <m:t>Y</m:t>
                    </m:r>
                  </m:e>
                  <m:sup>
                    <m:r>
                      <w:rPr>
                        <w:rFonts w:ascii="Cambria Math" w:hAnsi="Cambria Math"/>
                        <w:sz w:val="16"/>
                        <w:szCs w:val="16"/>
                      </w:rPr>
                      <m:t>p</m:t>
                    </m:r>
                  </m:sup>
                </m:sSup>
              </m:num>
              <m:den>
                <m:r>
                  <w:rPr>
                    <w:rFonts w:ascii="Cambria Math" w:hAnsi="Cambria Math"/>
                    <w:sz w:val="16"/>
                    <w:szCs w:val="16"/>
                  </w:rPr>
                  <m:t>Y</m:t>
                </m:r>
              </m:den>
            </m:f>
            <m:r>
              <w:rPr>
                <w:rFonts w:ascii="Cambria Math" w:hAnsi="Cambria Math"/>
                <w:sz w:val="16"/>
                <w:szCs w:val="16"/>
              </w:rPr>
              <m:t>)</m:t>
            </m:r>
          </m:e>
          <m:sup>
            <m:sSup>
              <m:sSupPr>
                <m:ctrlPr>
                  <w:rPr>
                    <w:rFonts w:ascii="Cambria Math" w:hAnsi="Cambria Math"/>
                    <w:i/>
                    <w:iCs/>
                    <w:sz w:val="16"/>
                    <w:szCs w:val="16"/>
                  </w:rPr>
                </m:ctrlPr>
              </m:sSupPr>
              <m:e>
                <m:r>
                  <w:rPr>
                    <w:rFonts w:ascii="Cambria Math" w:hAnsi="Cambria Math"/>
                    <w:sz w:val="16"/>
                    <w:szCs w:val="16"/>
                  </w:rPr>
                  <m:t>ε</m:t>
                </m:r>
              </m:e>
              <m:sup>
                <m:r>
                  <w:rPr>
                    <w:rFonts w:ascii="Cambria Math" w:hAnsi="Cambria Math"/>
                    <w:sz w:val="16"/>
                    <w:szCs w:val="16"/>
                  </w:rPr>
                  <m:t>s</m:t>
                </m:r>
              </m:sup>
            </m:sSup>
          </m:sup>
        </m:sSup>
      </m:oMath>
      <w:r w:rsidRPr="00087BFE">
        <w:rPr>
          <w:sz w:val="16"/>
          <w:szCs w:val="16"/>
        </w:rPr>
        <w:t xml:space="preserve">, </w:t>
      </w:r>
      <w:r>
        <w:rPr>
          <w:sz w:val="16"/>
          <w:szCs w:val="16"/>
        </w:rPr>
        <w:t>ku</w:t>
      </w:r>
      <w:r w:rsidRPr="00087BFE">
        <w:rPr>
          <w:sz w:val="16"/>
          <w:szCs w:val="16"/>
        </w:rPr>
        <w:t xml:space="preserve"> </w:t>
      </w:r>
      <m:oMath>
        <m:sSup>
          <m:sSupPr>
            <m:ctrlPr>
              <w:rPr>
                <w:rFonts w:ascii="Cambria Math" w:hAnsi="Cambria Math"/>
                <w:i/>
                <w:sz w:val="16"/>
                <w:szCs w:val="16"/>
              </w:rPr>
            </m:ctrlPr>
          </m:sSupPr>
          <m:e>
            <m:r>
              <w:rPr>
                <w:rFonts w:ascii="Cambria Math" w:hAnsi="Cambria Math"/>
                <w:sz w:val="16"/>
                <w:szCs w:val="16"/>
              </w:rPr>
              <m:t>R</m:t>
            </m:r>
          </m:e>
          <m:sup>
            <m:r>
              <w:rPr>
                <w:rFonts w:ascii="Cambria Math" w:hAnsi="Cambria Math"/>
                <w:sz w:val="16"/>
                <w:szCs w:val="16"/>
              </w:rPr>
              <m:t>s</m:t>
            </m:r>
          </m:sup>
        </m:sSup>
      </m:oMath>
      <w:r w:rsidRPr="00087BFE">
        <w:rPr>
          <w:sz w:val="16"/>
          <w:szCs w:val="16"/>
        </w:rPr>
        <w:t xml:space="preserve"> </w:t>
      </w:r>
      <w:r>
        <w:rPr>
          <w:sz w:val="16"/>
          <w:szCs w:val="16"/>
        </w:rPr>
        <w:t>përaqet</w:t>
      </w:r>
      <w:r w:rsidRPr="00087BFE">
        <w:rPr>
          <w:sz w:val="16"/>
          <w:szCs w:val="16"/>
        </w:rPr>
        <w:t xml:space="preserve"> </w:t>
      </w:r>
      <w:r>
        <w:rPr>
          <w:sz w:val="16"/>
          <w:szCs w:val="16"/>
        </w:rPr>
        <w:t>të hyrat strukturore</w:t>
      </w:r>
      <w:r w:rsidRPr="00087BFE">
        <w:rPr>
          <w:sz w:val="16"/>
          <w:szCs w:val="16"/>
        </w:rPr>
        <w:t xml:space="preserve">; R- </w:t>
      </w:r>
      <w:r>
        <w:rPr>
          <w:sz w:val="16"/>
          <w:szCs w:val="16"/>
        </w:rPr>
        <w:t>të hyrat aktuale</w:t>
      </w:r>
      <w:r w:rsidRPr="00087BFE">
        <w:rPr>
          <w:sz w:val="16"/>
          <w:szCs w:val="16"/>
        </w:rPr>
        <w:t xml:space="preserve">; Y – </w:t>
      </w:r>
      <w:r>
        <w:rPr>
          <w:sz w:val="16"/>
          <w:szCs w:val="16"/>
        </w:rPr>
        <w:t>BPV aktuale</w:t>
      </w:r>
      <w:r w:rsidRPr="00087BFE">
        <w:rPr>
          <w:sz w:val="16"/>
          <w:szCs w:val="16"/>
        </w:rPr>
        <w:t xml:space="preserve">; </w:t>
      </w:r>
      <m:oMath>
        <m:sSup>
          <m:sSupPr>
            <m:ctrlPr>
              <w:rPr>
                <w:rFonts w:ascii="Cambria Math" w:hAnsi="Cambria Math"/>
                <w:i/>
                <w:sz w:val="16"/>
                <w:szCs w:val="16"/>
              </w:rPr>
            </m:ctrlPr>
          </m:sSupPr>
          <m:e>
            <m:r>
              <w:rPr>
                <w:rFonts w:ascii="Cambria Math" w:hAnsi="Cambria Math"/>
                <w:sz w:val="16"/>
                <w:szCs w:val="16"/>
              </w:rPr>
              <m:t>Y</m:t>
            </m:r>
          </m:e>
          <m:sup>
            <m:r>
              <w:rPr>
                <w:rFonts w:ascii="Cambria Math" w:hAnsi="Cambria Math"/>
                <w:sz w:val="16"/>
                <w:szCs w:val="16"/>
              </w:rPr>
              <m:t>P</m:t>
            </m:r>
          </m:sup>
        </m:sSup>
      </m:oMath>
      <w:r w:rsidRPr="00087BFE">
        <w:rPr>
          <w:sz w:val="16"/>
          <w:szCs w:val="16"/>
        </w:rPr>
        <w:t xml:space="preserve"> – </w:t>
      </w:r>
      <w:r>
        <w:rPr>
          <w:sz w:val="16"/>
          <w:szCs w:val="16"/>
        </w:rPr>
        <w:t>BPV potenciale</w:t>
      </w:r>
      <w:r w:rsidRPr="00087BFE">
        <w:rPr>
          <w:sz w:val="16"/>
          <w:szCs w:val="16"/>
        </w:rPr>
        <w:t xml:space="preserve">; and </w:t>
      </w:r>
      <m:oMath>
        <m:sSub>
          <m:sSubPr>
            <m:ctrlPr>
              <w:rPr>
                <w:rFonts w:ascii="Cambria Math" w:hAnsi="Cambria Math"/>
                <w:i/>
                <w:sz w:val="16"/>
                <w:szCs w:val="16"/>
              </w:rPr>
            </m:ctrlPr>
          </m:sSubPr>
          <m:e>
            <m:r>
              <w:rPr>
                <w:rFonts w:ascii="Cambria Math" w:hAnsi="Cambria Math"/>
                <w:sz w:val="16"/>
                <w:szCs w:val="16"/>
              </w:rPr>
              <m:t>ε</m:t>
            </m:r>
          </m:e>
          <m:sub>
            <m:r>
              <w:rPr>
                <w:rFonts w:ascii="Cambria Math" w:hAnsi="Cambria Math"/>
                <w:sz w:val="16"/>
                <w:szCs w:val="16"/>
              </w:rPr>
              <m:t>s</m:t>
            </m:r>
          </m:sub>
        </m:sSub>
      </m:oMath>
      <w:r w:rsidRPr="00087BFE">
        <w:rPr>
          <w:sz w:val="16"/>
          <w:szCs w:val="16"/>
        </w:rPr>
        <w:t xml:space="preserve"> – </w:t>
      </w:r>
      <w:r>
        <w:rPr>
          <w:sz w:val="16"/>
          <w:szCs w:val="16"/>
        </w:rPr>
        <w:t>elasticiteti i të hyrave.</w:t>
      </w:r>
    </w:p>
  </w:footnote>
  <w:footnote w:id="27">
    <w:p w14:paraId="2DA473BF" w14:textId="1144CE47" w:rsidR="00FC648F" w:rsidRPr="009D102F" w:rsidRDefault="00FC648F">
      <w:pPr>
        <w:pStyle w:val="FootnoteText"/>
        <w:rPr>
          <w:rFonts w:ascii="Times New Roman" w:hAnsi="Times New Roman" w:cs="Times New Roman"/>
          <w:sz w:val="18"/>
          <w:szCs w:val="18"/>
          <w:lang w:val="sq-AL"/>
        </w:rPr>
      </w:pPr>
      <w:r w:rsidRPr="009D102F">
        <w:rPr>
          <w:rStyle w:val="FootnoteReference"/>
          <w:rFonts w:ascii="Times New Roman" w:hAnsi="Times New Roman" w:cs="Times New Roman"/>
          <w:sz w:val="18"/>
          <w:szCs w:val="18"/>
          <w:lang w:val="sq-AL"/>
        </w:rPr>
        <w:footnoteRef/>
      </w:r>
      <w:r w:rsidRPr="009D102F">
        <w:rPr>
          <w:rFonts w:ascii="Times New Roman" w:hAnsi="Times New Roman" w:cs="Times New Roman"/>
          <w:sz w:val="18"/>
          <w:szCs w:val="18"/>
          <w:lang w:val="sq-AL"/>
        </w:rPr>
        <w:t xml:space="preserve"> Dokument pune i stafit të Komisionit Evropian, Programi per Reforma në Ekonomi I Kosovës 2019-2021. Vlerësimi I Komisionit: https://ec.europa.eu/neighbourhood-enlargement/sites/near/files/swd_kosovo.pdf</w:t>
      </w:r>
    </w:p>
  </w:footnote>
  <w:footnote w:id="28">
    <w:p w14:paraId="6D6E9181" w14:textId="0ED3651F" w:rsidR="00FC648F" w:rsidRPr="009D102F" w:rsidRDefault="00FC648F">
      <w:pPr>
        <w:pStyle w:val="FootnoteText"/>
        <w:rPr>
          <w:rFonts w:ascii="Times New Roman" w:hAnsi="Times New Roman" w:cs="Times New Roman"/>
          <w:sz w:val="18"/>
          <w:szCs w:val="18"/>
          <w:lang w:val="sq-AL"/>
        </w:rPr>
      </w:pPr>
      <w:r w:rsidRPr="009D102F">
        <w:rPr>
          <w:rStyle w:val="FootnoteReference"/>
          <w:rFonts w:ascii="Times New Roman" w:hAnsi="Times New Roman" w:cs="Times New Roman"/>
          <w:sz w:val="18"/>
          <w:szCs w:val="18"/>
          <w:lang w:val="sq-AL"/>
        </w:rPr>
        <w:footnoteRef/>
      </w:r>
      <w:r w:rsidRPr="009D102F">
        <w:rPr>
          <w:rFonts w:ascii="Times New Roman" w:hAnsi="Times New Roman" w:cs="Times New Roman"/>
          <w:sz w:val="18"/>
          <w:szCs w:val="18"/>
          <w:lang w:val="sq-AL"/>
        </w:rPr>
        <w:t xml:space="preserve"> Reported in A. Cojocaru: Jobs Diagnostic Kosovo, WB Jobs Series Is. 5, 2017.</w:t>
      </w:r>
    </w:p>
  </w:footnote>
  <w:footnote w:id="29">
    <w:p w14:paraId="707CBDD7" w14:textId="3F59ED55" w:rsidR="00FC648F" w:rsidRPr="009D102F" w:rsidRDefault="00FC648F">
      <w:pPr>
        <w:pStyle w:val="FootnoteText"/>
        <w:rPr>
          <w:rFonts w:ascii="Times New Roman" w:hAnsi="Times New Roman" w:cs="Times New Roman"/>
          <w:sz w:val="18"/>
          <w:szCs w:val="18"/>
          <w:lang w:val="sq-AL"/>
        </w:rPr>
      </w:pPr>
      <w:r w:rsidRPr="009D102F">
        <w:rPr>
          <w:rStyle w:val="FootnoteReference"/>
          <w:rFonts w:ascii="Times New Roman" w:hAnsi="Times New Roman" w:cs="Times New Roman"/>
          <w:sz w:val="18"/>
          <w:szCs w:val="18"/>
          <w:lang w:val="sq-AL"/>
        </w:rPr>
        <w:footnoteRef/>
      </w:r>
      <w:r w:rsidRPr="009D102F">
        <w:rPr>
          <w:rFonts w:ascii="Times New Roman" w:hAnsi="Times New Roman" w:cs="Times New Roman"/>
          <w:sz w:val="18"/>
          <w:szCs w:val="18"/>
          <w:lang w:val="sq-AL"/>
        </w:rPr>
        <w:t xml:space="preserve"> Vlerësimi </w:t>
      </w:r>
      <w:r>
        <w:rPr>
          <w:rFonts w:ascii="Times New Roman" w:hAnsi="Times New Roman" w:cs="Times New Roman"/>
          <w:sz w:val="18"/>
          <w:szCs w:val="18"/>
          <w:lang w:val="sq-AL"/>
        </w:rPr>
        <w:t>i</w:t>
      </w:r>
      <w:r w:rsidRPr="009D102F">
        <w:rPr>
          <w:rFonts w:ascii="Times New Roman" w:hAnsi="Times New Roman" w:cs="Times New Roman"/>
          <w:sz w:val="18"/>
          <w:szCs w:val="18"/>
          <w:lang w:val="sq-AL"/>
        </w:rPr>
        <w:t xml:space="preserve"> nivelit të ekonomisë joformale në Kosovë, raport nga projekti i financuar nga BE: Projekti mbështetje e mëtutjeshme për institucionet e Kosovës në luftën kundër krimi t të organizuar, korrupsionit dhe ekstremizmit të dhunshëm 9 Nov. 2017.</w:t>
      </w:r>
    </w:p>
  </w:footnote>
  <w:footnote w:id="30">
    <w:p w14:paraId="204D936B" w14:textId="553D42E9" w:rsidR="00FC648F" w:rsidRPr="009D102F" w:rsidRDefault="00FC648F">
      <w:pPr>
        <w:pStyle w:val="FootnoteText"/>
        <w:rPr>
          <w:rFonts w:ascii="Times New Roman" w:hAnsi="Times New Roman" w:cs="Times New Roman"/>
          <w:sz w:val="18"/>
          <w:szCs w:val="18"/>
          <w:lang w:val="sq-AL"/>
        </w:rPr>
      </w:pPr>
      <w:r w:rsidRPr="009D102F">
        <w:rPr>
          <w:rStyle w:val="FootnoteReference"/>
          <w:rFonts w:ascii="Times New Roman" w:hAnsi="Times New Roman" w:cs="Times New Roman"/>
          <w:sz w:val="18"/>
          <w:szCs w:val="18"/>
          <w:lang w:val="sq-AL"/>
        </w:rPr>
        <w:footnoteRef/>
      </w:r>
      <w:r w:rsidRPr="009D102F">
        <w:rPr>
          <w:rFonts w:ascii="Times New Roman" w:hAnsi="Times New Roman" w:cs="Times New Roman"/>
          <w:sz w:val="18"/>
          <w:szCs w:val="18"/>
          <w:lang w:val="sq-AL"/>
        </w:rPr>
        <w:t xml:space="preserve"> </w:t>
      </w:r>
      <w:r>
        <w:rPr>
          <w:rFonts w:ascii="Times New Roman" w:hAnsi="Times New Roman" w:cs="Times New Roman"/>
          <w:sz w:val="18"/>
          <w:szCs w:val="18"/>
          <w:lang w:val="sq-AL"/>
        </w:rPr>
        <w:t>Hulumtimi</w:t>
      </w:r>
      <w:r w:rsidRPr="009D102F">
        <w:rPr>
          <w:rFonts w:ascii="Times New Roman" w:hAnsi="Times New Roman" w:cs="Times New Roman"/>
          <w:sz w:val="18"/>
          <w:szCs w:val="18"/>
          <w:lang w:val="sq-AL"/>
        </w:rPr>
        <w:t xml:space="preserve"> mbi shtrirjen dhe parandalimin e ekonomisë së paligjshme dhe pastrimit të parave në Kosovë, raport nga projekti i financuar nga BE-ja Fuqizimi i aftësive të Kosovës për të luftuar pastrimin e parave dhe korrupsionit, 2014.</w:t>
      </w:r>
    </w:p>
  </w:footnote>
  <w:footnote w:id="31">
    <w:p w14:paraId="3BA30D89" w14:textId="77777777" w:rsidR="00FC648F" w:rsidRPr="009D102F" w:rsidRDefault="00FC648F" w:rsidP="00E3413B">
      <w:pPr>
        <w:pStyle w:val="FootnoteText"/>
        <w:rPr>
          <w:rFonts w:ascii="Times New Roman" w:hAnsi="Times New Roman" w:cs="Times New Roman"/>
          <w:sz w:val="18"/>
          <w:szCs w:val="18"/>
          <w:lang w:val="sq-AL"/>
        </w:rPr>
      </w:pPr>
      <w:r w:rsidRPr="009D102F">
        <w:rPr>
          <w:rStyle w:val="FootnoteReference"/>
          <w:rFonts w:ascii="Times New Roman" w:hAnsi="Times New Roman" w:cs="Times New Roman"/>
          <w:sz w:val="18"/>
          <w:szCs w:val="18"/>
          <w:lang w:val="sq-AL"/>
        </w:rPr>
        <w:footnoteRef/>
      </w:r>
      <w:r w:rsidRPr="009D102F">
        <w:rPr>
          <w:rFonts w:ascii="Times New Roman" w:hAnsi="Times New Roman" w:cs="Times New Roman"/>
          <w:sz w:val="18"/>
          <w:szCs w:val="18"/>
          <w:lang w:val="sq-AL"/>
        </w:rPr>
        <w:t xml:space="preserve"> Burimi i informacionit: ASK/Policia Kufitare</w:t>
      </w:r>
    </w:p>
  </w:footnote>
  <w:footnote w:id="32">
    <w:p w14:paraId="36A77ADA" w14:textId="77777777" w:rsidR="00FC648F" w:rsidRPr="009D102F" w:rsidRDefault="00FC648F" w:rsidP="00BC2BEE">
      <w:pPr>
        <w:pStyle w:val="FootnoteText"/>
        <w:rPr>
          <w:rFonts w:ascii="Times New Roman" w:hAnsi="Times New Roman" w:cs="Times New Roman"/>
          <w:sz w:val="18"/>
          <w:szCs w:val="18"/>
          <w:lang w:val="sq-AL"/>
        </w:rPr>
      </w:pPr>
      <w:r w:rsidRPr="009D102F">
        <w:rPr>
          <w:rStyle w:val="FootnoteReference"/>
          <w:rFonts w:ascii="Times New Roman" w:hAnsi="Times New Roman" w:cs="Times New Roman"/>
          <w:sz w:val="18"/>
          <w:szCs w:val="18"/>
          <w:lang w:val="sq-AL"/>
        </w:rPr>
        <w:footnoteRef/>
      </w:r>
      <w:r w:rsidRPr="009D102F">
        <w:rPr>
          <w:rFonts w:ascii="Times New Roman" w:hAnsi="Times New Roman" w:cs="Times New Roman"/>
          <w:sz w:val="18"/>
          <w:szCs w:val="18"/>
          <w:lang w:val="sq-AL"/>
        </w:rPr>
        <w:t xml:space="preserve"> Strategjia Kombëtare për Luftim të Ekonomisë Joformale, Pastrimit të Parasë dhe Financimit të  Terrorizmit dhe Krimit Financiar 2019-2023</w:t>
      </w:r>
    </w:p>
  </w:footnote>
  <w:footnote w:id="33">
    <w:p w14:paraId="7C857FB8" w14:textId="16DE5CF9" w:rsidR="00FC648F" w:rsidRPr="009D102F" w:rsidRDefault="00FC648F" w:rsidP="00BC2BEE">
      <w:pPr>
        <w:pStyle w:val="FootnoteText"/>
        <w:rPr>
          <w:rFonts w:ascii="Times New Roman" w:hAnsi="Times New Roman" w:cs="Times New Roman"/>
          <w:sz w:val="18"/>
          <w:szCs w:val="18"/>
          <w:lang w:val="sq-AL"/>
        </w:rPr>
      </w:pPr>
      <w:r w:rsidRPr="009D102F">
        <w:rPr>
          <w:rStyle w:val="FootnoteReference"/>
          <w:rFonts w:ascii="Times New Roman" w:hAnsi="Times New Roman" w:cs="Times New Roman"/>
          <w:sz w:val="18"/>
          <w:szCs w:val="18"/>
          <w:lang w:val="sq-AL"/>
        </w:rPr>
        <w:footnoteRef/>
      </w:r>
      <w:r w:rsidRPr="009D102F">
        <w:rPr>
          <w:rFonts w:ascii="Times New Roman" w:hAnsi="Times New Roman" w:cs="Times New Roman"/>
          <w:sz w:val="18"/>
          <w:szCs w:val="18"/>
          <w:lang w:val="sq-AL"/>
        </w:rPr>
        <w:t xml:space="preserve"> Strategjia Kombëtare për Luftim të Ekonomisë Joformale, Pastrimit të Parasë dhe Financimit të  Terrorizmit dhe Krimit Financiar 2019-2023</w:t>
      </w:r>
    </w:p>
  </w:footnote>
  <w:footnote w:id="34">
    <w:p w14:paraId="2881BF44" w14:textId="37C9F0F3" w:rsidR="00FC648F" w:rsidRPr="009D102F" w:rsidRDefault="00FC648F" w:rsidP="00BC2BEE">
      <w:pPr>
        <w:pStyle w:val="FootnoteText"/>
        <w:rPr>
          <w:rFonts w:ascii="Times New Roman" w:hAnsi="Times New Roman" w:cs="Times New Roman"/>
          <w:sz w:val="18"/>
          <w:szCs w:val="18"/>
          <w:lang w:val="sq-AL"/>
        </w:rPr>
      </w:pPr>
      <w:r w:rsidRPr="009D102F">
        <w:rPr>
          <w:rStyle w:val="FootnoteReference"/>
          <w:rFonts w:ascii="Times New Roman" w:hAnsi="Times New Roman" w:cs="Times New Roman"/>
          <w:sz w:val="18"/>
          <w:szCs w:val="18"/>
          <w:lang w:val="sq-AL"/>
        </w:rPr>
        <w:footnoteRef/>
      </w:r>
      <w:r w:rsidRPr="009D102F">
        <w:rPr>
          <w:rFonts w:ascii="Times New Roman" w:hAnsi="Times New Roman" w:cs="Times New Roman"/>
          <w:sz w:val="18"/>
          <w:szCs w:val="18"/>
          <w:lang w:val="sq-AL"/>
        </w:rPr>
        <w:t xml:space="preserve"> Ibid </w:t>
      </w:r>
    </w:p>
  </w:footnote>
  <w:footnote w:id="35">
    <w:p w14:paraId="621CB85A" w14:textId="362EE1CA" w:rsidR="00FC648F" w:rsidRPr="009D102F" w:rsidRDefault="00FC648F" w:rsidP="000702CB">
      <w:pPr>
        <w:pStyle w:val="NoSpacing"/>
        <w:jc w:val="both"/>
        <w:rPr>
          <w:rFonts w:ascii="Times New Roman" w:hAnsi="Times New Roman"/>
          <w:sz w:val="18"/>
          <w:szCs w:val="18"/>
          <w:lang w:val="sq-AL"/>
        </w:rPr>
      </w:pPr>
      <w:r w:rsidRPr="009D102F">
        <w:rPr>
          <w:rStyle w:val="FootnoteReference"/>
          <w:rFonts w:ascii="Times New Roman" w:hAnsi="Times New Roman"/>
          <w:sz w:val="18"/>
          <w:szCs w:val="18"/>
          <w:lang w:val="sq-AL"/>
        </w:rPr>
        <w:footnoteRef/>
      </w:r>
      <w:r w:rsidRPr="009D102F">
        <w:rPr>
          <w:rFonts w:ascii="Times New Roman" w:hAnsi="Times New Roman"/>
          <w:sz w:val="18"/>
          <w:szCs w:val="18"/>
          <w:lang w:val="sq-AL"/>
        </w:rPr>
        <w:t xml:space="preserve"> Sipas BB-së, ndonëse shpenzimet në arsim si përqindje e BPV-së janë rritur viteve të fundit, kjo mbetet e ulët krahasuar me mesataren e vendeve të Evropës dhe Azisë Qendrore. Sipas BB-së, shpenzimet për kokë nxënësi janë edhe më të ulëta se në vendet e rajonit. </w:t>
      </w:r>
    </w:p>
  </w:footnote>
  <w:footnote w:id="36">
    <w:p w14:paraId="78645FDD" w14:textId="2E59C2BA" w:rsidR="00FC648F" w:rsidRPr="009D102F" w:rsidRDefault="00FC648F">
      <w:pPr>
        <w:pStyle w:val="FootnoteText"/>
        <w:rPr>
          <w:rFonts w:ascii="Times New Roman" w:hAnsi="Times New Roman" w:cs="Times New Roman"/>
          <w:sz w:val="18"/>
          <w:szCs w:val="18"/>
          <w:lang w:val="sq-AL"/>
        </w:rPr>
      </w:pPr>
      <w:r w:rsidRPr="009D102F">
        <w:rPr>
          <w:rStyle w:val="FootnoteReference"/>
          <w:rFonts w:ascii="Times New Roman" w:hAnsi="Times New Roman" w:cs="Times New Roman"/>
          <w:sz w:val="18"/>
          <w:szCs w:val="18"/>
          <w:lang w:val="sq-AL"/>
        </w:rPr>
        <w:footnoteRef/>
      </w:r>
      <w:r w:rsidRPr="009D102F">
        <w:rPr>
          <w:rFonts w:ascii="Times New Roman" w:hAnsi="Times New Roman" w:cs="Times New Roman"/>
          <w:sz w:val="18"/>
          <w:szCs w:val="18"/>
          <w:lang w:val="sq-AL"/>
        </w:rPr>
        <w:t xml:space="preserve"> </w:t>
      </w:r>
      <w:r>
        <w:rPr>
          <w:rFonts w:ascii="Times New Roman" w:hAnsi="Times New Roman" w:cs="Times New Roman"/>
          <w:sz w:val="18"/>
          <w:szCs w:val="18"/>
          <w:lang w:val="sq-AL"/>
        </w:rPr>
        <w:t xml:space="preserve">Pesë fusha të përfshirjes: Zhvillimi i gjuhës dhe komunikimit, shëndeti fizik dhe zhvillimi i të lëvizurit, zhvillimi i njohurive dhe njohuri të përgjithshme, zhvillimi i qasjes të të mësuarit dhe zhvillimi socio-emocional. </w:t>
      </w:r>
    </w:p>
  </w:footnote>
  <w:footnote w:id="37">
    <w:p w14:paraId="60D82F92" w14:textId="77777777" w:rsidR="00FC648F" w:rsidRPr="009D102F" w:rsidRDefault="00FC648F" w:rsidP="000702CB">
      <w:pPr>
        <w:pStyle w:val="FootnoteText"/>
        <w:rPr>
          <w:rFonts w:ascii="Times New Roman" w:hAnsi="Times New Roman" w:cs="Times New Roman"/>
          <w:sz w:val="18"/>
          <w:szCs w:val="18"/>
          <w:lang w:val="sq-AL"/>
        </w:rPr>
      </w:pPr>
      <w:r w:rsidRPr="009D102F">
        <w:rPr>
          <w:rStyle w:val="FootnoteReference"/>
          <w:rFonts w:ascii="Times New Roman" w:hAnsi="Times New Roman" w:cs="Times New Roman"/>
          <w:sz w:val="18"/>
          <w:szCs w:val="18"/>
          <w:lang w:val="sq-AL"/>
        </w:rPr>
        <w:footnoteRef/>
      </w:r>
      <w:r w:rsidRPr="009D102F">
        <w:rPr>
          <w:rFonts w:ascii="Times New Roman" w:hAnsi="Times New Roman" w:cs="Times New Roman"/>
          <w:sz w:val="18"/>
          <w:szCs w:val="18"/>
          <w:lang w:val="sq-AL"/>
        </w:rPr>
        <w:t xml:space="preserve"> Në vitin 2019, në total janë 10.878 fëmijë të regjistruar në institucionet parashkollore, 5.205 fëmijë në kopshte publike dhe 5.673 në kopshte private.. Dy kopshte të reja publike do të përfundojnë në vitin 2019; 5 në vitin 2020; dhe 9 në 2021</w:t>
      </w:r>
    </w:p>
  </w:footnote>
  <w:footnote w:id="38">
    <w:p w14:paraId="60A5D18D" w14:textId="77777777" w:rsidR="00FC648F" w:rsidRPr="009D102F" w:rsidRDefault="00FC648F" w:rsidP="000702CB">
      <w:pPr>
        <w:pStyle w:val="FootnoteText"/>
        <w:rPr>
          <w:rFonts w:ascii="Times New Roman" w:hAnsi="Times New Roman" w:cs="Times New Roman"/>
          <w:sz w:val="18"/>
          <w:szCs w:val="18"/>
          <w:lang w:val="sq-AL"/>
        </w:rPr>
      </w:pPr>
      <w:r w:rsidRPr="009D102F">
        <w:rPr>
          <w:rStyle w:val="FootnoteReference"/>
          <w:rFonts w:ascii="Times New Roman" w:hAnsi="Times New Roman" w:cs="Times New Roman"/>
          <w:sz w:val="18"/>
          <w:szCs w:val="18"/>
          <w:lang w:val="sq-AL"/>
        </w:rPr>
        <w:footnoteRef/>
      </w:r>
      <w:r w:rsidRPr="009D102F">
        <w:rPr>
          <w:rFonts w:ascii="Times New Roman" w:hAnsi="Times New Roman" w:cs="Times New Roman"/>
          <w:sz w:val="18"/>
          <w:szCs w:val="18"/>
          <w:lang w:val="sq-AL"/>
        </w:rPr>
        <w:t xml:space="preserve"> Në Kosovë, aktualisht janë 7 institucione publike dhe 25 institucione private të arsimit të lartë.</w:t>
      </w:r>
    </w:p>
  </w:footnote>
  <w:footnote w:id="39">
    <w:p w14:paraId="79717E5C" w14:textId="77777777" w:rsidR="00FC648F" w:rsidRPr="009D102F" w:rsidRDefault="00FC648F" w:rsidP="000702CB">
      <w:pPr>
        <w:pStyle w:val="FootnoteText"/>
        <w:rPr>
          <w:rFonts w:ascii="Times New Roman" w:hAnsi="Times New Roman" w:cs="Times New Roman"/>
          <w:sz w:val="18"/>
          <w:szCs w:val="18"/>
          <w:lang w:val="sq-AL"/>
        </w:rPr>
      </w:pPr>
      <w:r w:rsidRPr="009D102F">
        <w:rPr>
          <w:rStyle w:val="FootnoteReference"/>
          <w:rFonts w:ascii="Times New Roman" w:hAnsi="Times New Roman" w:cs="Times New Roman"/>
          <w:sz w:val="18"/>
          <w:szCs w:val="18"/>
          <w:lang w:val="sq-AL"/>
        </w:rPr>
        <w:footnoteRef/>
      </w:r>
      <w:r w:rsidRPr="009D102F">
        <w:rPr>
          <w:rFonts w:ascii="Times New Roman" w:hAnsi="Times New Roman" w:cs="Times New Roman"/>
          <w:sz w:val="18"/>
          <w:szCs w:val="18"/>
          <w:lang w:val="sq-AL"/>
        </w:rPr>
        <w:t xml:space="preserve"> Numri i të punësuarve në raport me numrin e popullsisë në moshë pune.</w:t>
      </w:r>
    </w:p>
  </w:footnote>
  <w:footnote w:id="40">
    <w:p w14:paraId="12098BCE" w14:textId="77777777" w:rsidR="00FC648F" w:rsidRPr="009D102F" w:rsidRDefault="00FC648F" w:rsidP="000702CB">
      <w:pPr>
        <w:pStyle w:val="FootnoteText"/>
        <w:rPr>
          <w:rFonts w:ascii="Times New Roman" w:hAnsi="Times New Roman" w:cs="Times New Roman"/>
          <w:sz w:val="18"/>
          <w:szCs w:val="18"/>
          <w:lang w:val="sq-AL"/>
        </w:rPr>
      </w:pPr>
      <w:r w:rsidRPr="009D102F">
        <w:rPr>
          <w:rStyle w:val="FootnoteReference"/>
          <w:rFonts w:ascii="Times New Roman" w:hAnsi="Times New Roman" w:cs="Times New Roman"/>
          <w:sz w:val="18"/>
          <w:szCs w:val="18"/>
          <w:lang w:val="sq-AL"/>
        </w:rPr>
        <w:footnoteRef/>
      </w:r>
      <w:r w:rsidRPr="009D102F">
        <w:rPr>
          <w:rFonts w:ascii="Times New Roman" w:hAnsi="Times New Roman" w:cs="Times New Roman"/>
          <w:sz w:val="18"/>
          <w:szCs w:val="18"/>
          <w:lang w:val="sq-AL"/>
        </w:rPr>
        <w:t xml:space="preserve"> Strategjinë për Parandalimin dhe Luftimin e Ekonomisë Joformale në 2019.</w:t>
      </w:r>
    </w:p>
  </w:footnote>
  <w:footnote w:id="41">
    <w:p w14:paraId="13452565" w14:textId="77777777" w:rsidR="00FC648F" w:rsidRPr="009D102F" w:rsidRDefault="00FC648F" w:rsidP="000702CB">
      <w:pPr>
        <w:pStyle w:val="FootnoteText"/>
        <w:rPr>
          <w:rFonts w:ascii="Times New Roman" w:hAnsi="Times New Roman" w:cs="Times New Roman"/>
          <w:sz w:val="18"/>
          <w:szCs w:val="18"/>
          <w:lang w:val="sq-AL"/>
        </w:rPr>
      </w:pPr>
      <w:r w:rsidRPr="009D102F">
        <w:rPr>
          <w:rStyle w:val="FootnoteReference"/>
          <w:rFonts w:ascii="Times New Roman" w:hAnsi="Times New Roman" w:cs="Times New Roman"/>
          <w:sz w:val="18"/>
          <w:szCs w:val="18"/>
          <w:lang w:val="sq-AL"/>
        </w:rPr>
        <w:footnoteRef/>
      </w:r>
      <w:r w:rsidRPr="009D102F">
        <w:rPr>
          <w:rFonts w:ascii="Times New Roman" w:hAnsi="Times New Roman" w:cs="Times New Roman"/>
          <w:sz w:val="18"/>
          <w:szCs w:val="18"/>
          <w:lang w:val="sq-AL"/>
        </w:rPr>
        <w:t xml:space="preserve"> Këshilli Evropian për Marrëdhënie të Jashtme.</w:t>
      </w:r>
    </w:p>
  </w:footnote>
  <w:footnote w:id="42">
    <w:p w14:paraId="5EB85913" w14:textId="77777777" w:rsidR="00FC648F" w:rsidRPr="009D102F" w:rsidRDefault="00FC648F" w:rsidP="000702CB">
      <w:pPr>
        <w:pStyle w:val="FootnoteText"/>
        <w:rPr>
          <w:rFonts w:ascii="Times New Roman" w:hAnsi="Times New Roman" w:cs="Times New Roman"/>
          <w:sz w:val="18"/>
          <w:szCs w:val="18"/>
          <w:lang w:val="sq-AL"/>
        </w:rPr>
      </w:pPr>
      <w:r w:rsidRPr="009D102F">
        <w:rPr>
          <w:rStyle w:val="FootnoteReference"/>
          <w:rFonts w:ascii="Times New Roman" w:hAnsi="Times New Roman" w:cs="Times New Roman"/>
          <w:sz w:val="18"/>
          <w:szCs w:val="18"/>
          <w:lang w:val="sq-AL"/>
        </w:rPr>
        <w:footnoteRef/>
      </w:r>
      <w:r w:rsidRPr="009D102F">
        <w:rPr>
          <w:rFonts w:ascii="Times New Roman" w:hAnsi="Times New Roman" w:cs="Times New Roman"/>
          <w:sz w:val="18"/>
          <w:szCs w:val="18"/>
          <w:lang w:val="sq-AL"/>
        </w:rPr>
        <w:t xml:space="preserve"> Numri i imigrimit është ulur në 5,832 persona në 2017, krahasuar me 18,862 në 2015, ndërkaq numri i emigrimit është ulur në 11,263 persona në 2017, krahasuar me 74,434 persona në vitin 2015. Gjatë 2017, janë lëshuar 5,283 leje qëndrimi të përkohshme, nga të cilat 54.2% ishin për çështje të punës. Gjatë 2017, 23,386 persona morën leje qëndrimi në vendet e BE-së, nga të cilët 6,635 ishin për arsye të “aktiviteteve që paguhen” dhe 547 leje për “edukim”.</w:t>
      </w:r>
    </w:p>
  </w:footnote>
  <w:footnote w:id="43">
    <w:p w14:paraId="613E0F62" w14:textId="77777777" w:rsidR="00FC648F" w:rsidRPr="009D102F" w:rsidRDefault="00FC648F" w:rsidP="000702CB">
      <w:pPr>
        <w:pStyle w:val="NoSpacing"/>
        <w:jc w:val="both"/>
        <w:rPr>
          <w:rFonts w:ascii="Times New Roman" w:hAnsi="Times New Roman"/>
          <w:sz w:val="18"/>
          <w:szCs w:val="18"/>
          <w:lang w:val="sq-AL"/>
        </w:rPr>
      </w:pPr>
      <w:r w:rsidRPr="009D102F">
        <w:rPr>
          <w:rStyle w:val="FootnoteReference"/>
          <w:rFonts w:ascii="Times New Roman" w:hAnsi="Times New Roman"/>
          <w:sz w:val="18"/>
          <w:szCs w:val="18"/>
          <w:lang w:val="sq-AL"/>
        </w:rPr>
        <w:footnoteRef/>
      </w:r>
      <w:r w:rsidRPr="009D102F">
        <w:rPr>
          <w:rFonts w:ascii="Times New Roman" w:hAnsi="Times New Roman"/>
          <w:sz w:val="18"/>
          <w:szCs w:val="18"/>
          <w:lang w:val="sq-AL"/>
        </w:rPr>
        <w:t xml:space="preserve"> Rishikimi do të përmbajë mes tjerash dhe zgjerimin potencial të masave aktive të tregut të punës për të papunët nga </w:t>
      </w:r>
      <w:r w:rsidRPr="009D102F">
        <w:rPr>
          <w:rFonts w:ascii="Times New Roman" w:hAnsi="Times New Roman"/>
          <w:b/>
          <w:bCs/>
          <w:sz w:val="18"/>
          <w:szCs w:val="18"/>
          <w:lang w:val="sq-AL"/>
        </w:rPr>
        <w:t>zonat rurale</w:t>
      </w:r>
      <w:r w:rsidRPr="009D102F">
        <w:rPr>
          <w:rFonts w:ascii="Times New Roman" w:hAnsi="Times New Roman"/>
          <w:sz w:val="18"/>
          <w:szCs w:val="18"/>
          <w:lang w:val="sq-AL"/>
        </w:rPr>
        <w:t xml:space="preserve">. Poashtu, rishikimi do të shqyrtojë ndryshimet eventuale të masave aktive të tregut të punës me synim </w:t>
      </w:r>
      <w:r w:rsidRPr="009D102F">
        <w:rPr>
          <w:rFonts w:ascii="Times New Roman" w:hAnsi="Times New Roman"/>
          <w:b/>
          <w:bCs/>
          <w:sz w:val="18"/>
          <w:szCs w:val="18"/>
          <w:lang w:val="sq-AL"/>
        </w:rPr>
        <w:t>rritjen e efekteshmërisë</w:t>
      </w:r>
      <w:r w:rsidRPr="009D102F">
        <w:rPr>
          <w:rFonts w:ascii="Times New Roman" w:hAnsi="Times New Roman"/>
          <w:sz w:val="18"/>
          <w:szCs w:val="18"/>
          <w:lang w:val="sq-AL"/>
        </w:rPr>
        <w:t xml:space="preserve"> (bazuar pjesërisht mbi gjetjet e studimit nga GIZ të titulluar, “</w:t>
      </w:r>
      <w:r w:rsidRPr="009D102F">
        <w:rPr>
          <w:rFonts w:ascii="Times New Roman" w:hAnsi="Times New Roman"/>
          <w:i/>
          <w:iCs/>
          <w:sz w:val="18"/>
          <w:szCs w:val="18"/>
          <w:lang w:val="sq-AL"/>
        </w:rPr>
        <w:t>A janë masat aktive të tregut të punës mjete efektive për adresimin e sfidave të shkathtësive dhe punësimit në Kosovë?</w:t>
      </w:r>
      <w:r w:rsidRPr="009D102F">
        <w:rPr>
          <w:rFonts w:ascii="Times New Roman" w:hAnsi="Times New Roman"/>
          <w:sz w:val="18"/>
          <w:szCs w:val="18"/>
          <w:lang w:val="sq-AL"/>
        </w:rPr>
        <w:t>”).</w:t>
      </w:r>
    </w:p>
  </w:footnote>
  <w:footnote w:id="44">
    <w:p w14:paraId="24E10882" w14:textId="77777777" w:rsidR="00FC648F" w:rsidRPr="009D102F" w:rsidRDefault="00FC648F" w:rsidP="000702CB">
      <w:pPr>
        <w:pStyle w:val="FootnoteText"/>
        <w:jc w:val="both"/>
        <w:rPr>
          <w:rFonts w:ascii="Times New Roman" w:hAnsi="Times New Roman" w:cs="Times New Roman"/>
          <w:sz w:val="18"/>
          <w:szCs w:val="18"/>
          <w:lang w:val="sq-AL"/>
        </w:rPr>
      </w:pPr>
      <w:r w:rsidRPr="009D102F">
        <w:rPr>
          <w:rStyle w:val="FootnoteReference"/>
          <w:rFonts w:ascii="Times New Roman" w:hAnsi="Times New Roman" w:cs="Times New Roman"/>
          <w:sz w:val="18"/>
          <w:szCs w:val="18"/>
          <w:lang w:val="sq-AL"/>
        </w:rPr>
        <w:footnoteRef/>
      </w:r>
      <w:r w:rsidRPr="009D102F">
        <w:rPr>
          <w:rFonts w:ascii="Times New Roman" w:hAnsi="Times New Roman" w:cs="Times New Roman"/>
          <w:sz w:val="18"/>
          <w:szCs w:val="18"/>
          <w:lang w:val="sq-AL"/>
        </w:rPr>
        <w:t xml:space="preserve"> Sipas ASK, mostra është zgjeruar në vitin 2019.</w:t>
      </w:r>
    </w:p>
  </w:footnote>
  <w:footnote w:id="45">
    <w:p w14:paraId="681017E6" w14:textId="77777777" w:rsidR="00FC648F" w:rsidRPr="009D102F" w:rsidRDefault="00FC648F" w:rsidP="000702CB">
      <w:pPr>
        <w:pStyle w:val="FootnoteText"/>
        <w:jc w:val="both"/>
        <w:rPr>
          <w:rFonts w:ascii="Times New Roman" w:hAnsi="Times New Roman" w:cs="Times New Roman"/>
          <w:sz w:val="18"/>
          <w:szCs w:val="18"/>
          <w:lang w:val="sq-AL"/>
        </w:rPr>
      </w:pPr>
      <w:r w:rsidRPr="009D102F">
        <w:rPr>
          <w:rStyle w:val="FootnoteReference"/>
          <w:rFonts w:ascii="Times New Roman" w:hAnsi="Times New Roman" w:cs="Times New Roman"/>
          <w:sz w:val="18"/>
          <w:szCs w:val="18"/>
          <w:lang w:val="sq-AL"/>
        </w:rPr>
        <w:footnoteRef/>
      </w:r>
      <w:r w:rsidRPr="009D102F">
        <w:rPr>
          <w:rFonts w:ascii="Times New Roman" w:hAnsi="Times New Roman" w:cs="Times New Roman"/>
          <w:sz w:val="18"/>
          <w:szCs w:val="18"/>
          <w:lang w:val="sq-AL"/>
        </w:rPr>
        <w:t xml:space="preserve"> Shënjëstrimi i masave aktive do të informohet nga dokumenti i rishikuar i </w:t>
      </w:r>
      <w:r w:rsidRPr="009D102F">
        <w:rPr>
          <w:rFonts w:ascii="Times New Roman" w:hAnsi="Times New Roman" w:cs="Times New Roman"/>
          <w:b/>
          <w:bCs/>
          <w:sz w:val="18"/>
          <w:szCs w:val="18"/>
          <w:lang w:val="sq-AL"/>
        </w:rPr>
        <w:t>Politikës së Punësimit 2020 – 2022</w:t>
      </w:r>
      <w:r w:rsidRPr="009D102F">
        <w:rPr>
          <w:rFonts w:ascii="Times New Roman" w:hAnsi="Times New Roman" w:cs="Times New Roman"/>
          <w:sz w:val="18"/>
          <w:szCs w:val="18"/>
          <w:lang w:val="sq-AL"/>
        </w:rPr>
        <w:t xml:space="preserve">, me synim që të ngritet efektshmëria e MATP-ve, duke përfshirë shënjëstrimin e personave që vijnë nga zonat rurale. </w:t>
      </w:r>
    </w:p>
  </w:footnote>
  <w:footnote w:id="46">
    <w:p w14:paraId="4C71C6FE" w14:textId="77777777" w:rsidR="00FC648F" w:rsidRPr="009D102F" w:rsidRDefault="00FC648F" w:rsidP="000702CB">
      <w:pPr>
        <w:pStyle w:val="FootnoteText"/>
        <w:jc w:val="both"/>
        <w:rPr>
          <w:rFonts w:ascii="Times New Roman" w:hAnsi="Times New Roman" w:cs="Times New Roman"/>
          <w:sz w:val="18"/>
          <w:szCs w:val="18"/>
          <w:lang w:val="sq-AL"/>
        </w:rPr>
      </w:pPr>
      <w:r w:rsidRPr="009D102F">
        <w:rPr>
          <w:rStyle w:val="FootnoteReference"/>
          <w:rFonts w:ascii="Times New Roman" w:hAnsi="Times New Roman" w:cs="Times New Roman"/>
          <w:sz w:val="18"/>
          <w:szCs w:val="18"/>
          <w:lang w:val="sq-AL"/>
        </w:rPr>
        <w:footnoteRef/>
      </w:r>
      <w:r w:rsidRPr="009D102F">
        <w:rPr>
          <w:rFonts w:ascii="Times New Roman" w:hAnsi="Times New Roman" w:cs="Times New Roman"/>
          <w:sz w:val="18"/>
          <w:szCs w:val="18"/>
          <w:lang w:val="sq-AL"/>
        </w:rPr>
        <w:t xml:space="preserve"> Shënjëstrimi i masave aktive do të informohet nga dokumenti i rishikuar i </w:t>
      </w:r>
      <w:r w:rsidRPr="009D102F">
        <w:rPr>
          <w:rFonts w:ascii="Times New Roman" w:hAnsi="Times New Roman" w:cs="Times New Roman"/>
          <w:b/>
          <w:bCs/>
          <w:sz w:val="18"/>
          <w:szCs w:val="18"/>
          <w:lang w:val="sq-AL"/>
        </w:rPr>
        <w:t>Politikës së Punësimit 2020 – 2022</w:t>
      </w:r>
      <w:r w:rsidRPr="009D102F">
        <w:rPr>
          <w:rFonts w:ascii="Times New Roman" w:hAnsi="Times New Roman" w:cs="Times New Roman"/>
          <w:sz w:val="18"/>
          <w:szCs w:val="18"/>
          <w:lang w:val="sq-AL"/>
        </w:rPr>
        <w:t xml:space="preserve">, me synim që të ngritet efektshmëria e MATP-ve, duke përfshirë shënjëstrimin e personave që vijnë nga zonat rurale. </w:t>
      </w:r>
    </w:p>
  </w:footnote>
  <w:footnote w:id="47">
    <w:p w14:paraId="43EBE274" w14:textId="77777777" w:rsidR="00FC648F" w:rsidRPr="009D102F" w:rsidRDefault="00FC648F" w:rsidP="000702CB">
      <w:pPr>
        <w:pStyle w:val="FootnoteText"/>
        <w:rPr>
          <w:rFonts w:ascii="Times New Roman" w:hAnsi="Times New Roman" w:cs="Times New Roman"/>
          <w:sz w:val="18"/>
          <w:szCs w:val="18"/>
          <w:lang w:val="sq-AL"/>
        </w:rPr>
      </w:pPr>
      <w:r w:rsidRPr="009D102F">
        <w:rPr>
          <w:rStyle w:val="FootnoteReference"/>
          <w:rFonts w:ascii="Times New Roman" w:hAnsi="Times New Roman" w:cs="Times New Roman"/>
          <w:sz w:val="18"/>
          <w:szCs w:val="18"/>
          <w:lang w:val="sq-AL"/>
        </w:rPr>
        <w:footnoteRef/>
      </w:r>
      <w:r w:rsidRPr="009D102F">
        <w:rPr>
          <w:rFonts w:ascii="Times New Roman" w:hAnsi="Times New Roman" w:cs="Times New Roman"/>
          <w:sz w:val="18"/>
          <w:szCs w:val="18"/>
          <w:lang w:val="sq-AL"/>
        </w:rPr>
        <w:t xml:space="preserve"> Përfshinë përpilimin e raportit të monitorimit të përfituesve të MATP-ve që janë mbështetur përmes zyrave të punësimit. Raporti i monitorimit do të shërbejë për matjen e efektshmërisë së masave aktive.  </w:t>
      </w:r>
    </w:p>
  </w:footnote>
  <w:footnote w:id="48">
    <w:p w14:paraId="766424BB" w14:textId="77777777" w:rsidR="00FC648F" w:rsidRPr="009D102F" w:rsidRDefault="00FC648F" w:rsidP="000702CB">
      <w:pPr>
        <w:pStyle w:val="FootnoteText"/>
        <w:rPr>
          <w:rFonts w:ascii="Times New Roman" w:hAnsi="Times New Roman" w:cs="Times New Roman"/>
          <w:sz w:val="18"/>
          <w:szCs w:val="18"/>
          <w:lang w:val="sq-AL"/>
        </w:rPr>
      </w:pPr>
      <w:r w:rsidRPr="009D102F">
        <w:rPr>
          <w:rStyle w:val="FootnoteReference"/>
          <w:rFonts w:ascii="Times New Roman" w:hAnsi="Times New Roman" w:cs="Times New Roman"/>
          <w:sz w:val="18"/>
          <w:szCs w:val="18"/>
          <w:lang w:val="sq-AL"/>
        </w:rPr>
        <w:footnoteRef/>
      </w:r>
      <w:r w:rsidRPr="009D102F">
        <w:rPr>
          <w:rFonts w:ascii="Times New Roman" w:hAnsi="Times New Roman" w:cs="Times New Roman"/>
          <w:sz w:val="18"/>
          <w:szCs w:val="18"/>
          <w:lang w:val="sq-AL"/>
        </w:rPr>
        <w:t xml:space="preserve">World Bank/KAS “Consumption Poverty in the Republic of Kosovo  </w:t>
      </w:r>
    </w:p>
  </w:footnote>
  <w:footnote w:id="49">
    <w:p w14:paraId="7AE215B6" w14:textId="77777777" w:rsidR="00FC648F" w:rsidRPr="009D102F" w:rsidRDefault="00FC648F" w:rsidP="000702CB">
      <w:pPr>
        <w:pStyle w:val="FootnoteText"/>
        <w:rPr>
          <w:rFonts w:ascii="Times New Roman" w:hAnsi="Times New Roman" w:cs="Times New Roman"/>
          <w:sz w:val="18"/>
          <w:szCs w:val="18"/>
          <w:lang w:val="sq-AL"/>
        </w:rPr>
      </w:pPr>
      <w:r w:rsidRPr="009D102F">
        <w:rPr>
          <w:rStyle w:val="FootnoteReference"/>
          <w:rFonts w:ascii="Times New Roman" w:hAnsi="Times New Roman" w:cs="Times New Roman"/>
          <w:sz w:val="18"/>
          <w:szCs w:val="18"/>
          <w:lang w:val="sq-AL"/>
        </w:rPr>
        <w:footnoteRef/>
      </w:r>
      <w:r w:rsidRPr="009D102F">
        <w:rPr>
          <w:rFonts w:ascii="Times New Roman" w:hAnsi="Times New Roman" w:cs="Times New Roman"/>
          <w:sz w:val="18"/>
          <w:szCs w:val="18"/>
          <w:lang w:val="sq-AL"/>
        </w:rPr>
        <w:t xml:space="preserve"> ASK- Statistikat e Mirëqenies Sociale, TM2 2019</w:t>
      </w:r>
    </w:p>
  </w:footnote>
  <w:footnote w:id="50">
    <w:p w14:paraId="4E67EA04" w14:textId="77777777" w:rsidR="00FC648F" w:rsidRPr="009D102F" w:rsidRDefault="00FC648F" w:rsidP="000702CB">
      <w:pPr>
        <w:pStyle w:val="Footer"/>
        <w:rPr>
          <w:rFonts w:ascii="Times New Roman" w:hAnsi="Times New Roman" w:cs="Times New Roman"/>
          <w:sz w:val="18"/>
          <w:szCs w:val="18"/>
          <w:lang w:val="sq-AL"/>
        </w:rPr>
      </w:pPr>
      <w:r w:rsidRPr="009D102F">
        <w:rPr>
          <w:rStyle w:val="FootnoteReference"/>
          <w:rFonts w:ascii="Times New Roman" w:hAnsi="Times New Roman" w:cs="Times New Roman"/>
          <w:sz w:val="18"/>
          <w:szCs w:val="18"/>
          <w:lang w:val="sq-AL"/>
        </w:rPr>
        <w:footnoteRef/>
      </w:r>
      <w:r w:rsidRPr="009D102F">
        <w:rPr>
          <w:rFonts w:ascii="Times New Roman" w:hAnsi="Times New Roman" w:cs="Times New Roman"/>
          <w:sz w:val="18"/>
          <w:szCs w:val="18"/>
          <w:lang w:val="sq-AL"/>
        </w:rPr>
        <w:t>Analiza e gjendjes shëndetësore të popullatës,  Dhjetor 2013</w:t>
      </w:r>
    </w:p>
  </w:footnote>
  <w:footnote w:id="51">
    <w:p w14:paraId="038981E2" w14:textId="77777777" w:rsidR="00FC648F" w:rsidRPr="009D102F" w:rsidRDefault="00FC648F" w:rsidP="000702CB">
      <w:pPr>
        <w:pStyle w:val="FootnoteText"/>
        <w:rPr>
          <w:rFonts w:ascii="Times New Roman" w:hAnsi="Times New Roman" w:cs="Times New Roman"/>
          <w:sz w:val="18"/>
          <w:szCs w:val="18"/>
          <w:lang w:val="sq-AL"/>
        </w:rPr>
      </w:pPr>
      <w:r w:rsidRPr="009D102F">
        <w:rPr>
          <w:rStyle w:val="FootnoteReference"/>
          <w:rFonts w:ascii="Times New Roman" w:hAnsi="Times New Roman" w:cs="Times New Roman"/>
          <w:sz w:val="18"/>
          <w:szCs w:val="18"/>
          <w:lang w:val="sq-AL"/>
        </w:rPr>
        <w:footnoteRef/>
      </w:r>
      <w:r w:rsidRPr="009D102F">
        <w:rPr>
          <w:rFonts w:ascii="Times New Roman" w:hAnsi="Times New Roman" w:cs="Times New Roman"/>
          <w:sz w:val="18"/>
          <w:szCs w:val="18"/>
          <w:lang w:val="sq-AL"/>
        </w:rPr>
        <w:t xml:space="preserve"> ASK- Statistikat e Shëndetësisë, 2018</w:t>
      </w:r>
    </w:p>
  </w:footnote>
  <w:footnote w:id="52">
    <w:p w14:paraId="3691811B" w14:textId="17A86288" w:rsidR="00FC648F" w:rsidRPr="00FC648F" w:rsidRDefault="00FC648F">
      <w:pPr>
        <w:pStyle w:val="FootnoteText"/>
        <w:rPr>
          <w:lang w:val="sq-AL"/>
        </w:rPr>
      </w:pPr>
      <w:r>
        <w:rPr>
          <w:rStyle w:val="FootnoteReference"/>
        </w:rPr>
        <w:footnoteRef/>
      </w:r>
      <w:r w:rsidRPr="00FC648F">
        <w:rPr>
          <w:lang w:val="sq-AL"/>
        </w:rPr>
        <w:t xml:space="preserve"> Caku i mesëm i treguesit është i njejtë me bazën e treguesit, sepse ndikimi fillon pas miratimit dhe fillimit të Ligjit për Skemën e Assistencës Sociale pas vitit 2021.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1F832" w14:textId="77777777" w:rsidR="00FC648F" w:rsidRDefault="00FC648F">
    <w:pPr>
      <w:pStyle w:val="Header"/>
    </w:pPr>
    <w:r>
      <w:rPr>
        <w:noProof/>
        <w:lang w:val="en-GB"/>
      </w:rPr>
      <w:pict w14:anchorId="0FC7B3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9617376" o:spid="_x0000_s2050" type="#_x0000_t136" style="position:absolute;margin-left:0;margin-top:0;width:490.9pt;height:196.35pt;rotation:315;z-index:-251656192;mso-position-horizontal:center;mso-position-horizontal-relative:margin;mso-position-vertical:center;mso-position-vertical-relative:margin" o:allowincell="f" fillcolor="silver" stroked="f">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3037"/>
      <w:gridCol w:w="3037"/>
      <w:gridCol w:w="3037"/>
    </w:tblGrid>
    <w:tr w:rsidR="00FC648F" w14:paraId="771FBDC3" w14:textId="77777777" w:rsidTr="00085F16">
      <w:tc>
        <w:tcPr>
          <w:tcW w:w="3037" w:type="dxa"/>
        </w:tcPr>
        <w:p w14:paraId="2FCA722E" w14:textId="77777777" w:rsidR="00FC648F" w:rsidRDefault="00FC648F" w:rsidP="00085F16">
          <w:pPr>
            <w:pStyle w:val="Header"/>
            <w:ind w:left="-115"/>
          </w:pPr>
        </w:p>
      </w:tc>
      <w:tc>
        <w:tcPr>
          <w:tcW w:w="3037" w:type="dxa"/>
        </w:tcPr>
        <w:p w14:paraId="048B2243" w14:textId="77777777" w:rsidR="00FC648F" w:rsidRDefault="00FC648F" w:rsidP="00085F16">
          <w:pPr>
            <w:pStyle w:val="Header"/>
            <w:jc w:val="center"/>
          </w:pPr>
        </w:p>
      </w:tc>
      <w:tc>
        <w:tcPr>
          <w:tcW w:w="3037" w:type="dxa"/>
        </w:tcPr>
        <w:p w14:paraId="68AE05C1" w14:textId="77777777" w:rsidR="00FC648F" w:rsidRDefault="00FC648F" w:rsidP="00085F16">
          <w:pPr>
            <w:pStyle w:val="Header"/>
            <w:ind w:right="-115"/>
            <w:jc w:val="right"/>
          </w:pPr>
        </w:p>
      </w:tc>
    </w:tr>
  </w:tbl>
  <w:p w14:paraId="17BFDD53" w14:textId="77777777" w:rsidR="00FC648F" w:rsidRDefault="00FC648F">
    <w:pPr>
      <w:pStyle w:val="Header"/>
    </w:pPr>
    <w:r>
      <w:rPr>
        <w:noProof/>
        <w:lang w:val="en-GB"/>
      </w:rPr>
      <w:pict w14:anchorId="7B506A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9617377" o:spid="_x0000_s2051" type="#_x0000_t136" style="position:absolute;margin-left:0;margin-top:0;width:490.9pt;height:196.35pt;rotation:315;z-index:-251655168;mso-position-horizontal:center;mso-position-horizontal-relative:margin;mso-position-vertical:center;mso-position-vertical-relative:margin" o:allowincell="f" fillcolor="silver" stroked="f">
          <v:textpath style="font-family:&quot;Times New Roman&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FD615" w14:textId="77777777" w:rsidR="00FC648F" w:rsidRDefault="00FC648F">
    <w:pPr>
      <w:pStyle w:val="Header"/>
    </w:pPr>
    <w:r>
      <w:rPr>
        <w:noProof/>
        <w:lang w:val="en-GB"/>
      </w:rPr>
      <w:pict w14:anchorId="57113F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9617375" o:spid="_x0000_s2049" type="#_x0000_t136" style="position:absolute;margin-left:0;margin-top:0;width:490.9pt;height:196.35pt;rotation:315;z-index:-251657216;mso-position-horizontal:center;mso-position-horizontal-relative:margin;mso-position-vertical:center;mso-position-vertical-relative:margin" o:allowincell="f" fillcolor="silver" stroked="f">
          <v:textpath style="font-family:&quot;Times New Roman&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38F27" w14:textId="77777777" w:rsidR="00FC648F" w:rsidRDefault="00FC648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3250"/>
      <w:gridCol w:w="3250"/>
      <w:gridCol w:w="3250"/>
    </w:tblGrid>
    <w:tr w:rsidR="00FC648F" w14:paraId="39585176" w14:textId="77777777" w:rsidTr="00085F16">
      <w:tc>
        <w:tcPr>
          <w:tcW w:w="3250" w:type="dxa"/>
        </w:tcPr>
        <w:p w14:paraId="13A7EA19" w14:textId="77777777" w:rsidR="00FC648F" w:rsidRDefault="00FC648F" w:rsidP="00085F16">
          <w:pPr>
            <w:pStyle w:val="Header"/>
            <w:ind w:left="-115"/>
          </w:pPr>
        </w:p>
      </w:tc>
      <w:tc>
        <w:tcPr>
          <w:tcW w:w="3250" w:type="dxa"/>
        </w:tcPr>
        <w:p w14:paraId="2BCC8AF6" w14:textId="77777777" w:rsidR="00FC648F" w:rsidRDefault="00FC648F" w:rsidP="00085F16">
          <w:pPr>
            <w:pStyle w:val="Header"/>
            <w:jc w:val="center"/>
          </w:pPr>
        </w:p>
      </w:tc>
      <w:tc>
        <w:tcPr>
          <w:tcW w:w="3250" w:type="dxa"/>
        </w:tcPr>
        <w:p w14:paraId="60FBDCF3" w14:textId="77777777" w:rsidR="00FC648F" w:rsidRDefault="00FC648F" w:rsidP="00085F16">
          <w:pPr>
            <w:pStyle w:val="Header"/>
            <w:ind w:right="-115"/>
            <w:jc w:val="right"/>
          </w:pPr>
        </w:p>
      </w:tc>
    </w:tr>
  </w:tbl>
  <w:p w14:paraId="0C39E706" w14:textId="77777777" w:rsidR="00FC648F" w:rsidRDefault="00FC648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DF066B" w14:textId="77777777" w:rsidR="00FC648F" w:rsidRDefault="00FC64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A944161E"/>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decimal"/>
      <w:pStyle w:val="Heading5"/>
      <w:lvlText w:val="%1.%2.%3.%4.%5"/>
      <w:lvlJc w:val="left"/>
      <w:pPr>
        <w:tabs>
          <w:tab w:val="num" w:pos="0"/>
        </w:tabs>
        <w:ind w:left="0" w:firstLine="0"/>
      </w:pPr>
    </w:lvl>
    <w:lvl w:ilvl="5">
      <w:start w:val="1"/>
      <w:numFmt w:val="decimal"/>
      <w:pStyle w:val="Heading6"/>
      <w:lvlText w:val="%1.%2.%3.%4.%5.%6"/>
      <w:lvlJc w:val="left"/>
      <w:pPr>
        <w:tabs>
          <w:tab w:val="num" w:pos="0"/>
        </w:tabs>
        <w:ind w:left="0" w:firstLine="0"/>
      </w:pPr>
    </w:lvl>
    <w:lvl w:ilvl="6">
      <w:start w:val="1"/>
      <w:numFmt w:val="decimal"/>
      <w:pStyle w:val="Heading7"/>
      <w:lvlText w:val="%1.%2.%3.%4.%5.%6.%7"/>
      <w:lvlJc w:val="left"/>
      <w:pPr>
        <w:tabs>
          <w:tab w:val="num" w:pos="0"/>
        </w:tabs>
        <w:ind w:left="0" w:firstLine="0"/>
      </w:pPr>
    </w:lvl>
    <w:lvl w:ilvl="7">
      <w:start w:val="1"/>
      <w:numFmt w:val="decimal"/>
      <w:pStyle w:val="Heading8"/>
      <w:lvlText w:val="%1.%2.%3.%4.%5.%6.%7.%8"/>
      <w:lvlJc w:val="left"/>
      <w:pPr>
        <w:tabs>
          <w:tab w:val="num" w:pos="0"/>
        </w:tabs>
        <w:ind w:left="0" w:firstLine="0"/>
      </w:pPr>
    </w:lvl>
    <w:lvl w:ilvl="8">
      <w:start w:val="1"/>
      <w:numFmt w:val="decimal"/>
      <w:pStyle w:val="Heading9"/>
      <w:lvlText w:val="%1.%2.%3.%4.%5.%6.%7.%8.%9"/>
      <w:lvlJc w:val="left"/>
      <w:pPr>
        <w:tabs>
          <w:tab w:val="num" w:pos="0"/>
        </w:tabs>
        <w:ind w:left="0" w:firstLine="0"/>
      </w:pPr>
    </w:lvl>
  </w:abstractNum>
  <w:abstractNum w:abstractNumId="1">
    <w:nsid w:val="001D7D11"/>
    <w:multiLevelType w:val="hybridMultilevel"/>
    <w:tmpl w:val="919819B6"/>
    <w:lvl w:ilvl="0" w:tplc="041C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
    <w:nsid w:val="00BB2236"/>
    <w:multiLevelType w:val="hybridMultilevel"/>
    <w:tmpl w:val="5B507544"/>
    <w:lvl w:ilvl="0" w:tplc="041C000F">
      <w:start w:val="1"/>
      <w:numFmt w:val="decimal"/>
      <w:lvlText w:val="%1."/>
      <w:lvlJc w:val="left"/>
      <w:pPr>
        <w:ind w:left="710" w:hanging="360"/>
      </w:pPr>
    </w:lvl>
    <w:lvl w:ilvl="1" w:tplc="041C0019" w:tentative="1">
      <w:start w:val="1"/>
      <w:numFmt w:val="lowerLetter"/>
      <w:lvlText w:val="%2."/>
      <w:lvlJc w:val="left"/>
      <w:pPr>
        <w:ind w:left="1430" w:hanging="360"/>
      </w:pPr>
    </w:lvl>
    <w:lvl w:ilvl="2" w:tplc="041C001B" w:tentative="1">
      <w:start w:val="1"/>
      <w:numFmt w:val="lowerRoman"/>
      <w:lvlText w:val="%3."/>
      <w:lvlJc w:val="right"/>
      <w:pPr>
        <w:ind w:left="2150" w:hanging="180"/>
      </w:pPr>
    </w:lvl>
    <w:lvl w:ilvl="3" w:tplc="041C000F" w:tentative="1">
      <w:start w:val="1"/>
      <w:numFmt w:val="decimal"/>
      <w:lvlText w:val="%4."/>
      <w:lvlJc w:val="left"/>
      <w:pPr>
        <w:ind w:left="2870" w:hanging="360"/>
      </w:pPr>
    </w:lvl>
    <w:lvl w:ilvl="4" w:tplc="041C0019" w:tentative="1">
      <w:start w:val="1"/>
      <w:numFmt w:val="lowerLetter"/>
      <w:lvlText w:val="%5."/>
      <w:lvlJc w:val="left"/>
      <w:pPr>
        <w:ind w:left="3590" w:hanging="360"/>
      </w:pPr>
    </w:lvl>
    <w:lvl w:ilvl="5" w:tplc="041C001B" w:tentative="1">
      <w:start w:val="1"/>
      <w:numFmt w:val="lowerRoman"/>
      <w:lvlText w:val="%6."/>
      <w:lvlJc w:val="right"/>
      <w:pPr>
        <w:ind w:left="4310" w:hanging="180"/>
      </w:pPr>
    </w:lvl>
    <w:lvl w:ilvl="6" w:tplc="041C000F" w:tentative="1">
      <w:start w:val="1"/>
      <w:numFmt w:val="decimal"/>
      <w:lvlText w:val="%7."/>
      <w:lvlJc w:val="left"/>
      <w:pPr>
        <w:ind w:left="5030" w:hanging="360"/>
      </w:pPr>
    </w:lvl>
    <w:lvl w:ilvl="7" w:tplc="041C0019" w:tentative="1">
      <w:start w:val="1"/>
      <w:numFmt w:val="lowerLetter"/>
      <w:lvlText w:val="%8."/>
      <w:lvlJc w:val="left"/>
      <w:pPr>
        <w:ind w:left="5750" w:hanging="360"/>
      </w:pPr>
    </w:lvl>
    <w:lvl w:ilvl="8" w:tplc="041C001B" w:tentative="1">
      <w:start w:val="1"/>
      <w:numFmt w:val="lowerRoman"/>
      <w:lvlText w:val="%9."/>
      <w:lvlJc w:val="right"/>
      <w:pPr>
        <w:ind w:left="6470" w:hanging="180"/>
      </w:pPr>
    </w:lvl>
  </w:abstractNum>
  <w:abstractNum w:abstractNumId="3">
    <w:nsid w:val="0160689A"/>
    <w:multiLevelType w:val="hybridMultilevel"/>
    <w:tmpl w:val="876CB740"/>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AB2EAF32">
      <w:start w:val="2"/>
      <w:numFmt w:val="low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2105AF3"/>
    <w:multiLevelType w:val="multilevel"/>
    <w:tmpl w:val="451CA54E"/>
    <w:lvl w:ilvl="0">
      <w:start w:val="3"/>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196" w:hanging="720"/>
      </w:pPr>
      <w:rPr>
        <w:rFonts w:hint="default"/>
      </w:rPr>
    </w:lvl>
    <w:lvl w:ilvl="3">
      <w:start w:val="1"/>
      <w:numFmt w:val="decimal"/>
      <w:isLgl/>
      <w:lvlText w:val="%1.%2.%3.%4."/>
      <w:lvlJc w:val="left"/>
      <w:pPr>
        <w:ind w:left="1254" w:hanging="720"/>
      </w:pPr>
      <w:rPr>
        <w:rFonts w:hint="default"/>
      </w:rPr>
    </w:lvl>
    <w:lvl w:ilvl="4">
      <w:start w:val="1"/>
      <w:numFmt w:val="decimal"/>
      <w:isLgl/>
      <w:lvlText w:val="%1.%2.%3.%4.%5."/>
      <w:lvlJc w:val="left"/>
      <w:pPr>
        <w:ind w:left="1672" w:hanging="1080"/>
      </w:pPr>
      <w:rPr>
        <w:rFonts w:hint="default"/>
      </w:rPr>
    </w:lvl>
    <w:lvl w:ilvl="5">
      <w:start w:val="1"/>
      <w:numFmt w:val="decimal"/>
      <w:isLgl/>
      <w:lvlText w:val="%1.%2.%3.%4.%5.%6."/>
      <w:lvlJc w:val="left"/>
      <w:pPr>
        <w:ind w:left="1730"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206" w:hanging="1440"/>
      </w:pPr>
      <w:rPr>
        <w:rFonts w:hint="default"/>
      </w:rPr>
    </w:lvl>
    <w:lvl w:ilvl="8">
      <w:start w:val="1"/>
      <w:numFmt w:val="decimal"/>
      <w:isLgl/>
      <w:lvlText w:val="%1.%2.%3.%4.%5.%6.%7.%8.%9."/>
      <w:lvlJc w:val="left"/>
      <w:pPr>
        <w:ind w:left="2624" w:hanging="1800"/>
      </w:pPr>
      <w:rPr>
        <w:rFonts w:hint="default"/>
      </w:rPr>
    </w:lvl>
  </w:abstractNum>
  <w:abstractNum w:abstractNumId="5">
    <w:nsid w:val="0231304F"/>
    <w:multiLevelType w:val="hybridMultilevel"/>
    <w:tmpl w:val="29A4BCD0"/>
    <w:lvl w:ilvl="0" w:tplc="0409000F">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6">
    <w:nsid w:val="02F053BC"/>
    <w:multiLevelType w:val="hybridMultilevel"/>
    <w:tmpl w:val="43A6BB50"/>
    <w:lvl w:ilvl="0" w:tplc="64EE6C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3131D06"/>
    <w:multiLevelType w:val="hybridMultilevel"/>
    <w:tmpl w:val="22A22630"/>
    <w:lvl w:ilvl="0" w:tplc="4DF668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38A66F5"/>
    <w:multiLevelType w:val="hybridMultilevel"/>
    <w:tmpl w:val="5F2ECDE4"/>
    <w:lvl w:ilvl="0" w:tplc="651ECA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4D171DC"/>
    <w:multiLevelType w:val="hybridMultilevel"/>
    <w:tmpl w:val="C400D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5E976F8"/>
    <w:multiLevelType w:val="hybridMultilevel"/>
    <w:tmpl w:val="A52C2CCC"/>
    <w:lvl w:ilvl="0" w:tplc="041C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1">
    <w:nsid w:val="06C44708"/>
    <w:multiLevelType w:val="hybridMultilevel"/>
    <w:tmpl w:val="E3109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D47CCE"/>
    <w:multiLevelType w:val="hybridMultilevel"/>
    <w:tmpl w:val="8B0CF06A"/>
    <w:lvl w:ilvl="0" w:tplc="D32CCE18">
      <w:start w:val="1"/>
      <w:numFmt w:val="decimal"/>
      <w:lvlText w:val="%1."/>
      <w:lvlJc w:val="left"/>
      <w:pPr>
        <w:ind w:left="720" w:hanging="360"/>
      </w:pPr>
      <w:rPr>
        <w:rFonts w:hint="default"/>
        <w:b w:val="0"/>
      </w:rPr>
    </w:lvl>
    <w:lvl w:ilvl="1" w:tplc="041C0019" w:tentative="1">
      <w:start w:val="1"/>
      <w:numFmt w:val="lowerLetter"/>
      <w:lvlText w:val="%2."/>
      <w:lvlJc w:val="left"/>
      <w:pPr>
        <w:ind w:left="1353" w:hanging="360"/>
      </w:pPr>
    </w:lvl>
    <w:lvl w:ilvl="2" w:tplc="041C001B" w:tentative="1">
      <w:start w:val="1"/>
      <w:numFmt w:val="lowerRoman"/>
      <w:lvlText w:val="%3."/>
      <w:lvlJc w:val="right"/>
      <w:pPr>
        <w:ind w:left="2073" w:hanging="180"/>
      </w:pPr>
    </w:lvl>
    <w:lvl w:ilvl="3" w:tplc="041C000F" w:tentative="1">
      <w:start w:val="1"/>
      <w:numFmt w:val="decimal"/>
      <w:lvlText w:val="%4."/>
      <w:lvlJc w:val="left"/>
      <w:pPr>
        <w:ind w:left="2793" w:hanging="360"/>
      </w:pPr>
    </w:lvl>
    <w:lvl w:ilvl="4" w:tplc="041C0019" w:tentative="1">
      <w:start w:val="1"/>
      <w:numFmt w:val="lowerLetter"/>
      <w:lvlText w:val="%5."/>
      <w:lvlJc w:val="left"/>
      <w:pPr>
        <w:ind w:left="3513" w:hanging="360"/>
      </w:pPr>
    </w:lvl>
    <w:lvl w:ilvl="5" w:tplc="041C001B" w:tentative="1">
      <w:start w:val="1"/>
      <w:numFmt w:val="lowerRoman"/>
      <w:lvlText w:val="%6."/>
      <w:lvlJc w:val="right"/>
      <w:pPr>
        <w:ind w:left="4233" w:hanging="180"/>
      </w:pPr>
    </w:lvl>
    <w:lvl w:ilvl="6" w:tplc="041C000F" w:tentative="1">
      <w:start w:val="1"/>
      <w:numFmt w:val="decimal"/>
      <w:lvlText w:val="%7."/>
      <w:lvlJc w:val="left"/>
      <w:pPr>
        <w:ind w:left="4953" w:hanging="360"/>
      </w:pPr>
    </w:lvl>
    <w:lvl w:ilvl="7" w:tplc="041C0019" w:tentative="1">
      <w:start w:val="1"/>
      <w:numFmt w:val="lowerLetter"/>
      <w:lvlText w:val="%8."/>
      <w:lvlJc w:val="left"/>
      <w:pPr>
        <w:ind w:left="5673" w:hanging="360"/>
      </w:pPr>
    </w:lvl>
    <w:lvl w:ilvl="8" w:tplc="041C001B" w:tentative="1">
      <w:start w:val="1"/>
      <w:numFmt w:val="lowerRoman"/>
      <w:lvlText w:val="%9."/>
      <w:lvlJc w:val="right"/>
      <w:pPr>
        <w:ind w:left="6393" w:hanging="180"/>
      </w:pPr>
    </w:lvl>
  </w:abstractNum>
  <w:abstractNum w:abstractNumId="13">
    <w:nsid w:val="0A33005B"/>
    <w:multiLevelType w:val="hybridMultilevel"/>
    <w:tmpl w:val="02E8F084"/>
    <w:lvl w:ilvl="0" w:tplc="041C000F">
      <w:start w:val="1"/>
      <w:numFmt w:val="decimal"/>
      <w:lvlText w:val="%1."/>
      <w:lvlJc w:val="left"/>
      <w:pPr>
        <w:ind w:left="630" w:hanging="360"/>
      </w:pPr>
      <w:rPr>
        <w:rFonts w:hint="default"/>
      </w:rPr>
    </w:lvl>
    <w:lvl w:ilvl="1" w:tplc="041C0019" w:tentative="1">
      <w:start w:val="1"/>
      <w:numFmt w:val="lowerLetter"/>
      <w:lvlText w:val="%2."/>
      <w:lvlJc w:val="left"/>
      <w:pPr>
        <w:ind w:left="1350" w:hanging="360"/>
      </w:pPr>
    </w:lvl>
    <w:lvl w:ilvl="2" w:tplc="041C001B" w:tentative="1">
      <w:start w:val="1"/>
      <w:numFmt w:val="lowerRoman"/>
      <w:lvlText w:val="%3."/>
      <w:lvlJc w:val="right"/>
      <w:pPr>
        <w:ind w:left="2070" w:hanging="180"/>
      </w:pPr>
    </w:lvl>
    <w:lvl w:ilvl="3" w:tplc="041C000F" w:tentative="1">
      <w:start w:val="1"/>
      <w:numFmt w:val="decimal"/>
      <w:lvlText w:val="%4."/>
      <w:lvlJc w:val="left"/>
      <w:pPr>
        <w:ind w:left="2790" w:hanging="360"/>
      </w:pPr>
    </w:lvl>
    <w:lvl w:ilvl="4" w:tplc="041C0019" w:tentative="1">
      <w:start w:val="1"/>
      <w:numFmt w:val="lowerLetter"/>
      <w:lvlText w:val="%5."/>
      <w:lvlJc w:val="left"/>
      <w:pPr>
        <w:ind w:left="3510" w:hanging="360"/>
      </w:pPr>
    </w:lvl>
    <w:lvl w:ilvl="5" w:tplc="041C001B" w:tentative="1">
      <w:start w:val="1"/>
      <w:numFmt w:val="lowerRoman"/>
      <w:lvlText w:val="%6."/>
      <w:lvlJc w:val="right"/>
      <w:pPr>
        <w:ind w:left="4230" w:hanging="180"/>
      </w:pPr>
    </w:lvl>
    <w:lvl w:ilvl="6" w:tplc="041C000F" w:tentative="1">
      <w:start w:val="1"/>
      <w:numFmt w:val="decimal"/>
      <w:lvlText w:val="%7."/>
      <w:lvlJc w:val="left"/>
      <w:pPr>
        <w:ind w:left="4950" w:hanging="360"/>
      </w:pPr>
    </w:lvl>
    <w:lvl w:ilvl="7" w:tplc="041C0019" w:tentative="1">
      <w:start w:val="1"/>
      <w:numFmt w:val="lowerLetter"/>
      <w:lvlText w:val="%8."/>
      <w:lvlJc w:val="left"/>
      <w:pPr>
        <w:ind w:left="5670" w:hanging="360"/>
      </w:pPr>
    </w:lvl>
    <w:lvl w:ilvl="8" w:tplc="041C001B" w:tentative="1">
      <w:start w:val="1"/>
      <w:numFmt w:val="lowerRoman"/>
      <w:lvlText w:val="%9."/>
      <w:lvlJc w:val="right"/>
      <w:pPr>
        <w:ind w:left="6390" w:hanging="180"/>
      </w:pPr>
    </w:lvl>
  </w:abstractNum>
  <w:abstractNum w:abstractNumId="14">
    <w:nsid w:val="0A9D559C"/>
    <w:multiLevelType w:val="hybridMultilevel"/>
    <w:tmpl w:val="53E6ED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0B4F7F8C"/>
    <w:multiLevelType w:val="multilevel"/>
    <w:tmpl w:val="A622E35C"/>
    <w:lvl w:ilvl="0">
      <w:start w:val="1"/>
      <w:numFmt w:val="decimal"/>
      <w:lvlText w:val="%1."/>
      <w:lvlJc w:val="left"/>
      <w:pPr>
        <w:ind w:left="720" w:hanging="360"/>
      </w:pPr>
    </w:lvl>
    <w:lvl w:ilvl="1">
      <w:start w:val="3"/>
      <w:numFmt w:val="decimal"/>
      <w:isLgl/>
      <w:lvlText w:val="%1.%2."/>
      <w:lvlJc w:val="left"/>
      <w:pPr>
        <w:ind w:left="1020" w:hanging="66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11D72790"/>
    <w:multiLevelType w:val="hybridMultilevel"/>
    <w:tmpl w:val="E6DE90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34C6FAB"/>
    <w:multiLevelType w:val="hybridMultilevel"/>
    <w:tmpl w:val="5614D68E"/>
    <w:lvl w:ilvl="0" w:tplc="2A0A099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422166A"/>
    <w:multiLevelType w:val="hybridMultilevel"/>
    <w:tmpl w:val="34A294E6"/>
    <w:lvl w:ilvl="0" w:tplc="0409000F">
      <w:start w:val="1"/>
      <w:numFmt w:val="decimal"/>
      <w:lvlText w:val="%1."/>
      <w:lvlJc w:val="left"/>
      <w:pPr>
        <w:ind w:left="1790" w:hanging="360"/>
      </w:p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19">
    <w:nsid w:val="171122CD"/>
    <w:multiLevelType w:val="hybridMultilevel"/>
    <w:tmpl w:val="59964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B6D6265"/>
    <w:multiLevelType w:val="hybridMultilevel"/>
    <w:tmpl w:val="43A8F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BD2749E"/>
    <w:multiLevelType w:val="hybridMultilevel"/>
    <w:tmpl w:val="E6C6FB6C"/>
    <w:lvl w:ilvl="0" w:tplc="A7FA94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C8F4F41"/>
    <w:multiLevelType w:val="multilevel"/>
    <w:tmpl w:val="5940593A"/>
    <w:lvl w:ilvl="0">
      <w:start w:val="2"/>
      <w:numFmt w:val="decimal"/>
      <w:lvlText w:val="%1."/>
      <w:lvlJc w:val="left"/>
      <w:pPr>
        <w:ind w:left="720" w:hanging="720"/>
      </w:pPr>
      <w:rPr>
        <w:rFonts w:hint="default"/>
      </w:rPr>
    </w:lvl>
    <w:lvl w:ilvl="1">
      <w:start w:val="3"/>
      <w:numFmt w:val="decimal"/>
      <w:lvlText w:val="%1.%2."/>
      <w:lvlJc w:val="left"/>
      <w:pPr>
        <w:ind w:left="1145" w:hanging="720"/>
      </w:pPr>
      <w:rPr>
        <w:rFonts w:hint="default"/>
      </w:rPr>
    </w:lvl>
    <w:lvl w:ilvl="2">
      <w:start w:val="3"/>
      <w:numFmt w:val="decimal"/>
      <w:lvlText w:val="%1.%2.%3."/>
      <w:lvlJc w:val="left"/>
      <w:pPr>
        <w:ind w:left="157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3">
    <w:nsid w:val="1D310EAE"/>
    <w:multiLevelType w:val="hybridMultilevel"/>
    <w:tmpl w:val="20E0AC92"/>
    <w:lvl w:ilvl="0" w:tplc="041C000F">
      <w:start w:val="1"/>
      <w:numFmt w:val="decimal"/>
      <w:lvlText w:val="%1."/>
      <w:lvlJc w:val="left"/>
      <w:pPr>
        <w:ind w:left="360" w:hanging="360"/>
      </w:pPr>
      <w:rPr>
        <w:rFonts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24">
    <w:nsid w:val="1D9C204F"/>
    <w:multiLevelType w:val="hybridMultilevel"/>
    <w:tmpl w:val="111474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DF21321"/>
    <w:multiLevelType w:val="hybridMultilevel"/>
    <w:tmpl w:val="16CE2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DF903F8"/>
    <w:multiLevelType w:val="hybridMultilevel"/>
    <w:tmpl w:val="2B0AA256"/>
    <w:lvl w:ilvl="0" w:tplc="40D4893A">
      <w:start w:val="2"/>
      <w:numFmt w:val="decimal"/>
      <w:lvlText w:val="%1.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1E350F03"/>
    <w:multiLevelType w:val="hybridMultilevel"/>
    <w:tmpl w:val="1F38F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14E6238"/>
    <w:multiLevelType w:val="hybridMultilevel"/>
    <w:tmpl w:val="937EF490"/>
    <w:lvl w:ilvl="0" w:tplc="2DC2FB7E">
      <w:start w:val="2022"/>
      <w:numFmt w:val="decimal"/>
      <w:lvlText w:val="%1"/>
      <w:lvlJc w:val="left"/>
      <w:pPr>
        <w:ind w:left="840" w:hanging="48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22D4629"/>
    <w:multiLevelType w:val="hybridMultilevel"/>
    <w:tmpl w:val="62F01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54877A0"/>
    <w:multiLevelType w:val="hybridMultilevel"/>
    <w:tmpl w:val="8C700FC0"/>
    <w:lvl w:ilvl="0" w:tplc="8EDE49EE">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5862FE3"/>
    <w:multiLevelType w:val="hybridMultilevel"/>
    <w:tmpl w:val="CE4853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29584307"/>
    <w:multiLevelType w:val="hybridMultilevel"/>
    <w:tmpl w:val="65E20D46"/>
    <w:lvl w:ilvl="0" w:tplc="041C000F">
      <w:start w:val="1"/>
      <w:numFmt w:val="decimal"/>
      <w:lvlText w:val="%1."/>
      <w:lvlJc w:val="left"/>
      <w:pPr>
        <w:ind w:left="706" w:hanging="360"/>
      </w:pPr>
    </w:lvl>
    <w:lvl w:ilvl="1" w:tplc="041C0019" w:tentative="1">
      <w:start w:val="1"/>
      <w:numFmt w:val="lowerLetter"/>
      <w:lvlText w:val="%2."/>
      <w:lvlJc w:val="left"/>
      <w:pPr>
        <w:ind w:left="1426" w:hanging="360"/>
      </w:pPr>
    </w:lvl>
    <w:lvl w:ilvl="2" w:tplc="041C001B" w:tentative="1">
      <w:start w:val="1"/>
      <w:numFmt w:val="lowerRoman"/>
      <w:lvlText w:val="%3."/>
      <w:lvlJc w:val="right"/>
      <w:pPr>
        <w:ind w:left="2146" w:hanging="180"/>
      </w:pPr>
    </w:lvl>
    <w:lvl w:ilvl="3" w:tplc="041C000F" w:tentative="1">
      <w:start w:val="1"/>
      <w:numFmt w:val="decimal"/>
      <w:lvlText w:val="%4."/>
      <w:lvlJc w:val="left"/>
      <w:pPr>
        <w:ind w:left="2866" w:hanging="360"/>
      </w:pPr>
    </w:lvl>
    <w:lvl w:ilvl="4" w:tplc="041C0019" w:tentative="1">
      <w:start w:val="1"/>
      <w:numFmt w:val="lowerLetter"/>
      <w:lvlText w:val="%5."/>
      <w:lvlJc w:val="left"/>
      <w:pPr>
        <w:ind w:left="3586" w:hanging="360"/>
      </w:pPr>
    </w:lvl>
    <w:lvl w:ilvl="5" w:tplc="041C001B" w:tentative="1">
      <w:start w:val="1"/>
      <w:numFmt w:val="lowerRoman"/>
      <w:lvlText w:val="%6."/>
      <w:lvlJc w:val="right"/>
      <w:pPr>
        <w:ind w:left="4306" w:hanging="180"/>
      </w:pPr>
    </w:lvl>
    <w:lvl w:ilvl="6" w:tplc="041C000F" w:tentative="1">
      <w:start w:val="1"/>
      <w:numFmt w:val="decimal"/>
      <w:lvlText w:val="%7."/>
      <w:lvlJc w:val="left"/>
      <w:pPr>
        <w:ind w:left="5026" w:hanging="360"/>
      </w:pPr>
    </w:lvl>
    <w:lvl w:ilvl="7" w:tplc="041C0019" w:tentative="1">
      <w:start w:val="1"/>
      <w:numFmt w:val="lowerLetter"/>
      <w:lvlText w:val="%8."/>
      <w:lvlJc w:val="left"/>
      <w:pPr>
        <w:ind w:left="5746" w:hanging="360"/>
      </w:pPr>
    </w:lvl>
    <w:lvl w:ilvl="8" w:tplc="041C001B" w:tentative="1">
      <w:start w:val="1"/>
      <w:numFmt w:val="lowerRoman"/>
      <w:lvlText w:val="%9."/>
      <w:lvlJc w:val="right"/>
      <w:pPr>
        <w:ind w:left="6466" w:hanging="180"/>
      </w:pPr>
    </w:lvl>
  </w:abstractNum>
  <w:abstractNum w:abstractNumId="33">
    <w:nsid w:val="2B150C57"/>
    <w:multiLevelType w:val="hybridMultilevel"/>
    <w:tmpl w:val="21CC17E2"/>
    <w:lvl w:ilvl="0" w:tplc="041C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B6173AB"/>
    <w:multiLevelType w:val="hybridMultilevel"/>
    <w:tmpl w:val="8D2C6D54"/>
    <w:lvl w:ilvl="0" w:tplc="041C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5">
    <w:nsid w:val="2BCF4CE0"/>
    <w:multiLevelType w:val="hybridMultilevel"/>
    <w:tmpl w:val="34D2CAF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2C277D04"/>
    <w:multiLevelType w:val="hybridMultilevel"/>
    <w:tmpl w:val="C26C20A2"/>
    <w:lvl w:ilvl="0" w:tplc="041C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D776A41"/>
    <w:multiLevelType w:val="hybridMultilevel"/>
    <w:tmpl w:val="1E54C5E8"/>
    <w:lvl w:ilvl="0" w:tplc="04090011">
      <w:start w:val="1"/>
      <w:numFmt w:val="decimal"/>
      <w:lvlText w:val="%1)"/>
      <w:lvlJc w:val="left"/>
      <w:pPr>
        <w:ind w:left="360" w:hanging="360"/>
      </w:pPr>
    </w:lvl>
    <w:lvl w:ilvl="1" w:tplc="0409000F">
      <w:start w:val="1"/>
      <w:numFmt w:val="decimal"/>
      <w:lvlText w:val="%2."/>
      <w:lvlJc w:val="left"/>
      <w:pPr>
        <w:ind w:left="1080" w:hanging="360"/>
      </w:pPr>
    </w:lvl>
    <w:lvl w:ilvl="2" w:tplc="DE0C005C">
      <w:start w:val="2"/>
      <w:numFmt w:val="lowerLetter"/>
      <w:lvlText w:val="%3."/>
      <w:lvlJc w:val="left"/>
      <w:pPr>
        <w:ind w:left="1980" w:hanging="360"/>
      </w:pPr>
      <w:rPr>
        <w:rFonts w:hint="default"/>
        <w:b/>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2E2F03EA"/>
    <w:multiLevelType w:val="hybridMultilevel"/>
    <w:tmpl w:val="A20E925E"/>
    <w:lvl w:ilvl="0" w:tplc="041C000F">
      <w:start w:val="1"/>
      <w:numFmt w:val="decimal"/>
      <w:lvlText w:val="%1."/>
      <w:lvlJc w:val="left"/>
      <w:pPr>
        <w:ind w:left="720" w:hanging="360"/>
      </w:pPr>
    </w:lvl>
    <w:lvl w:ilvl="1" w:tplc="041C0019" w:tentative="1">
      <w:start w:val="1"/>
      <w:numFmt w:val="lowerLetter"/>
      <w:lvlText w:val="%2."/>
      <w:lvlJc w:val="left"/>
      <w:pPr>
        <w:ind w:left="1800" w:hanging="360"/>
      </w:pPr>
    </w:lvl>
    <w:lvl w:ilvl="2" w:tplc="041C001B" w:tentative="1">
      <w:start w:val="1"/>
      <w:numFmt w:val="lowerRoman"/>
      <w:lvlText w:val="%3."/>
      <w:lvlJc w:val="right"/>
      <w:pPr>
        <w:ind w:left="2520" w:hanging="180"/>
      </w:pPr>
    </w:lvl>
    <w:lvl w:ilvl="3" w:tplc="041C000F" w:tentative="1">
      <w:start w:val="1"/>
      <w:numFmt w:val="decimal"/>
      <w:lvlText w:val="%4."/>
      <w:lvlJc w:val="left"/>
      <w:pPr>
        <w:ind w:left="3240" w:hanging="360"/>
      </w:pPr>
    </w:lvl>
    <w:lvl w:ilvl="4" w:tplc="041C0019" w:tentative="1">
      <w:start w:val="1"/>
      <w:numFmt w:val="lowerLetter"/>
      <w:lvlText w:val="%5."/>
      <w:lvlJc w:val="left"/>
      <w:pPr>
        <w:ind w:left="3960" w:hanging="360"/>
      </w:pPr>
    </w:lvl>
    <w:lvl w:ilvl="5" w:tplc="041C001B" w:tentative="1">
      <w:start w:val="1"/>
      <w:numFmt w:val="lowerRoman"/>
      <w:lvlText w:val="%6."/>
      <w:lvlJc w:val="right"/>
      <w:pPr>
        <w:ind w:left="4680" w:hanging="180"/>
      </w:pPr>
    </w:lvl>
    <w:lvl w:ilvl="6" w:tplc="041C000F" w:tentative="1">
      <w:start w:val="1"/>
      <w:numFmt w:val="decimal"/>
      <w:lvlText w:val="%7."/>
      <w:lvlJc w:val="left"/>
      <w:pPr>
        <w:ind w:left="5400" w:hanging="360"/>
      </w:pPr>
    </w:lvl>
    <w:lvl w:ilvl="7" w:tplc="041C0019" w:tentative="1">
      <w:start w:val="1"/>
      <w:numFmt w:val="lowerLetter"/>
      <w:lvlText w:val="%8."/>
      <w:lvlJc w:val="left"/>
      <w:pPr>
        <w:ind w:left="6120" w:hanging="360"/>
      </w:pPr>
    </w:lvl>
    <w:lvl w:ilvl="8" w:tplc="041C001B" w:tentative="1">
      <w:start w:val="1"/>
      <w:numFmt w:val="lowerRoman"/>
      <w:lvlText w:val="%9."/>
      <w:lvlJc w:val="right"/>
      <w:pPr>
        <w:ind w:left="6840" w:hanging="180"/>
      </w:pPr>
    </w:lvl>
  </w:abstractNum>
  <w:abstractNum w:abstractNumId="39">
    <w:nsid w:val="30E15172"/>
    <w:multiLevelType w:val="hybridMultilevel"/>
    <w:tmpl w:val="A268FA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313028B8"/>
    <w:multiLevelType w:val="hybridMultilevel"/>
    <w:tmpl w:val="B30EBE0C"/>
    <w:lvl w:ilvl="0" w:tplc="041C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41">
    <w:nsid w:val="315B3299"/>
    <w:multiLevelType w:val="hybridMultilevel"/>
    <w:tmpl w:val="9AB82A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16E7559"/>
    <w:multiLevelType w:val="hybridMultilevel"/>
    <w:tmpl w:val="E78C806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31E8434C"/>
    <w:multiLevelType w:val="hybridMultilevel"/>
    <w:tmpl w:val="D6D093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46B27E7"/>
    <w:multiLevelType w:val="multilevel"/>
    <w:tmpl w:val="AEE889A8"/>
    <w:lvl w:ilvl="0">
      <w:start w:val="2"/>
      <w:numFmt w:val="decimal"/>
      <w:lvlText w:val="%1."/>
      <w:lvlJc w:val="left"/>
      <w:pPr>
        <w:ind w:left="540" w:hanging="540"/>
      </w:pPr>
      <w:rPr>
        <w:rFonts w:ascii="Times New Roman Bold" w:hAnsi="Times New Roman Bold" w:hint="default"/>
      </w:rPr>
    </w:lvl>
    <w:lvl w:ilvl="1">
      <w:start w:val="3"/>
      <w:numFmt w:val="decimal"/>
      <w:lvlText w:val="%1.%2."/>
      <w:lvlJc w:val="left"/>
      <w:pPr>
        <w:ind w:left="720" w:hanging="540"/>
      </w:pPr>
      <w:rPr>
        <w:rFonts w:ascii="Times New Roman Bold" w:hAnsi="Times New Roman Bold" w:hint="default"/>
      </w:rPr>
    </w:lvl>
    <w:lvl w:ilvl="2">
      <w:start w:val="1"/>
      <w:numFmt w:val="decimal"/>
      <w:lvlText w:val="%1.%2.%3."/>
      <w:lvlJc w:val="left"/>
      <w:pPr>
        <w:ind w:left="1080" w:hanging="720"/>
      </w:pPr>
      <w:rPr>
        <w:rFonts w:ascii="Times New Roman Bold" w:hAnsi="Times New Roman Bold" w:hint="default"/>
      </w:rPr>
    </w:lvl>
    <w:lvl w:ilvl="3">
      <w:start w:val="1"/>
      <w:numFmt w:val="decimal"/>
      <w:lvlText w:val="%1.%2.%3.%4."/>
      <w:lvlJc w:val="left"/>
      <w:pPr>
        <w:ind w:left="1260" w:hanging="720"/>
      </w:pPr>
      <w:rPr>
        <w:rFonts w:ascii="Times New Roman Bold" w:hAnsi="Times New Roman Bold" w:hint="default"/>
      </w:rPr>
    </w:lvl>
    <w:lvl w:ilvl="4">
      <w:start w:val="1"/>
      <w:numFmt w:val="decimal"/>
      <w:lvlText w:val="%1.%2.%3.%4.%5."/>
      <w:lvlJc w:val="left"/>
      <w:pPr>
        <w:ind w:left="1800" w:hanging="1080"/>
      </w:pPr>
      <w:rPr>
        <w:rFonts w:ascii="Times New Roman Bold" w:hAnsi="Times New Roman Bold" w:hint="default"/>
      </w:rPr>
    </w:lvl>
    <w:lvl w:ilvl="5">
      <w:start w:val="1"/>
      <w:numFmt w:val="decimal"/>
      <w:lvlText w:val="%1.%2.%3.%4.%5.%6."/>
      <w:lvlJc w:val="left"/>
      <w:pPr>
        <w:ind w:left="1980" w:hanging="1080"/>
      </w:pPr>
      <w:rPr>
        <w:rFonts w:ascii="Times New Roman Bold" w:hAnsi="Times New Roman Bold" w:hint="default"/>
      </w:rPr>
    </w:lvl>
    <w:lvl w:ilvl="6">
      <w:start w:val="1"/>
      <w:numFmt w:val="decimal"/>
      <w:lvlText w:val="%1.%2.%3.%4.%5.%6.%7."/>
      <w:lvlJc w:val="left"/>
      <w:pPr>
        <w:ind w:left="2520" w:hanging="1440"/>
      </w:pPr>
      <w:rPr>
        <w:rFonts w:ascii="Times New Roman Bold" w:hAnsi="Times New Roman Bold" w:hint="default"/>
      </w:rPr>
    </w:lvl>
    <w:lvl w:ilvl="7">
      <w:start w:val="1"/>
      <w:numFmt w:val="decimal"/>
      <w:lvlText w:val="%1.%2.%3.%4.%5.%6.%7.%8."/>
      <w:lvlJc w:val="left"/>
      <w:pPr>
        <w:ind w:left="2700" w:hanging="1440"/>
      </w:pPr>
      <w:rPr>
        <w:rFonts w:ascii="Times New Roman Bold" w:hAnsi="Times New Roman Bold" w:hint="default"/>
      </w:rPr>
    </w:lvl>
    <w:lvl w:ilvl="8">
      <w:start w:val="1"/>
      <w:numFmt w:val="decimal"/>
      <w:lvlText w:val="%1.%2.%3.%4.%5.%6.%7.%8.%9."/>
      <w:lvlJc w:val="left"/>
      <w:pPr>
        <w:ind w:left="3240" w:hanging="1800"/>
      </w:pPr>
      <w:rPr>
        <w:rFonts w:ascii="Times New Roman Bold" w:hAnsi="Times New Roman Bold" w:hint="default"/>
      </w:rPr>
    </w:lvl>
  </w:abstractNum>
  <w:abstractNum w:abstractNumId="45">
    <w:nsid w:val="35466D9C"/>
    <w:multiLevelType w:val="hybridMultilevel"/>
    <w:tmpl w:val="8FD2EE8E"/>
    <w:lvl w:ilvl="0" w:tplc="041C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80B345C"/>
    <w:multiLevelType w:val="hybridMultilevel"/>
    <w:tmpl w:val="B5ECBE10"/>
    <w:lvl w:ilvl="0" w:tplc="041C000F">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82C2ADA"/>
    <w:multiLevelType w:val="hybridMultilevel"/>
    <w:tmpl w:val="5D7CEC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383C0B57"/>
    <w:multiLevelType w:val="hybridMultilevel"/>
    <w:tmpl w:val="812280C0"/>
    <w:lvl w:ilvl="0" w:tplc="041C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49">
    <w:nsid w:val="386D7809"/>
    <w:multiLevelType w:val="hybridMultilevel"/>
    <w:tmpl w:val="97C85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96D52BD"/>
    <w:multiLevelType w:val="hybridMultilevel"/>
    <w:tmpl w:val="E2EE456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52">
    <w:nsid w:val="3B7E1C3A"/>
    <w:multiLevelType w:val="hybridMultilevel"/>
    <w:tmpl w:val="1A2415CC"/>
    <w:lvl w:ilvl="0" w:tplc="041C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53">
    <w:nsid w:val="3DE24465"/>
    <w:multiLevelType w:val="hybridMultilevel"/>
    <w:tmpl w:val="38AA479E"/>
    <w:lvl w:ilvl="0" w:tplc="C9BCAD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E562EB5"/>
    <w:multiLevelType w:val="hybridMultilevel"/>
    <w:tmpl w:val="3C04E61C"/>
    <w:lvl w:ilvl="0" w:tplc="041C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1AB0EDC"/>
    <w:multiLevelType w:val="multilevel"/>
    <w:tmpl w:val="19BECDFE"/>
    <w:lvl w:ilvl="0">
      <w:start w:val="3"/>
      <w:numFmt w:val="decimal"/>
      <w:lvlText w:val="%1."/>
      <w:lvlJc w:val="left"/>
      <w:pPr>
        <w:ind w:left="360" w:hanging="360"/>
      </w:pPr>
      <w:rPr>
        <w:rFonts w:hint="default"/>
      </w:rPr>
    </w:lvl>
    <w:lvl w:ilvl="1">
      <w:start w:val="3"/>
      <w:numFmt w:val="decimal"/>
      <w:lvlText w:val="%1.%2."/>
      <w:lvlJc w:val="left"/>
      <w:pPr>
        <w:ind w:left="540" w:hanging="360"/>
      </w:pPr>
      <w:rPr>
        <w:rFonts w:hint="default"/>
      </w:rPr>
    </w:lvl>
    <w:lvl w:ilvl="2">
      <w:start w:val="1"/>
      <w:numFmt w:val="decimal"/>
      <w:lvlText w:val="%1.%2.%3."/>
      <w:lvlJc w:val="left"/>
      <w:pPr>
        <w:ind w:left="810" w:hanging="720"/>
      </w:pPr>
      <w:rPr>
        <w:rFonts w:hint="default"/>
        <w:i w:val="0"/>
        <w:iCs/>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6">
    <w:nsid w:val="423E0DB5"/>
    <w:multiLevelType w:val="hybridMultilevel"/>
    <w:tmpl w:val="014AB5E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nsid w:val="42D06F29"/>
    <w:multiLevelType w:val="multilevel"/>
    <w:tmpl w:val="922C057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300" w:hanging="720"/>
      </w:pPr>
      <w:rPr>
        <w:rFonts w:hint="default"/>
      </w:rPr>
    </w:lvl>
    <w:lvl w:ilvl="3">
      <w:start w:val="1"/>
      <w:numFmt w:val="decimal"/>
      <w:lvlText w:val="%1.%2.%3.%4."/>
      <w:lvlJc w:val="left"/>
      <w:pPr>
        <w:ind w:left="1590" w:hanging="720"/>
      </w:pPr>
      <w:rPr>
        <w:rFonts w:hint="default"/>
      </w:rPr>
    </w:lvl>
    <w:lvl w:ilvl="4">
      <w:start w:val="1"/>
      <w:numFmt w:val="decimal"/>
      <w:lvlText w:val="%1.%2.%3.%4.%5."/>
      <w:lvlJc w:val="left"/>
      <w:pPr>
        <w:ind w:left="2240" w:hanging="1080"/>
      </w:pPr>
      <w:rPr>
        <w:rFonts w:hint="default"/>
      </w:rPr>
    </w:lvl>
    <w:lvl w:ilvl="5">
      <w:start w:val="1"/>
      <w:numFmt w:val="decimal"/>
      <w:lvlText w:val="%1.%2.%3.%4.%5.%6."/>
      <w:lvlJc w:val="left"/>
      <w:pPr>
        <w:ind w:left="2530" w:hanging="1080"/>
      </w:pPr>
      <w:rPr>
        <w:rFonts w:hint="default"/>
      </w:rPr>
    </w:lvl>
    <w:lvl w:ilvl="6">
      <w:start w:val="1"/>
      <w:numFmt w:val="decimal"/>
      <w:lvlText w:val="%1.%2.%3.%4.%5.%6.%7."/>
      <w:lvlJc w:val="left"/>
      <w:pPr>
        <w:ind w:left="3180" w:hanging="1440"/>
      </w:pPr>
      <w:rPr>
        <w:rFonts w:hint="default"/>
      </w:rPr>
    </w:lvl>
    <w:lvl w:ilvl="7">
      <w:start w:val="1"/>
      <w:numFmt w:val="decimal"/>
      <w:lvlText w:val="%1.%2.%3.%4.%5.%6.%7.%8."/>
      <w:lvlJc w:val="left"/>
      <w:pPr>
        <w:ind w:left="3470" w:hanging="1440"/>
      </w:pPr>
      <w:rPr>
        <w:rFonts w:hint="default"/>
      </w:rPr>
    </w:lvl>
    <w:lvl w:ilvl="8">
      <w:start w:val="1"/>
      <w:numFmt w:val="decimal"/>
      <w:lvlText w:val="%1.%2.%3.%4.%5.%6.%7.%8.%9."/>
      <w:lvlJc w:val="left"/>
      <w:pPr>
        <w:ind w:left="4120" w:hanging="1800"/>
      </w:pPr>
      <w:rPr>
        <w:rFonts w:hint="default"/>
      </w:rPr>
    </w:lvl>
  </w:abstractNum>
  <w:abstractNum w:abstractNumId="58">
    <w:nsid w:val="43392155"/>
    <w:multiLevelType w:val="hybridMultilevel"/>
    <w:tmpl w:val="F30CCD94"/>
    <w:lvl w:ilvl="0" w:tplc="041C000F">
      <w:start w:val="1"/>
      <w:numFmt w:val="decimal"/>
      <w:lvlText w:val="%1."/>
      <w:lvlJc w:val="left"/>
      <w:pPr>
        <w:ind w:left="720" w:hanging="360"/>
      </w:pPr>
    </w:lvl>
    <w:lvl w:ilvl="1" w:tplc="0409000F">
      <w:start w:val="1"/>
      <w:numFmt w:val="decimal"/>
      <w:lvlText w:val="%2."/>
      <w:lvlJc w:val="left"/>
      <w:pPr>
        <w:ind w:left="1440" w:hanging="360"/>
      </w:pPr>
    </w:lvl>
    <w:lvl w:ilvl="2" w:tplc="DE0C005C">
      <w:start w:val="2"/>
      <w:numFmt w:val="lowerLetter"/>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3525FEA"/>
    <w:multiLevelType w:val="hybridMultilevel"/>
    <w:tmpl w:val="7EECB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36C41C4"/>
    <w:multiLevelType w:val="hybridMultilevel"/>
    <w:tmpl w:val="92844392"/>
    <w:lvl w:ilvl="0" w:tplc="A134DA92">
      <w:start w:val="2"/>
      <w:numFmt w:val="decimal"/>
      <w:lvlText w:val="%1.2.2"/>
      <w:lvlJc w:val="left"/>
      <w:pPr>
        <w:ind w:left="720" w:hanging="360"/>
      </w:pPr>
      <w:rPr>
        <w:rFonts w:hint="default"/>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45A04F33"/>
    <w:multiLevelType w:val="multilevel"/>
    <w:tmpl w:val="54188580"/>
    <w:lvl w:ilvl="0">
      <w:start w:val="1"/>
      <w:numFmt w:val="decimal"/>
      <w:lvlText w:val="%1."/>
      <w:lvlJc w:val="left"/>
      <w:pPr>
        <w:ind w:left="360" w:hanging="360"/>
      </w:pPr>
      <w:rPr>
        <w:rFonts w:ascii="Times New Roman" w:eastAsia="Times New Roman" w:hAnsi="Times New Roman" w:cs="Times New Roman"/>
      </w:rPr>
    </w:lvl>
    <w:lvl w:ilvl="1">
      <w:start w:val="1"/>
      <w:numFmt w:val="decimal"/>
      <w:isLgl/>
      <w:lvlText w:val="%1.%2."/>
      <w:lvlJc w:val="left"/>
      <w:pPr>
        <w:ind w:left="-2190" w:hanging="420"/>
      </w:pPr>
      <w:rPr>
        <w:rFonts w:ascii="Times New Roman" w:hAnsi="Times New Roman" w:cs="Times New Roman" w:hint="default"/>
        <w:b/>
        <w:bCs w:val="0"/>
        <w:i w:val="0"/>
        <w:iCs w:val="0"/>
        <w: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1."/>
      <w:lvlJc w:val="left"/>
      <w:pPr>
        <w:ind w:left="-1350" w:hanging="720"/>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3.3.%4."/>
      <w:lvlJc w:val="left"/>
      <w:pPr>
        <w:ind w:left="-613"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170" w:hanging="1440"/>
      </w:pPr>
      <w:rPr>
        <w:rFonts w:hint="default"/>
      </w:rPr>
    </w:lvl>
    <w:lvl w:ilvl="7">
      <w:start w:val="1"/>
      <w:numFmt w:val="decimal"/>
      <w:isLgl/>
      <w:lvlText w:val="%1.%2.%3.%4.%5.%6.%7.%8."/>
      <w:lvlJc w:val="left"/>
      <w:pPr>
        <w:ind w:left="-1170" w:hanging="1440"/>
      </w:pPr>
      <w:rPr>
        <w:rFonts w:hint="default"/>
      </w:rPr>
    </w:lvl>
    <w:lvl w:ilvl="8">
      <w:start w:val="1"/>
      <w:numFmt w:val="decimal"/>
      <w:isLgl/>
      <w:lvlText w:val="%1.%2.%3.%4.%5.%6.%7.%8.%9."/>
      <w:lvlJc w:val="left"/>
      <w:pPr>
        <w:ind w:left="-810" w:hanging="1800"/>
      </w:pPr>
      <w:rPr>
        <w:rFonts w:hint="default"/>
      </w:rPr>
    </w:lvl>
  </w:abstractNum>
  <w:abstractNum w:abstractNumId="62">
    <w:nsid w:val="45DB28AB"/>
    <w:multiLevelType w:val="hybridMultilevel"/>
    <w:tmpl w:val="C400D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995102C"/>
    <w:multiLevelType w:val="hybridMultilevel"/>
    <w:tmpl w:val="E08C13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F1C210A"/>
    <w:multiLevelType w:val="hybridMultilevel"/>
    <w:tmpl w:val="57D4F55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FB63854"/>
    <w:multiLevelType w:val="hybridMultilevel"/>
    <w:tmpl w:val="0BD67A70"/>
    <w:lvl w:ilvl="0" w:tplc="80082874">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50506612"/>
    <w:multiLevelType w:val="hybridMultilevel"/>
    <w:tmpl w:val="2B5EF9EE"/>
    <w:lvl w:ilvl="0" w:tplc="B46289B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0B21519"/>
    <w:multiLevelType w:val="hybridMultilevel"/>
    <w:tmpl w:val="0FF80C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26525EC"/>
    <w:multiLevelType w:val="hybridMultilevel"/>
    <w:tmpl w:val="12409934"/>
    <w:lvl w:ilvl="0" w:tplc="197E574A">
      <w:start w:val="2"/>
      <w:numFmt w:val="decimal"/>
      <w:lvlText w:val="%1.3.3"/>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53647956"/>
    <w:multiLevelType w:val="hybridMultilevel"/>
    <w:tmpl w:val="EAD691D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53B50C5E"/>
    <w:multiLevelType w:val="hybridMultilevel"/>
    <w:tmpl w:val="947242A2"/>
    <w:lvl w:ilvl="0" w:tplc="D124063C">
      <w:start w:val="2"/>
      <w:numFmt w:val="decimal"/>
      <w:lvlText w:val="%1.5.3"/>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53CA39E1"/>
    <w:multiLevelType w:val="hybridMultilevel"/>
    <w:tmpl w:val="F67C814C"/>
    <w:lvl w:ilvl="0" w:tplc="C75A64A2">
      <w:start w:val="2"/>
      <w:numFmt w:val="decimal"/>
      <w:lvlText w:val="%1.5.2"/>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545D3404"/>
    <w:multiLevelType w:val="hybridMultilevel"/>
    <w:tmpl w:val="54FEF5E4"/>
    <w:lvl w:ilvl="0" w:tplc="0409000F">
      <w:start w:val="1"/>
      <w:numFmt w:val="decimal"/>
      <w:lvlText w:val="%1."/>
      <w:lvlJc w:val="left"/>
      <w:pPr>
        <w:ind w:left="697" w:hanging="360"/>
      </w:pPr>
      <w:rPr>
        <w:rFonts w:hint="default"/>
      </w:r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73">
    <w:nsid w:val="57024145"/>
    <w:multiLevelType w:val="hybridMultilevel"/>
    <w:tmpl w:val="607CDCF6"/>
    <w:lvl w:ilvl="0" w:tplc="041C000F">
      <w:start w:val="1"/>
      <w:numFmt w:val="decimal"/>
      <w:lvlText w:val="%1."/>
      <w:lvlJc w:val="left"/>
      <w:pPr>
        <w:ind w:left="540" w:hanging="360"/>
      </w:pPr>
      <w:rPr>
        <w:rFonts w:hint="default"/>
      </w:rPr>
    </w:lvl>
    <w:lvl w:ilvl="1" w:tplc="041C0019" w:tentative="1">
      <w:start w:val="1"/>
      <w:numFmt w:val="lowerLetter"/>
      <w:lvlText w:val="%2."/>
      <w:lvlJc w:val="left"/>
      <w:pPr>
        <w:ind w:left="1260" w:hanging="360"/>
      </w:pPr>
    </w:lvl>
    <w:lvl w:ilvl="2" w:tplc="041C001B" w:tentative="1">
      <w:start w:val="1"/>
      <w:numFmt w:val="lowerRoman"/>
      <w:lvlText w:val="%3."/>
      <w:lvlJc w:val="right"/>
      <w:pPr>
        <w:ind w:left="1980" w:hanging="180"/>
      </w:pPr>
    </w:lvl>
    <w:lvl w:ilvl="3" w:tplc="041C000F" w:tentative="1">
      <w:start w:val="1"/>
      <w:numFmt w:val="decimal"/>
      <w:lvlText w:val="%4."/>
      <w:lvlJc w:val="left"/>
      <w:pPr>
        <w:ind w:left="2700" w:hanging="360"/>
      </w:pPr>
    </w:lvl>
    <w:lvl w:ilvl="4" w:tplc="041C0019" w:tentative="1">
      <w:start w:val="1"/>
      <w:numFmt w:val="lowerLetter"/>
      <w:lvlText w:val="%5."/>
      <w:lvlJc w:val="left"/>
      <w:pPr>
        <w:ind w:left="3420" w:hanging="360"/>
      </w:pPr>
    </w:lvl>
    <w:lvl w:ilvl="5" w:tplc="041C001B" w:tentative="1">
      <w:start w:val="1"/>
      <w:numFmt w:val="lowerRoman"/>
      <w:lvlText w:val="%6."/>
      <w:lvlJc w:val="right"/>
      <w:pPr>
        <w:ind w:left="4140" w:hanging="180"/>
      </w:pPr>
    </w:lvl>
    <w:lvl w:ilvl="6" w:tplc="041C000F" w:tentative="1">
      <w:start w:val="1"/>
      <w:numFmt w:val="decimal"/>
      <w:lvlText w:val="%7."/>
      <w:lvlJc w:val="left"/>
      <w:pPr>
        <w:ind w:left="4860" w:hanging="360"/>
      </w:pPr>
    </w:lvl>
    <w:lvl w:ilvl="7" w:tplc="041C0019" w:tentative="1">
      <w:start w:val="1"/>
      <w:numFmt w:val="lowerLetter"/>
      <w:lvlText w:val="%8."/>
      <w:lvlJc w:val="left"/>
      <w:pPr>
        <w:ind w:left="5580" w:hanging="360"/>
      </w:pPr>
    </w:lvl>
    <w:lvl w:ilvl="8" w:tplc="041C001B" w:tentative="1">
      <w:start w:val="1"/>
      <w:numFmt w:val="lowerRoman"/>
      <w:lvlText w:val="%9."/>
      <w:lvlJc w:val="right"/>
      <w:pPr>
        <w:ind w:left="6300" w:hanging="180"/>
      </w:pPr>
    </w:lvl>
  </w:abstractNum>
  <w:abstractNum w:abstractNumId="74">
    <w:nsid w:val="57D1412D"/>
    <w:multiLevelType w:val="hybridMultilevel"/>
    <w:tmpl w:val="FE406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9D3480B"/>
    <w:multiLevelType w:val="hybridMultilevel"/>
    <w:tmpl w:val="2FD43D9A"/>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76">
    <w:nsid w:val="5AB33BEC"/>
    <w:multiLevelType w:val="hybridMultilevel"/>
    <w:tmpl w:val="F536A5C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5AC1706C"/>
    <w:multiLevelType w:val="hybridMultilevel"/>
    <w:tmpl w:val="97E0EDC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5B051C6A"/>
    <w:multiLevelType w:val="hybridMultilevel"/>
    <w:tmpl w:val="A64A16AE"/>
    <w:lvl w:ilvl="0" w:tplc="041C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79">
    <w:nsid w:val="5F227879"/>
    <w:multiLevelType w:val="hybridMultilevel"/>
    <w:tmpl w:val="37623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F785C92"/>
    <w:multiLevelType w:val="hybridMultilevel"/>
    <w:tmpl w:val="EC8EBAAE"/>
    <w:lvl w:ilvl="0" w:tplc="2BF84650">
      <w:start w:val="1"/>
      <w:numFmt w:val="lowerLetter"/>
      <w:lvlText w:val="%1."/>
      <w:lvlJc w:val="left"/>
      <w:pPr>
        <w:ind w:left="360" w:hanging="36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608D58A5"/>
    <w:multiLevelType w:val="hybridMultilevel"/>
    <w:tmpl w:val="12D4AC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37A0849"/>
    <w:multiLevelType w:val="hybridMultilevel"/>
    <w:tmpl w:val="2660BAB2"/>
    <w:lvl w:ilvl="0" w:tplc="041C000F">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4B823A4"/>
    <w:multiLevelType w:val="hybridMultilevel"/>
    <w:tmpl w:val="D7BE30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4BA75CF"/>
    <w:multiLevelType w:val="hybridMultilevel"/>
    <w:tmpl w:val="C548DCE2"/>
    <w:lvl w:ilvl="0" w:tplc="041C000F">
      <w:start w:val="1"/>
      <w:numFmt w:val="decimal"/>
      <w:lvlText w:val="%1."/>
      <w:lvlJc w:val="left"/>
      <w:pPr>
        <w:ind w:left="706" w:hanging="360"/>
      </w:pPr>
    </w:lvl>
    <w:lvl w:ilvl="1" w:tplc="041C0019" w:tentative="1">
      <w:start w:val="1"/>
      <w:numFmt w:val="lowerLetter"/>
      <w:lvlText w:val="%2."/>
      <w:lvlJc w:val="left"/>
      <w:pPr>
        <w:ind w:left="1426" w:hanging="360"/>
      </w:pPr>
    </w:lvl>
    <w:lvl w:ilvl="2" w:tplc="041C001B" w:tentative="1">
      <w:start w:val="1"/>
      <w:numFmt w:val="lowerRoman"/>
      <w:lvlText w:val="%3."/>
      <w:lvlJc w:val="right"/>
      <w:pPr>
        <w:ind w:left="2146" w:hanging="180"/>
      </w:pPr>
    </w:lvl>
    <w:lvl w:ilvl="3" w:tplc="041C000F" w:tentative="1">
      <w:start w:val="1"/>
      <w:numFmt w:val="decimal"/>
      <w:lvlText w:val="%4."/>
      <w:lvlJc w:val="left"/>
      <w:pPr>
        <w:ind w:left="2866" w:hanging="360"/>
      </w:pPr>
    </w:lvl>
    <w:lvl w:ilvl="4" w:tplc="041C0019" w:tentative="1">
      <w:start w:val="1"/>
      <w:numFmt w:val="lowerLetter"/>
      <w:lvlText w:val="%5."/>
      <w:lvlJc w:val="left"/>
      <w:pPr>
        <w:ind w:left="3586" w:hanging="360"/>
      </w:pPr>
    </w:lvl>
    <w:lvl w:ilvl="5" w:tplc="041C001B" w:tentative="1">
      <w:start w:val="1"/>
      <w:numFmt w:val="lowerRoman"/>
      <w:lvlText w:val="%6."/>
      <w:lvlJc w:val="right"/>
      <w:pPr>
        <w:ind w:left="4306" w:hanging="180"/>
      </w:pPr>
    </w:lvl>
    <w:lvl w:ilvl="6" w:tplc="041C000F" w:tentative="1">
      <w:start w:val="1"/>
      <w:numFmt w:val="decimal"/>
      <w:lvlText w:val="%7."/>
      <w:lvlJc w:val="left"/>
      <w:pPr>
        <w:ind w:left="5026" w:hanging="360"/>
      </w:pPr>
    </w:lvl>
    <w:lvl w:ilvl="7" w:tplc="041C0019" w:tentative="1">
      <w:start w:val="1"/>
      <w:numFmt w:val="lowerLetter"/>
      <w:lvlText w:val="%8."/>
      <w:lvlJc w:val="left"/>
      <w:pPr>
        <w:ind w:left="5746" w:hanging="360"/>
      </w:pPr>
    </w:lvl>
    <w:lvl w:ilvl="8" w:tplc="041C001B" w:tentative="1">
      <w:start w:val="1"/>
      <w:numFmt w:val="lowerRoman"/>
      <w:lvlText w:val="%9."/>
      <w:lvlJc w:val="right"/>
      <w:pPr>
        <w:ind w:left="6466" w:hanging="180"/>
      </w:pPr>
    </w:lvl>
  </w:abstractNum>
  <w:abstractNum w:abstractNumId="85">
    <w:nsid w:val="66C85B16"/>
    <w:multiLevelType w:val="hybridMultilevel"/>
    <w:tmpl w:val="41D01498"/>
    <w:lvl w:ilvl="0" w:tplc="5CFEEBA2">
      <w:start w:val="2"/>
      <w:numFmt w:val="decimal"/>
      <w:lvlText w:val="%1.3.2"/>
      <w:lvlJc w:val="left"/>
      <w:pPr>
        <w:ind w:left="720" w:hanging="360"/>
      </w:pPr>
      <w:rPr>
        <w:rFonts w:hint="default"/>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nsid w:val="69162E6E"/>
    <w:multiLevelType w:val="hybridMultilevel"/>
    <w:tmpl w:val="ED6A9558"/>
    <w:lvl w:ilvl="0" w:tplc="041C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87">
    <w:nsid w:val="6A5F0001"/>
    <w:multiLevelType w:val="hybridMultilevel"/>
    <w:tmpl w:val="C97C1D20"/>
    <w:lvl w:ilvl="0" w:tplc="041C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AC83D0F"/>
    <w:multiLevelType w:val="hybridMultilevel"/>
    <w:tmpl w:val="65DE7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AD419EC"/>
    <w:multiLevelType w:val="hybridMultilevel"/>
    <w:tmpl w:val="F25094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CD03639"/>
    <w:multiLevelType w:val="hybridMultilevel"/>
    <w:tmpl w:val="CB5897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00D7DC3"/>
    <w:multiLevelType w:val="hybridMultilevel"/>
    <w:tmpl w:val="93EAE0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05A0823"/>
    <w:multiLevelType w:val="hybridMultilevel"/>
    <w:tmpl w:val="8DDEF2F2"/>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3">
    <w:nsid w:val="727E182F"/>
    <w:multiLevelType w:val="hybridMultilevel"/>
    <w:tmpl w:val="6B82DAF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74054541"/>
    <w:multiLevelType w:val="hybridMultilevel"/>
    <w:tmpl w:val="22208C20"/>
    <w:lvl w:ilvl="0" w:tplc="041C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66D05FB"/>
    <w:multiLevelType w:val="hybridMultilevel"/>
    <w:tmpl w:val="5EDECEF2"/>
    <w:lvl w:ilvl="0" w:tplc="25302C3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769A4628"/>
    <w:multiLevelType w:val="hybridMultilevel"/>
    <w:tmpl w:val="95FEB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74E47BF"/>
    <w:multiLevelType w:val="hybridMultilevel"/>
    <w:tmpl w:val="4C44295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nsid w:val="7960324F"/>
    <w:multiLevelType w:val="hybridMultilevel"/>
    <w:tmpl w:val="9B92B1E0"/>
    <w:lvl w:ilvl="0" w:tplc="041C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B9B3698"/>
    <w:multiLevelType w:val="hybridMultilevel"/>
    <w:tmpl w:val="C52E1E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C021C4A"/>
    <w:multiLevelType w:val="hybridMultilevel"/>
    <w:tmpl w:val="DA5208A0"/>
    <w:lvl w:ilvl="0" w:tplc="041C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C8016DE"/>
    <w:multiLevelType w:val="hybridMultilevel"/>
    <w:tmpl w:val="C974F7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nsid w:val="7CED5D9B"/>
    <w:multiLevelType w:val="hybridMultilevel"/>
    <w:tmpl w:val="AB2E9452"/>
    <w:lvl w:ilvl="0" w:tplc="9DB4805A">
      <w:start w:val="1"/>
      <w:numFmt w:val="decimal"/>
      <w:lvlText w:val="%1."/>
      <w:lvlJc w:val="left"/>
      <w:pPr>
        <w:ind w:left="720" w:hanging="360"/>
      </w:pPr>
      <w:rPr>
        <w:color w:val="auto"/>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03">
    <w:nsid w:val="7DAB4FDD"/>
    <w:multiLevelType w:val="hybridMultilevel"/>
    <w:tmpl w:val="1B5043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E3C25DE"/>
    <w:multiLevelType w:val="hybridMultilevel"/>
    <w:tmpl w:val="CAE2DE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E5A0554"/>
    <w:multiLevelType w:val="multilevel"/>
    <w:tmpl w:val="2ED622B2"/>
    <w:lvl w:ilvl="0">
      <w:start w:val="2"/>
      <w:numFmt w:val="decimal"/>
      <w:lvlText w:val="%1."/>
      <w:lvlJc w:val="left"/>
      <w:pPr>
        <w:ind w:left="540" w:hanging="540"/>
      </w:pPr>
      <w:rPr>
        <w:rFonts w:ascii="Times New Roman Bold" w:hAnsi="Times New Roman Bold" w:hint="default"/>
      </w:rPr>
    </w:lvl>
    <w:lvl w:ilvl="1">
      <w:start w:val="2"/>
      <w:numFmt w:val="decimal"/>
      <w:lvlText w:val="%1.%2."/>
      <w:lvlJc w:val="left"/>
      <w:pPr>
        <w:ind w:left="720" w:hanging="540"/>
      </w:pPr>
      <w:rPr>
        <w:rFonts w:ascii="Times New Roman Bold" w:hAnsi="Times New Roman Bold" w:hint="default"/>
        <w:sz w:val="24"/>
        <w:szCs w:val="24"/>
      </w:rPr>
    </w:lvl>
    <w:lvl w:ilvl="2">
      <w:start w:val="3"/>
      <w:numFmt w:val="decimal"/>
      <w:lvlText w:val="%1.%2.%3."/>
      <w:lvlJc w:val="left"/>
      <w:pPr>
        <w:ind w:left="1080" w:hanging="720"/>
      </w:pPr>
      <w:rPr>
        <w:rFonts w:ascii="Times New Roman Bold" w:hAnsi="Times New Roman Bold" w:hint="default"/>
        <w:i w:val="0"/>
        <w:iCs/>
      </w:rPr>
    </w:lvl>
    <w:lvl w:ilvl="3">
      <w:start w:val="1"/>
      <w:numFmt w:val="decimal"/>
      <w:lvlText w:val="%1.%2.%3.%4."/>
      <w:lvlJc w:val="left"/>
      <w:pPr>
        <w:ind w:left="1260" w:hanging="720"/>
      </w:pPr>
      <w:rPr>
        <w:rFonts w:ascii="Times New Roman Bold" w:hAnsi="Times New Roman Bold" w:hint="default"/>
      </w:rPr>
    </w:lvl>
    <w:lvl w:ilvl="4">
      <w:start w:val="1"/>
      <w:numFmt w:val="decimal"/>
      <w:lvlText w:val="%1.%2.%3.%4.%5."/>
      <w:lvlJc w:val="left"/>
      <w:pPr>
        <w:ind w:left="1800" w:hanging="1080"/>
      </w:pPr>
      <w:rPr>
        <w:rFonts w:ascii="Times New Roman Bold" w:hAnsi="Times New Roman Bold" w:hint="default"/>
      </w:rPr>
    </w:lvl>
    <w:lvl w:ilvl="5">
      <w:start w:val="1"/>
      <w:numFmt w:val="decimal"/>
      <w:lvlText w:val="%1.%2.%3.%4.%5.%6."/>
      <w:lvlJc w:val="left"/>
      <w:pPr>
        <w:ind w:left="1980" w:hanging="1080"/>
      </w:pPr>
      <w:rPr>
        <w:rFonts w:ascii="Times New Roman Bold" w:hAnsi="Times New Roman Bold" w:hint="default"/>
      </w:rPr>
    </w:lvl>
    <w:lvl w:ilvl="6">
      <w:start w:val="1"/>
      <w:numFmt w:val="decimal"/>
      <w:lvlText w:val="%1.%2.%3.%4.%5.%6.%7."/>
      <w:lvlJc w:val="left"/>
      <w:pPr>
        <w:ind w:left="2520" w:hanging="1440"/>
      </w:pPr>
      <w:rPr>
        <w:rFonts w:ascii="Times New Roman Bold" w:hAnsi="Times New Roman Bold" w:hint="default"/>
      </w:rPr>
    </w:lvl>
    <w:lvl w:ilvl="7">
      <w:start w:val="1"/>
      <w:numFmt w:val="decimal"/>
      <w:lvlText w:val="%1.%2.%3.%4.%5.%6.%7.%8."/>
      <w:lvlJc w:val="left"/>
      <w:pPr>
        <w:ind w:left="2700" w:hanging="1440"/>
      </w:pPr>
      <w:rPr>
        <w:rFonts w:ascii="Times New Roman Bold" w:hAnsi="Times New Roman Bold" w:hint="default"/>
      </w:rPr>
    </w:lvl>
    <w:lvl w:ilvl="8">
      <w:start w:val="1"/>
      <w:numFmt w:val="decimal"/>
      <w:lvlText w:val="%1.%2.%3.%4.%5.%6.%7.%8.%9."/>
      <w:lvlJc w:val="left"/>
      <w:pPr>
        <w:ind w:left="3240" w:hanging="1800"/>
      </w:pPr>
      <w:rPr>
        <w:rFonts w:ascii="Times New Roman Bold" w:hAnsi="Times New Roman Bold" w:hint="default"/>
      </w:rPr>
    </w:lvl>
  </w:abstractNum>
  <w:num w:numId="1">
    <w:abstractNumId w:val="92"/>
  </w:num>
  <w:num w:numId="2">
    <w:abstractNumId w:val="18"/>
  </w:num>
  <w:num w:numId="3">
    <w:abstractNumId w:val="15"/>
  </w:num>
  <w:num w:numId="4">
    <w:abstractNumId w:val="56"/>
  </w:num>
  <w:num w:numId="5">
    <w:abstractNumId w:val="43"/>
  </w:num>
  <w:num w:numId="6">
    <w:abstractNumId w:val="5"/>
  </w:num>
  <w:num w:numId="7">
    <w:abstractNumId w:val="13"/>
  </w:num>
  <w:num w:numId="8">
    <w:abstractNumId w:val="101"/>
  </w:num>
  <w:num w:numId="9">
    <w:abstractNumId w:val="72"/>
  </w:num>
  <w:num w:numId="10">
    <w:abstractNumId w:val="66"/>
  </w:num>
  <w:num w:numId="11">
    <w:abstractNumId w:val="76"/>
  </w:num>
  <w:num w:numId="12">
    <w:abstractNumId w:val="16"/>
  </w:num>
  <w:num w:numId="13">
    <w:abstractNumId w:val="64"/>
  </w:num>
  <w:num w:numId="14">
    <w:abstractNumId w:val="90"/>
  </w:num>
  <w:num w:numId="15">
    <w:abstractNumId w:val="23"/>
  </w:num>
  <w:num w:numId="16">
    <w:abstractNumId w:val="14"/>
  </w:num>
  <w:num w:numId="17">
    <w:abstractNumId w:val="83"/>
  </w:num>
  <w:num w:numId="18">
    <w:abstractNumId w:val="20"/>
  </w:num>
  <w:num w:numId="19">
    <w:abstractNumId w:val="59"/>
  </w:num>
  <w:num w:numId="20">
    <w:abstractNumId w:val="24"/>
  </w:num>
  <w:num w:numId="21">
    <w:abstractNumId w:val="9"/>
  </w:num>
  <w:num w:numId="22">
    <w:abstractNumId w:val="62"/>
  </w:num>
  <w:num w:numId="23">
    <w:abstractNumId w:val="96"/>
  </w:num>
  <w:num w:numId="24">
    <w:abstractNumId w:val="11"/>
  </w:num>
  <w:num w:numId="25">
    <w:abstractNumId w:val="29"/>
  </w:num>
  <w:num w:numId="26">
    <w:abstractNumId w:val="74"/>
  </w:num>
  <w:num w:numId="27">
    <w:abstractNumId w:val="69"/>
  </w:num>
  <w:num w:numId="28">
    <w:abstractNumId w:val="3"/>
  </w:num>
  <w:num w:numId="29">
    <w:abstractNumId w:val="104"/>
  </w:num>
  <w:num w:numId="30">
    <w:abstractNumId w:val="42"/>
  </w:num>
  <w:num w:numId="31">
    <w:abstractNumId w:val="6"/>
  </w:num>
  <w:num w:numId="32">
    <w:abstractNumId w:val="21"/>
  </w:num>
  <w:num w:numId="33">
    <w:abstractNumId w:val="53"/>
  </w:num>
  <w:num w:numId="34">
    <w:abstractNumId w:val="28"/>
  </w:num>
  <w:num w:numId="35">
    <w:abstractNumId w:val="80"/>
  </w:num>
  <w:num w:numId="36">
    <w:abstractNumId w:val="17"/>
  </w:num>
  <w:num w:numId="37">
    <w:abstractNumId w:val="8"/>
  </w:num>
  <w:num w:numId="38">
    <w:abstractNumId w:val="7"/>
  </w:num>
  <w:num w:numId="39">
    <w:abstractNumId w:val="50"/>
  </w:num>
  <w:num w:numId="40">
    <w:abstractNumId w:val="77"/>
  </w:num>
  <w:num w:numId="41">
    <w:abstractNumId w:val="35"/>
  </w:num>
  <w:num w:numId="42">
    <w:abstractNumId w:val="63"/>
  </w:num>
  <w:num w:numId="43">
    <w:abstractNumId w:val="30"/>
  </w:num>
  <w:num w:numId="44">
    <w:abstractNumId w:val="89"/>
  </w:num>
  <w:num w:numId="45">
    <w:abstractNumId w:val="19"/>
  </w:num>
  <w:num w:numId="46">
    <w:abstractNumId w:val="93"/>
  </w:num>
  <w:num w:numId="47">
    <w:abstractNumId w:val="99"/>
  </w:num>
  <w:num w:numId="48">
    <w:abstractNumId w:val="97"/>
  </w:num>
  <w:num w:numId="49">
    <w:abstractNumId w:val="37"/>
  </w:num>
  <w:num w:numId="50">
    <w:abstractNumId w:val="52"/>
  </w:num>
  <w:num w:numId="51">
    <w:abstractNumId w:val="32"/>
  </w:num>
  <w:num w:numId="52">
    <w:abstractNumId w:val="34"/>
  </w:num>
  <w:num w:numId="53">
    <w:abstractNumId w:val="1"/>
  </w:num>
  <w:num w:numId="54">
    <w:abstractNumId w:val="102"/>
  </w:num>
  <w:num w:numId="55">
    <w:abstractNumId w:val="84"/>
  </w:num>
  <w:num w:numId="56">
    <w:abstractNumId w:val="2"/>
  </w:num>
  <w:num w:numId="57">
    <w:abstractNumId w:val="36"/>
  </w:num>
  <w:num w:numId="58">
    <w:abstractNumId w:val="33"/>
  </w:num>
  <w:num w:numId="59">
    <w:abstractNumId w:val="45"/>
  </w:num>
  <w:num w:numId="60">
    <w:abstractNumId w:val="94"/>
  </w:num>
  <w:num w:numId="61">
    <w:abstractNumId w:val="87"/>
  </w:num>
  <w:num w:numId="62">
    <w:abstractNumId w:val="78"/>
  </w:num>
  <w:num w:numId="63">
    <w:abstractNumId w:val="75"/>
  </w:num>
  <w:num w:numId="64">
    <w:abstractNumId w:val="12"/>
  </w:num>
  <w:num w:numId="65">
    <w:abstractNumId w:val="58"/>
  </w:num>
  <w:num w:numId="66">
    <w:abstractNumId w:val="65"/>
  </w:num>
  <w:num w:numId="67">
    <w:abstractNumId w:val="38"/>
  </w:num>
  <w:num w:numId="68">
    <w:abstractNumId w:val="82"/>
  </w:num>
  <w:num w:numId="69">
    <w:abstractNumId w:val="98"/>
  </w:num>
  <w:num w:numId="70">
    <w:abstractNumId w:val="73"/>
  </w:num>
  <w:num w:numId="71">
    <w:abstractNumId w:val="46"/>
  </w:num>
  <w:num w:numId="72">
    <w:abstractNumId w:val="100"/>
  </w:num>
  <w:num w:numId="73">
    <w:abstractNumId w:val="54"/>
  </w:num>
  <w:num w:numId="74">
    <w:abstractNumId w:val="48"/>
  </w:num>
  <w:num w:numId="75">
    <w:abstractNumId w:val="10"/>
  </w:num>
  <w:num w:numId="76">
    <w:abstractNumId w:val="86"/>
  </w:num>
  <w:num w:numId="77">
    <w:abstractNumId w:val="40"/>
  </w:num>
  <w:num w:numId="78">
    <w:abstractNumId w:val="0"/>
  </w:num>
  <w:num w:numId="79">
    <w:abstractNumId w:val="51"/>
  </w:num>
  <w:num w:numId="80">
    <w:abstractNumId w:val="4"/>
  </w:num>
  <w:num w:numId="81">
    <w:abstractNumId w:val="39"/>
  </w:num>
  <w:num w:numId="82">
    <w:abstractNumId w:val="27"/>
  </w:num>
  <w:num w:numId="83">
    <w:abstractNumId w:val="95"/>
  </w:num>
  <w:num w:numId="84">
    <w:abstractNumId w:val="79"/>
  </w:num>
  <w:num w:numId="85">
    <w:abstractNumId w:val="105"/>
  </w:num>
  <w:num w:numId="86">
    <w:abstractNumId w:val="22"/>
  </w:num>
  <w:num w:numId="87">
    <w:abstractNumId w:val="55"/>
  </w:num>
  <w:num w:numId="88">
    <w:abstractNumId w:val="44"/>
  </w:num>
  <w:num w:numId="89">
    <w:abstractNumId w:val="61"/>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0"/>
  </w:num>
  <w:num w:numId="91">
    <w:abstractNumId w:val="85"/>
  </w:num>
  <w:num w:numId="92">
    <w:abstractNumId w:val="68"/>
  </w:num>
  <w:num w:numId="93">
    <w:abstractNumId w:val="26"/>
  </w:num>
  <w:num w:numId="94">
    <w:abstractNumId w:val="71"/>
  </w:num>
  <w:num w:numId="95">
    <w:abstractNumId w:val="70"/>
  </w:num>
  <w:num w:numId="96">
    <w:abstractNumId w:val="91"/>
  </w:num>
  <w:num w:numId="97">
    <w:abstractNumId w:val="57"/>
  </w:num>
  <w:num w:numId="98">
    <w:abstractNumId w:val="41"/>
  </w:num>
  <w:num w:numId="99">
    <w:abstractNumId w:val="31"/>
  </w:num>
  <w:num w:numId="100">
    <w:abstractNumId w:val="47"/>
  </w:num>
  <w:num w:numId="101">
    <w:abstractNumId w:val="67"/>
  </w:num>
  <w:num w:numId="102">
    <w:abstractNumId w:val="81"/>
  </w:num>
  <w:num w:numId="103">
    <w:abstractNumId w:val="103"/>
  </w:num>
  <w:num w:numId="104">
    <w:abstractNumId w:val="88"/>
  </w:num>
  <w:num w:numId="105">
    <w:abstractNumId w:val="49"/>
  </w:num>
  <w:num w:numId="106">
    <w:abstractNumId w:val="25"/>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hideSpellingErrors/>
  <w:hideGrammaticalError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4F2"/>
    <w:rsid w:val="00010038"/>
    <w:rsid w:val="000316F9"/>
    <w:rsid w:val="000379AB"/>
    <w:rsid w:val="00045A7E"/>
    <w:rsid w:val="0006085C"/>
    <w:rsid w:val="000702CB"/>
    <w:rsid w:val="0007189A"/>
    <w:rsid w:val="0008402D"/>
    <w:rsid w:val="00084691"/>
    <w:rsid w:val="00085F16"/>
    <w:rsid w:val="000A0A12"/>
    <w:rsid w:val="000A7D61"/>
    <w:rsid w:val="000B4160"/>
    <w:rsid w:val="000C0528"/>
    <w:rsid w:val="000D1E3A"/>
    <w:rsid w:val="000D752B"/>
    <w:rsid w:val="000E25F1"/>
    <w:rsid w:val="000F37A8"/>
    <w:rsid w:val="000F3A56"/>
    <w:rsid w:val="000F7CAF"/>
    <w:rsid w:val="0010445C"/>
    <w:rsid w:val="0010546D"/>
    <w:rsid w:val="0010738B"/>
    <w:rsid w:val="00116AB2"/>
    <w:rsid w:val="001179B4"/>
    <w:rsid w:val="00131435"/>
    <w:rsid w:val="00142B53"/>
    <w:rsid w:val="00145993"/>
    <w:rsid w:val="00152E72"/>
    <w:rsid w:val="00170647"/>
    <w:rsid w:val="00180BF1"/>
    <w:rsid w:val="00192973"/>
    <w:rsid w:val="00193C88"/>
    <w:rsid w:val="001A24AA"/>
    <w:rsid w:val="001A71A2"/>
    <w:rsid w:val="001A7638"/>
    <w:rsid w:val="001E30CF"/>
    <w:rsid w:val="001E36D1"/>
    <w:rsid w:val="001F3A6A"/>
    <w:rsid w:val="001F3CE0"/>
    <w:rsid w:val="0020779A"/>
    <w:rsid w:val="002205E6"/>
    <w:rsid w:val="00223B76"/>
    <w:rsid w:val="002245F8"/>
    <w:rsid w:val="00242A57"/>
    <w:rsid w:val="00252FC2"/>
    <w:rsid w:val="00255276"/>
    <w:rsid w:val="002726C9"/>
    <w:rsid w:val="00284224"/>
    <w:rsid w:val="002A132E"/>
    <w:rsid w:val="002B2255"/>
    <w:rsid w:val="002B3FF4"/>
    <w:rsid w:val="002C0364"/>
    <w:rsid w:val="002E0F4E"/>
    <w:rsid w:val="002E410E"/>
    <w:rsid w:val="002E4330"/>
    <w:rsid w:val="002E6B1F"/>
    <w:rsid w:val="002E7C3A"/>
    <w:rsid w:val="00313C3F"/>
    <w:rsid w:val="003315D8"/>
    <w:rsid w:val="00346C66"/>
    <w:rsid w:val="00353828"/>
    <w:rsid w:val="00366828"/>
    <w:rsid w:val="00367574"/>
    <w:rsid w:val="003A3733"/>
    <w:rsid w:val="003A7429"/>
    <w:rsid w:val="003C0834"/>
    <w:rsid w:val="003D1CE7"/>
    <w:rsid w:val="0040352C"/>
    <w:rsid w:val="004114EC"/>
    <w:rsid w:val="00411A02"/>
    <w:rsid w:val="00414402"/>
    <w:rsid w:val="0042039C"/>
    <w:rsid w:val="0042227F"/>
    <w:rsid w:val="0043589A"/>
    <w:rsid w:val="0044060C"/>
    <w:rsid w:val="00482270"/>
    <w:rsid w:val="004856F5"/>
    <w:rsid w:val="0048779F"/>
    <w:rsid w:val="004947AC"/>
    <w:rsid w:val="004A2624"/>
    <w:rsid w:val="004A2969"/>
    <w:rsid w:val="004A424A"/>
    <w:rsid w:val="004B0FCD"/>
    <w:rsid w:val="004B7141"/>
    <w:rsid w:val="004C209E"/>
    <w:rsid w:val="004E1C31"/>
    <w:rsid w:val="004E3D40"/>
    <w:rsid w:val="004F2089"/>
    <w:rsid w:val="0050060E"/>
    <w:rsid w:val="005016DD"/>
    <w:rsid w:val="00501C3C"/>
    <w:rsid w:val="00506154"/>
    <w:rsid w:val="005370F7"/>
    <w:rsid w:val="00540094"/>
    <w:rsid w:val="00551F72"/>
    <w:rsid w:val="00554FAF"/>
    <w:rsid w:val="005737E0"/>
    <w:rsid w:val="0058111B"/>
    <w:rsid w:val="005A147F"/>
    <w:rsid w:val="005A2879"/>
    <w:rsid w:val="005A5112"/>
    <w:rsid w:val="005A58A9"/>
    <w:rsid w:val="005C60C6"/>
    <w:rsid w:val="005D71F9"/>
    <w:rsid w:val="005D7287"/>
    <w:rsid w:val="005F6878"/>
    <w:rsid w:val="00602588"/>
    <w:rsid w:val="006114F2"/>
    <w:rsid w:val="00611930"/>
    <w:rsid w:val="00612B42"/>
    <w:rsid w:val="00614E9B"/>
    <w:rsid w:val="006151D1"/>
    <w:rsid w:val="00620506"/>
    <w:rsid w:val="00624378"/>
    <w:rsid w:val="00634492"/>
    <w:rsid w:val="00640B92"/>
    <w:rsid w:val="00645A41"/>
    <w:rsid w:val="00660459"/>
    <w:rsid w:val="006731AD"/>
    <w:rsid w:val="00673BCE"/>
    <w:rsid w:val="0068349C"/>
    <w:rsid w:val="006C0D08"/>
    <w:rsid w:val="006C2DFD"/>
    <w:rsid w:val="006F02CA"/>
    <w:rsid w:val="006F41B2"/>
    <w:rsid w:val="007019EF"/>
    <w:rsid w:val="0071784C"/>
    <w:rsid w:val="00730ACA"/>
    <w:rsid w:val="00737AC7"/>
    <w:rsid w:val="007502DB"/>
    <w:rsid w:val="00754A76"/>
    <w:rsid w:val="00767189"/>
    <w:rsid w:val="007A2469"/>
    <w:rsid w:val="007D7EBC"/>
    <w:rsid w:val="007F6768"/>
    <w:rsid w:val="00802FB3"/>
    <w:rsid w:val="00820B5F"/>
    <w:rsid w:val="00823915"/>
    <w:rsid w:val="0084160C"/>
    <w:rsid w:val="008423AE"/>
    <w:rsid w:val="00844FBF"/>
    <w:rsid w:val="008536AE"/>
    <w:rsid w:val="008738B2"/>
    <w:rsid w:val="00882253"/>
    <w:rsid w:val="008A0ED8"/>
    <w:rsid w:val="008A457A"/>
    <w:rsid w:val="008C5E3D"/>
    <w:rsid w:val="008C7AAB"/>
    <w:rsid w:val="008D267F"/>
    <w:rsid w:val="008E3B29"/>
    <w:rsid w:val="00906D0C"/>
    <w:rsid w:val="0091120B"/>
    <w:rsid w:val="00916E4D"/>
    <w:rsid w:val="00921F17"/>
    <w:rsid w:val="00922420"/>
    <w:rsid w:val="00925A5A"/>
    <w:rsid w:val="00941E57"/>
    <w:rsid w:val="009664CF"/>
    <w:rsid w:val="0096690C"/>
    <w:rsid w:val="0097713C"/>
    <w:rsid w:val="0099610A"/>
    <w:rsid w:val="0099658A"/>
    <w:rsid w:val="009A2F3A"/>
    <w:rsid w:val="009A594D"/>
    <w:rsid w:val="009D102F"/>
    <w:rsid w:val="009D10BE"/>
    <w:rsid w:val="009D141C"/>
    <w:rsid w:val="009D6D4E"/>
    <w:rsid w:val="009E34CF"/>
    <w:rsid w:val="009E4477"/>
    <w:rsid w:val="009F20F2"/>
    <w:rsid w:val="009F2B01"/>
    <w:rsid w:val="009F43D5"/>
    <w:rsid w:val="009F61BF"/>
    <w:rsid w:val="00A111C4"/>
    <w:rsid w:val="00A301D2"/>
    <w:rsid w:val="00A356E8"/>
    <w:rsid w:val="00A41A27"/>
    <w:rsid w:val="00A53245"/>
    <w:rsid w:val="00A619BE"/>
    <w:rsid w:val="00A70B58"/>
    <w:rsid w:val="00A716EF"/>
    <w:rsid w:val="00AB7469"/>
    <w:rsid w:val="00B0185B"/>
    <w:rsid w:val="00B13BF3"/>
    <w:rsid w:val="00B4155B"/>
    <w:rsid w:val="00B42810"/>
    <w:rsid w:val="00B44E4E"/>
    <w:rsid w:val="00B6439F"/>
    <w:rsid w:val="00B922C3"/>
    <w:rsid w:val="00B93E66"/>
    <w:rsid w:val="00BA1A1D"/>
    <w:rsid w:val="00BB5749"/>
    <w:rsid w:val="00BC2BEE"/>
    <w:rsid w:val="00BD48CB"/>
    <w:rsid w:val="00BD633D"/>
    <w:rsid w:val="00BE2090"/>
    <w:rsid w:val="00BF3B71"/>
    <w:rsid w:val="00BF56CF"/>
    <w:rsid w:val="00C00F9E"/>
    <w:rsid w:val="00C038A1"/>
    <w:rsid w:val="00C8125F"/>
    <w:rsid w:val="00C91BB6"/>
    <w:rsid w:val="00CA1F00"/>
    <w:rsid w:val="00CB0275"/>
    <w:rsid w:val="00CD00D1"/>
    <w:rsid w:val="00CD5700"/>
    <w:rsid w:val="00CE0C9A"/>
    <w:rsid w:val="00D13D8C"/>
    <w:rsid w:val="00D15F17"/>
    <w:rsid w:val="00D35FAB"/>
    <w:rsid w:val="00D366D6"/>
    <w:rsid w:val="00D51DC2"/>
    <w:rsid w:val="00D52DCE"/>
    <w:rsid w:val="00D600DE"/>
    <w:rsid w:val="00D60D59"/>
    <w:rsid w:val="00D7256A"/>
    <w:rsid w:val="00D9379E"/>
    <w:rsid w:val="00DA39C9"/>
    <w:rsid w:val="00DB221D"/>
    <w:rsid w:val="00DC3911"/>
    <w:rsid w:val="00DD1E09"/>
    <w:rsid w:val="00DD2F45"/>
    <w:rsid w:val="00DF67AB"/>
    <w:rsid w:val="00E2397E"/>
    <w:rsid w:val="00E31E6E"/>
    <w:rsid w:val="00E3413B"/>
    <w:rsid w:val="00E45839"/>
    <w:rsid w:val="00E63960"/>
    <w:rsid w:val="00E74716"/>
    <w:rsid w:val="00E75D37"/>
    <w:rsid w:val="00E77A63"/>
    <w:rsid w:val="00E958A3"/>
    <w:rsid w:val="00E95A0C"/>
    <w:rsid w:val="00EA0B1C"/>
    <w:rsid w:val="00EB0BB5"/>
    <w:rsid w:val="00EB5A0E"/>
    <w:rsid w:val="00EC2B3F"/>
    <w:rsid w:val="00EF191C"/>
    <w:rsid w:val="00EF2490"/>
    <w:rsid w:val="00F202BD"/>
    <w:rsid w:val="00F251A2"/>
    <w:rsid w:val="00F27C75"/>
    <w:rsid w:val="00F3381D"/>
    <w:rsid w:val="00F40B38"/>
    <w:rsid w:val="00F42780"/>
    <w:rsid w:val="00F45BD8"/>
    <w:rsid w:val="00F517B8"/>
    <w:rsid w:val="00F67278"/>
    <w:rsid w:val="00F72852"/>
    <w:rsid w:val="00F81D87"/>
    <w:rsid w:val="00F8482E"/>
    <w:rsid w:val="00F92602"/>
    <w:rsid w:val="00F9264F"/>
    <w:rsid w:val="00F92993"/>
    <w:rsid w:val="00F92DCB"/>
    <w:rsid w:val="00FA01F4"/>
    <w:rsid w:val="00FC648F"/>
    <w:rsid w:val="00FC704E"/>
    <w:rsid w:val="00FD626A"/>
    <w:rsid w:val="00FE4325"/>
    <w:rsid w:val="00FF1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45580B"/>
  <w15:chartTrackingRefBased/>
  <w15:docId w15:val="{933F568E-94A7-4968-8265-E62AE3CDF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sq-AL"/>
    </w:rPr>
  </w:style>
  <w:style w:type="paragraph" w:styleId="Heading1">
    <w:name w:val="heading 1"/>
    <w:basedOn w:val="Normal"/>
    <w:next w:val="Normal"/>
    <w:link w:val="Heading1Char"/>
    <w:uiPriority w:val="9"/>
    <w:qFormat/>
    <w:rsid w:val="00DA39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114F2"/>
    <w:pPr>
      <w:keepNext/>
      <w:widowControl w:val="0"/>
      <w:spacing w:before="240" w:after="60" w:line="240" w:lineRule="auto"/>
      <w:outlineLvl w:val="1"/>
    </w:pPr>
    <w:rPr>
      <w:rFonts w:ascii="Calibri Light" w:eastAsia="Times New Roman" w:hAnsi="Calibri Light" w:cs="Times New Roman"/>
      <w:b/>
      <w:bCs/>
      <w:i/>
      <w:iCs/>
      <w:sz w:val="28"/>
      <w:szCs w:val="28"/>
    </w:rPr>
  </w:style>
  <w:style w:type="paragraph" w:styleId="Heading3">
    <w:name w:val="heading 3"/>
    <w:basedOn w:val="Normal"/>
    <w:next w:val="Normal"/>
    <w:link w:val="Heading3Char"/>
    <w:uiPriority w:val="9"/>
    <w:unhideWhenUsed/>
    <w:qFormat/>
    <w:rsid w:val="004B71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qFormat/>
    <w:rsid w:val="00085F16"/>
    <w:pPr>
      <w:keepNext/>
      <w:spacing w:before="240" w:after="60" w:line="240" w:lineRule="auto"/>
      <w:jc w:val="both"/>
      <w:outlineLvl w:val="3"/>
    </w:pPr>
    <w:rPr>
      <w:rFonts w:ascii="Times New Roman" w:eastAsia="Times New Roman" w:hAnsi="Times New Roman" w:cs="Times New Roman"/>
      <w:i/>
      <w:sz w:val="20"/>
      <w:szCs w:val="20"/>
      <w:lang w:val="en-GB"/>
    </w:rPr>
  </w:style>
  <w:style w:type="paragraph" w:styleId="Heading5">
    <w:name w:val="heading 5"/>
    <w:basedOn w:val="Normal"/>
    <w:next w:val="Normal"/>
    <w:link w:val="Heading5Char"/>
    <w:qFormat/>
    <w:rsid w:val="00085F16"/>
    <w:pPr>
      <w:numPr>
        <w:ilvl w:val="4"/>
        <w:numId w:val="78"/>
      </w:numPr>
      <w:tabs>
        <w:tab w:val="clear" w:pos="0"/>
        <w:tab w:val="num" w:pos="360"/>
      </w:tabs>
      <w:spacing w:before="240" w:after="60" w:line="240" w:lineRule="auto"/>
      <w:ind w:left="360" w:hanging="360"/>
      <w:jc w:val="both"/>
      <w:outlineLvl w:val="4"/>
    </w:pPr>
    <w:rPr>
      <w:rFonts w:ascii="Arial" w:eastAsia="Times New Roman" w:hAnsi="Arial" w:cs="Times New Roman"/>
      <w:szCs w:val="20"/>
      <w:lang w:val="en-GB"/>
    </w:rPr>
  </w:style>
  <w:style w:type="paragraph" w:styleId="Heading6">
    <w:name w:val="heading 6"/>
    <w:basedOn w:val="Normal"/>
    <w:next w:val="Normal"/>
    <w:link w:val="Heading6Char"/>
    <w:qFormat/>
    <w:rsid w:val="00085F16"/>
    <w:pPr>
      <w:numPr>
        <w:ilvl w:val="5"/>
        <w:numId w:val="78"/>
      </w:numPr>
      <w:tabs>
        <w:tab w:val="clear" w:pos="0"/>
        <w:tab w:val="num" w:pos="360"/>
      </w:tabs>
      <w:spacing w:before="240" w:after="60" w:line="240" w:lineRule="auto"/>
      <w:ind w:left="360" w:hanging="360"/>
      <w:jc w:val="both"/>
      <w:outlineLvl w:val="5"/>
    </w:pPr>
    <w:rPr>
      <w:rFonts w:ascii="Arial" w:eastAsia="Times New Roman" w:hAnsi="Arial" w:cs="Times New Roman"/>
      <w:i/>
      <w:szCs w:val="20"/>
      <w:lang w:val="en-GB"/>
    </w:rPr>
  </w:style>
  <w:style w:type="paragraph" w:styleId="Heading7">
    <w:name w:val="heading 7"/>
    <w:basedOn w:val="Normal"/>
    <w:next w:val="Normal"/>
    <w:link w:val="Heading7Char"/>
    <w:qFormat/>
    <w:rsid w:val="00085F16"/>
    <w:pPr>
      <w:numPr>
        <w:ilvl w:val="6"/>
        <w:numId w:val="78"/>
      </w:numPr>
      <w:tabs>
        <w:tab w:val="clear" w:pos="0"/>
        <w:tab w:val="num" w:pos="360"/>
      </w:tabs>
      <w:spacing w:before="240" w:after="60" w:line="240" w:lineRule="auto"/>
      <w:ind w:left="360" w:hanging="360"/>
      <w:jc w:val="both"/>
      <w:outlineLvl w:val="6"/>
    </w:pPr>
    <w:rPr>
      <w:rFonts w:ascii="Arial" w:eastAsia="Times New Roman" w:hAnsi="Arial" w:cs="Times New Roman"/>
      <w:sz w:val="20"/>
      <w:szCs w:val="20"/>
      <w:lang w:val="en-GB"/>
    </w:rPr>
  </w:style>
  <w:style w:type="paragraph" w:styleId="Heading8">
    <w:name w:val="heading 8"/>
    <w:basedOn w:val="Normal"/>
    <w:next w:val="Normal"/>
    <w:link w:val="Heading8Char"/>
    <w:qFormat/>
    <w:rsid w:val="00085F16"/>
    <w:pPr>
      <w:numPr>
        <w:ilvl w:val="7"/>
        <w:numId w:val="78"/>
      </w:numPr>
      <w:spacing w:before="240" w:after="60" w:line="240" w:lineRule="auto"/>
      <w:jc w:val="both"/>
      <w:outlineLvl w:val="7"/>
    </w:pPr>
    <w:rPr>
      <w:rFonts w:ascii="Arial" w:eastAsia="Times New Roman" w:hAnsi="Arial" w:cs="Times New Roman"/>
      <w:i/>
      <w:sz w:val="20"/>
      <w:szCs w:val="20"/>
      <w:lang w:val="en-GB"/>
    </w:rPr>
  </w:style>
  <w:style w:type="paragraph" w:styleId="Heading9">
    <w:name w:val="heading 9"/>
    <w:basedOn w:val="Normal"/>
    <w:next w:val="Normal"/>
    <w:link w:val="Heading9Char"/>
    <w:qFormat/>
    <w:rsid w:val="00085F16"/>
    <w:pPr>
      <w:numPr>
        <w:ilvl w:val="8"/>
        <w:numId w:val="78"/>
      </w:numPr>
      <w:spacing w:before="240" w:after="60" w:line="240" w:lineRule="auto"/>
      <w:jc w:val="both"/>
      <w:outlineLvl w:val="8"/>
    </w:pPr>
    <w:rPr>
      <w:rFonts w:ascii="Arial" w:eastAsia="Times New Roman" w:hAnsi="Arial" w:cs="Times New Roman"/>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1,List Paragraph (numbered (a)),List Paragraph 1,Akapit z listą BS,Bullets,NumberedParas,List Paragraph1,Numbered List Paragraph,References,Numbered Paragraph,Main numbered paragraph,Colorful List - Accent 11,List_Paragraph,Liste 1"/>
    <w:basedOn w:val="Normal"/>
    <w:link w:val="ListParagraphChar"/>
    <w:uiPriority w:val="34"/>
    <w:qFormat/>
    <w:rsid w:val="006114F2"/>
    <w:pPr>
      <w:ind w:left="720"/>
      <w:contextualSpacing/>
    </w:pPr>
  </w:style>
  <w:style w:type="character" w:customStyle="1" w:styleId="Heading2Char">
    <w:name w:val="Heading 2 Char"/>
    <w:basedOn w:val="DefaultParagraphFont"/>
    <w:link w:val="Heading2"/>
    <w:uiPriority w:val="9"/>
    <w:rsid w:val="006114F2"/>
    <w:rPr>
      <w:rFonts w:ascii="Calibri Light" w:eastAsia="Times New Roman" w:hAnsi="Calibri Light" w:cs="Times New Roman"/>
      <w:b/>
      <w:bCs/>
      <w:i/>
      <w:iCs/>
      <w:sz w:val="28"/>
      <w:szCs w:val="28"/>
      <w:lang w:val="sq-AL"/>
    </w:rPr>
  </w:style>
  <w:style w:type="paragraph" w:styleId="BodyText">
    <w:name w:val="Body Text"/>
    <w:basedOn w:val="Normal"/>
    <w:link w:val="BodyTextChar"/>
    <w:uiPriority w:val="1"/>
    <w:qFormat/>
    <w:rsid w:val="006114F2"/>
    <w:pPr>
      <w:widowControl w:val="0"/>
      <w:spacing w:after="0" w:line="240" w:lineRule="auto"/>
      <w:ind w:left="100"/>
    </w:pPr>
    <w:rPr>
      <w:rFonts w:ascii="Times New Roman" w:eastAsia="Times New Roman" w:hAnsi="Times New Roman" w:cs="Times New Roman"/>
      <w:sz w:val="23"/>
      <w:szCs w:val="23"/>
    </w:rPr>
  </w:style>
  <w:style w:type="character" w:customStyle="1" w:styleId="BodyTextChar">
    <w:name w:val="Body Text Char"/>
    <w:basedOn w:val="DefaultParagraphFont"/>
    <w:link w:val="BodyText"/>
    <w:uiPriority w:val="1"/>
    <w:rsid w:val="006114F2"/>
    <w:rPr>
      <w:rFonts w:ascii="Times New Roman" w:eastAsia="Times New Roman" w:hAnsi="Times New Roman" w:cs="Times New Roman"/>
      <w:sz w:val="23"/>
      <w:szCs w:val="23"/>
      <w:lang w:val="sq-AL"/>
    </w:rPr>
  </w:style>
  <w:style w:type="character" w:customStyle="1" w:styleId="Heading1Char">
    <w:name w:val="Heading 1 Char"/>
    <w:basedOn w:val="DefaultParagraphFont"/>
    <w:link w:val="Heading1"/>
    <w:uiPriority w:val="9"/>
    <w:rsid w:val="00DA39C9"/>
    <w:rPr>
      <w:rFonts w:asciiTheme="majorHAnsi" w:eastAsiaTheme="majorEastAsia" w:hAnsiTheme="majorHAnsi" w:cstheme="majorBidi"/>
      <w:color w:val="2E74B5" w:themeColor="accent1" w:themeShade="BF"/>
      <w:sz w:val="32"/>
      <w:szCs w:val="32"/>
      <w:lang w:val="sq-AL"/>
    </w:rPr>
  </w:style>
  <w:style w:type="paragraph" w:styleId="FootnoteText">
    <w:name w:val="footnote text"/>
    <w:aliases w:val="fn,ADB,Footnote Text Char Char Char,Footnote Text Char Char,single space,footnote text,FOOTNOTES,Fußnotentext Char,Footnote Text Char1,Footnote Text Char1 Char Char,Footnote Text Char1 Char Char Char Char,Geneva 9,Font: Geneva 9,Boston 10"/>
    <w:basedOn w:val="Normal"/>
    <w:link w:val="FootnoteTextChar"/>
    <w:uiPriority w:val="99"/>
    <w:unhideWhenUsed/>
    <w:qFormat/>
    <w:rsid w:val="00823915"/>
    <w:pPr>
      <w:spacing w:after="0" w:line="240" w:lineRule="auto"/>
    </w:pPr>
    <w:rPr>
      <w:sz w:val="20"/>
      <w:szCs w:val="20"/>
      <w:lang w:val="en-GB"/>
    </w:rPr>
  </w:style>
  <w:style w:type="character" w:customStyle="1" w:styleId="FootnoteTextChar">
    <w:name w:val="Footnote Text Char"/>
    <w:aliases w:val="fn Char,ADB Char,Footnote Text Char Char Char Char,Footnote Text Char Char Char1,single space Char,footnote text Char,FOOTNOTES Char,Fußnotentext Char Char,Footnote Text Char1 Char,Footnote Text Char1 Char Char Char,Geneva 9 Char"/>
    <w:basedOn w:val="DefaultParagraphFont"/>
    <w:link w:val="FootnoteText"/>
    <w:uiPriority w:val="99"/>
    <w:rsid w:val="00823915"/>
    <w:rPr>
      <w:sz w:val="20"/>
      <w:szCs w:val="20"/>
      <w:lang w:val="en-GB"/>
    </w:rPr>
  </w:style>
  <w:style w:type="character" w:styleId="FootnoteReference">
    <w:name w:val="footnote reference"/>
    <w:aliases w:val="BVI fnr,16 Point,Superscript 6 Point,Footnote Refernece Char Char,Ref Char Car Car Char Char Char,de nota al pie Char Car Car Char Char Char,Ref Char Char Car Car Char Char Char,de nota al pie Char Char Car Car Char Char Char,fr,ftref"/>
    <w:basedOn w:val="DefaultParagraphFont"/>
    <w:link w:val="FootnoteReferneceChar"/>
    <w:unhideWhenUsed/>
    <w:qFormat/>
    <w:rsid w:val="00823915"/>
    <w:rPr>
      <w:vertAlign w:val="superscript"/>
    </w:rPr>
  </w:style>
  <w:style w:type="paragraph" w:styleId="Footer">
    <w:name w:val="footer"/>
    <w:basedOn w:val="Normal"/>
    <w:link w:val="FooterChar"/>
    <w:uiPriority w:val="99"/>
    <w:unhideWhenUsed/>
    <w:rsid w:val="00823915"/>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823915"/>
  </w:style>
  <w:style w:type="character" w:styleId="CommentReference">
    <w:name w:val="annotation reference"/>
    <w:uiPriority w:val="99"/>
    <w:semiHidden/>
    <w:unhideWhenUsed/>
    <w:rsid w:val="00346C66"/>
    <w:rPr>
      <w:sz w:val="16"/>
      <w:szCs w:val="16"/>
    </w:rPr>
  </w:style>
  <w:style w:type="paragraph" w:styleId="NoSpacing">
    <w:name w:val="No Spacing"/>
    <w:link w:val="NoSpacingChar"/>
    <w:uiPriority w:val="1"/>
    <w:qFormat/>
    <w:rsid w:val="00346C66"/>
    <w:pPr>
      <w:spacing w:after="0" w:line="240" w:lineRule="auto"/>
    </w:pPr>
    <w:rPr>
      <w:rFonts w:ascii="Calibri" w:eastAsia="Calibri" w:hAnsi="Calibri" w:cs="Times New Roman"/>
    </w:rPr>
  </w:style>
  <w:style w:type="paragraph" w:styleId="CommentText">
    <w:name w:val="annotation text"/>
    <w:basedOn w:val="Normal"/>
    <w:link w:val="CommentTextChar"/>
    <w:uiPriority w:val="99"/>
    <w:unhideWhenUsed/>
    <w:rsid w:val="00346C66"/>
    <w:pPr>
      <w:spacing w:line="240" w:lineRule="auto"/>
    </w:pPr>
    <w:rPr>
      <w:sz w:val="20"/>
      <w:szCs w:val="20"/>
    </w:rPr>
  </w:style>
  <w:style w:type="character" w:customStyle="1" w:styleId="CommentTextChar">
    <w:name w:val="Comment Text Char"/>
    <w:basedOn w:val="DefaultParagraphFont"/>
    <w:link w:val="CommentText"/>
    <w:uiPriority w:val="99"/>
    <w:rsid w:val="00346C66"/>
    <w:rPr>
      <w:sz w:val="20"/>
      <w:szCs w:val="20"/>
      <w:lang w:val="sq-AL"/>
    </w:rPr>
  </w:style>
  <w:style w:type="paragraph" w:styleId="CommentSubject">
    <w:name w:val="annotation subject"/>
    <w:basedOn w:val="CommentText"/>
    <w:next w:val="CommentText"/>
    <w:link w:val="CommentSubjectChar"/>
    <w:uiPriority w:val="99"/>
    <w:semiHidden/>
    <w:unhideWhenUsed/>
    <w:rsid w:val="00346C66"/>
    <w:rPr>
      <w:b/>
      <w:bCs/>
    </w:rPr>
  </w:style>
  <w:style w:type="character" w:customStyle="1" w:styleId="CommentSubjectChar">
    <w:name w:val="Comment Subject Char"/>
    <w:basedOn w:val="CommentTextChar"/>
    <w:link w:val="CommentSubject"/>
    <w:uiPriority w:val="99"/>
    <w:semiHidden/>
    <w:rsid w:val="00346C66"/>
    <w:rPr>
      <w:b/>
      <w:bCs/>
      <w:sz w:val="20"/>
      <w:szCs w:val="20"/>
      <w:lang w:val="sq-AL"/>
    </w:rPr>
  </w:style>
  <w:style w:type="paragraph" w:styleId="BalloonText">
    <w:name w:val="Balloon Text"/>
    <w:basedOn w:val="Normal"/>
    <w:link w:val="BalloonTextChar"/>
    <w:uiPriority w:val="99"/>
    <w:semiHidden/>
    <w:unhideWhenUsed/>
    <w:rsid w:val="00346C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6C66"/>
    <w:rPr>
      <w:rFonts w:ascii="Segoe UI" w:hAnsi="Segoe UI" w:cs="Segoe UI"/>
      <w:sz w:val="18"/>
      <w:szCs w:val="18"/>
      <w:lang w:val="sq-AL"/>
    </w:rPr>
  </w:style>
  <w:style w:type="character" w:customStyle="1" w:styleId="ListParagraphChar">
    <w:name w:val="List Paragraph Char"/>
    <w:aliases w:val="Normal 1 Char,List Paragraph (numbered (a)) Char,List Paragraph 1 Char,Akapit z listą BS Char,Bullets Char,NumberedParas Char,List Paragraph1 Char,Numbered List Paragraph Char,References Char,Numbered Paragraph Char,Liste 1 Char"/>
    <w:link w:val="ListParagraph"/>
    <w:uiPriority w:val="34"/>
    <w:qFormat/>
    <w:locked/>
    <w:rsid w:val="007502DB"/>
    <w:rPr>
      <w:lang w:val="sq-AL"/>
    </w:rPr>
  </w:style>
  <w:style w:type="paragraph" w:styleId="NormalWeb">
    <w:name w:val="Normal (Web)"/>
    <w:basedOn w:val="Normal"/>
    <w:uiPriority w:val="99"/>
    <w:unhideWhenUsed/>
    <w:rsid w:val="007502D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link w:val="DefaultChar"/>
    <w:rsid w:val="007502DB"/>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B415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3315D8"/>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ReferneceChar">
    <w:name w:val="Footnote Refernece Char"/>
    <w:aliases w:val="Ref Char Car Car Char Char,de nota al pie Char Car Car Char Char,Ref Char Char Car Car Char Char,de nota al pie Char Char Car Car Char Char,ftref Char Char Char Char Car Car Char Char"/>
    <w:basedOn w:val="Normal"/>
    <w:link w:val="FootnoteReference"/>
    <w:rsid w:val="001179B4"/>
    <w:pPr>
      <w:spacing w:line="240" w:lineRule="exact"/>
      <w:jc w:val="both"/>
    </w:pPr>
    <w:rPr>
      <w:vertAlign w:val="superscript"/>
      <w:lang w:val="en-US"/>
    </w:rPr>
  </w:style>
  <w:style w:type="paragraph" w:styleId="HTMLPreformatted">
    <w:name w:val="HTML Preformatted"/>
    <w:basedOn w:val="Normal"/>
    <w:link w:val="HTMLPreformattedChar"/>
    <w:uiPriority w:val="99"/>
    <w:unhideWhenUsed/>
    <w:rsid w:val="00284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284224"/>
    <w:rPr>
      <w:rFonts w:ascii="Courier New" w:eastAsia="Times New Roman" w:hAnsi="Courier New" w:cs="Courier New"/>
      <w:sz w:val="20"/>
      <w:szCs w:val="20"/>
    </w:rPr>
  </w:style>
  <w:style w:type="paragraph" w:styleId="Header">
    <w:name w:val="header"/>
    <w:basedOn w:val="Normal"/>
    <w:link w:val="HeaderChar"/>
    <w:uiPriority w:val="99"/>
    <w:unhideWhenUsed/>
    <w:rsid w:val="000F7C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7CAF"/>
    <w:rPr>
      <w:lang w:val="sq-AL"/>
    </w:rPr>
  </w:style>
  <w:style w:type="character" w:customStyle="1" w:styleId="Heading3Char">
    <w:name w:val="Heading 3 Char"/>
    <w:basedOn w:val="DefaultParagraphFont"/>
    <w:link w:val="Heading3"/>
    <w:uiPriority w:val="9"/>
    <w:rsid w:val="004B7141"/>
    <w:rPr>
      <w:rFonts w:asciiTheme="majorHAnsi" w:eastAsiaTheme="majorEastAsia" w:hAnsiTheme="majorHAnsi" w:cstheme="majorBidi"/>
      <w:color w:val="1F4D78" w:themeColor="accent1" w:themeShade="7F"/>
      <w:sz w:val="24"/>
      <w:szCs w:val="24"/>
      <w:lang w:val="sq-AL"/>
    </w:rPr>
  </w:style>
  <w:style w:type="paragraph" w:customStyle="1" w:styleId="CharCharCharCharCharChar">
    <w:name w:val="Char Char Char Char Char Char"/>
    <w:basedOn w:val="Normal"/>
    <w:rsid w:val="00F40B38"/>
    <w:pPr>
      <w:spacing w:line="240" w:lineRule="exact"/>
    </w:pPr>
    <w:rPr>
      <w:rFonts w:ascii="Tahoma" w:eastAsia="Times New Roman" w:hAnsi="Tahoma" w:cs="Tahoma"/>
      <w:sz w:val="20"/>
      <w:szCs w:val="20"/>
    </w:rPr>
  </w:style>
  <w:style w:type="paragraph" w:styleId="TOCHeading">
    <w:name w:val="TOC Heading"/>
    <w:basedOn w:val="Heading1"/>
    <w:next w:val="Normal"/>
    <w:uiPriority w:val="39"/>
    <w:unhideWhenUsed/>
    <w:qFormat/>
    <w:rsid w:val="00F40B38"/>
    <w:pPr>
      <w:outlineLvl w:val="9"/>
    </w:pPr>
    <w:rPr>
      <w:lang w:val="en-US"/>
    </w:rPr>
  </w:style>
  <w:style w:type="paragraph" w:styleId="TOC1">
    <w:name w:val="toc 1"/>
    <w:basedOn w:val="Normal"/>
    <w:next w:val="Normal"/>
    <w:autoRedefine/>
    <w:uiPriority w:val="39"/>
    <w:unhideWhenUsed/>
    <w:qFormat/>
    <w:rsid w:val="00F40B38"/>
    <w:pPr>
      <w:spacing w:after="100"/>
    </w:pPr>
  </w:style>
  <w:style w:type="paragraph" w:styleId="TOC2">
    <w:name w:val="toc 2"/>
    <w:basedOn w:val="Normal"/>
    <w:next w:val="Normal"/>
    <w:autoRedefine/>
    <w:uiPriority w:val="39"/>
    <w:unhideWhenUsed/>
    <w:qFormat/>
    <w:rsid w:val="00F40B38"/>
    <w:pPr>
      <w:spacing w:after="100"/>
      <w:ind w:left="220"/>
    </w:pPr>
  </w:style>
  <w:style w:type="paragraph" w:styleId="TOC3">
    <w:name w:val="toc 3"/>
    <w:basedOn w:val="Normal"/>
    <w:next w:val="Normal"/>
    <w:autoRedefine/>
    <w:uiPriority w:val="39"/>
    <w:unhideWhenUsed/>
    <w:qFormat/>
    <w:rsid w:val="00F40B38"/>
    <w:pPr>
      <w:spacing w:after="100"/>
      <w:ind w:left="440"/>
    </w:pPr>
  </w:style>
  <w:style w:type="character" w:styleId="Hyperlink">
    <w:name w:val="Hyperlink"/>
    <w:basedOn w:val="DefaultParagraphFont"/>
    <w:uiPriority w:val="99"/>
    <w:unhideWhenUsed/>
    <w:rsid w:val="00F40B38"/>
    <w:rPr>
      <w:color w:val="0563C1" w:themeColor="hyperlink"/>
      <w:u w:val="single"/>
    </w:rPr>
  </w:style>
  <w:style w:type="paragraph" w:styleId="Revision">
    <w:name w:val="Revision"/>
    <w:hidden/>
    <w:uiPriority w:val="99"/>
    <w:semiHidden/>
    <w:rsid w:val="000A7D61"/>
    <w:pPr>
      <w:spacing w:after="0" w:line="240" w:lineRule="auto"/>
    </w:pPr>
    <w:rPr>
      <w:lang w:val="sq-AL"/>
    </w:rPr>
  </w:style>
  <w:style w:type="paragraph" w:styleId="Caption">
    <w:name w:val="caption"/>
    <w:basedOn w:val="Normal"/>
    <w:next w:val="Normal"/>
    <w:uiPriority w:val="35"/>
    <w:unhideWhenUsed/>
    <w:qFormat/>
    <w:rsid w:val="00E74716"/>
    <w:pPr>
      <w:spacing w:after="200" w:line="240" w:lineRule="auto"/>
    </w:pPr>
    <w:rPr>
      <w:rFonts w:ascii="Calibri" w:eastAsia="Calibri" w:hAnsi="Calibri" w:cs="Times New Roman"/>
      <w:i/>
      <w:iCs/>
      <w:color w:val="44546A"/>
      <w:sz w:val="18"/>
      <w:szCs w:val="18"/>
      <w:lang w:val="en-GB"/>
    </w:rPr>
  </w:style>
  <w:style w:type="character" w:customStyle="1" w:styleId="Heading4Char">
    <w:name w:val="Heading 4 Char"/>
    <w:basedOn w:val="DefaultParagraphFont"/>
    <w:link w:val="Heading4"/>
    <w:rsid w:val="00085F16"/>
    <w:rPr>
      <w:rFonts w:ascii="Times New Roman" w:eastAsia="Times New Roman" w:hAnsi="Times New Roman" w:cs="Times New Roman"/>
      <w:i/>
      <w:sz w:val="20"/>
      <w:szCs w:val="20"/>
      <w:lang w:val="en-GB"/>
    </w:rPr>
  </w:style>
  <w:style w:type="character" w:customStyle="1" w:styleId="Heading5Char">
    <w:name w:val="Heading 5 Char"/>
    <w:basedOn w:val="DefaultParagraphFont"/>
    <w:link w:val="Heading5"/>
    <w:rsid w:val="00085F16"/>
    <w:rPr>
      <w:rFonts w:ascii="Arial" w:eastAsia="Times New Roman" w:hAnsi="Arial" w:cs="Times New Roman"/>
      <w:szCs w:val="20"/>
      <w:lang w:val="en-GB"/>
    </w:rPr>
  </w:style>
  <w:style w:type="character" w:customStyle="1" w:styleId="Heading6Char">
    <w:name w:val="Heading 6 Char"/>
    <w:basedOn w:val="DefaultParagraphFont"/>
    <w:link w:val="Heading6"/>
    <w:rsid w:val="00085F16"/>
    <w:rPr>
      <w:rFonts w:ascii="Arial" w:eastAsia="Times New Roman" w:hAnsi="Arial" w:cs="Times New Roman"/>
      <w:i/>
      <w:szCs w:val="20"/>
      <w:lang w:val="en-GB"/>
    </w:rPr>
  </w:style>
  <w:style w:type="character" w:customStyle="1" w:styleId="Heading7Char">
    <w:name w:val="Heading 7 Char"/>
    <w:basedOn w:val="DefaultParagraphFont"/>
    <w:link w:val="Heading7"/>
    <w:rsid w:val="00085F16"/>
    <w:rPr>
      <w:rFonts w:ascii="Arial" w:eastAsia="Times New Roman" w:hAnsi="Arial" w:cs="Times New Roman"/>
      <w:sz w:val="20"/>
      <w:szCs w:val="20"/>
      <w:lang w:val="en-GB"/>
    </w:rPr>
  </w:style>
  <w:style w:type="character" w:customStyle="1" w:styleId="Heading8Char">
    <w:name w:val="Heading 8 Char"/>
    <w:basedOn w:val="DefaultParagraphFont"/>
    <w:link w:val="Heading8"/>
    <w:rsid w:val="00085F16"/>
    <w:rPr>
      <w:rFonts w:ascii="Arial" w:eastAsia="Times New Roman" w:hAnsi="Arial" w:cs="Times New Roman"/>
      <w:i/>
      <w:sz w:val="20"/>
      <w:szCs w:val="20"/>
      <w:lang w:val="en-GB"/>
    </w:rPr>
  </w:style>
  <w:style w:type="character" w:customStyle="1" w:styleId="Heading9Char">
    <w:name w:val="Heading 9 Char"/>
    <w:basedOn w:val="DefaultParagraphFont"/>
    <w:link w:val="Heading9"/>
    <w:rsid w:val="00085F16"/>
    <w:rPr>
      <w:rFonts w:ascii="Arial" w:eastAsia="Times New Roman" w:hAnsi="Arial" w:cs="Times New Roman"/>
      <w:i/>
      <w:sz w:val="18"/>
      <w:szCs w:val="20"/>
      <w:lang w:val="en-GB"/>
    </w:rPr>
  </w:style>
  <w:style w:type="character" w:customStyle="1" w:styleId="Notedebasdepage">
    <w:name w:val="Note de bas de page_"/>
    <w:link w:val="Notedebasdepage0"/>
    <w:uiPriority w:val="99"/>
    <w:rsid w:val="00085F16"/>
    <w:rPr>
      <w:sz w:val="17"/>
      <w:szCs w:val="17"/>
      <w:shd w:val="clear" w:color="auto" w:fill="FFFFFF"/>
    </w:rPr>
  </w:style>
  <w:style w:type="paragraph" w:customStyle="1" w:styleId="Notedebasdepage0">
    <w:name w:val="Note de bas de page"/>
    <w:basedOn w:val="Normal"/>
    <w:link w:val="Notedebasdepage"/>
    <w:uiPriority w:val="99"/>
    <w:rsid w:val="00085F16"/>
    <w:pPr>
      <w:shd w:val="clear" w:color="auto" w:fill="FFFFFF"/>
      <w:spacing w:after="0" w:line="206" w:lineRule="exact"/>
      <w:ind w:hanging="180"/>
      <w:jc w:val="both"/>
    </w:pPr>
    <w:rPr>
      <w:sz w:val="17"/>
      <w:szCs w:val="17"/>
      <w:lang w:val="en-US"/>
    </w:rPr>
  </w:style>
  <w:style w:type="character" w:customStyle="1" w:styleId="Corpsdutexte2">
    <w:name w:val="Corps du texte (2)_"/>
    <w:link w:val="Corpsdutexte21"/>
    <w:uiPriority w:val="99"/>
    <w:rsid w:val="00085F16"/>
    <w:rPr>
      <w:rFonts w:ascii="Arial" w:hAnsi="Arial" w:cs="Arial"/>
      <w:sz w:val="16"/>
      <w:szCs w:val="16"/>
      <w:shd w:val="clear" w:color="auto" w:fill="FFFFFF"/>
    </w:rPr>
  </w:style>
  <w:style w:type="paragraph" w:customStyle="1" w:styleId="Corpsdutexte21">
    <w:name w:val="Corps du texte (2)1"/>
    <w:basedOn w:val="Normal"/>
    <w:link w:val="Corpsdutexte2"/>
    <w:uiPriority w:val="99"/>
    <w:rsid w:val="00085F16"/>
    <w:pPr>
      <w:shd w:val="clear" w:color="auto" w:fill="FFFFFF"/>
      <w:spacing w:after="720" w:line="240" w:lineRule="atLeast"/>
      <w:jc w:val="right"/>
    </w:pPr>
    <w:rPr>
      <w:rFonts w:ascii="Arial" w:hAnsi="Arial" w:cs="Arial"/>
      <w:sz w:val="16"/>
      <w:szCs w:val="16"/>
      <w:lang w:val="en-US"/>
    </w:rPr>
  </w:style>
  <w:style w:type="character" w:customStyle="1" w:styleId="Corpsdutexte20">
    <w:name w:val="Corps du texte (2)"/>
    <w:uiPriority w:val="99"/>
    <w:rsid w:val="00085F16"/>
    <w:rPr>
      <w:rFonts w:ascii="Arial" w:hAnsi="Arial" w:cs="Arial"/>
      <w:color w:val="000096"/>
      <w:sz w:val="16"/>
      <w:szCs w:val="16"/>
      <w:u w:val="none"/>
      <w:lang w:val="bg-BG" w:eastAsia="bg-BG"/>
    </w:rPr>
  </w:style>
  <w:style w:type="character" w:customStyle="1" w:styleId="Corpsdutexte24">
    <w:name w:val="Corps du texte (2)4"/>
    <w:uiPriority w:val="99"/>
    <w:rsid w:val="00085F16"/>
    <w:rPr>
      <w:rFonts w:ascii="Arial" w:hAnsi="Arial" w:cs="Arial"/>
      <w:color w:val="4B4B4B"/>
      <w:sz w:val="16"/>
      <w:szCs w:val="16"/>
      <w:u w:val="none"/>
      <w:lang w:val="de-DE" w:eastAsia="de-DE"/>
    </w:rPr>
  </w:style>
  <w:style w:type="character" w:customStyle="1" w:styleId="Corpsdutexte3">
    <w:name w:val="Corps du texte (3)_"/>
    <w:link w:val="Corpsdutexte30"/>
    <w:uiPriority w:val="99"/>
    <w:rsid w:val="00085F16"/>
    <w:rPr>
      <w:rFonts w:ascii="Arial" w:hAnsi="Arial" w:cs="Arial"/>
      <w:shd w:val="clear" w:color="auto" w:fill="FFFFFF"/>
      <w:lang w:val="fi-FI" w:eastAsia="fi-FI"/>
    </w:rPr>
  </w:style>
  <w:style w:type="paragraph" w:customStyle="1" w:styleId="Corpsdutexte30">
    <w:name w:val="Corps du texte (3)"/>
    <w:basedOn w:val="Normal"/>
    <w:link w:val="Corpsdutexte3"/>
    <w:uiPriority w:val="99"/>
    <w:rsid w:val="00085F16"/>
    <w:pPr>
      <w:shd w:val="clear" w:color="auto" w:fill="FFFFFF"/>
      <w:spacing w:before="720" w:after="60" w:line="240" w:lineRule="atLeast"/>
    </w:pPr>
    <w:rPr>
      <w:rFonts w:ascii="Arial" w:hAnsi="Arial" w:cs="Arial"/>
      <w:lang w:val="fi-FI" w:eastAsia="fi-FI"/>
    </w:rPr>
  </w:style>
  <w:style w:type="character" w:customStyle="1" w:styleId="Corpsdutexte4">
    <w:name w:val="Corps du texte (4)_"/>
    <w:link w:val="Corpsdutexte40"/>
    <w:uiPriority w:val="99"/>
    <w:rsid w:val="00085F16"/>
    <w:rPr>
      <w:rFonts w:ascii="Arial" w:hAnsi="Arial" w:cs="Arial"/>
      <w:sz w:val="14"/>
      <w:szCs w:val="14"/>
      <w:shd w:val="clear" w:color="auto" w:fill="FFFFFF"/>
    </w:rPr>
  </w:style>
  <w:style w:type="paragraph" w:customStyle="1" w:styleId="Corpsdutexte40">
    <w:name w:val="Corps du texte (4)"/>
    <w:basedOn w:val="Normal"/>
    <w:link w:val="Corpsdutexte4"/>
    <w:uiPriority w:val="99"/>
    <w:rsid w:val="00085F16"/>
    <w:pPr>
      <w:shd w:val="clear" w:color="auto" w:fill="FFFFFF"/>
      <w:spacing w:before="60" w:after="5340" w:line="240" w:lineRule="atLeast"/>
    </w:pPr>
    <w:rPr>
      <w:rFonts w:ascii="Arial" w:hAnsi="Arial" w:cs="Arial"/>
      <w:sz w:val="14"/>
      <w:szCs w:val="14"/>
      <w:lang w:val="en-US"/>
    </w:rPr>
  </w:style>
  <w:style w:type="character" w:customStyle="1" w:styleId="Corpsdutexte5">
    <w:name w:val="Corps du texte (5)_"/>
    <w:link w:val="Corpsdutexte50"/>
    <w:uiPriority w:val="99"/>
    <w:rsid w:val="00085F16"/>
    <w:rPr>
      <w:rFonts w:ascii="Times New Roman" w:hAnsi="Times New Roman" w:cs="Times New Roman"/>
      <w:b/>
      <w:bCs/>
      <w:sz w:val="31"/>
      <w:szCs w:val="31"/>
      <w:shd w:val="clear" w:color="auto" w:fill="FFFFFF"/>
      <w:lang w:val="de-DE" w:eastAsia="de-DE"/>
    </w:rPr>
  </w:style>
  <w:style w:type="paragraph" w:customStyle="1" w:styleId="Corpsdutexte50">
    <w:name w:val="Corps du texte (5)"/>
    <w:basedOn w:val="Normal"/>
    <w:link w:val="Corpsdutexte5"/>
    <w:uiPriority w:val="99"/>
    <w:rsid w:val="00085F16"/>
    <w:pPr>
      <w:shd w:val="clear" w:color="auto" w:fill="FFFFFF"/>
      <w:spacing w:before="5340" w:after="1800" w:line="370" w:lineRule="exact"/>
    </w:pPr>
    <w:rPr>
      <w:rFonts w:ascii="Times New Roman" w:hAnsi="Times New Roman" w:cs="Times New Roman"/>
      <w:b/>
      <w:bCs/>
      <w:sz w:val="31"/>
      <w:szCs w:val="31"/>
      <w:lang w:val="de-DE" w:eastAsia="de-DE"/>
    </w:rPr>
  </w:style>
  <w:style w:type="character" w:customStyle="1" w:styleId="Corpsdutexte6">
    <w:name w:val="Corps du texte (6)_"/>
    <w:link w:val="Corpsdutexte60"/>
    <w:uiPriority w:val="99"/>
    <w:rsid w:val="00085F16"/>
    <w:rPr>
      <w:sz w:val="31"/>
      <w:szCs w:val="31"/>
      <w:shd w:val="clear" w:color="auto" w:fill="FFFFFF"/>
    </w:rPr>
  </w:style>
  <w:style w:type="paragraph" w:customStyle="1" w:styleId="Corpsdutexte60">
    <w:name w:val="Corps du texte (6)"/>
    <w:basedOn w:val="Normal"/>
    <w:link w:val="Corpsdutexte6"/>
    <w:uiPriority w:val="99"/>
    <w:rsid w:val="00085F16"/>
    <w:pPr>
      <w:shd w:val="clear" w:color="auto" w:fill="FFFFFF"/>
      <w:spacing w:before="1800" w:after="0" w:line="240" w:lineRule="atLeast"/>
    </w:pPr>
    <w:rPr>
      <w:sz w:val="31"/>
      <w:szCs w:val="31"/>
      <w:lang w:val="en-US"/>
    </w:rPr>
  </w:style>
  <w:style w:type="character" w:customStyle="1" w:styleId="Corpsdutexte">
    <w:name w:val="Corps du texte_"/>
    <w:link w:val="Corpsdutexte1"/>
    <w:uiPriority w:val="99"/>
    <w:rsid w:val="00085F16"/>
    <w:rPr>
      <w:sz w:val="23"/>
      <w:szCs w:val="23"/>
      <w:shd w:val="clear" w:color="auto" w:fill="FFFFFF"/>
    </w:rPr>
  </w:style>
  <w:style w:type="paragraph" w:customStyle="1" w:styleId="Corpsdutexte1">
    <w:name w:val="Corps du texte1"/>
    <w:basedOn w:val="Normal"/>
    <w:link w:val="Corpsdutexte"/>
    <w:uiPriority w:val="99"/>
    <w:rsid w:val="00085F16"/>
    <w:pPr>
      <w:shd w:val="clear" w:color="auto" w:fill="FFFFFF"/>
      <w:spacing w:after="300" w:line="240" w:lineRule="atLeast"/>
      <w:jc w:val="both"/>
    </w:pPr>
    <w:rPr>
      <w:sz w:val="23"/>
      <w:szCs w:val="23"/>
      <w:lang w:val="en-US"/>
    </w:rPr>
  </w:style>
  <w:style w:type="character" w:customStyle="1" w:styleId="Corpsdutexte0">
    <w:name w:val="Corps du texte"/>
    <w:uiPriority w:val="99"/>
    <w:rsid w:val="00085F16"/>
    <w:rPr>
      <w:sz w:val="23"/>
      <w:szCs w:val="23"/>
      <w:u w:val="single"/>
    </w:rPr>
  </w:style>
  <w:style w:type="character" w:customStyle="1" w:styleId="En-tteoupieddepage">
    <w:name w:val="En-tête ou pied de page_"/>
    <w:link w:val="En-tteoupieddepage0"/>
    <w:uiPriority w:val="99"/>
    <w:rsid w:val="00085F16"/>
    <w:rPr>
      <w:rFonts w:ascii="Times New Roman" w:hAnsi="Times New Roman" w:cs="Times New Roman"/>
      <w:noProof/>
      <w:sz w:val="20"/>
      <w:szCs w:val="20"/>
      <w:shd w:val="clear" w:color="auto" w:fill="FFFFFF"/>
    </w:rPr>
  </w:style>
  <w:style w:type="paragraph" w:customStyle="1" w:styleId="En-tteoupieddepage0">
    <w:name w:val="En-tête ou pied de page"/>
    <w:basedOn w:val="Normal"/>
    <w:link w:val="En-tteoupieddepage"/>
    <w:uiPriority w:val="99"/>
    <w:rsid w:val="00085F16"/>
    <w:pPr>
      <w:shd w:val="clear" w:color="auto" w:fill="FFFFFF"/>
      <w:spacing w:after="0" w:line="240" w:lineRule="auto"/>
    </w:pPr>
    <w:rPr>
      <w:rFonts w:ascii="Times New Roman" w:hAnsi="Times New Roman" w:cs="Times New Roman"/>
      <w:noProof/>
      <w:sz w:val="20"/>
      <w:szCs w:val="20"/>
      <w:lang w:val="en-US"/>
    </w:rPr>
  </w:style>
  <w:style w:type="character" w:customStyle="1" w:styleId="En-tteoupieddepage11pt">
    <w:name w:val="En-tête ou pied de page + 11 pt"/>
    <w:uiPriority w:val="99"/>
    <w:rsid w:val="00085F16"/>
    <w:rPr>
      <w:rFonts w:ascii="Times New Roman" w:hAnsi="Times New Roman" w:cs="Times New Roman"/>
      <w:noProof/>
      <w:sz w:val="22"/>
      <w:szCs w:val="22"/>
      <w:u w:val="none"/>
    </w:rPr>
  </w:style>
  <w:style w:type="character" w:customStyle="1" w:styleId="CorpsdutexteItalique">
    <w:name w:val="Corps du texte + Italique"/>
    <w:uiPriority w:val="99"/>
    <w:rsid w:val="00085F16"/>
    <w:rPr>
      <w:i/>
      <w:iCs/>
      <w:sz w:val="23"/>
      <w:szCs w:val="23"/>
      <w:u w:val="none"/>
    </w:rPr>
  </w:style>
  <w:style w:type="character" w:customStyle="1" w:styleId="Corpsdutexte31">
    <w:name w:val="Corps du texte3"/>
    <w:uiPriority w:val="99"/>
    <w:rsid w:val="00085F16"/>
    <w:rPr>
      <w:sz w:val="23"/>
      <w:szCs w:val="23"/>
      <w:u w:val="none"/>
    </w:rPr>
  </w:style>
  <w:style w:type="character" w:customStyle="1" w:styleId="CorpsdutexteGras">
    <w:name w:val="Corps du texte + Gras"/>
    <w:uiPriority w:val="99"/>
    <w:rsid w:val="00085F16"/>
    <w:rPr>
      <w:rFonts w:ascii="Times New Roman" w:hAnsi="Times New Roman" w:cs="Times New Roman"/>
      <w:b/>
      <w:bCs/>
      <w:noProof/>
      <w:sz w:val="23"/>
      <w:szCs w:val="23"/>
      <w:u w:val="none"/>
    </w:rPr>
  </w:style>
  <w:style w:type="character" w:customStyle="1" w:styleId="CorpsdutexteGras4">
    <w:name w:val="Corps du texte + Gras4"/>
    <w:uiPriority w:val="99"/>
    <w:rsid w:val="00085F16"/>
    <w:rPr>
      <w:b/>
      <w:bCs/>
      <w:sz w:val="23"/>
      <w:szCs w:val="23"/>
      <w:u w:val="single"/>
    </w:rPr>
  </w:style>
  <w:style w:type="character" w:customStyle="1" w:styleId="Corpsdutexte10pt">
    <w:name w:val="Corps du texte + 10 pt"/>
    <w:uiPriority w:val="99"/>
    <w:rsid w:val="00085F16"/>
    <w:rPr>
      <w:color w:val="0000FF"/>
      <w:sz w:val="20"/>
      <w:szCs w:val="20"/>
      <w:u w:val="single"/>
    </w:rPr>
  </w:style>
  <w:style w:type="character" w:customStyle="1" w:styleId="Corpsdutexte7">
    <w:name w:val="Corps du texte (7)_"/>
    <w:link w:val="Corpsdutexte71"/>
    <w:uiPriority w:val="99"/>
    <w:rsid w:val="00085F16"/>
    <w:rPr>
      <w:b/>
      <w:bCs/>
      <w:sz w:val="23"/>
      <w:szCs w:val="23"/>
      <w:shd w:val="clear" w:color="auto" w:fill="FFFFFF"/>
    </w:rPr>
  </w:style>
  <w:style w:type="paragraph" w:customStyle="1" w:styleId="Corpsdutexte71">
    <w:name w:val="Corps du texte (7)1"/>
    <w:basedOn w:val="Normal"/>
    <w:link w:val="Corpsdutexte7"/>
    <w:uiPriority w:val="99"/>
    <w:rsid w:val="00085F16"/>
    <w:pPr>
      <w:shd w:val="clear" w:color="auto" w:fill="FFFFFF"/>
      <w:spacing w:after="540" w:line="240" w:lineRule="atLeast"/>
      <w:jc w:val="center"/>
    </w:pPr>
    <w:rPr>
      <w:b/>
      <w:bCs/>
      <w:sz w:val="23"/>
      <w:szCs w:val="23"/>
      <w:lang w:val="en-US"/>
    </w:rPr>
  </w:style>
  <w:style w:type="character" w:customStyle="1" w:styleId="Corpsdutexte70">
    <w:name w:val="Corps du texte (7)"/>
    <w:uiPriority w:val="99"/>
    <w:rsid w:val="00085F16"/>
    <w:rPr>
      <w:rFonts w:ascii="Times New Roman" w:hAnsi="Times New Roman" w:cs="Times New Roman"/>
      <w:b/>
      <w:bCs/>
      <w:sz w:val="23"/>
      <w:szCs w:val="23"/>
      <w:u w:val="single"/>
      <w:lang w:val="de-DE" w:eastAsia="de-DE"/>
    </w:rPr>
  </w:style>
  <w:style w:type="character" w:customStyle="1" w:styleId="Corpsdutexte710pt">
    <w:name w:val="Corps du texte (7) + 10 pt"/>
    <w:aliases w:val="Non Gras"/>
    <w:uiPriority w:val="99"/>
    <w:rsid w:val="00085F16"/>
    <w:rPr>
      <w:b/>
      <w:bCs/>
      <w:sz w:val="20"/>
      <w:szCs w:val="20"/>
      <w:u w:val="none"/>
    </w:rPr>
  </w:style>
  <w:style w:type="character" w:customStyle="1" w:styleId="Corpsdutexte8">
    <w:name w:val="Corps du texte (8)_"/>
    <w:link w:val="Corpsdutexte80"/>
    <w:uiPriority w:val="99"/>
    <w:rsid w:val="00085F16"/>
    <w:rPr>
      <w:i/>
      <w:iCs/>
      <w:sz w:val="21"/>
      <w:szCs w:val="21"/>
      <w:shd w:val="clear" w:color="auto" w:fill="FFFFFF"/>
    </w:rPr>
  </w:style>
  <w:style w:type="paragraph" w:customStyle="1" w:styleId="Corpsdutexte80">
    <w:name w:val="Corps du texte (8)"/>
    <w:basedOn w:val="Normal"/>
    <w:link w:val="Corpsdutexte8"/>
    <w:uiPriority w:val="99"/>
    <w:rsid w:val="00085F16"/>
    <w:pPr>
      <w:shd w:val="clear" w:color="auto" w:fill="FFFFFF"/>
      <w:spacing w:before="180" w:after="180" w:line="240" w:lineRule="atLeast"/>
      <w:ind w:hanging="340"/>
      <w:jc w:val="both"/>
    </w:pPr>
    <w:rPr>
      <w:i/>
      <w:iCs/>
      <w:sz w:val="21"/>
      <w:szCs w:val="21"/>
      <w:lang w:val="en-US"/>
    </w:rPr>
  </w:style>
  <w:style w:type="character" w:customStyle="1" w:styleId="Corpsdutexte8NonItalique">
    <w:name w:val="Corps du texte (8) + Non Italique"/>
    <w:uiPriority w:val="99"/>
    <w:rsid w:val="00085F16"/>
    <w:rPr>
      <w:i/>
      <w:iCs/>
      <w:sz w:val="21"/>
      <w:szCs w:val="21"/>
      <w:u w:val="none"/>
    </w:rPr>
  </w:style>
  <w:style w:type="character" w:customStyle="1" w:styleId="Corpsdutexte710pt5">
    <w:name w:val="Corps du texte (7) + 10 pt5"/>
    <w:aliases w:val="Italique,Espacement 1 pt"/>
    <w:uiPriority w:val="99"/>
    <w:rsid w:val="00085F16"/>
    <w:rPr>
      <w:rFonts w:ascii="Times New Roman" w:hAnsi="Times New Roman" w:cs="Times New Roman"/>
      <w:b/>
      <w:bCs/>
      <w:i/>
      <w:iCs/>
      <w:spacing w:val="20"/>
      <w:sz w:val="20"/>
      <w:szCs w:val="20"/>
      <w:u w:val="none"/>
      <w:lang w:val="sl-SI" w:eastAsia="sl-SI"/>
    </w:rPr>
  </w:style>
  <w:style w:type="character" w:customStyle="1" w:styleId="Corpsdutexte9">
    <w:name w:val="Corps du texte (9)_"/>
    <w:link w:val="Corpsdutexte90"/>
    <w:uiPriority w:val="99"/>
    <w:rsid w:val="00085F16"/>
    <w:rPr>
      <w:b/>
      <w:bCs/>
      <w:i/>
      <w:iCs/>
      <w:sz w:val="21"/>
      <w:szCs w:val="21"/>
      <w:shd w:val="clear" w:color="auto" w:fill="FFFFFF"/>
    </w:rPr>
  </w:style>
  <w:style w:type="paragraph" w:customStyle="1" w:styleId="Corpsdutexte90">
    <w:name w:val="Corps du texte (9)"/>
    <w:basedOn w:val="Normal"/>
    <w:link w:val="Corpsdutexte9"/>
    <w:uiPriority w:val="99"/>
    <w:rsid w:val="00085F16"/>
    <w:pPr>
      <w:shd w:val="clear" w:color="auto" w:fill="FFFFFF"/>
      <w:spacing w:before="300" w:after="300" w:line="240" w:lineRule="atLeast"/>
      <w:jc w:val="both"/>
    </w:pPr>
    <w:rPr>
      <w:b/>
      <w:bCs/>
      <w:i/>
      <w:iCs/>
      <w:sz w:val="21"/>
      <w:szCs w:val="21"/>
      <w:lang w:val="en-US"/>
    </w:rPr>
  </w:style>
  <w:style w:type="character" w:customStyle="1" w:styleId="Corpsdutexte710pt4">
    <w:name w:val="Corps du texte (7) + 10 pt4"/>
    <w:aliases w:val="Non Gras2"/>
    <w:uiPriority w:val="99"/>
    <w:rsid w:val="00085F16"/>
    <w:rPr>
      <w:b/>
      <w:bCs/>
      <w:sz w:val="20"/>
      <w:szCs w:val="20"/>
      <w:u w:val="none"/>
    </w:rPr>
  </w:style>
  <w:style w:type="character" w:customStyle="1" w:styleId="Corpsdutexte8NonItalique3">
    <w:name w:val="Corps du texte (8) + Non Italique3"/>
    <w:uiPriority w:val="99"/>
    <w:rsid w:val="00085F16"/>
    <w:rPr>
      <w:i/>
      <w:iCs/>
      <w:sz w:val="21"/>
      <w:szCs w:val="21"/>
      <w:u w:val="none"/>
    </w:rPr>
  </w:style>
  <w:style w:type="character" w:customStyle="1" w:styleId="Corpsdutexte710pt3">
    <w:name w:val="Corps du texte (7) + 10 pt3"/>
    <w:aliases w:val="Italique2,Espacement 1 pt2"/>
    <w:uiPriority w:val="99"/>
    <w:rsid w:val="00085F16"/>
    <w:rPr>
      <w:rFonts w:ascii="Times New Roman" w:hAnsi="Times New Roman" w:cs="Times New Roman"/>
      <w:b/>
      <w:bCs/>
      <w:i/>
      <w:iCs/>
      <w:spacing w:val="20"/>
      <w:sz w:val="20"/>
      <w:szCs w:val="20"/>
      <w:u w:val="none"/>
      <w:lang w:val="sl-SI" w:eastAsia="sl-SI"/>
    </w:rPr>
  </w:style>
  <w:style w:type="character" w:customStyle="1" w:styleId="Corpsdutexte8NonItalique2">
    <w:name w:val="Corps du texte (8) + Non Italique2"/>
    <w:uiPriority w:val="99"/>
    <w:rsid w:val="00085F16"/>
    <w:rPr>
      <w:i/>
      <w:iCs/>
      <w:sz w:val="21"/>
      <w:szCs w:val="21"/>
      <w:u w:val="none"/>
    </w:rPr>
  </w:style>
  <w:style w:type="character" w:customStyle="1" w:styleId="Corpsdutexte710pt2">
    <w:name w:val="Corps du texte (7) + 10 pt2"/>
    <w:aliases w:val="Italique1,Espacement 1 pt1"/>
    <w:uiPriority w:val="99"/>
    <w:rsid w:val="00085F16"/>
    <w:rPr>
      <w:rFonts w:ascii="Times New Roman" w:hAnsi="Times New Roman" w:cs="Times New Roman"/>
      <w:b/>
      <w:bCs/>
      <w:i/>
      <w:iCs/>
      <w:spacing w:val="20"/>
      <w:sz w:val="20"/>
      <w:szCs w:val="20"/>
      <w:u w:val="none"/>
      <w:lang w:val="sl-SI" w:eastAsia="sl-SI"/>
    </w:rPr>
  </w:style>
  <w:style w:type="character" w:customStyle="1" w:styleId="Corpsdutexte710pt1">
    <w:name w:val="Corps du texte (7) + 10 pt1"/>
    <w:aliases w:val="Non Gras1"/>
    <w:uiPriority w:val="99"/>
    <w:rsid w:val="00085F16"/>
    <w:rPr>
      <w:b/>
      <w:bCs/>
      <w:sz w:val="20"/>
      <w:szCs w:val="20"/>
      <w:u w:val="none"/>
    </w:rPr>
  </w:style>
  <w:style w:type="character" w:customStyle="1" w:styleId="Corpsdutexte8NonItalique1">
    <w:name w:val="Corps du texte (8) + Non Italique1"/>
    <w:uiPriority w:val="99"/>
    <w:rsid w:val="00085F16"/>
    <w:rPr>
      <w:i/>
      <w:iCs/>
      <w:sz w:val="21"/>
      <w:szCs w:val="21"/>
      <w:u w:val="none"/>
    </w:rPr>
  </w:style>
  <w:style w:type="character" w:customStyle="1" w:styleId="En-tte1">
    <w:name w:val="En-tête #1_"/>
    <w:link w:val="En-tte11"/>
    <w:uiPriority w:val="99"/>
    <w:rsid w:val="00085F16"/>
    <w:rPr>
      <w:b/>
      <w:bCs/>
      <w:sz w:val="23"/>
      <w:szCs w:val="23"/>
      <w:shd w:val="clear" w:color="auto" w:fill="FFFFFF"/>
    </w:rPr>
  </w:style>
  <w:style w:type="paragraph" w:customStyle="1" w:styleId="En-tte11">
    <w:name w:val="En-tête #11"/>
    <w:basedOn w:val="Normal"/>
    <w:link w:val="En-tte1"/>
    <w:uiPriority w:val="99"/>
    <w:rsid w:val="00085F16"/>
    <w:pPr>
      <w:shd w:val="clear" w:color="auto" w:fill="FFFFFF"/>
      <w:spacing w:after="600" w:line="240" w:lineRule="atLeast"/>
      <w:ind w:hanging="360"/>
      <w:jc w:val="center"/>
      <w:outlineLvl w:val="0"/>
    </w:pPr>
    <w:rPr>
      <w:b/>
      <w:bCs/>
      <w:sz w:val="23"/>
      <w:szCs w:val="23"/>
      <w:lang w:val="en-US"/>
    </w:rPr>
  </w:style>
  <w:style w:type="character" w:customStyle="1" w:styleId="En-tte10">
    <w:name w:val="En-tête #1"/>
    <w:uiPriority w:val="99"/>
    <w:rsid w:val="00085F16"/>
    <w:rPr>
      <w:b/>
      <w:bCs/>
      <w:sz w:val="23"/>
      <w:szCs w:val="23"/>
      <w:u w:val="single"/>
    </w:rPr>
  </w:style>
  <w:style w:type="character" w:customStyle="1" w:styleId="Corpsdutexte12">
    <w:name w:val="Corps du texte (12)_"/>
    <w:link w:val="Corpsdutexte120"/>
    <w:uiPriority w:val="99"/>
    <w:rsid w:val="00085F16"/>
    <w:rPr>
      <w:i/>
      <w:iCs/>
      <w:sz w:val="23"/>
      <w:szCs w:val="23"/>
      <w:shd w:val="clear" w:color="auto" w:fill="FFFFFF"/>
    </w:rPr>
  </w:style>
  <w:style w:type="paragraph" w:customStyle="1" w:styleId="Corpsdutexte120">
    <w:name w:val="Corps du texte (12)"/>
    <w:basedOn w:val="Normal"/>
    <w:link w:val="Corpsdutexte12"/>
    <w:uiPriority w:val="99"/>
    <w:rsid w:val="00085F16"/>
    <w:pPr>
      <w:shd w:val="clear" w:color="auto" w:fill="FFFFFF"/>
      <w:spacing w:before="300" w:after="180" w:line="274" w:lineRule="exact"/>
      <w:ind w:hanging="360"/>
    </w:pPr>
    <w:rPr>
      <w:i/>
      <w:iCs/>
      <w:sz w:val="23"/>
      <w:szCs w:val="23"/>
      <w:lang w:val="en-US"/>
    </w:rPr>
  </w:style>
  <w:style w:type="character" w:customStyle="1" w:styleId="Corpsdutexte10">
    <w:name w:val="Corps du texte (10)_"/>
    <w:link w:val="Corpsdutexte101"/>
    <w:uiPriority w:val="99"/>
    <w:rsid w:val="00085F16"/>
    <w:rPr>
      <w:rFonts w:ascii="Arial" w:hAnsi="Arial" w:cs="Arial"/>
      <w:b/>
      <w:bCs/>
      <w:sz w:val="17"/>
      <w:szCs w:val="17"/>
      <w:shd w:val="clear" w:color="auto" w:fill="FFFFFF"/>
    </w:rPr>
  </w:style>
  <w:style w:type="paragraph" w:customStyle="1" w:styleId="Corpsdutexte101">
    <w:name w:val="Corps du texte (10)1"/>
    <w:basedOn w:val="Normal"/>
    <w:link w:val="Corpsdutexte10"/>
    <w:uiPriority w:val="99"/>
    <w:rsid w:val="00085F16"/>
    <w:pPr>
      <w:shd w:val="clear" w:color="auto" w:fill="FFFFFF"/>
      <w:spacing w:after="0" w:line="240" w:lineRule="atLeast"/>
    </w:pPr>
    <w:rPr>
      <w:rFonts w:ascii="Arial" w:hAnsi="Arial" w:cs="Arial"/>
      <w:b/>
      <w:bCs/>
      <w:sz w:val="17"/>
      <w:szCs w:val="17"/>
      <w:lang w:val="en-US"/>
    </w:rPr>
  </w:style>
  <w:style w:type="character" w:customStyle="1" w:styleId="Corpsdutexte100">
    <w:name w:val="Corps du texte (10)"/>
    <w:uiPriority w:val="99"/>
    <w:rsid w:val="00085F16"/>
    <w:rPr>
      <w:rFonts w:ascii="Arial" w:hAnsi="Arial" w:cs="Arial"/>
      <w:b/>
      <w:bCs/>
      <w:color w:val="FF0000"/>
      <w:sz w:val="17"/>
      <w:szCs w:val="17"/>
      <w:u w:val="none"/>
    </w:rPr>
  </w:style>
  <w:style w:type="character" w:customStyle="1" w:styleId="Corpsdutexte23">
    <w:name w:val="Corps du texte (2)3"/>
    <w:uiPriority w:val="99"/>
    <w:rsid w:val="00085F16"/>
    <w:rPr>
      <w:rFonts w:ascii="Arial" w:hAnsi="Arial" w:cs="Arial"/>
      <w:color w:val="FF0000"/>
      <w:sz w:val="16"/>
      <w:szCs w:val="16"/>
      <w:u w:val="none"/>
    </w:rPr>
  </w:style>
  <w:style w:type="character" w:customStyle="1" w:styleId="Corpsdutexte22">
    <w:name w:val="Corps du texte (2)2"/>
    <w:uiPriority w:val="99"/>
    <w:rsid w:val="00085F16"/>
    <w:rPr>
      <w:rFonts w:ascii="Arial" w:hAnsi="Arial" w:cs="Arial"/>
      <w:color w:val="FF0000"/>
      <w:sz w:val="16"/>
      <w:szCs w:val="16"/>
      <w:u w:val="none"/>
    </w:rPr>
  </w:style>
  <w:style w:type="character" w:customStyle="1" w:styleId="Corpsdutexte2Exact">
    <w:name w:val="Corps du texte (2) Exact"/>
    <w:uiPriority w:val="99"/>
    <w:rsid w:val="00085F16"/>
    <w:rPr>
      <w:rFonts w:ascii="Arial" w:hAnsi="Arial" w:cs="Arial"/>
      <w:spacing w:val="5"/>
      <w:sz w:val="15"/>
      <w:szCs w:val="15"/>
      <w:u w:val="none"/>
    </w:rPr>
  </w:style>
  <w:style w:type="character" w:customStyle="1" w:styleId="Corpsdutexte13">
    <w:name w:val="Corps du texte (13)_"/>
    <w:link w:val="Corpsdutexte130"/>
    <w:uiPriority w:val="99"/>
    <w:rsid w:val="00085F16"/>
    <w:rPr>
      <w:rFonts w:ascii="Times New Roman" w:hAnsi="Times New Roman" w:cs="Times New Roman"/>
      <w:sz w:val="17"/>
      <w:szCs w:val="17"/>
      <w:shd w:val="clear" w:color="auto" w:fill="FFFFFF"/>
      <w:lang w:val="sk-SK" w:eastAsia="sk-SK"/>
    </w:rPr>
  </w:style>
  <w:style w:type="paragraph" w:customStyle="1" w:styleId="Corpsdutexte130">
    <w:name w:val="Corps du texte (13)"/>
    <w:basedOn w:val="Normal"/>
    <w:link w:val="Corpsdutexte13"/>
    <w:uiPriority w:val="99"/>
    <w:rsid w:val="00085F16"/>
    <w:pPr>
      <w:shd w:val="clear" w:color="auto" w:fill="FFFFFF"/>
      <w:spacing w:after="0" w:line="240" w:lineRule="atLeast"/>
      <w:jc w:val="right"/>
    </w:pPr>
    <w:rPr>
      <w:rFonts w:ascii="Times New Roman" w:hAnsi="Times New Roman" w:cs="Times New Roman"/>
      <w:sz w:val="17"/>
      <w:szCs w:val="17"/>
      <w:lang w:val="sk-SK" w:eastAsia="sk-SK"/>
    </w:rPr>
  </w:style>
  <w:style w:type="character" w:customStyle="1" w:styleId="CorpsdutexteGras3">
    <w:name w:val="Corps du texte + Gras3"/>
    <w:uiPriority w:val="99"/>
    <w:rsid w:val="00085F16"/>
    <w:rPr>
      <w:rFonts w:ascii="Times New Roman" w:hAnsi="Times New Roman" w:cs="Times New Roman"/>
      <w:b/>
      <w:bCs/>
      <w:sz w:val="23"/>
      <w:szCs w:val="23"/>
      <w:u w:val="none"/>
      <w:lang w:val="sl-SI" w:eastAsia="sl-SI"/>
    </w:rPr>
  </w:style>
  <w:style w:type="character" w:customStyle="1" w:styleId="CorpsdutexteGras2">
    <w:name w:val="Corps du texte + Gras2"/>
    <w:uiPriority w:val="99"/>
    <w:rsid w:val="00085F16"/>
    <w:rPr>
      <w:rFonts w:ascii="Times New Roman" w:hAnsi="Times New Roman" w:cs="Times New Roman"/>
      <w:b/>
      <w:bCs/>
      <w:sz w:val="23"/>
      <w:szCs w:val="23"/>
      <w:u w:val="none"/>
      <w:lang w:val="sl-SI" w:eastAsia="sl-SI"/>
    </w:rPr>
  </w:style>
  <w:style w:type="character" w:customStyle="1" w:styleId="Corpsdutexte25">
    <w:name w:val="Corps du texte2"/>
    <w:uiPriority w:val="99"/>
    <w:rsid w:val="00085F16"/>
    <w:rPr>
      <w:sz w:val="23"/>
      <w:szCs w:val="23"/>
      <w:u w:val="none"/>
    </w:rPr>
  </w:style>
  <w:style w:type="character" w:customStyle="1" w:styleId="CorpsdutexteItalique2">
    <w:name w:val="Corps du texte + Italique2"/>
    <w:uiPriority w:val="99"/>
    <w:rsid w:val="00085F16"/>
    <w:rPr>
      <w:i/>
      <w:iCs/>
      <w:sz w:val="23"/>
      <w:szCs w:val="23"/>
      <w:u w:val="none"/>
    </w:rPr>
  </w:style>
  <w:style w:type="character" w:customStyle="1" w:styleId="CorpsdutexteItalique1">
    <w:name w:val="Corps du texte + Italique1"/>
    <w:uiPriority w:val="99"/>
    <w:rsid w:val="00085F16"/>
    <w:rPr>
      <w:i/>
      <w:iCs/>
      <w:sz w:val="23"/>
      <w:szCs w:val="23"/>
      <w:u w:val="none"/>
    </w:rPr>
  </w:style>
  <w:style w:type="character" w:customStyle="1" w:styleId="Corpsdutexte11Exact">
    <w:name w:val="Corps du texte (11) Exact"/>
    <w:link w:val="Corpsdutexte11"/>
    <w:uiPriority w:val="99"/>
    <w:rsid w:val="00085F16"/>
    <w:rPr>
      <w:rFonts w:ascii="Times New Roman" w:hAnsi="Times New Roman" w:cs="Times New Roman"/>
      <w:sz w:val="20"/>
      <w:szCs w:val="20"/>
      <w:shd w:val="clear" w:color="auto" w:fill="FFFFFF"/>
      <w:lang w:val="bg-BG" w:eastAsia="bg-BG"/>
    </w:rPr>
  </w:style>
  <w:style w:type="paragraph" w:customStyle="1" w:styleId="Corpsdutexte11">
    <w:name w:val="Corps du texte (11)"/>
    <w:basedOn w:val="Normal"/>
    <w:link w:val="Corpsdutexte11Exact"/>
    <w:uiPriority w:val="99"/>
    <w:rsid w:val="00085F16"/>
    <w:pPr>
      <w:shd w:val="clear" w:color="auto" w:fill="FFFFFF"/>
      <w:spacing w:after="0" w:line="240" w:lineRule="atLeast"/>
    </w:pPr>
    <w:rPr>
      <w:rFonts w:ascii="Times New Roman" w:hAnsi="Times New Roman" w:cs="Times New Roman"/>
      <w:sz w:val="20"/>
      <w:szCs w:val="20"/>
      <w:lang w:val="bg-BG" w:eastAsia="bg-BG"/>
    </w:rPr>
  </w:style>
  <w:style w:type="character" w:customStyle="1" w:styleId="CorpsdutexteGras1">
    <w:name w:val="Corps du texte + Gras1"/>
    <w:uiPriority w:val="99"/>
    <w:rsid w:val="00085F16"/>
    <w:rPr>
      <w:rFonts w:ascii="Times New Roman" w:hAnsi="Times New Roman" w:cs="Times New Roman"/>
      <w:b/>
      <w:bCs/>
      <w:sz w:val="23"/>
      <w:szCs w:val="23"/>
      <w:u w:val="none"/>
      <w:lang w:val="sl-SI" w:eastAsia="sl-SI"/>
    </w:rPr>
  </w:style>
  <w:style w:type="character" w:customStyle="1" w:styleId="Corpsdutexte14">
    <w:name w:val="Corps du texte (14)_"/>
    <w:link w:val="Corpsdutexte140"/>
    <w:uiPriority w:val="99"/>
    <w:rsid w:val="00085F16"/>
    <w:rPr>
      <w:rFonts w:ascii="Arial" w:hAnsi="Arial" w:cs="Arial"/>
      <w:b/>
      <w:bCs/>
      <w:i/>
      <w:iCs/>
      <w:sz w:val="17"/>
      <w:szCs w:val="17"/>
      <w:shd w:val="clear" w:color="auto" w:fill="FFFFFF"/>
    </w:rPr>
  </w:style>
  <w:style w:type="paragraph" w:customStyle="1" w:styleId="Corpsdutexte140">
    <w:name w:val="Corps du texte (14)"/>
    <w:basedOn w:val="Normal"/>
    <w:link w:val="Corpsdutexte14"/>
    <w:uiPriority w:val="99"/>
    <w:rsid w:val="00085F16"/>
    <w:pPr>
      <w:shd w:val="clear" w:color="auto" w:fill="FFFFFF"/>
      <w:spacing w:after="0" w:line="240" w:lineRule="atLeast"/>
      <w:jc w:val="center"/>
    </w:pPr>
    <w:rPr>
      <w:rFonts w:ascii="Arial" w:hAnsi="Arial" w:cs="Arial"/>
      <w:b/>
      <w:bCs/>
      <w:i/>
      <w:iCs/>
      <w:sz w:val="17"/>
      <w:szCs w:val="17"/>
      <w:lang w:val="en-US"/>
    </w:rPr>
  </w:style>
  <w:style w:type="character" w:customStyle="1" w:styleId="En-tte12">
    <w:name w:val="En-tête #12"/>
    <w:uiPriority w:val="99"/>
    <w:rsid w:val="00085F16"/>
    <w:rPr>
      <w:rFonts w:ascii="Times New Roman" w:hAnsi="Times New Roman" w:cs="Times New Roman"/>
      <w:b/>
      <w:bCs/>
      <w:noProof/>
      <w:sz w:val="23"/>
      <w:szCs w:val="23"/>
      <w:u w:val="single"/>
    </w:rPr>
  </w:style>
  <w:style w:type="paragraph" w:customStyle="1" w:styleId="Logo">
    <w:name w:val="Logo"/>
    <w:basedOn w:val="Normal"/>
    <w:rsid w:val="00085F16"/>
    <w:pPr>
      <w:spacing w:after="0" w:line="240" w:lineRule="auto"/>
    </w:pPr>
    <w:rPr>
      <w:rFonts w:ascii="Arial" w:eastAsia="Times New Roman" w:hAnsi="Arial" w:cs="Times New Roman"/>
      <w:sz w:val="26"/>
      <w:szCs w:val="20"/>
      <w:lang w:val="en-GB" w:eastAsia="en-GB"/>
    </w:rPr>
  </w:style>
  <w:style w:type="paragraph" w:customStyle="1" w:styleId="ZDG">
    <w:name w:val="Z_DG"/>
    <w:basedOn w:val="Logo"/>
    <w:rsid w:val="00085F16"/>
    <w:rPr>
      <w:sz w:val="16"/>
      <w:lang w:val="fr-FR"/>
    </w:rPr>
  </w:style>
  <w:style w:type="paragraph" w:customStyle="1" w:styleId="ZD">
    <w:name w:val="Z_D"/>
    <w:basedOn w:val="Logo"/>
    <w:rsid w:val="00085F16"/>
    <w:rPr>
      <w:sz w:val="16"/>
      <w:lang w:val="fr-FR"/>
    </w:rPr>
  </w:style>
  <w:style w:type="paragraph" w:customStyle="1" w:styleId="ListBullet1">
    <w:name w:val="List Bullet 1"/>
    <w:basedOn w:val="Normal"/>
    <w:rsid w:val="00085F16"/>
    <w:pPr>
      <w:numPr>
        <w:numId w:val="79"/>
      </w:numPr>
      <w:spacing w:after="240" w:line="240" w:lineRule="auto"/>
      <w:jc w:val="both"/>
    </w:pPr>
    <w:rPr>
      <w:rFonts w:ascii="Times New Roman" w:eastAsia="Times New Roman" w:hAnsi="Times New Roman" w:cs="Times New Roman"/>
      <w:sz w:val="24"/>
      <w:szCs w:val="20"/>
      <w:lang w:val="en-GB"/>
    </w:rPr>
  </w:style>
  <w:style w:type="paragraph" w:styleId="TOC4">
    <w:name w:val="toc 4"/>
    <w:basedOn w:val="Normal"/>
    <w:next w:val="Normal"/>
    <w:autoRedefine/>
    <w:uiPriority w:val="39"/>
    <w:rsid w:val="00085F16"/>
    <w:pPr>
      <w:spacing w:after="0" w:line="240" w:lineRule="auto"/>
      <w:ind w:left="720"/>
    </w:pPr>
    <w:rPr>
      <w:rFonts w:eastAsia="Times New Roman" w:cs="Times New Roman"/>
      <w:color w:val="000000"/>
      <w:sz w:val="18"/>
      <w:szCs w:val="18"/>
      <w:lang w:val="en-GB"/>
    </w:rPr>
  </w:style>
  <w:style w:type="table" w:styleId="TableElegant">
    <w:name w:val="Table Elegant"/>
    <w:basedOn w:val="TableNormal"/>
    <w:rsid w:val="00085F16"/>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ormal8pt">
    <w:name w:val="Normal + 8 pt"/>
    <w:aliases w:val="Before:  12 pt"/>
    <w:basedOn w:val="Normal"/>
    <w:rsid w:val="00085F16"/>
    <w:pPr>
      <w:spacing w:before="240" w:after="180" w:line="240" w:lineRule="auto"/>
    </w:pPr>
    <w:rPr>
      <w:rFonts w:ascii="Times New Roman" w:eastAsia="Times New Roman" w:hAnsi="Times New Roman" w:cs="Times New Roman"/>
      <w:sz w:val="16"/>
      <w:szCs w:val="16"/>
      <w:lang w:val="en-GB" w:eastAsia="en-GB"/>
    </w:rPr>
  </w:style>
  <w:style w:type="paragraph" w:styleId="DocumentMap">
    <w:name w:val="Document Map"/>
    <w:basedOn w:val="Normal"/>
    <w:link w:val="DocumentMapChar"/>
    <w:semiHidden/>
    <w:rsid w:val="00085F16"/>
    <w:pPr>
      <w:shd w:val="clear" w:color="auto" w:fill="000080"/>
      <w:spacing w:after="0" w:line="240" w:lineRule="auto"/>
    </w:pPr>
    <w:rPr>
      <w:rFonts w:ascii="Tahoma" w:eastAsia="Times New Roman" w:hAnsi="Tahoma" w:cs="Times New Roman"/>
      <w:sz w:val="20"/>
      <w:szCs w:val="20"/>
      <w:lang w:val="fr-FR"/>
    </w:rPr>
  </w:style>
  <w:style w:type="character" w:customStyle="1" w:styleId="DocumentMapChar">
    <w:name w:val="Document Map Char"/>
    <w:basedOn w:val="DefaultParagraphFont"/>
    <w:link w:val="DocumentMap"/>
    <w:semiHidden/>
    <w:rsid w:val="00085F16"/>
    <w:rPr>
      <w:rFonts w:ascii="Tahoma" w:eastAsia="Times New Roman" w:hAnsi="Tahoma" w:cs="Times New Roman"/>
      <w:sz w:val="20"/>
      <w:szCs w:val="20"/>
      <w:shd w:val="clear" w:color="auto" w:fill="000080"/>
      <w:lang w:val="fr-FR"/>
    </w:rPr>
  </w:style>
  <w:style w:type="character" w:styleId="FollowedHyperlink">
    <w:name w:val="FollowedHyperlink"/>
    <w:rsid w:val="00085F16"/>
    <w:rPr>
      <w:color w:val="800080"/>
      <w:u w:val="single"/>
    </w:rPr>
  </w:style>
  <w:style w:type="paragraph" w:customStyle="1" w:styleId="ZCom">
    <w:name w:val="Z_Com"/>
    <w:basedOn w:val="Normal"/>
    <w:next w:val="ZDGName"/>
    <w:uiPriority w:val="99"/>
    <w:rsid w:val="00085F16"/>
    <w:pPr>
      <w:autoSpaceDE w:val="0"/>
      <w:autoSpaceDN w:val="0"/>
      <w:spacing w:after="0" w:line="240" w:lineRule="auto"/>
      <w:ind w:right="85"/>
      <w:jc w:val="both"/>
    </w:pPr>
    <w:rPr>
      <w:rFonts w:ascii="Arial" w:eastAsia="Times New Roman" w:hAnsi="Arial" w:cs="Arial"/>
      <w:sz w:val="24"/>
      <w:szCs w:val="24"/>
      <w:lang w:val="en-GB" w:eastAsia="en-GB"/>
    </w:rPr>
  </w:style>
  <w:style w:type="paragraph" w:customStyle="1" w:styleId="ZDGName">
    <w:name w:val="Z_DGName"/>
    <w:basedOn w:val="Normal"/>
    <w:uiPriority w:val="99"/>
    <w:rsid w:val="00085F16"/>
    <w:pPr>
      <w:autoSpaceDE w:val="0"/>
      <w:autoSpaceDN w:val="0"/>
      <w:spacing w:after="0" w:line="240" w:lineRule="auto"/>
      <w:ind w:right="85"/>
    </w:pPr>
    <w:rPr>
      <w:rFonts w:ascii="Arial" w:eastAsia="Times New Roman" w:hAnsi="Arial" w:cs="Arial"/>
      <w:sz w:val="16"/>
      <w:szCs w:val="16"/>
      <w:lang w:val="en-GB" w:eastAsia="en-GB"/>
    </w:rPr>
  </w:style>
  <w:style w:type="paragraph" w:customStyle="1" w:styleId="Heading4a">
    <w:name w:val="Heading 4a"/>
    <w:basedOn w:val="Heading3"/>
    <w:rsid w:val="00085F16"/>
    <w:pPr>
      <w:keepLines w:val="0"/>
      <w:tabs>
        <w:tab w:val="left" w:pos="510"/>
      </w:tabs>
      <w:spacing w:before="300" w:after="60" w:line="240" w:lineRule="auto"/>
      <w:jc w:val="both"/>
    </w:pPr>
    <w:rPr>
      <w:rFonts w:ascii="Times New Roman Bold" w:eastAsia="Times New Roman" w:hAnsi="Times New Roman Bold" w:cs="Times New Roman"/>
      <w:b/>
      <w:color w:val="auto"/>
      <w:szCs w:val="23"/>
      <w:lang w:val="en-GB"/>
    </w:rPr>
  </w:style>
  <w:style w:type="paragraph" w:styleId="EndnoteText">
    <w:name w:val="endnote text"/>
    <w:basedOn w:val="Normal"/>
    <w:link w:val="EndnoteTextChar"/>
    <w:uiPriority w:val="99"/>
    <w:semiHidden/>
    <w:unhideWhenUsed/>
    <w:rsid w:val="00085F16"/>
    <w:pPr>
      <w:spacing w:after="0" w:line="240" w:lineRule="auto"/>
    </w:pPr>
    <w:rPr>
      <w:rFonts w:ascii="Times New Roman" w:eastAsia="Times New Roman" w:hAnsi="Times New Roman" w:cs="Times New Roman"/>
      <w:color w:val="000000"/>
      <w:sz w:val="20"/>
      <w:szCs w:val="20"/>
      <w:lang w:val="en-GB"/>
    </w:rPr>
  </w:style>
  <w:style w:type="character" w:customStyle="1" w:styleId="EndnoteTextChar">
    <w:name w:val="Endnote Text Char"/>
    <w:basedOn w:val="DefaultParagraphFont"/>
    <w:link w:val="EndnoteText"/>
    <w:uiPriority w:val="99"/>
    <w:semiHidden/>
    <w:rsid w:val="00085F16"/>
    <w:rPr>
      <w:rFonts w:ascii="Times New Roman" w:eastAsia="Times New Roman" w:hAnsi="Times New Roman" w:cs="Times New Roman"/>
      <w:color w:val="000000"/>
      <w:sz w:val="20"/>
      <w:szCs w:val="20"/>
      <w:lang w:val="en-GB"/>
    </w:rPr>
  </w:style>
  <w:style w:type="character" w:styleId="EndnoteReference">
    <w:name w:val="endnote reference"/>
    <w:uiPriority w:val="99"/>
    <w:semiHidden/>
    <w:unhideWhenUsed/>
    <w:rsid w:val="00085F16"/>
    <w:rPr>
      <w:vertAlign w:val="superscript"/>
    </w:rPr>
  </w:style>
  <w:style w:type="character" w:customStyle="1" w:styleId="hps">
    <w:name w:val="hps"/>
    <w:rsid w:val="00085F16"/>
  </w:style>
  <w:style w:type="character" w:customStyle="1" w:styleId="apple-converted-space">
    <w:name w:val="apple-converted-space"/>
    <w:rsid w:val="00085F16"/>
  </w:style>
  <w:style w:type="character" w:customStyle="1" w:styleId="NoSpacingChar">
    <w:name w:val="No Spacing Char"/>
    <w:link w:val="NoSpacing"/>
    <w:uiPriority w:val="1"/>
    <w:rsid w:val="00085F16"/>
    <w:rPr>
      <w:rFonts w:ascii="Calibri" w:eastAsia="Calibri" w:hAnsi="Calibri" w:cs="Times New Roman"/>
    </w:rPr>
  </w:style>
  <w:style w:type="paragraph" w:styleId="TableofFigures">
    <w:name w:val="table of figures"/>
    <w:basedOn w:val="Normal"/>
    <w:next w:val="Normal"/>
    <w:uiPriority w:val="99"/>
    <w:unhideWhenUsed/>
    <w:rsid w:val="00085F16"/>
    <w:pPr>
      <w:spacing w:after="0" w:line="240" w:lineRule="auto"/>
      <w:ind w:left="480" w:hanging="480"/>
    </w:pPr>
    <w:rPr>
      <w:rFonts w:eastAsia="Times New Roman" w:cs="Times New Roman"/>
      <w:b/>
      <w:bCs/>
      <w:color w:val="000000"/>
      <w:sz w:val="20"/>
      <w:szCs w:val="20"/>
      <w:lang w:val="en-GB"/>
    </w:rPr>
  </w:style>
  <w:style w:type="paragraph" w:styleId="Title">
    <w:name w:val="Title"/>
    <w:basedOn w:val="Normal"/>
    <w:next w:val="Normal"/>
    <w:link w:val="TitleChar"/>
    <w:uiPriority w:val="10"/>
    <w:qFormat/>
    <w:rsid w:val="00085F16"/>
    <w:pPr>
      <w:pBdr>
        <w:bottom w:val="single" w:sz="8" w:space="4" w:color="5B9BD5"/>
      </w:pBdr>
      <w:spacing w:after="300" w:line="240" w:lineRule="auto"/>
      <w:contextualSpacing/>
    </w:pPr>
    <w:rPr>
      <w:rFonts w:ascii="Calibri Light" w:eastAsia="Times New Roman" w:hAnsi="Calibri Light" w:cs="Times New Roman"/>
      <w:color w:val="323E4F"/>
      <w:spacing w:val="5"/>
      <w:sz w:val="52"/>
      <w:szCs w:val="52"/>
      <w:lang w:val="en-GB"/>
    </w:rPr>
  </w:style>
  <w:style w:type="character" w:customStyle="1" w:styleId="TitleChar">
    <w:name w:val="Title Char"/>
    <w:basedOn w:val="DefaultParagraphFont"/>
    <w:link w:val="Title"/>
    <w:uiPriority w:val="10"/>
    <w:rsid w:val="00085F16"/>
    <w:rPr>
      <w:rFonts w:ascii="Calibri Light" w:eastAsia="Times New Roman" w:hAnsi="Calibri Light" w:cs="Times New Roman"/>
      <w:color w:val="323E4F"/>
      <w:spacing w:val="5"/>
      <w:sz w:val="52"/>
      <w:szCs w:val="52"/>
      <w:lang w:val="en-GB"/>
    </w:rPr>
  </w:style>
  <w:style w:type="paragraph" w:customStyle="1" w:styleId="BodyA">
    <w:name w:val="Body A"/>
    <w:rsid w:val="00085F16"/>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rPr>
  </w:style>
  <w:style w:type="table" w:customStyle="1" w:styleId="GridTable1Light-Accent31">
    <w:name w:val="Grid Table 1 Light - Accent 31"/>
    <w:basedOn w:val="TableNormal"/>
    <w:uiPriority w:val="46"/>
    <w:rsid w:val="00085F16"/>
    <w:pPr>
      <w:spacing w:after="0" w:line="240" w:lineRule="auto"/>
    </w:pPr>
    <w:rPr>
      <w:rFonts w:ascii="Calibri" w:eastAsia="Calibri" w:hAnsi="Calibri" w:cs="Times New Roman"/>
      <w:lang w:val="en-GB"/>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numbering" w:customStyle="1" w:styleId="NoList1">
    <w:name w:val="No List1"/>
    <w:next w:val="NoList"/>
    <w:uiPriority w:val="99"/>
    <w:semiHidden/>
    <w:unhideWhenUsed/>
    <w:rsid w:val="00085F16"/>
  </w:style>
  <w:style w:type="paragraph" w:customStyle="1" w:styleId="MediumGrid21">
    <w:name w:val="Medium Grid 21"/>
    <w:link w:val="MediumGrid2Char"/>
    <w:uiPriority w:val="1"/>
    <w:qFormat/>
    <w:rsid w:val="00085F16"/>
    <w:pPr>
      <w:spacing w:after="0" w:line="240" w:lineRule="auto"/>
    </w:pPr>
    <w:rPr>
      <w:rFonts w:ascii="Calibri" w:eastAsia="Times New Roman" w:hAnsi="Calibri" w:cs="Times New Roman"/>
      <w:lang w:eastAsia="ja-JP"/>
    </w:rPr>
  </w:style>
  <w:style w:type="character" w:customStyle="1" w:styleId="MediumGrid2Char">
    <w:name w:val="Medium Grid 2 Char"/>
    <w:link w:val="MediumGrid21"/>
    <w:uiPriority w:val="1"/>
    <w:rsid w:val="00085F16"/>
    <w:rPr>
      <w:rFonts w:ascii="Calibri" w:eastAsia="Times New Roman" w:hAnsi="Calibri" w:cs="Times New Roman"/>
      <w:lang w:eastAsia="ja-JP"/>
    </w:rPr>
  </w:style>
  <w:style w:type="character" w:customStyle="1" w:styleId="DefaultChar">
    <w:name w:val="Default Char"/>
    <w:link w:val="Default"/>
    <w:locked/>
    <w:rsid w:val="00085F16"/>
    <w:rPr>
      <w:rFonts w:ascii="Times New Roman" w:hAnsi="Times New Roman" w:cs="Times New Roman"/>
      <w:color w:val="000000"/>
      <w:sz w:val="24"/>
      <w:szCs w:val="24"/>
    </w:rPr>
  </w:style>
  <w:style w:type="paragraph" w:customStyle="1" w:styleId="GridTable31">
    <w:name w:val="Grid Table 31"/>
    <w:basedOn w:val="Heading1"/>
    <w:next w:val="Normal"/>
    <w:uiPriority w:val="39"/>
    <w:unhideWhenUsed/>
    <w:qFormat/>
    <w:rsid w:val="00085F16"/>
    <w:pPr>
      <w:spacing w:before="480" w:line="276" w:lineRule="auto"/>
      <w:outlineLvl w:val="9"/>
    </w:pPr>
    <w:rPr>
      <w:rFonts w:ascii="Cambria" w:eastAsia="MS Gothic" w:hAnsi="Cambria" w:cs="Times New Roman"/>
      <w:b/>
      <w:bCs/>
      <w:color w:val="365F91"/>
      <w:sz w:val="28"/>
      <w:szCs w:val="28"/>
      <w:lang w:val="en-GB" w:eastAsia="ja-JP"/>
    </w:rPr>
  </w:style>
  <w:style w:type="character" w:styleId="PageNumber">
    <w:name w:val="page number"/>
    <w:uiPriority w:val="99"/>
    <w:semiHidden/>
    <w:unhideWhenUsed/>
    <w:rsid w:val="00085F16"/>
  </w:style>
  <w:style w:type="table" w:customStyle="1" w:styleId="TableGrid2">
    <w:name w:val="Table Grid2"/>
    <w:basedOn w:val="TableNormal"/>
    <w:next w:val="TableGrid"/>
    <w:uiPriority w:val="59"/>
    <w:rsid w:val="00085F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085F16"/>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numbering" w:customStyle="1" w:styleId="NoList2">
    <w:name w:val="No List2"/>
    <w:next w:val="NoList"/>
    <w:uiPriority w:val="99"/>
    <w:semiHidden/>
    <w:unhideWhenUsed/>
    <w:rsid w:val="00085F16"/>
  </w:style>
  <w:style w:type="numbering" w:customStyle="1" w:styleId="NoList11">
    <w:name w:val="No List11"/>
    <w:next w:val="NoList"/>
    <w:uiPriority w:val="99"/>
    <w:semiHidden/>
    <w:unhideWhenUsed/>
    <w:rsid w:val="00085F16"/>
  </w:style>
  <w:style w:type="table" w:customStyle="1" w:styleId="TableGrid3">
    <w:name w:val="Table Grid3"/>
    <w:basedOn w:val="TableNormal"/>
    <w:next w:val="TableGrid"/>
    <w:uiPriority w:val="59"/>
    <w:rsid w:val="00085F16"/>
    <w:pPr>
      <w:spacing w:after="0" w:line="240" w:lineRule="auto"/>
    </w:pPr>
    <w:rPr>
      <w:rFonts w:ascii="Calibri" w:eastAsia="Calibri" w:hAnsi="Calibri" w:cs="Microsoft Uighu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085F16"/>
    <w:pPr>
      <w:spacing w:after="0" w:line="240" w:lineRule="auto"/>
    </w:pPr>
    <w:rPr>
      <w:rFonts w:ascii="Calibri" w:eastAsia="Calibri" w:hAnsi="Calibri" w:cs="Microsoft Uighu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085F16"/>
    <w:pPr>
      <w:spacing w:after="0" w:line="240" w:lineRule="auto"/>
    </w:pPr>
    <w:rPr>
      <w:rFonts w:ascii="Calibri" w:eastAsia="Calibri" w:hAnsi="Calibri" w:cs="Microsoft Uighu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11">
    <w:name w:val="Medium Shading 1 - Accent 11"/>
    <w:basedOn w:val="TableNormal"/>
    <w:next w:val="MediumShading1-Accent1"/>
    <w:uiPriority w:val="63"/>
    <w:rsid w:val="00085F16"/>
    <w:pPr>
      <w:spacing w:after="0" w:line="240" w:lineRule="auto"/>
    </w:pPr>
    <w:rPr>
      <w:rFonts w:ascii="Calibri" w:eastAsia="Calibri" w:hAnsi="Calibri" w:cs="Microsoft Uighu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TOC5">
    <w:name w:val="toc 5"/>
    <w:basedOn w:val="Normal"/>
    <w:next w:val="Normal"/>
    <w:autoRedefine/>
    <w:uiPriority w:val="39"/>
    <w:unhideWhenUsed/>
    <w:rsid w:val="00085F16"/>
    <w:pPr>
      <w:spacing w:after="0" w:line="240" w:lineRule="auto"/>
      <w:ind w:left="960"/>
    </w:pPr>
    <w:rPr>
      <w:rFonts w:eastAsia="Times New Roman" w:cs="Times New Roman"/>
      <w:color w:val="000000"/>
      <w:sz w:val="18"/>
      <w:szCs w:val="18"/>
      <w:lang w:val="en-GB"/>
    </w:rPr>
  </w:style>
  <w:style w:type="paragraph" w:styleId="TOC6">
    <w:name w:val="toc 6"/>
    <w:basedOn w:val="Normal"/>
    <w:next w:val="Normal"/>
    <w:autoRedefine/>
    <w:uiPriority w:val="39"/>
    <w:unhideWhenUsed/>
    <w:rsid w:val="00085F16"/>
    <w:pPr>
      <w:spacing w:after="0" w:line="240" w:lineRule="auto"/>
      <w:ind w:left="1200"/>
    </w:pPr>
    <w:rPr>
      <w:rFonts w:eastAsia="Times New Roman" w:cs="Times New Roman"/>
      <w:color w:val="000000"/>
      <w:sz w:val="18"/>
      <w:szCs w:val="18"/>
      <w:lang w:val="en-GB"/>
    </w:rPr>
  </w:style>
  <w:style w:type="paragraph" w:styleId="TOC7">
    <w:name w:val="toc 7"/>
    <w:basedOn w:val="Normal"/>
    <w:next w:val="Normal"/>
    <w:autoRedefine/>
    <w:uiPriority w:val="39"/>
    <w:unhideWhenUsed/>
    <w:rsid w:val="00085F16"/>
    <w:pPr>
      <w:spacing w:after="0" w:line="240" w:lineRule="auto"/>
      <w:ind w:left="1440"/>
    </w:pPr>
    <w:rPr>
      <w:rFonts w:eastAsia="Times New Roman" w:cs="Times New Roman"/>
      <w:color w:val="000000"/>
      <w:sz w:val="18"/>
      <w:szCs w:val="18"/>
      <w:lang w:val="en-GB"/>
    </w:rPr>
  </w:style>
  <w:style w:type="paragraph" w:styleId="TOC8">
    <w:name w:val="toc 8"/>
    <w:basedOn w:val="Normal"/>
    <w:next w:val="Normal"/>
    <w:autoRedefine/>
    <w:uiPriority w:val="39"/>
    <w:unhideWhenUsed/>
    <w:rsid w:val="00085F16"/>
    <w:pPr>
      <w:spacing w:after="0" w:line="240" w:lineRule="auto"/>
      <w:ind w:left="1680"/>
    </w:pPr>
    <w:rPr>
      <w:rFonts w:eastAsia="Times New Roman" w:cs="Times New Roman"/>
      <w:color w:val="000000"/>
      <w:sz w:val="18"/>
      <w:szCs w:val="18"/>
      <w:lang w:val="en-GB"/>
    </w:rPr>
  </w:style>
  <w:style w:type="paragraph" w:styleId="TOC9">
    <w:name w:val="toc 9"/>
    <w:basedOn w:val="Normal"/>
    <w:next w:val="Normal"/>
    <w:autoRedefine/>
    <w:uiPriority w:val="39"/>
    <w:unhideWhenUsed/>
    <w:rsid w:val="00085F16"/>
    <w:pPr>
      <w:spacing w:after="0" w:line="240" w:lineRule="auto"/>
      <w:ind w:left="1920"/>
    </w:pPr>
    <w:rPr>
      <w:rFonts w:eastAsia="Times New Roman" w:cs="Times New Roman"/>
      <w:color w:val="000000"/>
      <w:sz w:val="18"/>
      <w:szCs w:val="18"/>
      <w:lang w:val="en-GB"/>
    </w:rPr>
  </w:style>
  <w:style w:type="character" w:styleId="LineNumber">
    <w:name w:val="line number"/>
    <w:basedOn w:val="DefaultParagraphFont"/>
    <w:uiPriority w:val="99"/>
    <w:semiHidden/>
    <w:unhideWhenUsed/>
    <w:rsid w:val="00085F16"/>
  </w:style>
  <w:style w:type="numbering" w:customStyle="1" w:styleId="NoList3">
    <w:name w:val="No List3"/>
    <w:next w:val="NoList"/>
    <w:uiPriority w:val="99"/>
    <w:semiHidden/>
    <w:unhideWhenUsed/>
    <w:rsid w:val="00085F16"/>
  </w:style>
  <w:style w:type="paragraph" w:customStyle="1" w:styleId="ERPL1">
    <w:name w:val="ERPL1"/>
    <w:basedOn w:val="Heading1"/>
    <w:link w:val="ERPL1Char"/>
    <w:qFormat/>
    <w:rsid w:val="00085F16"/>
    <w:pPr>
      <w:keepLines w:val="0"/>
      <w:spacing w:before="180" w:after="240" w:line="240" w:lineRule="auto"/>
      <w:jc w:val="both"/>
    </w:pPr>
    <w:rPr>
      <w:rFonts w:ascii="Times New Roman Bold" w:eastAsia="Times New Roman" w:hAnsi="Times New Roman Bold" w:cs="Times New Roman"/>
      <w:b/>
      <w:smallCaps/>
      <w:kern w:val="28"/>
      <w:sz w:val="28"/>
      <w:szCs w:val="24"/>
      <w:lang w:val="en-GB"/>
    </w:rPr>
  </w:style>
  <w:style w:type="paragraph" w:customStyle="1" w:styleId="ERPL2">
    <w:name w:val="ERP L2"/>
    <w:basedOn w:val="Normal"/>
    <w:link w:val="ERPL2Char"/>
    <w:rsid w:val="00085F16"/>
    <w:pPr>
      <w:spacing w:after="120" w:line="276" w:lineRule="auto"/>
    </w:pPr>
    <w:rPr>
      <w:rFonts w:ascii="Times New Roman" w:eastAsia="Times New Roman" w:hAnsi="Times New Roman" w:cs="Times New Roman"/>
      <w:b/>
      <w:color w:val="000000"/>
      <w:sz w:val="24"/>
      <w:szCs w:val="24"/>
      <w:lang w:val="en-GB"/>
    </w:rPr>
  </w:style>
  <w:style w:type="character" w:customStyle="1" w:styleId="ERPL1Char">
    <w:name w:val="ERPL1 Char"/>
    <w:basedOn w:val="Heading1Char"/>
    <w:link w:val="ERPL1"/>
    <w:rsid w:val="00085F16"/>
    <w:rPr>
      <w:rFonts w:ascii="Times New Roman Bold" w:eastAsia="Times New Roman" w:hAnsi="Times New Roman Bold" w:cs="Times New Roman"/>
      <w:b/>
      <w:smallCaps/>
      <w:color w:val="2E74B5" w:themeColor="accent1" w:themeShade="BF"/>
      <w:kern w:val="28"/>
      <w:sz w:val="28"/>
      <w:szCs w:val="24"/>
      <w:lang w:val="en-GB"/>
    </w:rPr>
  </w:style>
  <w:style w:type="paragraph" w:customStyle="1" w:styleId="ERPL20">
    <w:name w:val="ERPL2"/>
    <w:basedOn w:val="ERPL1"/>
    <w:link w:val="ERPL2Char0"/>
    <w:qFormat/>
    <w:rsid w:val="00085F16"/>
    <w:rPr>
      <w:smallCaps w:val="0"/>
      <w:sz w:val="24"/>
    </w:rPr>
  </w:style>
  <w:style w:type="character" w:customStyle="1" w:styleId="ERPL2Char">
    <w:name w:val="ERP L2 Char"/>
    <w:basedOn w:val="DefaultParagraphFont"/>
    <w:link w:val="ERPL2"/>
    <w:rsid w:val="00085F16"/>
    <w:rPr>
      <w:rFonts w:ascii="Times New Roman" w:eastAsia="Times New Roman" w:hAnsi="Times New Roman" w:cs="Times New Roman"/>
      <w:b/>
      <w:color w:val="000000"/>
      <w:sz w:val="24"/>
      <w:szCs w:val="24"/>
      <w:lang w:val="en-GB"/>
    </w:rPr>
  </w:style>
  <w:style w:type="paragraph" w:customStyle="1" w:styleId="ERPL3">
    <w:name w:val="ERPL3"/>
    <w:basedOn w:val="ERPL20"/>
    <w:link w:val="ERPL3Char"/>
    <w:qFormat/>
    <w:rsid w:val="00085F16"/>
    <w:pPr>
      <w:numPr>
        <w:ilvl w:val="2"/>
      </w:numPr>
      <w:spacing w:before="100" w:after="100" w:line="276" w:lineRule="auto"/>
    </w:pPr>
    <w:rPr>
      <w:i/>
    </w:rPr>
  </w:style>
  <w:style w:type="character" w:customStyle="1" w:styleId="ERPL2Char0">
    <w:name w:val="ERPL2 Char"/>
    <w:basedOn w:val="ERPL1Char"/>
    <w:link w:val="ERPL20"/>
    <w:rsid w:val="00085F16"/>
    <w:rPr>
      <w:rFonts w:ascii="Times New Roman Bold" w:eastAsia="Times New Roman" w:hAnsi="Times New Roman Bold" w:cs="Times New Roman"/>
      <w:b/>
      <w:smallCaps w:val="0"/>
      <w:color w:val="2E74B5" w:themeColor="accent1" w:themeShade="BF"/>
      <w:kern w:val="28"/>
      <w:sz w:val="24"/>
      <w:szCs w:val="24"/>
      <w:lang w:val="en-GB"/>
    </w:rPr>
  </w:style>
  <w:style w:type="character" w:customStyle="1" w:styleId="ERPL3Char">
    <w:name w:val="ERPL3 Char"/>
    <w:basedOn w:val="ERPL2Char0"/>
    <w:link w:val="ERPL3"/>
    <w:rsid w:val="00085F16"/>
    <w:rPr>
      <w:rFonts w:ascii="Times New Roman Bold" w:eastAsia="Times New Roman" w:hAnsi="Times New Roman Bold" w:cs="Times New Roman"/>
      <w:b/>
      <w:i/>
      <w:smallCaps w:val="0"/>
      <w:color w:val="2E74B5" w:themeColor="accent1" w:themeShade="BF"/>
      <w:kern w:val="28"/>
      <w:sz w:val="24"/>
      <w:szCs w:val="24"/>
      <w:lang w:val="en-GB"/>
    </w:rPr>
  </w:style>
  <w:style w:type="character" w:styleId="Strong">
    <w:name w:val="Strong"/>
    <w:uiPriority w:val="22"/>
    <w:qFormat/>
    <w:rsid w:val="00085F16"/>
    <w:rPr>
      <w:b/>
      <w:bCs/>
    </w:rPr>
  </w:style>
  <w:style w:type="character" w:customStyle="1" w:styleId="il">
    <w:name w:val="il"/>
    <w:basedOn w:val="DefaultParagraphFont"/>
    <w:rsid w:val="00085F16"/>
  </w:style>
  <w:style w:type="table" w:styleId="GridTable1Light-Accent1">
    <w:name w:val="Grid Table 1 Light Accent 1"/>
    <w:basedOn w:val="TableNormal"/>
    <w:uiPriority w:val="46"/>
    <w:rsid w:val="00085F1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Normal1">
    <w:name w:val="Normal1"/>
    <w:rsid w:val="00085F16"/>
    <w:pPr>
      <w:spacing w:after="0" w:line="240" w:lineRule="auto"/>
    </w:pPr>
    <w:rPr>
      <w:rFonts w:ascii="Times New Roman" w:eastAsia="Times New Roman" w:hAnsi="Times New Roman" w:cs="Times New Roman"/>
      <w:sz w:val="24"/>
      <w:szCs w:val="24"/>
    </w:rPr>
  </w:style>
  <w:style w:type="paragraph" w:customStyle="1" w:styleId="Char">
    <w:name w:val="сноска Char"/>
    <w:aliases w:val="Знак сноски-FN Char,Footnote Reference Number Char,BVI fnr Знак Char,BVI fnr Car Car Знак Char,BVI fnr Car Знак Char,BVI fnr Car Car Car Car Знак Char,BVI fnr Car Car Car Car Char Char Знак Char,BVI fnr Char Знак Char,6 Ch"/>
    <w:basedOn w:val="Normal"/>
    <w:uiPriority w:val="99"/>
    <w:rsid w:val="00085F16"/>
    <w:pPr>
      <w:spacing w:line="240" w:lineRule="exact"/>
    </w:pPr>
    <w:rPr>
      <w:rFonts w:ascii="Helvetica" w:hAnsi="Helvetica"/>
      <w:b/>
      <w:color w:val="034EA2"/>
      <w:sz w:val="20"/>
      <w:vertAlign w:val="superscript"/>
      <w:lang w:val="en-US"/>
    </w:rPr>
  </w:style>
  <w:style w:type="paragraph" w:customStyle="1" w:styleId="ModelNrmlSingle">
    <w:name w:val="ModelNrmlSingle"/>
    <w:basedOn w:val="Normal"/>
    <w:link w:val="ModelNrmlSingleChar"/>
    <w:rsid w:val="00085F16"/>
    <w:pPr>
      <w:spacing w:after="240" w:line="240" w:lineRule="auto"/>
      <w:ind w:firstLine="720"/>
      <w:jc w:val="both"/>
    </w:pPr>
    <w:rPr>
      <w:rFonts w:ascii="Times New Roman" w:eastAsia="Times New Roman" w:hAnsi="Times New Roman" w:cs="Times New Roman"/>
      <w:szCs w:val="20"/>
      <w:lang w:val="en-US"/>
    </w:rPr>
  </w:style>
  <w:style w:type="character" w:customStyle="1" w:styleId="ModelNrmlSingleChar">
    <w:name w:val="ModelNrmlSingle Char"/>
    <w:basedOn w:val="DefaultParagraphFont"/>
    <w:link w:val="ModelNrmlSingle"/>
    <w:rsid w:val="00085F16"/>
    <w:rPr>
      <w:rFonts w:ascii="Times New Roman" w:eastAsia="Times New Roman" w:hAnsi="Times New Roman" w:cs="Times New Roman"/>
      <w:szCs w:val="20"/>
    </w:rPr>
  </w:style>
  <w:style w:type="table" w:customStyle="1" w:styleId="GridTable1Light-Accent11">
    <w:name w:val="Grid Table 1 Light - Accent 11"/>
    <w:basedOn w:val="TableNormal"/>
    <w:uiPriority w:val="46"/>
    <w:rsid w:val="00085F1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s61">
    <w:name w:val="s61"/>
    <w:basedOn w:val="Normal"/>
    <w:rsid w:val="00085F16"/>
    <w:pPr>
      <w:spacing w:before="100" w:beforeAutospacing="1" w:after="100" w:afterAutospacing="1" w:line="240" w:lineRule="auto"/>
    </w:pPr>
    <w:rPr>
      <w:rFonts w:ascii="Times New Roman" w:eastAsia="Calibri" w:hAnsi="Times New Roman" w:cs="Times New Roman"/>
      <w:sz w:val="24"/>
      <w:szCs w:val="24"/>
      <w:lang w:val="en-US"/>
    </w:rPr>
  </w:style>
  <w:style w:type="paragraph" w:customStyle="1" w:styleId="s62">
    <w:name w:val="s62"/>
    <w:basedOn w:val="Normal"/>
    <w:rsid w:val="00085F16"/>
    <w:pPr>
      <w:spacing w:before="100" w:beforeAutospacing="1" w:after="100" w:afterAutospacing="1" w:line="240" w:lineRule="auto"/>
    </w:pPr>
    <w:rPr>
      <w:rFonts w:ascii="Times New Roman" w:eastAsia="Calibri" w:hAnsi="Times New Roman" w:cs="Times New Roman"/>
      <w:sz w:val="24"/>
      <w:szCs w:val="24"/>
      <w:lang w:val="en-US"/>
    </w:rPr>
  </w:style>
  <w:style w:type="character" w:customStyle="1" w:styleId="bumpedfont15">
    <w:name w:val="bumpedfont15"/>
    <w:rsid w:val="00085F16"/>
  </w:style>
  <w:style w:type="character" w:customStyle="1" w:styleId="s63">
    <w:name w:val="s63"/>
    <w:rsid w:val="00085F16"/>
  </w:style>
  <w:style w:type="character" w:styleId="PlaceholderText">
    <w:name w:val="Placeholder Text"/>
    <w:basedOn w:val="DefaultParagraphFont"/>
    <w:uiPriority w:val="99"/>
    <w:semiHidden/>
    <w:rsid w:val="00085F16"/>
    <w:rPr>
      <w:color w:val="808080"/>
    </w:rPr>
  </w:style>
  <w:style w:type="character" w:styleId="Emphasis">
    <w:name w:val="Emphasis"/>
    <w:basedOn w:val="DefaultParagraphFont"/>
    <w:uiPriority w:val="20"/>
    <w:qFormat/>
    <w:rsid w:val="00085F16"/>
    <w:rPr>
      <w:i/>
      <w:iCs/>
    </w:rPr>
  </w:style>
  <w:style w:type="paragraph" w:customStyle="1" w:styleId="BVIfnrCarCarCarCarChar">
    <w:name w:val="BVI fnr Car Car Car Car Char"/>
    <w:basedOn w:val="Normal"/>
    <w:uiPriority w:val="99"/>
    <w:rsid w:val="00085F16"/>
    <w:pPr>
      <w:spacing w:line="240" w:lineRule="exact"/>
      <w:jc w:val="both"/>
    </w:pPr>
    <w:rPr>
      <w:vertAlign w:val="superscript"/>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430512">
      <w:bodyDiv w:val="1"/>
      <w:marLeft w:val="0"/>
      <w:marRight w:val="0"/>
      <w:marTop w:val="0"/>
      <w:marBottom w:val="0"/>
      <w:divBdr>
        <w:top w:val="none" w:sz="0" w:space="0" w:color="auto"/>
        <w:left w:val="none" w:sz="0" w:space="0" w:color="auto"/>
        <w:bottom w:val="none" w:sz="0" w:space="0" w:color="auto"/>
        <w:right w:val="none" w:sz="0" w:space="0" w:color="auto"/>
      </w:divBdr>
    </w:div>
    <w:div w:id="1766415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file:///C:\Users\alkete.bucaj\Desktop\last%20draft26%2011%202019%20DRAFT_ERP%202020-%202022.docx" TargetMode="External"/><Relationship Id="rId18" Type="http://schemas.openxmlformats.org/officeDocument/2006/relationships/hyperlink" Target="file:///C:\Users\alkete.bucaj\Desktop\last%20draft26%2011%202019%20DRAFT_ERP%202020-%202022.docx" TargetMode="External"/><Relationship Id="rId26" Type="http://schemas.openxmlformats.org/officeDocument/2006/relationships/chart" Target="charts/chart1.xml"/><Relationship Id="rId39"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hyperlink" Target="file:///C:\Users\alkete.bucaj\Desktop\last%20draft26%2011%202019%20DRAFT_ERP%202020-%202022.docx" TargetMode="External"/><Relationship Id="rId34" Type="http://schemas.openxmlformats.org/officeDocument/2006/relationships/chart" Target="charts/chart9.xml"/><Relationship Id="rId42"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file:///C:\Users\alkete.bucaj\Desktop\last%20draft26%2011%202019%20DRAFT_ERP%202020-%202022.docx" TargetMode="External"/><Relationship Id="rId25" Type="http://schemas.openxmlformats.org/officeDocument/2006/relationships/header" Target="header6.xml"/><Relationship Id="rId33" Type="http://schemas.openxmlformats.org/officeDocument/2006/relationships/chart" Target="charts/chart8.xml"/><Relationship Id="rId38"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hyperlink" Target="file:///C:\Users\alkete.bucaj\Desktop\last%20draft26%2011%202019%20DRAFT_ERP%202020-%202022.docx" TargetMode="External"/><Relationship Id="rId20" Type="http://schemas.openxmlformats.org/officeDocument/2006/relationships/hyperlink" Target="file:///C:\Users\alkete.bucaj\Desktop\last%20draft26%2011%202019%20DRAFT_ERP%202020-%202022.docx" TargetMode="External"/><Relationship Id="rId29" Type="http://schemas.openxmlformats.org/officeDocument/2006/relationships/chart" Target="charts/chart4.xml"/><Relationship Id="rId41"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chart" Target="charts/chart7.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alkete.bucaj\Desktop\last%20draft26%2011%202019%20DRAFT_ERP%202020-%202022.docx" TargetMode="External"/><Relationship Id="rId23" Type="http://schemas.openxmlformats.org/officeDocument/2006/relationships/header" Target="header4.xml"/><Relationship Id="rId28" Type="http://schemas.openxmlformats.org/officeDocument/2006/relationships/chart" Target="charts/chart3.xml"/><Relationship Id="rId36" Type="http://schemas.openxmlformats.org/officeDocument/2006/relationships/image" Target="media/image2.emf"/><Relationship Id="rId10" Type="http://schemas.openxmlformats.org/officeDocument/2006/relationships/header" Target="header2.xml"/><Relationship Id="rId19" Type="http://schemas.openxmlformats.org/officeDocument/2006/relationships/hyperlink" Target="file:///C:\Users\alkete.bucaj\Desktop\last%20draft26%2011%202019%20DRAFT_ERP%202020-%202022.docx" TargetMode="External"/><Relationship Id="rId31" Type="http://schemas.openxmlformats.org/officeDocument/2006/relationships/chart" Target="charts/chart6.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C:\Users\alkete.bucaj\Desktop\last%20draft26%2011%202019%20DRAFT_ERP%202020-%202022.docx" TargetMode="External"/><Relationship Id="rId22" Type="http://schemas.openxmlformats.org/officeDocument/2006/relationships/hyperlink" Target="file:///C:\Users\alkete.bucaj\Desktop\last%20draft26%2011%202019%20DRAFT_ERP%202020-%202022.docx" TargetMode="Externa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doingbusiness.org/en/reforms/top-20-reformers-in-db2020"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MFFILESRV\Share-DPEFP$\Divizioni%20i%20Makroekonomise\21.%20ERP\2020%20ERP\Alketa\34b%20International%20Investments%20Position.xls"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1" Type="http://schemas.openxmlformats.org/officeDocument/2006/relationships/oleObject" Target="file:///\\MFFILESRV\Share-DPEFP$\Divizioni%20i%20Makroekonomise\21.%20ERP\2020%20ERP\Esida\Skenaret_Alternativ_grafiku.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MFFILESRV\Share-DPEFP$\Divizioni%20i%20Makroekonomise\21.%20ERP\2020%20ERP\Ganja\Drafti%20i%20dyte%20i%20ERP%202020,%20java%20e%20dyte%20e%20Nentorit%202019\shpenzimet,%20te%20hyrat%20graf.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lkete.bucaj\AppData\Local\Microsoft\Windows\INetCache\Content.Outlook\Z3KB1MGI\Tabela_1_dhe_tabelat_percjellese_Buxhet_2020_tetor_30_para_finale.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1" Type="http://schemas.openxmlformats.org/officeDocument/2006/relationships/oleObject" Target="file:///C:\Users\esida.bujupi\Desktop\ERP_2020_2022\Drafti%20i%20Dyte\Structural%20Balance\Bilanci%20Strukturor.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Users\valmirarexhebeqaj\Desktop\2019\ERP%20-%20SPO%20EU%20SUPPORT\Inputet\Inputet%20finale%20per%20kostim\Workshop%20%20Measures_Cost\Aggregated%20costs_26_11_2019%20.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MFFILESRV\Share-DPEFP$\Divizioni%20i%20Makroekonomise\21.%20ERP\2020%20ERP\Blerta\Grafike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MFFILESRV\Share-DPEFP$\Divizioni%20i%20Makroekonomise\21.%20ERP\2020%20ERP\Blerta\Grafike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MFFILESRV\Share-DPEFP$\Divizioni%20i%20Makroekonomise\00.%20MEF%20Departments\2.%20Buxheti\2020%20Buxheti\2020_BUXHETI%20Final\2020_Buxheti%20Shqip\ALL_GRAPHS_BUXHET%202020_final.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valon.beqaj\AppData\Local\Microsoft\Windows\INetCache\Content.Outlook\X0V6QAIL\HHI%20and%20exp%20imp%20tabl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MFFILESRV\Share-DPEFP$\Divizioni%20i%20Makroekonomise\21.%20ERP\2020%20ERP\Alketa\Copy%20of%20Trade%20Openness%20Index.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MFFILESRV\Share-DPEFP$\Divizioni%20i%20Makroekonomise\21.%20ERP\2020%20ERP\Alketa\BOP-new%20graph.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145300845208264E-2"/>
          <c:y val="9.5046280784050932E-2"/>
          <c:w val="0.86909490436317027"/>
          <c:h val="0.57204062933328104"/>
        </c:manualLayout>
      </c:layout>
      <c:barChart>
        <c:barDir val="col"/>
        <c:grouping val="clustered"/>
        <c:varyColors val="0"/>
        <c:ser>
          <c:idx val="0"/>
          <c:order val="0"/>
          <c:tx>
            <c:strRef>
              <c:f>'figure 1'!$B$2</c:f>
              <c:strCache>
                <c:ptCount val="1"/>
                <c:pt idx="0">
                  <c:v>Ekonomia Globale</c:v>
                </c:pt>
              </c:strCache>
            </c:strRef>
          </c:tx>
          <c:spPr>
            <a:solidFill>
              <a:schemeClr val="accent1"/>
            </a:solidFill>
            <a:ln>
              <a:noFill/>
            </a:ln>
            <a:effectLst/>
          </c:spPr>
          <c:invertIfNegative val="0"/>
          <c:cat>
            <c:numRef>
              <c:f>'figure 1'!$C$8:$G$8</c:f>
              <c:numCache>
                <c:formatCode>General</c:formatCode>
                <c:ptCount val="5"/>
                <c:pt idx="0">
                  <c:v>2018</c:v>
                </c:pt>
                <c:pt idx="1">
                  <c:v>2019</c:v>
                </c:pt>
                <c:pt idx="2">
                  <c:v>2020</c:v>
                </c:pt>
                <c:pt idx="3">
                  <c:v>2021</c:v>
                </c:pt>
                <c:pt idx="4">
                  <c:v>2022</c:v>
                </c:pt>
              </c:numCache>
            </c:numRef>
          </c:cat>
          <c:val>
            <c:numRef>
              <c:f>'figure 1'!$C$9:$G$9</c:f>
              <c:numCache>
                <c:formatCode>0%</c:formatCode>
                <c:ptCount val="5"/>
                <c:pt idx="0">
                  <c:v>3.6049999999999999E-2</c:v>
                </c:pt>
                <c:pt idx="1">
                  <c:v>3.0130000000000001E-2</c:v>
                </c:pt>
                <c:pt idx="2">
                  <c:v>3.4099999999999998E-2</c:v>
                </c:pt>
                <c:pt idx="3">
                  <c:v>3.5549999999999998E-2</c:v>
                </c:pt>
                <c:pt idx="4">
                  <c:v>3.5569999999999997E-2</c:v>
                </c:pt>
              </c:numCache>
            </c:numRef>
          </c:val>
          <c:extLst xmlns:c16r2="http://schemas.microsoft.com/office/drawing/2015/06/chart">
            <c:ext xmlns:c16="http://schemas.microsoft.com/office/drawing/2014/chart" uri="{C3380CC4-5D6E-409C-BE32-E72D297353CC}">
              <c16:uniqueId val="{00000000-7DCC-4656-9003-F89B04DA1E58}"/>
            </c:ext>
          </c:extLst>
        </c:ser>
        <c:ser>
          <c:idx val="1"/>
          <c:order val="1"/>
          <c:tx>
            <c:strRef>
              <c:f>'figure 1'!$B$3</c:f>
              <c:strCache>
                <c:ptCount val="1"/>
                <c:pt idx="0">
                  <c:v>Ekonomitë e Zhvilluara</c:v>
                </c:pt>
              </c:strCache>
            </c:strRef>
          </c:tx>
          <c:spPr>
            <a:solidFill>
              <a:schemeClr val="accent2"/>
            </a:solidFill>
            <a:ln>
              <a:noFill/>
            </a:ln>
            <a:effectLst/>
          </c:spPr>
          <c:invertIfNegative val="0"/>
          <c:cat>
            <c:numRef>
              <c:f>'figure 1'!$C$8:$G$8</c:f>
              <c:numCache>
                <c:formatCode>General</c:formatCode>
                <c:ptCount val="5"/>
                <c:pt idx="0">
                  <c:v>2018</c:v>
                </c:pt>
                <c:pt idx="1">
                  <c:v>2019</c:v>
                </c:pt>
                <c:pt idx="2">
                  <c:v>2020</c:v>
                </c:pt>
                <c:pt idx="3">
                  <c:v>2021</c:v>
                </c:pt>
                <c:pt idx="4">
                  <c:v>2022</c:v>
                </c:pt>
              </c:numCache>
            </c:numRef>
          </c:cat>
          <c:val>
            <c:numRef>
              <c:f>'figure 1'!$C$10:$G$10</c:f>
              <c:numCache>
                <c:formatCode>0%</c:formatCode>
                <c:ptCount val="5"/>
                <c:pt idx="0">
                  <c:v>2.273E-2</c:v>
                </c:pt>
                <c:pt idx="1">
                  <c:v>1.6760000000000001E-2</c:v>
                </c:pt>
                <c:pt idx="2">
                  <c:v>1.6719999999999999E-2</c:v>
                </c:pt>
                <c:pt idx="3">
                  <c:v>1.6150000000000001E-2</c:v>
                </c:pt>
                <c:pt idx="4">
                  <c:v>1.5520000000000001E-2</c:v>
                </c:pt>
              </c:numCache>
            </c:numRef>
          </c:val>
          <c:extLst xmlns:c16r2="http://schemas.microsoft.com/office/drawing/2015/06/chart">
            <c:ext xmlns:c16="http://schemas.microsoft.com/office/drawing/2014/chart" uri="{C3380CC4-5D6E-409C-BE32-E72D297353CC}">
              <c16:uniqueId val="{00000001-7DCC-4656-9003-F89B04DA1E58}"/>
            </c:ext>
          </c:extLst>
        </c:ser>
        <c:ser>
          <c:idx val="2"/>
          <c:order val="2"/>
          <c:tx>
            <c:strRef>
              <c:f>'figure 1'!$B$4</c:f>
              <c:strCache>
                <c:ptCount val="1"/>
                <c:pt idx="0">
                  <c:v>Bashkimi Evropian</c:v>
                </c:pt>
              </c:strCache>
            </c:strRef>
          </c:tx>
          <c:spPr>
            <a:solidFill>
              <a:schemeClr val="accent3"/>
            </a:solidFill>
            <a:ln>
              <a:noFill/>
            </a:ln>
            <a:effectLst/>
          </c:spPr>
          <c:invertIfNegative val="0"/>
          <c:cat>
            <c:numRef>
              <c:f>'figure 1'!$C$8:$G$8</c:f>
              <c:numCache>
                <c:formatCode>General</c:formatCode>
                <c:ptCount val="5"/>
                <c:pt idx="0">
                  <c:v>2018</c:v>
                </c:pt>
                <c:pt idx="1">
                  <c:v>2019</c:v>
                </c:pt>
                <c:pt idx="2">
                  <c:v>2020</c:v>
                </c:pt>
                <c:pt idx="3">
                  <c:v>2021</c:v>
                </c:pt>
                <c:pt idx="4">
                  <c:v>2022</c:v>
                </c:pt>
              </c:numCache>
            </c:numRef>
          </c:cat>
          <c:val>
            <c:numRef>
              <c:f>'figure 1'!$C$11:$G$11</c:f>
              <c:numCache>
                <c:formatCode>0%</c:formatCode>
                <c:ptCount val="5"/>
                <c:pt idx="0">
                  <c:v>2.2000000000000002E-2</c:v>
                </c:pt>
                <c:pt idx="1">
                  <c:v>1.5260000000000001E-2</c:v>
                </c:pt>
                <c:pt idx="2">
                  <c:v>1.6399999999999998E-2</c:v>
                </c:pt>
                <c:pt idx="3">
                  <c:v>1.661E-2</c:v>
                </c:pt>
                <c:pt idx="4">
                  <c:v>1.5969999999999998E-2</c:v>
                </c:pt>
              </c:numCache>
            </c:numRef>
          </c:val>
          <c:extLst xmlns:c16r2="http://schemas.microsoft.com/office/drawing/2015/06/chart">
            <c:ext xmlns:c16="http://schemas.microsoft.com/office/drawing/2014/chart" uri="{C3380CC4-5D6E-409C-BE32-E72D297353CC}">
              <c16:uniqueId val="{00000002-7DCC-4656-9003-F89B04DA1E58}"/>
            </c:ext>
          </c:extLst>
        </c:ser>
        <c:ser>
          <c:idx val="3"/>
          <c:order val="3"/>
          <c:tx>
            <c:strRef>
              <c:f>'figure 1'!$B$5</c:f>
              <c:strCache>
                <c:ptCount val="1"/>
                <c:pt idx="0">
                  <c:v>Ekonomitë Evropiane në Zhvillim</c:v>
                </c:pt>
              </c:strCache>
            </c:strRef>
          </c:tx>
          <c:spPr>
            <a:solidFill>
              <a:schemeClr val="accent4"/>
            </a:solidFill>
            <a:ln>
              <a:noFill/>
            </a:ln>
            <a:effectLst/>
          </c:spPr>
          <c:invertIfNegative val="0"/>
          <c:cat>
            <c:numRef>
              <c:f>'figure 1'!$C$8:$G$8</c:f>
              <c:numCache>
                <c:formatCode>General</c:formatCode>
                <c:ptCount val="5"/>
                <c:pt idx="0">
                  <c:v>2018</c:v>
                </c:pt>
                <c:pt idx="1">
                  <c:v>2019</c:v>
                </c:pt>
                <c:pt idx="2">
                  <c:v>2020</c:v>
                </c:pt>
                <c:pt idx="3">
                  <c:v>2021</c:v>
                </c:pt>
                <c:pt idx="4">
                  <c:v>2022</c:v>
                </c:pt>
              </c:numCache>
            </c:numRef>
          </c:cat>
          <c:val>
            <c:numRef>
              <c:f>'figure 1'!$C$12:$G$12</c:f>
              <c:numCache>
                <c:formatCode>0%</c:formatCode>
                <c:ptCount val="5"/>
                <c:pt idx="0">
                  <c:v>3.0630000000000001E-2</c:v>
                </c:pt>
                <c:pt idx="1">
                  <c:v>1.762E-2</c:v>
                </c:pt>
                <c:pt idx="2">
                  <c:v>2.529E-2</c:v>
                </c:pt>
                <c:pt idx="3">
                  <c:v>2.5150000000000002E-2</c:v>
                </c:pt>
                <c:pt idx="4">
                  <c:v>2.4940000000000004E-2</c:v>
                </c:pt>
              </c:numCache>
            </c:numRef>
          </c:val>
          <c:extLst xmlns:c16r2="http://schemas.microsoft.com/office/drawing/2015/06/chart">
            <c:ext xmlns:c16="http://schemas.microsoft.com/office/drawing/2014/chart" uri="{C3380CC4-5D6E-409C-BE32-E72D297353CC}">
              <c16:uniqueId val="{00000003-7DCC-4656-9003-F89B04DA1E58}"/>
            </c:ext>
          </c:extLst>
        </c:ser>
        <c:dLbls>
          <c:showLegendKey val="0"/>
          <c:showVal val="0"/>
          <c:showCatName val="0"/>
          <c:showSerName val="0"/>
          <c:showPercent val="0"/>
          <c:showBubbleSize val="0"/>
        </c:dLbls>
        <c:gapWidth val="150"/>
        <c:overlap val="-25"/>
        <c:axId val="642273528"/>
        <c:axId val="741956536"/>
      </c:barChart>
      <c:catAx>
        <c:axId val="6422735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41956536"/>
        <c:crosses val="autoZero"/>
        <c:auto val="1"/>
        <c:lblAlgn val="ctr"/>
        <c:lblOffset val="100"/>
        <c:noMultiLvlLbl val="0"/>
      </c:catAx>
      <c:valAx>
        <c:axId val="741956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42273528"/>
        <c:crosses val="autoZero"/>
        <c:crossBetween val="between"/>
        <c:majorUnit val="1.0000000000000002E-2"/>
      </c:valAx>
      <c:spPr>
        <a:noFill/>
        <a:ln>
          <a:noFill/>
        </a:ln>
        <a:effectLst/>
      </c:spPr>
    </c:plotArea>
    <c:legend>
      <c:legendPos val="b"/>
      <c:layout>
        <c:manualLayout>
          <c:xMode val="edge"/>
          <c:yMode val="edge"/>
          <c:x val="0"/>
          <c:y val="0.73888352630470044"/>
          <c:w val="1"/>
          <c:h val="0.223779821548442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'[34b International Investments Position.xls]Bazuar në BPM6'!$G$46</c:f>
              <c:strCache>
                <c:ptCount val="1"/>
                <c:pt idx="0">
                  <c:v>Asetet</c:v>
                </c:pt>
              </c:strCache>
            </c:strRef>
          </c:tx>
          <c:spPr>
            <a:solidFill>
              <a:schemeClr val="accent1"/>
            </a:solidFill>
            <a:ln>
              <a:noFill/>
            </a:ln>
            <a:effectLst/>
          </c:spPr>
          <c:invertIfNegative val="0"/>
          <c:cat>
            <c:multiLvlStrRef>
              <c:f>'[34b International Investments Position.xls]Bazuar në BPM6'!$E$47:$F$56</c:f>
              <c:multiLvlStrCache>
                <c:ptCount val="10"/>
                <c:lvl>
                  <c:pt idx="0">
                    <c:v> Q1</c:v>
                  </c:pt>
                  <c:pt idx="1">
                    <c:v>Q2</c:v>
                  </c:pt>
                  <c:pt idx="2">
                    <c:v> Q3</c:v>
                  </c:pt>
                  <c:pt idx="3">
                    <c:v> Q4</c:v>
                  </c:pt>
                  <c:pt idx="4">
                    <c:v> Q1</c:v>
                  </c:pt>
                  <c:pt idx="5">
                    <c:v> Q2</c:v>
                  </c:pt>
                  <c:pt idx="6">
                    <c:v> Q3</c:v>
                  </c:pt>
                  <c:pt idx="7">
                    <c:v>Q4</c:v>
                  </c:pt>
                  <c:pt idx="8">
                    <c:v> Q1</c:v>
                  </c:pt>
                  <c:pt idx="9">
                    <c:v> Q2</c:v>
                  </c:pt>
                </c:lvl>
                <c:lvl>
                  <c:pt idx="0">
                    <c:v>2017</c:v>
                  </c:pt>
                  <c:pt idx="4">
                    <c:v>2018</c:v>
                  </c:pt>
                  <c:pt idx="8">
                    <c:v>2019</c:v>
                  </c:pt>
                </c:lvl>
              </c:multiLvlStrCache>
            </c:multiLvlStrRef>
          </c:cat>
          <c:val>
            <c:numRef>
              <c:f>'[34b International Investments Position.xls]Bazuar në BPM6'!$G$47:$G$56</c:f>
              <c:numCache>
                <c:formatCode>#,##0.0</c:formatCode>
                <c:ptCount val="10"/>
                <c:pt idx="0">
                  <c:v>4689.118058503168</c:v>
                </c:pt>
                <c:pt idx="1">
                  <c:v>4664.3266880702477</c:v>
                </c:pt>
                <c:pt idx="2">
                  <c:v>4861.8143344620712</c:v>
                </c:pt>
                <c:pt idx="3">
                  <c:v>4837.942588489338</c:v>
                </c:pt>
                <c:pt idx="4">
                  <c:v>4776.906558204264</c:v>
                </c:pt>
                <c:pt idx="5">
                  <c:v>4755.3007342252567</c:v>
                </c:pt>
                <c:pt idx="6">
                  <c:v>5005.7683875793655</c:v>
                </c:pt>
                <c:pt idx="7">
                  <c:v>4766.1630668146108</c:v>
                </c:pt>
                <c:pt idx="8">
                  <c:v>4890.5407685950404</c:v>
                </c:pt>
                <c:pt idx="9">
                  <c:v>4912.2524767880504</c:v>
                </c:pt>
              </c:numCache>
            </c:numRef>
          </c:val>
        </c:ser>
        <c:ser>
          <c:idx val="1"/>
          <c:order val="1"/>
          <c:tx>
            <c:strRef>
              <c:f>'[34b International Investments Position.xls]Bazuar në BPM6'!$H$46</c:f>
              <c:strCache>
                <c:ptCount val="1"/>
                <c:pt idx="0">
                  <c:v>Detyrimet</c:v>
                </c:pt>
              </c:strCache>
            </c:strRef>
          </c:tx>
          <c:spPr>
            <a:solidFill>
              <a:schemeClr val="accent2"/>
            </a:solidFill>
            <a:ln>
              <a:noFill/>
            </a:ln>
            <a:effectLst/>
          </c:spPr>
          <c:invertIfNegative val="0"/>
          <c:cat>
            <c:multiLvlStrRef>
              <c:f>'[34b International Investments Position.xls]Bazuar në BPM6'!$E$47:$F$56</c:f>
              <c:multiLvlStrCache>
                <c:ptCount val="10"/>
                <c:lvl>
                  <c:pt idx="0">
                    <c:v> Q1</c:v>
                  </c:pt>
                  <c:pt idx="1">
                    <c:v>Q2</c:v>
                  </c:pt>
                  <c:pt idx="2">
                    <c:v> Q3</c:v>
                  </c:pt>
                  <c:pt idx="3">
                    <c:v> Q4</c:v>
                  </c:pt>
                  <c:pt idx="4">
                    <c:v> Q1</c:v>
                  </c:pt>
                  <c:pt idx="5">
                    <c:v> Q2</c:v>
                  </c:pt>
                  <c:pt idx="6">
                    <c:v> Q3</c:v>
                  </c:pt>
                  <c:pt idx="7">
                    <c:v>Q4</c:v>
                  </c:pt>
                  <c:pt idx="8">
                    <c:v> Q1</c:v>
                  </c:pt>
                  <c:pt idx="9">
                    <c:v> Q2</c:v>
                  </c:pt>
                </c:lvl>
                <c:lvl>
                  <c:pt idx="0">
                    <c:v>2017</c:v>
                  </c:pt>
                  <c:pt idx="4">
                    <c:v>2018</c:v>
                  </c:pt>
                  <c:pt idx="8">
                    <c:v>2019</c:v>
                  </c:pt>
                </c:lvl>
              </c:multiLvlStrCache>
            </c:multiLvlStrRef>
          </c:cat>
          <c:val>
            <c:numRef>
              <c:f>'[34b International Investments Position.xls]Bazuar në BPM6'!$H$47:$H$56</c:f>
              <c:numCache>
                <c:formatCode>General</c:formatCode>
                <c:ptCount val="10"/>
                <c:pt idx="0">
                  <c:v>-4745.8837143385299</c:v>
                </c:pt>
                <c:pt idx="1">
                  <c:v>-4846.7940838596096</c:v>
                </c:pt>
                <c:pt idx="2">
                  <c:v>-4853.4251590524746</c:v>
                </c:pt>
                <c:pt idx="3">
                  <c:v>-4937.8544541525507</c:v>
                </c:pt>
                <c:pt idx="4">
                  <c:v>-4900.9855975942319</c:v>
                </c:pt>
                <c:pt idx="5">
                  <c:v>-5012.4314356602499</c:v>
                </c:pt>
                <c:pt idx="6">
                  <c:v>-5132.2420831297095</c:v>
                </c:pt>
                <c:pt idx="7">
                  <c:v>-5175.6051152846976</c:v>
                </c:pt>
                <c:pt idx="8">
                  <c:v>-5227.1749411179708</c:v>
                </c:pt>
                <c:pt idx="9">
                  <c:v>-5364.6756342263543</c:v>
                </c:pt>
              </c:numCache>
            </c:numRef>
          </c:val>
        </c:ser>
        <c:dLbls>
          <c:showLegendKey val="0"/>
          <c:showVal val="0"/>
          <c:showCatName val="0"/>
          <c:showSerName val="0"/>
          <c:showPercent val="0"/>
          <c:showBubbleSize val="0"/>
        </c:dLbls>
        <c:gapWidth val="150"/>
        <c:overlap val="100"/>
        <c:axId val="653529264"/>
        <c:axId val="653529656"/>
      </c:barChart>
      <c:lineChart>
        <c:grouping val="standard"/>
        <c:varyColors val="0"/>
        <c:ser>
          <c:idx val="2"/>
          <c:order val="2"/>
          <c:tx>
            <c:strRef>
              <c:f>'[34b International Investments Position.xls]Bazuar në BPM6'!$I$46</c:f>
              <c:strCache>
                <c:ptCount val="1"/>
                <c:pt idx="0">
                  <c:v>Neto</c:v>
                </c:pt>
              </c:strCache>
            </c:strRef>
          </c:tx>
          <c:spPr>
            <a:ln w="19050" cap="rnd" cmpd="sng" algn="ctr">
              <a:solidFill>
                <a:schemeClr val="accent3"/>
              </a:solidFill>
              <a:prstDash val="solid"/>
              <a:round/>
            </a:ln>
            <a:effectLst/>
          </c:spPr>
          <c:marker>
            <c:symbol val="none"/>
          </c:marker>
          <c:cat>
            <c:strRef>
              <c:f>'[34b International Investments Position.xls]Bazuar në BPM6'!$F$47:$F$56</c:f>
              <c:strCache>
                <c:ptCount val="10"/>
                <c:pt idx="0">
                  <c:v> Q1</c:v>
                </c:pt>
                <c:pt idx="1">
                  <c:v>Q2</c:v>
                </c:pt>
                <c:pt idx="2">
                  <c:v> Q3</c:v>
                </c:pt>
                <c:pt idx="3">
                  <c:v> Q4</c:v>
                </c:pt>
                <c:pt idx="4">
                  <c:v> Q1</c:v>
                </c:pt>
                <c:pt idx="5">
                  <c:v> Q2</c:v>
                </c:pt>
                <c:pt idx="6">
                  <c:v> Q3</c:v>
                </c:pt>
                <c:pt idx="7">
                  <c:v>Q4</c:v>
                </c:pt>
                <c:pt idx="8">
                  <c:v> Q1</c:v>
                </c:pt>
                <c:pt idx="9">
                  <c:v> Q2</c:v>
                </c:pt>
              </c:strCache>
            </c:strRef>
          </c:cat>
          <c:val>
            <c:numRef>
              <c:f>'[34b International Investments Position.xls]Bazuar në BPM6'!$I$47:$I$56</c:f>
              <c:numCache>
                <c:formatCode>#,##0.0</c:formatCode>
                <c:ptCount val="10"/>
                <c:pt idx="0">
                  <c:v>-56.76565583536194</c:v>
                </c:pt>
                <c:pt idx="1">
                  <c:v>-182.46739578936194</c:v>
                </c:pt>
                <c:pt idx="2">
                  <c:v>8.3891754095966462</c:v>
                </c:pt>
                <c:pt idx="3">
                  <c:v>-99.911865663212666</c:v>
                </c:pt>
                <c:pt idx="4">
                  <c:v>-124.07903938996787</c:v>
                </c:pt>
                <c:pt idx="5">
                  <c:v>-257.13070143499317</c:v>
                </c:pt>
                <c:pt idx="6">
                  <c:v>-126.47369555034402</c:v>
                </c:pt>
                <c:pt idx="7">
                  <c:v>-409.44204847008677</c:v>
                </c:pt>
                <c:pt idx="8">
                  <c:v>-336.63417252293038</c:v>
                </c:pt>
                <c:pt idx="9">
                  <c:v>-452.42315743830386</c:v>
                </c:pt>
              </c:numCache>
            </c:numRef>
          </c:val>
          <c:smooth val="0"/>
        </c:ser>
        <c:dLbls>
          <c:showLegendKey val="0"/>
          <c:showVal val="0"/>
          <c:showCatName val="0"/>
          <c:showSerName val="0"/>
          <c:showPercent val="0"/>
          <c:showBubbleSize val="0"/>
        </c:dLbls>
        <c:marker val="1"/>
        <c:smooth val="0"/>
        <c:axId val="653530048"/>
        <c:axId val="653530440"/>
      </c:lineChart>
      <c:catAx>
        <c:axId val="6535292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prstDash val="solid"/>
            <a:round/>
          </a:ln>
          <a:effectLst/>
        </c:spPr>
        <c:txPr>
          <a:bodyPr rot="0" spcFirstLastPara="1" vertOverflow="ellipsis" wrap="square" anchor="ctr" anchorCtr="1"/>
          <a:lstStyle/>
          <a:p>
            <a:pPr>
              <a:defRPr sz="900" b="0" i="0" u="none" strike="noStrike" kern="1200" baseline="0">
                <a:solidFill>
                  <a:srgbClr val="333333"/>
                </a:solidFill>
                <a:latin typeface="Calibri"/>
                <a:ea typeface="Calibri"/>
                <a:cs typeface="Calibri"/>
              </a:defRPr>
            </a:pPr>
            <a:endParaRPr lang="en-US"/>
          </a:p>
        </c:txPr>
        <c:crossAx val="653529656"/>
        <c:crosses val="autoZero"/>
        <c:auto val="1"/>
        <c:lblAlgn val="ctr"/>
        <c:lblOffset val="100"/>
        <c:noMultiLvlLbl val="0"/>
      </c:catAx>
      <c:valAx>
        <c:axId val="65352965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spPr>
          <a:noFill/>
          <a:ln w="9525" cap="flat" cmpd="sng" algn="ctr">
            <a:noFill/>
            <a:prstDash val="solid"/>
            <a:round/>
          </a:ln>
          <a:effectLst/>
        </c:spPr>
        <c:txPr>
          <a:bodyPr rot="0" spcFirstLastPara="1" vertOverflow="ellipsis" wrap="square" anchor="ctr" anchorCtr="1"/>
          <a:lstStyle/>
          <a:p>
            <a:pPr>
              <a:defRPr sz="900" b="0" i="0" u="none" strike="noStrike" kern="1200" baseline="0">
                <a:solidFill>
                  <a:srgbClr val="333333"/>
                </a:solidFill>
                <a:latin typeface="Calibri"/>
                <a:ea typeface="Calibri"/>
                <a:cs typeface="Calibri"/>
              </a:defRPr>
            </a:pPr>
            <a:endParaRPr lang="en-US"/>
          </a:p>
        </c:txPr>
        <c:crossAx val="653529264"/>
        <c:crosses val="autoZero"/>
        <c:crossBetween val="between"/>
      </c:valAx>
      <c:catAx>
        <c:axId val="653530048"/>
        <c:scaling>
          <c:orientation val="minMax"/>
        </c:scaling>
        <c:delete val="1"/>
        <c:axPos val="b"/>
        <c:numFmt formatCode="General" sourceLinked="1"/>
        <c:majorTickMark val="out"/>
        <c:minorTickMark val="none"/>
        <c:tickLblPos val="nextTo"/>
        <c:crossAx val="653530440"/>
        <c:crosses val="autoZero"/>
        <c:auto val="1"/>
        <c:lblAlgn val="ctr"/>
        <c:lblOffset val="100"/>
        <c:noMultiLvlLbl val="0"/>
      </c:catAx>
      <c:valAx>
        <c:axId val="653530440"/>
        <c:scaling>
          <c:orientation val="minMax"/>
          <c:min val="-1000"/>
        </c:scaling>
        <c:delete val="0"/>
        <c:axPos val="r"/>
        <c:numFmt formatCode="#,##0.0" sourceLinked="1"/>
        <c:majorTickMark val="out"/>
        <c:minorTickMark val="none"/>
        <c:tickLblPos val="nextTo"/>
        <c:spPr>
          <a:noFill/>
          <a:ln w="9525" cap="flat" cmpd="sng" algn="ctr">
            <a:noFill/>
            <a:prstDash val="solid"/>
            <a:round/>
          </a:ln>
          <a:effectLst/>
        </c:spPr>
        <c:txPr>
          <a:bodyPr rot="0" spcFirstLastPara="1" vertOverflow="ellipsis" wrap="square" anchor="ctr" anchorCtr="1"/>
          <a:lstStyle/>
          <a:p>
            <a:pPr>
              <a:defRPr sz="900" b="0" i="0" u="none" strike="noStrike" kern="1200" baseline="0">
                <a:solidFill>
                  <a:srgbClr val="333333"/>
                </a:solidFill>
                <a:latin typeface="Calibri"/>
                <a:ea typeface="Calibri"/>
                <a:cs typeface="Calibri"/>
              </a:defRPr>
            </a:pPr>
            <a:endParaRPr lang="en-US"/>
          </a:p>
        </c:txPr>
        <c:crossAx val="653530048"/>
        <c:crosses val="max"/>
        <c:crossBetween val="between"/>
      </c:valAx>
      <c:spPr>
        <a:noFill/>
        <a:ln w="25400">
          <a:noFill/>
        </a:ln>
        <a:effectLst/>
      </c:spPr>
    </c:plotArea>
    <c:legend>
      <c:legendPos val="b"/>
      <c:layout>
        <c:manualLayout>
          <c:xMode val="edge"/>
          <c:yMode val="edge"/>
          <c:x val="0.25321910941389836"/>
          <c:y val="0.90301003344481601"/>
          <c:w val="0.48927083685354777"/>
          <c:h val="7.3578595317725815E-2"/>
        </c:manualLayout>
      </c:layout>
      <c:overlay val="0"/>
      <c:spPr>
        <a:noFill/>
        <a:ln w="25400">
          <a:noFill/>
        </a:ln>
        <a:effectLst/>
      </c:spPr>
      <c:txPr>
        <a:bodyPr rot="0" spcFirstLastPara="1" vertOverflow="ellipsis" vert="horz" wrap="square" anchor="ctr" anchorCtr="1"/>
        <a:lstStyle/>
        <a:p>
          <a:pPr>
            <a:defRPr sz="825" b="0" i="0" u="none" strike="noStrike" kern="1200"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0"/>
            </a:pPr>
            <a:r>
              <a:rPr lang="en-US" sz="1800" b="0"/>
              <a:t>Rritja reale BPV</a:t>
            </a:r>
            <a:r>
              <a:rPr lang="en-US" sz="1800" b="0" baseline="0"/>
              <a:t>, v-m-v, %</a:t>
            </a:r>
            <a:endParaRPr lang="en-US" sz="1800" b="0"/>
          </a:p>
        </c:rich>
      </c:tx>
      <c:layout/>
      <c:overlay val="1"/>
    </c:title>
    <c:autoTitleDeleted val="0"/>
    <c:plotArea>
      <c:layout>
        <c:manualLayout>
          <c:layoutTarget val="inner"/>
          <c:xMode val="edge"/>
          <c:yMode val="edge"/>
          <c:x val="7.1630592318168998E-2"/>
          <c:y val="0.14070557952739507"/>
          <c:w val="0.88841356252556181"/>
          <c:h val="0.64018828584494325"/>
        </c:manualLayout>
      </c:layout>
      <c:lineChart>
        <c:grouping val="standard"/>
        <c:varyColors val="0"/>
        <c:ser>
          <c:idx val="0"/>
          <c:order val="0"/>
          <c:tx>
            <c:v>Skenari Baze</c:v>
          </c:tx>
          <c:spPr>
            <a:ln w="28575"/>
          </c:spPr>
          <c:marker>
            <c:symbol val="triangle"/>
            <c:size val="5"/>
          </c:marker>
          <c:cat>
            <c:numRef>
              <c:f>Graph19_high.vs.low!$A$6:$A$17</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Graph19_high.vs.low!$B$6:$B$17</c:f>
              <c:numCache>
                <c:formatCode>0.0</c:formatCode>
                <c:ptCount val="12"/>
                <c:pt idx="0">
                  <c:v>4.4000000000000004</c:v>
                </c:pt>
                <c:pt idx="1">
                  <c:v>2.8</c:v>
                </c:pt>
                <c:pt idx="2">
                  <c:v>3.4</c:v>
                </c:pt>
                <c:pt idx="3">
                  <c:v>1.2</c:v>
                </c:pt>
                <c:pt idx="4">
                  <c:v>4.0999999999999996</c:v>
                </c:pt>
                <c:pt idx="5">
                  <c:v>4.0999999999999996</c:v>
                </c:pt>
                <c:pt idx="6">
                  <c:v>4.2263914499649724</c:v>
                </c:pt>
                <c:pt idx="7">
                  <c:v>3.8167105817053848</c:v>
                </c:pt>
                <c:pt idx="8">
                  <c:v>3.993074753908088</c:v>
                </c:pt>
                <c:pt idx="9">
                  <c:v>4.4454700309036532</c:v>
                </c:pt>
                <c:pt idx="10">
                  <c:v>4.4545200968433507</c:v>
                </c:pt>
                <c:pt idx="11">
                  <c:v>4.5270030864141608</c:v>
                </c:pt>
              </c:numCache>
            </c:numRef>
          </c:val>
          <c:smooth val="0"/>
        </c:ser>
        <c:ser>
          <c:idx val="1"/>
          <c:order val="1"/>
          <c:tx>
            <c:strRef>
              <c:f>Graph19_high.vs.low!$C$2</c:f>
              <c:strCache>
                <c:ptCount val="1"/>
                <c:pt idx="0">
                  <c:v>Skenari Baze + Reformat Strukturore</c:v>
                </c:pt>
              </c:strCache>
            </c:strRef>
          </c:tx>
          <c:spPr>
            <a:ln w="28575">
              <a:solidFill>
                <a:schemeClr val="tx1"/>
              </a:solidFill>
              <a:prstDash val="dash"/>
            </a:ln>
          </c:spPr>
          <c:marker>
            <c:symbol val="triangle"/>
            <c:size val="5"/>
            <c:spPr>
              <a:solidFill>
                <a:schemeClr val="tx1"/>
              </a:solidFill>
            </c:spPr>
          </c:marker>
          <c:cat>
            <c:numRef>
              <c:f>Graph19_high.vs.low!$A$6:$A$17</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Graph19_high.vs.low!$C$6:$C$17</c:f>
              <c:numCache>
                <c:formatCode>General</c:formatCode>
                <c:ptCount val="12"/>
                <c:pt idx="8" formatCode="0.0">
                  <c:v>3.993074753908088</c:v>
                </c:pt>
                <c:pt idx="9" formatCode="0.0">
                  <c:v>4.4454700309036532</c:v>
                </c:pt>
                <c:pt idx="10" formatCode="0.0">
                  <c:v>6.6715200968433503</c:v>
                </c:pt>
                <c:pt idx="11" formatCode="0.0">
                  <c:v>6.2830030864141611</c:v>
                </c:pt>
              </c:numCache>
            </c:numRef>
          </c:val>
          <c:smooth val="0"/>
        </c:ser>
        <c:ser>
          <c:idx val="3"/>
          <c:order val="2"/>
          <c:tx>
            <c:strRef>
              <c:f>Graph19_high.vs.low!$E$2</c:f>
              <c:strCache>
                <c:ptCount val="1"/>
                <c:pt idx="0">
                  <c:v>Skenari Baze + Reformat Strukturore + Klauzola Inv.</c:v>
                </c:pt>
              </c:strCache>
            </c:strRef>
          </c:tx>
          <c:spPr>
            <a:ln w="28575">
              <a:solidFill>
                <a:schemeClr val="accent6"/>
              </a:solidFill>
              <a:prstDash val="dash"/>
            </a:ln>
          </c:spPr>
          <c:marker>
            <c:spPr>
              <a:solidFill>
                <a:schemeClr val="accent5">
                  <a:lumMod val="75000"/>
                </a:schemeClr>
              </a:solidFill>
            </c:spPr>
          </c:marker>
          <c:val>
            <c:numRef>
              <c:f>Graph19_high.vs.low!$E$6:$E$17</c:f>
              <c:numCache>
                <c:formatCode>General</c:formatCode>
                <c:ptCount val="12"/>
                <c:pt idx="8" formatCode="0.0">
                  <c:v>3.993074753908088</c:v>
                </c:pt>
                <c:pt idx="9" formatCode="0.0">
                  <c:v>5.0684271586562302</c:v>
                </c:pt>
                <c:pt idx="10" formatCode="0.0">
                  <c:v>6.9184636744889811</c:v>
                </c:pt>
                <c:pt idx="11" formatCode="0.0">
                  <c:v>6.2693169495935823</c:v>
                </c:pt>
              </c:numCache>
            </c:numRef>
          </c:val>
          <c:smooth val="0"/>
        </c:ser>
        <c:ser>
          <c:idx val="2"/>
          <c:order val="3"/>
          <c:tx>
            <c:strRef>
              <c:f>Graph19_high.vs.low!$F$2</c:f>
              <c:strCache>
                <c:ptCount val="1"/>
                <c:pt idx="0">
                  <c:v>Skenari I Ulet</c:v>
                </c:pt>
              </c:strCache>
            </c:strRef>
          </c:tx>
          <c:spPr>
            <a:ln w="28575">
              <a:solidFill>
                <a:srgbClr val="FF0000"/>
              </a:solidFill>
              <a:prstDash val="dash"/>
            </a:ln>
          </c:spPr>
          <c:marker>
            <c:symbol val="triangle"/>
            <c:size val="5"/>
            <c:spPr>
              <a:solidFill>
                <a:srgbClr val="FF0000"/>
              </a:solidFill>
            </c:spPr>
          </c:marker>
          <c:cat>
            <c:numRef>
              <c:f>Graph19_high.vs.low!$A$6:$A$17</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Graph19_high.vs.low!$F$6:$F$17</c:f>
              <c:numCache>
                <c:formatCode>General</c:formatCode>
                <c:ptCount val="12"/>
                <c:pt idx="8" formatCode="0.0">
                  <c:v>3.993074753908088</c:v>
                </c:pt>
                <c:pt idx="9" formatCode="0.0">
                  <c:v>2.2680126943782408</c:v>
                </c:pt>
                <c:pt idx="10" formatCode="0.0">
                  <c:v>2.3895720091633654</c:v>
                </c:pt>
                <c:pt idx="11" formatCode="0.0">
                  <c:v>2.6739781943908802</c:v>
                </c:pt>
              </c:numCache>
            </c:numRef>
          </c:val>
          <c:smooth val="1"/>
        </c:ser>
        <c:dLbls>
          <c:showLegendKey val="0"/>
          <c:showVal val="0"/>
          <c:showCatName val="0"/>
          <c:showSerName val="0"/>
          <c:showPercent val="0"/>
          <c:showBubbleSize val="0"/>
        </c:dLbls>
        <c:marker val="1"/>
        <c:smooth val="0"/>
        <c:axId val="638435368"/>
        <c:axId val="638435760"/>
      </c:lineChart>
      <c:catAx>
        <c:axId val="638435368"/>
        <c:scaling>
          <c:orientation val="minMax"/>
        </c:scaling>
        <c:delete val="0"/>
        <c:axPos val="b"/>
        <c:numFmt formatCode="General" sourceLinked="1"/>
        <c:majorTickMark val="out"/>
        <c:minorTickMark val="none"/>
        <c:tickLblPos val="nextTo"/>
        <c:crossAx val="638435760"/>
        <c:crosses val="autoZero"/>
        <c:auto val="1"/>
        <c:lblAlgn val="ctr"/>
        <c:lblOffset val="100"/>
        <c:noMultiLvlLbl val="0"/>
      </c:catAx>
      <c:valAx>
        <c:axId val="638435760"/>
        <c:scaling>
          <c:orientation val="minMax"/>
        </c:scaling>
        <c:delete val="0"/>
        <c:axPos val="l"/>
        <c:majorGridlines>
          <c:spPr>
            <a:ln>
              <a:solidFill>
                <a:schemeClr val="bg1">
                  <a:lumMod val="85000"/>
                </a:schemeClr>
              </a:solidFill>
              <a:prstDash val="dash"/>
            </a:ln>
          </c:spPr>
        </c:majorGridlines>
        <c:title>
          <c:tx>
            <c:rich>
              <a:bodyPr rot="0" vert="horz"/>
              <a:lstStyle/>
              <a:p>
                <a:pPr>
                  <a:defRPr sz="1200" b="1"/>
                </a:pPr>
                <a:r>
                  <a:rPr lang="en-US" sz="1200" b="1"/>
                  <a:t>% </a:t>
                </a:r>
              </a:p>
            </c:rich>
          </c:tx>
          <c:layout>
            <c:manualLayout>
              <c:xMode val="edge"/>
              <c:yMode val="edge"/>
              <c:x val="3.5200176505832036E-2"/>
              <c:y val="5.7052464321470826E-2"/>
            </c:manualLayout>
          </c:layout>
          <c:overlay val="0"/>
        </c:title>
        <c:numFmt formatCode="0.0" sourceLinked="1"/>
        <c:majorTickMark val="out"/>
        <c:minorTickMark val="none"/>
        <c:tickLblPos val="nextTo"/>
        <c:crossAx val="638435368"/>
        <c:crosses val="autoZero"/>
        <c:crossBetween val="between"/>
      </c:valAx>
    </c:plotArea>
    <c:legend>
      <c:legendPos val="b"/>
      <c:layout>
        <c:manualLayout>
          <c:xMode val="edge"/>
          <c:yMode val="edge"/>
          <c:x val="8.7122175530306892E-2"/>
          <c:y val="0.85953086110158405"/>
          <c:w val="0.85113622298570113"/>
          <c:h val="0.11974375593440878"/>
        </c:manualLayout>
      </c:layout>
      <c:overlay val="0"/>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79480520875695"/>
          <c:y val="4.6095235329869644E-2"/>
          <c:w val="0.80992687928692586"/>
          <c:h val="0.65561282905959772"/>
        </c:manualLayout>
      </c:layout>
      <c:barChart>
        <c:barDir val="col"/>
        <c:grouping val="stacked"/>
        <c:varyColors val="0"/>
        <c:ser>
          <c:idx val="0"/>
          <c:order val="0"/>
          <c:tx>
            <c:strRef>
              <c:f>'Tabela 1.'!$W$4</c:f>
              <c:strCache>
                <c:ptCount val="1"/>
                <c:pt idx="0">
                  <c:v>Tatimet Direkte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'Tabela 1.'!$Y$3:$AD$3</c:f>
              <c:strCache>
                <c:ptCount val="6"/>
                <c:pt idx="0">
                  <c:v>2017 </c:v>
                </c:pt>
                <c:pt idx="1">
                  <c:v>2018 </c:v>
                </c:pt>
                <c:pt idx="2">
                  <c:v>2019 Buxhet</c:v>
                </c:pt>
                <c:pt idx="3">
                  <c:v>2020 p.</c:v>
                </c:pt>
                <c:pt idx="4">
                  <c:v>2021 p.</c:v>
                </c:pt>
                <c:pt idx="5">
                  <c:v>2022 p.</c:v>
                </c:pt>
              </c:strCache>
            </c:strRef>
          </c:cat>
          <c:val>
            <c:numRef>
              <c:f>'Tabela 1.'!$Y$4:$AD$4</c:f>
              <c:numCache>
                <c:formatCode>0.0%</c:formatCode>
                <c:ptCount val="6"/>
                <c:pt idx="0">
                  <c:v>0.14133808818234925</c:v>
                </c:pt>
                <c:pt idx="1">
                  <c:v>0.15228359159301819</c:v>
                </c:pt>
                <c:pt idx="2">
                  <c:v>0.14780128793561548</c:v>
                </c:pt>
                <c:pt idx="3">
                  <c:v>0.15265585376824634</c:v>
                </c:pt>
                <c:pt idx="4">
                  <c:v>0.1550893381481272</c:v>
                </c:pt>
                <c:pt idx="5">
                  <c:v>0.15548901305669005</c:v>
                </c:pt>
              </c:numCache>
            </c:numRef>
          </c:val>
        </c:ser>
        <c:ser>
          <c:idx val="1"/>
          <c:order val="1"/>
          <c:tx>
            <c:strRef>
              <c:f>'Tabela 1.'!$W$5</c:f>
              <c:strCache>
                <c:ptCount val="1"/>
                <c:pt idx="0">
                  <c:v>Tatimet Indirekte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'Tabela 1.'!$Y$3:$AD$3</c:f>
              <c:strCache>
                <c:ptCount val="6"/>
                <c:pt idx="0">
                  <c:v>2017 </c:v>
                </c:pt>
                <c:pt idx="1">
                  <c:v>2018 </c:v>
                </c:pt>
                <c:pt idx="2">
                  <c:v>2019 Buxhet</c:v>
                </c:pt>
                <c:pt idx="3">
                  <c:v>2020 p.</c:v>
                </c:pt>
                <c:pt idx="4">
                  <c:v>2021 p.</c:v>
                </c:pt>
                <c:pt idx="5">
                  <c:v>2022 p.</c:v>
                </c:pt>
              </c:strCache>
            </c:strRef>
          </c:cat>
          <c:val>
            <c:numRef>
              <c:f>'Tabela 1.'!$Y$5:$AD$5</c:f>
              <c:numCache>
                <c:formatCode>0.0%</c:formatCode>
                <c:ptCount val="6"/>
                <c:pt idx="0">
                  <c:v>0.78094722732260669</c:v>
                </c:pt>
                <c:pt idx="1">
                  <c:v>0.76518024719950917</c:v>
                </c:pt>
                <c:pt idx="2">
                  <c:v>0.7656261667945703</c:v>
                </c:pt>
                <c:pt idx="3">
                  <c:v>0.75577026360335353</c:v>
                </c:pt>
                <c:pt idx="4">
                  <c:v>0.76022579683165914</c:v>
                </c:pt>
                <c:pt idx="5">
                  <c:v>0.76028523484491595</c:v>
                </c:pt>
              </c:numCache>
            </c:numRef>
          </c:val>
        </c:ser>
        <c:ser>
          <c:idx val="2"/>
          <c:order val="2"/>
          <c:tx>
            <c:strRef>
              <c:f>'Tabela 1.'!$W$6</c:f>
              <c:strCache>
                <c:ptCount val="1"/>
                <c:pt idx="0">
                  <c:v>Të hyrat jo-Tatimore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'Tabela 1.'!$Y$3:$AD$3</c:f>
              <c:strCache>
                <c:ptCount val="6"/>
                <c:pt idx="0">
                  <c:v>2017 </c:v>
                </c:pt>
                <c:pt idx="1">
                  <c:v>2018 </c:v>
                </c:pt>
                <c:pt idx="2">
                  <c:v>2019 Buxhet</c:v>
                </c:pt>
                <c:pt idx="3">
                  <c:v>2020 p.</c:v>
                </c:pt>
                <c:pt idx="4">
                  <c:v>2021 p.</c:v>
                </c:pt>
                <c:pt idx="5">
                  <c:v>2022 p.</c:v>
                </c:pt>
              </c:strCache>
            </c:strRef>
          </c:cat>
          <c:val>
            <c:numRef>
              <c:f>'Tabela 1.'!$Y$6:$AD$6</c:f>
              <c:numCache>
                <c:formatCode>0.0%</c:formatCode>
                <c:ptCount val="6"/>
                <c:pt idx="0">
                  <c:v>0.11190584977720476</c:v>
                </c:pt>
                <c:pt idx="1">
                  <c:v>0.10979334108008128</c:v>
                </c:pt>
                <c:pt idx="2">
                  <c:v>0.10683970348827911</c:v>
                </c:pt>
                <c:pt idx="3">
                  <c:v>0.11062847151841809</c:v>
                </c:pt>
                <c:pt idx="4">
                  <c:v>0.10587832946889511</c:v>
                </c:pt>
                <c:pt idx="5">
                  <c:v>0.10454435683346475</c:v>
                </c:pt>
              </c:numCache>
            </c:numRef>
          </c:val>
        </c:ser>
        <c:ser>
          <c:idx val="3"/>
          <c:order val="3"/>
          <c:tx>
            <c:strRef>
              <c:f>'Tabela 1.'!$W$7</c:f>
              <c:strCache>
                <c:ptCount val="1"/>
                <c:pt idx="0">
                  <c:v>Rimbursime Tatimore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'Tabela 1.'!$Y$3:$AD$3</c:f>
              <c:strCache>
                <c:ptCount val="6"/>
                <c:pt idx="0">
                  <c:v>2017 </c:v>
                </c:pt>
                <c:pt idx="1">
                  <c:v>2018 </c:v>
                </c:pt>
                <c:pt idx="2">
                  <c:v>2019 Buxhet</c:v>
                </c:pt>
                <c:pt idx="3">
                  <c:v>2020 p.</c:v>
                </c:pt>
                <c:pt idx="4">
                  <c:v>2021 p.</c:v>
                </c:pt>
                <c:pt idx="5">
                  <c:v>2022 p.</c:v>
                </c:pt>
              </c:strCache>
            </c:strRef>
          </c:cat>
          <c:val>
            <c:numRef>
              <c:f>'Tabela 1.'!$Y$7:$AD$7</c:f>
              <c:numCache>
                <c:formatCode>0.0%</c:formatCode>
                <c:ptCount val="6"/>
                <c:pt idx="0">
                  <c:v>-3.4191165282160735E-2</c:v>
                </c:pt>
                <c:pt idx="1">
                  <c:v>-2.7257179872608679E-2</c:v>
                </c:pt>
                <c:pt idx="2">
                  <c:v>-2.5654630656284698E-2</c:v>
                </c:pt>
                <c:pt idx="3">
                  <c:v>-2.4183355445905858E-2</c:v>
                </c:pt>
                <c:pt idx="4">
                  <c:v>-2.6137507477145293E-2</c:v>
                </c:pt>
                <c:pt idx="5">
                  <c:v>-2.500751352008691E-2</c:v>
                </c:pt>
              </c:numCache>
            </c:numRef>
          </c:val>
        </c:ser>
        <c:dLbls>
          <c:dLblPos val="ctr"/>
          <c:showLegendKey val="0"/>
          <c:showVal val="1"/>
          <c:showCatName val="0"/>
          <c:showSerName val="0"/>
          <c:showPercent val="0"/>
          <c:showBubbleSize val="0"/>
        </c:dLbls>
        <c:gapWidth val="53"/>
        <c:overlap val="100"/>
        <c:axId val="638436544"/>
        <c:axId val="638436936"/>
      </c:barChart>
      <c:catAx>
        <c:axId val="63843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436936"/>
        <c:crosses val="autoZero"/>
        <c:auto val="1"/>
        <c:lblAlgn val="ctr"/>
        <c:lblOffset val="100"/>
        <c:noMultiLvlLbl val="0"/>
      </c:catAx>
      <c:valAx>
        <c:axId val="63843693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436544"/>
        <c:crosses val="autoZero"/>
        <c:crossBetween val="between"/>
        <c:minorUnit val="0.2"/>
      </c:valAx>
      <c:spPr>
        <a:noFill/>
        <a:ln>
          <a:noFill/>
        </a:ln>
        <a:effectLst/>
      </c:spPr>
    </c:plotArea>
    <c:legend>
      <c:legendPos val="r"/>
      <c:layout>
        <c:manualLayout>
          <c:xMode val="edge"/>
          <c:yMode val="edge"/>
          <c:x val="0"/>
          <c:y val="0.78649643381003687"/>
          <c:w val="0.99546678588881166"/>
          <c:h val="0.213503566189963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738371425100145E-2"/>
          <c:y val="6.9907848744836354E-2"/>
          <c:w val="0.88287147427658974"/>
          <c:h val="0.75167851397031038"/>
        </c:manualLayout>
      </c:layout>
      <c:barChart>
        <c:barDir val="col"/>
        <c:grouping val="stacked"/>
        <c:varyColors val="0"/>
        <c:ser>
          <c:idx val="0"/>
          <c:order val="0"/>
          <c:tx>
            <c:strRef>
              <c:f>'Tabela 1.'!$Z$8</c:f>
              <c:strCache>
                <c:ptCount val="1"/>
                <c:pt idx="0">
                  <c:v>Shpenzimet Rrjedhëse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'Tabela 1.'!$AA$3:$AF$3</c:f>
              <c:strCache>
                <c:ptCount val="5"/>
                <c:pt idx="0">
                  <c:v>2018 </c:v>
                </c:pt>
                <c:pt idx="1">
                  <c:v>2019 Buxhet</c:v>
                </c:pt>
                <c:pt idx="2">
                  <c:v>2020 p.</c:v>
                </c:pt>
                <c:pt idx="3">
                  <c:v>2021 p.</c:v>
                </c:pt>
                <c:pt idx="4">
                  <c:v>2022 p.</c:v>
                </c:pt>
              </c:strCache>
            </c:strRef>
          </c:cat>
          <c:val>
            <c:numRef>
              <c:f>'Tabela 1.'!$AA$8:$AF$8</c:f>
              <c:numCache>
                <c:formatCode>0.0%</c:formatCode>
                <c:ptCount val="5"/>
                <c:pt idx="0">
                  <c:v>0.70870456213035438</c:v>
                </c:pt>
                <c:pt idx="1">
                  <c:v>0.6565593736897436</c:v>
                </c:pt>
                <c:pt idx="2">
                  <c:v>0.66622471964801899</c:v>
                </c:pt>
                <c:pt idx="3">
                  <c:v>0.66115130794736243</c:v>
                </c:pt>
                <c:pt idx="4">
                  <c:v>0.66046014998259006</c:v>
                </c:pt>
              </c:numCache>
            </c:numRef>
          </c:val>
          <c:extLst xmlns:c16r2="http://schemas.microsoft.com/office/drawing/2015/06/chart">
            <c:ext xmlns:c16="http://schemas.microsoft.com/office/drawing/2014/chart" uri="{C3380CC4-5D6E-409C-BE32-E72D297353CC}">
              <c16:uniqueId val="{00000000-8304-4AB8-9ED5-7954F1EC11E3}"/>
            </c:ext>
          </c:extLst>
        </c:ser>
        <c:ser>
          <c:idx val="1"/>
          <c:order val="1"/>
          <c:tx>
            <c:strRef>
              <c:f>'Tabela 1.'!$Z$9</c:f>
              <c:strCache>
                <c:ptCount val="1"/>
                <c:pt idx="0">
                  <c:v>Shpenzimet Kapitale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'Tabela 1.'!$AA$3:$AF$3</c:f>
              <c:strCache>
                <c:ptCount val="5"/>
                <c:pt idx="0">
                  <c:v>2018 </c:v>
                </c:pt>
                <c:pt idx="1">
                  <c:v>2019 Buxhet</c:v>
                </c:pt>
                <c:pt idx="2">
                  <c:v>2020 p.</c:v>
                </c:pt>
                <c:pt idx="3">
                  <c:v>2021 p.</c:v>
                </c:pt>
                <c:pt idx="4">
                  <c:v>2022 p.</c:v>
                </c:pt>
              </c:strCache>
            </c:strRef>
          </c:cat>
          <c:val>
            <c:numRef>
              <c:f>'Tabela 1.'!$AA$9:$AF$9</c:f>
              <c:numCache>
                <c:formatCode>0.0%</c:formatCode>
                <c:ptCount val="5"/>
                <c:pt idx="0">
                  <c:v>0.27263825592622093</c:v>
                </c:pt>
                <c:pt idx="1">
                  <c:v>0.33155859971873702</c:v>
                </c:pt>
                <c:pt idx="2">
                  <c:v>0.32161870245407381</c:v>
                </c:pt>
                <c:pt idx="3">
                  <c:v>0.32424117057508245</c:v>
                </c:pt>
                <c:pt idx="4">
                  <c:v>0.32344357065909946</c:v>
                </c:pt>
              </c:numCache>
            </c:numRef>
          </c:val>
          <c:extLst xmlns:c16r2="http://schemas.microsoft.com/office/drawing/2015/06/chart">
            <c:ext xmlns:c16="http://schemas.microsoft.com/office/drawing/2014/chart" uri="{C3380CC4-5D6E-409C-BE32-E72D297353CC}">
              <c16:uniqueId val="{00000001-8304-4AB8-9ED5-7954F1EC11E3}"/>
            </c:ext>
          </c:extLst>
        </c:ser>
        <c:ser>
          <c:idx val="2"/>
          <c:order val="2"/>
          <c:tx>
            <c:strRef>
              <c:f>'Tabela 1.'!$Z$10</c:f>
              <c:strCache>
                <c:ptCount val="1"/>
                <c:pt idx="0">
                  <c:v>Shpenzimet e Interesit</c:v>
                </c:pt>
              </c:strCache>
            </c:strRef>
          </c:tx>
          <c:spPr>
            <a:solidFill>
              <a:schemeClr val="accent3"/>
            </a:solidFill>
            <a:ln>
              <a:noFill/>
            </a:ln>
            <a:effectLst/>
          </c:spPr>
          <c:invertIfNegative val="0"/>
          <c:dLbls>
            <c:dLbl>
              <c:idx val="0"/>
              <c:layout>
                <c:manualLayout>
                  <c:x val="2.7777777777777779E-3"/>
                  <c:y val="-2.7777777777777776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304-4AB8-9ED5-7954F1EC11E3}"/>
                </c:ext>
                <c:ext xmlns:c15="http://schemas.microsoft.com/office/drawing/2012/chart" uri="{CE6537A1-D6FC-4f65-9D91-7224C49458BB}">
                  <c15:layout/>
                </c:ext>
              </c:extLst>
            </c:dLbl>
            <c:dLbl>
              <c:idx val="1"/>
              <c:layout>
                <c:manualLayout>
                  <c:x val="5.5555555555555558E-3"/>
                  <c:y val="-3.2407407407407406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304-4AB8-9ED5-7954F1EC11E3}"/>
                </c:ext>
                <c:ext xmlns:c15="http://schemas.microsoft.com/office/drawing/2012/chart" uri="{CE6537A1-D6FC-4f65-9D91-7224C49458BB}">
                  <c15:layout/>
                </c:ext>
              </c:extLst>
            </c:dLbl>
            <c:dLbl>
              <c:idx val="2"/>
              <c:layout>
                <c:manualLayout>
                  <c:x val="5.5555555555554534E-3"/>
                  <c:y val="-2.777777777777780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304-4AB8-9ED5-7954F1EC11E3}"/>
                </c:ext>
                <c:ext xmlns:c15="http://schemas.microsoft.com/office/drawing/2012/chart" uri="{CE6537A1-D6FC-4f65-9D91-7224C49458BB}">
                  <c15:layout/>
                </c:ext>
              </c:extLst>
            </c:dLbl>
            <c:dLbl>
              <c:idx val="3"/>
              <c:layout>
                <c:manualLayout>
                  <c:x val="-1.0185067526415994E-16"/>
                  <c:y val="-2.3148148148148147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304-4AB8-9ED5-7954F1EC11E3}"/>
                </c:ext>
                <c:ext xmlns:c15="http://schemas.microsoft.com/office/drawing/2012/chart" uri="{CE6537A1-D6FC-4f65-9D91-7224C49458BB}">
                  <c15:layout/>
                </c:ext>
              </c:extLst>
            </c:dLbl>
            <c:dLbl>
              <c:idx val="4"/>
              <c:layout>
                <c:manualLayout>
                  <c:x val="-2.7777777777777779E-3"/>
                  <c:y val="-2.3148148148148147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304-4AB8-9ED5-7954F1EC11E3}"/>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'Tabela 1.'!$AA$3:$AF$3</c:f>
              <c:strCache>
                <c:ptCount val="5"/>
                <c:pt idx="0">
                  <c:v>2018 </c:v>
                </c:pt>
                <c:pt idx="1">
                  <c:v>2019 Buxhet</c:v>
                </c:pt>
                <c:pt idx="2">
                  <c:v>2020 p.</c:v>
                </c:pt>
                <c:pt idx="3">
                  <c:v>2021 p.</c:v>
                </c:pt>
                <c:pt idx="4">
                  <c:v>2022 p.</c:v>
                </c:pt>
              </c:strCache>
            </c:strRef>
          </c:cat>
          <c:val>
            <c:numRef>
              <c:f>'Tabela 1.'!$AA$10:$AF$10</c:f>
              <c:numCache>
                <c:formatCode>0.0%</c:formatCode>
                <c:ptCount val="5"/>
                <c:pt idx="0">
                  <c:v>9.5704369746313234E-3</c:v>
                </c:pt>
                <c:pt idx="1">
                  <c:v>1.1882026591519337E-2</c:v>
                </c:pt>
                <c:pt idx="2">
                  <c:v>1.2156577897907129E-2</c:v>
                </c:pt>
                <c:pt idx="3">
                  <c:v>1.4607521477554982E-2</c:v>
                </c:pt>
                <c:pt idx="4">
                  <c:v>1.6096279358310515E-2</c:v>
                </c:pt>
              </c:numCache>
            </c:numRef>
          </c:val>
          <c:extLst xmlns:c16r2="http://schemas.microsoft.com/office/drawing/2015/06/chart">
            <c:ext xmlns:c16="http://schemas.microsoft.com/office/drawing/2014/chart" uri="{C3380CC4-5D6E-409C-BE32-E72D297353CC}">
              <c16:uniqueId val="{00000007-8304-4AB8-9ED5-7954F1EC11E3}"/>
            </c:ext>
          </c:extLst>
        </c:ser>
        <c:dLbls>
          <c:dLblPos val="ctr"/>
          <c:showLegendKey val="0"/>
          <c:showVal val="1"/>
          <c:showCatName val="0"/>
          <c:showSerName val="0"/>
          <c:showPercent val="0"/>
          <c:showBubbleSize val="0"/>
        </c:dLbls>
        <c:gapWidth val="150"/>
        <c:overlap val="100"/>
        <c:axId val="745380008"/>
        <c:axId val="745380400"/>
      </c:barChart>
      <c:catAx>
        <c:axId val="745380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5380400"/>
        <c:crosses val="autoZero"/>
        <c:auto val="1"/>
        <c:lblAlgn val="ctr"/>
        <c:lblOffset val="100"/>
        <c:noMultiLvlLbl val="0"/>
      </c:catAx>
      <c:valAx>
        <c:axId val="74538040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5380008"/>
        <c:crosses val="autoZero"/>
        <c:crossBetween val="between"/>
        <c:minorUnit val="0.2"/>
      </c:valAx>
      <c:spPr>
        <a:noFill/>
        <a:ln>
          <a:noFill/>
        </a:ln>
        <a:effectLst/>
      </c:spPr>
    </c:plotArea>
    <c:legend>
      <c:legendPos val="b"/>
      <c:layout>
        <c:manualLayout>
          <c:xMode val="edge"/>
          <c:yMode val="edge"/>
          <c:x val="0.11762276960053028"/>
          <c:y val="0.89275425414530529"/>
          <c:w val="0.83193179103897852"/>
          <c:h val="0.10724574585469476"/>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963611344698413E-2"/>
          <c:y val="9.2589028223323933E-2"/>
          <c:w val="0.81791096501286853"/>
          <c:h val="0.64283010919931294"/>
        </c:manualLayout>
      </c:layout>
      <c:barChart>
        <c:barDir val="col"/>
        <c:grouping val="clustered"/>
        <c:varyColors val="0"/>
        <c:ser>
          <c:idx val="2"/>
          <c:order val="1"/>
          <c:tx>
            <c:v>y_gap (right axis)</c:v>
          </c:tx>
          <c:invertIfNegative val="0"/>
          <c:cat>
            <c:strRef>
              <c:f>Graph_22_Output_GAP!$A$2:$A$39</c:f>
              <c:strCache>
                <c:ptCount val="38"/>
                <c:pt idx="0">
                  <c:v>2010Q1</c:v>
                </c:pt>
                <c:pt idx="1">
                  <c:v>2010Q2</c:v>
                </c:pt>
                <c:pt idx="2">
                  <c:v>2010Q3</c:v>
                </c:pt>
                <c:pt idx="3">
                  <c:v>2010Q4</c:v>
                </c:pt>
                <c:pt idx="4">
                  <c:v>2011Q1</c:v>
                </c:pt>
                <c:pt idx="5">
                  <c:v>2011Q2</c:v>
                </c:pt>
                <c:pt idx="6">
                  <c:v>2011Q3</c:v>
                </c:pt>
                <c:pt idx="7">
                  <c:v>2011Q4</c:v>
                </c:pt>
                <c:pt idx="8">
                  <c:v>2012Q1</c:v>
                </c:pt>
                <c:pt idx="9">
                  <c:v>2012Q2</c:v>
                </c:pt>
                <c:pt idx="10">
                  <c:v>2012Q3</c:v>
                </c:pt>
                <c:pt idx="11">
                  <c:v>2012Q4</c:v>
                </c:pt>
                <c:pt idx="12">
                  <c:v>2013Q1</c:v>
                </c:pt>
                <c:pt idx="13">
                  <c:v>2013Q2</c:v>
                </c:pt>
                <c:pt idx="14">
                  <c:v>2013Q3</c:v>
                </c:pt>
                <c:pt idx="15">
                  <c:v>2013Q4</c:v>
                </c:pt>
                <c:pt idx="16">
                  <c:v>2014Q1</c:v>
                </c:pt>
                <c:pt idx="17">
                  <c:v>2014Q2</c:v>
                </c:pt>
                <c:pt idx="18">
                  <c:v>2014Q3</c:v>
                </c:pt>
                <c:pt idx="19">
                  <c:v>2014Q4</c:v>
                </c:pt>
                <c:pt idx="20">
                  <c:v>2015Q1</c:v>
                </c:pt>
                <c:pt idx="21">
                  <c:v>2015Q2</c:v>
                </c:pt>
                <c:pt idx="22">
                  <c:v>2015Q3</c:v>
                </c:pt>
                <c:pt idx="23">
                  <c:v>2015Q4</c:v>
                </c:pt>
                <c:pt idx="24">
                  <c:v>2016Q1</c:v>
                </c:pt>
                <c:pt idx="25">
                  <c:v>2016Q2</c:v>
                </c:pt>
                <c:pt idx="26">
                  <c:v>2016Q3</c:v>
                </c:pt>
                <c:pt idx="27">
                  <c:v>2016Q4</c:v>
                </c:pt>
                <c:pt idx="28">
                  <c:v>2017Q1</c:v>
                </c:pt>
                <c:pt idx="29">
                  <c:v>2017Q2</c:v>
                </c:pt>
                <c:pt idx="30">
                  <c:v>2017Q3</c:v>
                </c:pt>
                <c:pt idx="31">
                  <c:v>2017Q4</c:v>
                </c:pt>
                <c:pt idx="32">
                  <c:v>2018Q1</c:v>
                </c:pt>
                <c:pt idx="33">
                  <c:v>2018Q2</c:v>
                </c:pt>
                <c:pt idx="34">
                  <c:v>2018Q3</c:v>
                </c:pt>
                <c:pt idx="35">
                  <c:v>2018Q4</c:v>
                </c:pt>
                <c:pt idx="36">
                  <c:v>2019Q1</c:v>
                </c:pt>
                <c:pt idx="37">
                  <c:v>2019Q2</c:v>
                </c:pt>
              </c:strCache>
            </c:strRef>
          </c:cat>
          <c:val>
            <c:numRef>
              <c:f>Graph_22_Output_GAP!$E$2:$E$39</c:f>
              <c:numCache>
                <c:formatCode>0.0000</c:formatCode>
                <c:ptCount val="38"/>
                <c:pt idx="0">
                  <c:v>-8.8923640187932307E-2</c:v>
                </c:pt>
                <c:pt idx="1">
                  <c:v>-6.6527701116136928E-2</c:v>
                </c:pt>
                <c:pt idx="2">
                  <c:v>-1.1162201891305679</c:v>
                </c:pt>
                <c:pt idx="3">
                  <c:v>-0.80824013799470906</c:v>
                </c:pt>
                <c:pt idx="4">
                  <c:v>5.4721321836343595</c:v>
                </c:pt>
                <c:pt idx="5">
                  <c:v>-1.3768498181580546</c:v>
                </c:pt>
                <c:pt idx="6">
                  <c:v>-0.67225800168352334</c:v>
                </c:pt>
                <c:pt idx="7">
                  <c:v>-0.77601725717865166</c:v>
                </c:pt>
                <c:pt idx="8">
                  <c:v>-1.0408575572585455</c:v>
                </c:pt>
                <c:pt idx="9">
                  <c:v>-0.84383233328358953</c:v>
                </c:pt>
                <c:pt idx="10">
                  <c:v>-0.5865628167397885</c:v>
                </c:pt>
                <c:pt idx="11">
                  <c:v>4.680265353603108</c:v>
                </c:pt>
                <c:pt idx="12">
                  <c:v>2.8689294766594653</c:v>
                </c:pt>
                <c:pt idx="13">
                  <c:v>1.7178174117887579</c:v>
                </c:pt>
                <c:pt idx="14">
                  <c:v>-0.13574046415987251</c:v>
                </c:pt>
                <c:pt idx="15">
                  <c:v>-0.68253473770780726</c:v>
                </c:pt>
                <c:pt idx="16">
                  <c:v>-0.75515845218731004</c:v>
                </c:pt>
                <c:pt idx="17">
                  <c:v>-1.5775285566792863</c:v>
                </c:pt>
                <c:pt idx="18">
                  <c:v>-1.1708431558936305</c:v>
                </c:pt>
                <c:pt idx="19">
                  <c:v>-1.1856273972868814</c:v>
                </c:pt>
                <c:pt idx="20">
                  <c:v>-1.0046616457475954</c:v>
                </c:pt>
                <c:pt idx="21">
                  <c:v>-0.5602981086981651</c:v>
                </c:pt>
                <c:pt idx="22">
                  <c:v>-0.35209904860769026</c:v>
                </c:pt>
                <c:pt idx="23">
                  <c:v>-0.12263360660145217</c:v>
                </c:pt>
                <c:pt idx="24">
                  <c:v>5.9471780691655596E-3</c:v>
                </c:pt>
                <c:pt idx="25">
                  <c:v>-0.23440811258621519</c:v>
                </c:pt>
                <c:pt idx="26">
                  <c:v>-0.11716322089794229</c:v>
                </c:pt>
                <c:pt idx="27">
                  <c:v>-0.16190250778520543</c:v>
                </c:pt>
                <c:pt idx="28">
                  <c:v>-3.978616351414388E-2</c:v>
                </c:pt>
                <c:pt idx="29">
                  <c:v>9.0862958898529911E-2</c:v>
                </c:pt>
                <c:pt idx="30">
                  <c:v>0.15947819961115162</c:v>
                </c:pt>
                <c:pt idx="31">
                  <c:v>0.11742401619476706</c:v>
                </c:pt>
                <c:pt idx="32">
                  <c:v>-8.971759762551601E-2</c:v>
                </c:pt>
                <c:pt idx="33">
                  <c:v>-7.240265398988921E-3</c:v>
                </c:pt>
                <c:pt idx="34">
                  <c:v>-8.4634041195308374E-2</c:v>
                </c:pt>
                <c:pt idx="35">
                  <c:v>-8.3081116731731353E-2</c:v>
                </c:pt>
                <c:pt idx="36">
                  <c:v>-0.1378225514154896</c:v>
                </c:pt>
                <c:pt idx="37">
                  <c:v>-0.18760739366162626</c:v>
                </c:pt>
              </c:numCache>
            </c:numRef>
          </c:val>
          <c:extLst xmlns:c16r2="http://schemas.microsoft.com/office/drawing/2015/06/chart">
            <c:ext xmlns:c16="http://schemas.microsoft.com/office/drawing/2014/chart" uri="{C3380CC4-5D6E-409C-BE32-E72D297353CC}">
              <c16:uniqueId val="{00000000-2CAD-44B4-AB3F-091FCDBDDCFC}"/>
            </c:ext>
          </c:extLst>
        </c:ser>
        <c:dLbls>
          <c:showLegendKey val="0"/>
          <c:showVal val="0"/>
          <c:showCatName val="0"/>
          <c:showSerName val="0"/>
          <c:showPercent val="0"/>
          <c:showBubbleSize val="0"/>
        </c:dLbls>
        <c:gapWidth val="150"/>
        <c:axId val="2134568"/>
        <c:axId val="405616496"/>
      </c:barChart>
      <c:lineChart>
        <c:grouping val="standard"/>
        <c:varyColors val="0"/>
        <c:ser>
          <c:idx val="1"/>
          <c:order val="0"/>
          <c:tx>
            <c:v>y</c:v>
          </c:tx>
          <c:spPr>
            <a:ln w="28575" cap="rnd">
              <a:solidFill>
                <a:schemeClr val="accent2"/>
              </a:solidFill>
              <a:round/>
            </a:ln>
            <a:effectLst/>
          </c:spPr>
          <c:marker>
            <c:symbol val="none"/>
          </c:marker>
          <c:cat>
            <c:strRef>
              <c:f>Graph_22_Output_GAP!$A$2:$A$40</c:f>
              <c:strCache>
                <c:ptCount val="38"/>
                <c:pt idx="0">
                  <c:v>2010Q1</c:v>
                </c:pt>
                <c:pt idx="1">
                  <c:v>2010Q2</c:v>
                </c:pt>
                <c:pt idx="2">
                  <c:v>2010Q3</c:v>
                </c:pt>
                <c:pt idx="3">
                  <c:v>2010Q4</c:v>
                </c:pt>
                <c:pt idx="4">
                  <c:v>2011Q1</c:v>
                </c:pt>
                <c:pt idx="5">
                  <c:v>2011Q2</c:v>
                </c:pt>
                <c:pt idx="6">
                  <c:v>2011Q3</c:v>
                </c:pt>
                <c:pt idx="7">
                  <c:v>2011Q4</c:v>
                </c:pt>
                <c:pt idx="8">
                  <c:v>2012Q1</c:v>
                </c:pt>
                <c:pt idx="9">
                  <c:v>2012Q2</c:v>
                </c:pt>
                <c:pt idx="10">
                  <c:v>2012Q3</c:v>
                </c:pt>
                <c:pt idx="11">
                  <c:v>2012Q4</c:v>
                </c:pt>
                <c:pt idx="12">
                  <c:v>2013Q1</c:v>
                </c:pt>
                <c:pt idx="13">
                  <c:v>2013Q2</c:v>
                </c:pt>
                <c:pt idx="14">
                  <c:v>2013Q3</c:v>
                </c:pt>
                <c:pt idx="15">
                  <c:v>2013Q4</c:v>
                </c:pt>
                <c:pt idx="16">
                  <c:v>2014Q1</c:v>
                </c:pt>
                <c:pt idx="17">
                  <c:v>2014Q2</c:v>
                </c:pt>
                <c:pt idx="18">
                  <c:v>2014Q3</c:v>
                </c:pt>
                <c:pt idx="19">
                  <c:v>2014Q4</c:v>
                </c:pt>
                <c:pt idx="20">
                  <c:v>2015Q1</c:v>
                </c:pt>
                <c:pt idx="21">
                  <c:v>2015Q2</c:v>
                </c:pt>
                <c:pt idx="22">
                  <c:v>2015Q3</c:v>
                </c:pt>
                <c:pt idx="23">
                  <c:v>2015Q4</c:v>
                </c:pt>
                <c:pt idx="24">
                  <c:v>2016Q1</c:v>
                </c:pt>
                <c:pt idx="25">
                  <c:v>2016Q2</c:v>
                </c:pt>
                <c:pt idx="26">
                  <c:v>2016Q3</c:v>
                </c:pt>
                <c:pt idx="27">
                  <c:v>2016Q4</c:v>
                </c:pt>
                <c:pt idx="28">
                  <c:v>2017Q1</c:v>
                </c:pt>
                <c:pt idx="29">
                  <c:v>2017Q2</c:v>
                </c:pt>
                <c:pt idx="30">
                  <c:v>2017Q3</c:v>
                </c:pt>
                <c:pt idx="31">
                  <c:v>2017Q4</c:v>
                </c:pt>
                <c:pt idx="32">
                  <c:v>2018Q1</c:v>
                </c:pt>
                <c:pt idx="33">
                  <c:v>2018Q2</c:v>
                </c:pt>
                <c:pt idx="34">
                  <c:v>2018Q3</c:v>
                </c:pt>
                <c:pt idx="35">
                  <c:v>2018Q4</c:v>
                </c:pt>
                <c:pt idx="36">
                  <c:v>2019Q1</c:v>
                </c:pt>
                <c:pt idx="37">
                  <c:v>2019Q2</c:v>
                </c:pt>
              </c:strCache>
            </c:strRef>
          </c:cat>
          <c:val>
            <c:numRef>
              <c:f>Graph_22_Output_GAP!$D$2:$D$39</c:f>
              <c:numCache>
                <c:formatCode>0.00</c:formatCode>
                <c:ptCount val="38"/>
                <c:pt idx="0">
                  <c:v>1222.4487999999999</c:v>
                </c:pt>
                <c:pt idx="1">
                  <c:v>1232.9681</c:v>
                </c:pt>
                <c:pt idx="2">
                  <c:v>1230.1541</c:v>
                </c:pt>
                <c:pt idx="3">
                  <c:v>1244.1522</c:v>
                </c:pt>
                <c:pt idx="4">
                  <c:v>1333.7243000000001</c:v>
                </c:pt>
                <c:pt idx="5">
                  <c:v>1257.1863000000001</c:v>
                </c:pt>
                <c:pt idx="6">
                  <c:v>1276.3082999999999</c:v>
                </c:pt>
                <c:pt idx="7">
                  <c:v>1285.1197999999999</c:v>
                </c:pt>
                <c:pt idx="8">
                  <c:v>1291.8329000000001</c:v>
                </c:pt>
                <c:pt idx="9">
                  <c:v>1304.5983000000001</c:v>
                </c:pt>
                <c:pt idx="10">
                  <c:v>1318.229</c:v>
                </c:pt>
                <c:pt idx="11">
                  <c:v>1398.8719000000001</c:v>
                </c:pt>
                <c:pt idx="12">
                  <c:v>1385.2831000000001</c:v>
                </c:pt>
                <c:pt idx="13">
                  <c:v>1380.3022000000001</c:v>
                </c:pt>
                <c:pt idx="14">
                  <c:v>1365.548</c:v>
                </c:pt>
                <c:pt idx="15">
                  <c:v>1368.5433</c:v>
                </c:pt>
                <c:pt idx="16">
                  <c:v>1378.1980000000001</c:v>
                </c:pt>
                <c:pt idx="17">
                  <c:v>1377.5882999999999</c:v>
                </c:pt>
                <c:pt idx="18">
                  <c:v>1394.4277</c:v>
                </c:pt>
                <c:pt idx="19">
                  <c:v>1405.6907000000001</c:v>
                </c:pt>
                <c:pt idx="20">
                  <c:v>1420.1083000000001</c:v>
                </c:pt>
                <c:pt idx="21">
                  <c:v>1438.7449999999999</c:v>
                </c:pt>
                <c:pt idx="22">
                  <c:v>1454.4164000000001</c:v>
                </c:pt>
                <c:pt idx="23">
                  <c:v>1470.8253999999999</c:v>
                </c:pt>
                <c:pt idx="24">
                  <c:v>1486.164</c:v>
                </c:pt>
                <c:pt idx="25">
                  <c:v>1496.3677</c:v>
                </c:pt>
                <c:pt idx="26">
                  <c:v>1512.2764999999999</c:v>
                </c:pt>
                <c:pt idx="27">
                  <c:v>1526.0944999999999</c:v>
                </c:pt>
                <c:pt idx="28">
                  <c:v>1542.8181</c:v>
                </c:pt>
                <c:pt idx="29">
                  <c:v>1560.0456999999999</c:v>
                </c:pt>
                <c:pt idx="30">
                  <c:v>1576.6617000000001</c:v>
                </c:pt>
                <c:pt idx="31">
                  <c:v>1591.8554999999999</c:v>
                </c:pt>
                <c:pt idx="32">
                  <c:v>1604.6926000000001</c:v>
                </c:pt>
                <c:pt idx="33">
                  <c:v>1622.4628</c:v>
                </c:pt>
                <c:pt idx="34">
                  <c:v>1637.9339</c:v>
                </c:pt>
                <c:pt idx="35">
                  <c:v>1654.9733000000001</c:v>
                </c:pt>
                <c:pt idx="36">
                  <c:v>1671.3497</c:v>
                </c:pt>
                <c:pt idx="37">
                  <c:v>1688.0603000000001</c:v>
                </c:pt>
              </c:numCache>
            </c:numRef>
          </c:val>
          <c:smooth val="1"/>
          <c:extLst xmlns:c16r2="http://schemas.microsoft.com/office/drawing/2015/06/chart">
            <c:ext xmlns:c16="http://schemas.microsoft.com/office/drawing/2014/chart" uri="{C3380CC4-5D6E-409C-BE32-E72D297353CC}">
              <c16:uniqueId val="{00000001-2CAD-44B4-AB3F-091FCDBDDCFC}"/>
            </c:ext>
          </c:extLst>
        </c:ser>
        <c:ser>
          <c:idx val="0"/>
          <c:order val="2"/>
          <c:tx>
            <c:v>y_pot</c:v>
          </c:tx>
          <c:spPr>
            <a:ln w="28575" cap="rnd">
              <a:solidFill>
                <a:schemeClr val="accent1"/>
              </a:solidFill>
              <a:round/>
            </a:ln>
            <a:effectLst/>
          </c:spPr>
          <c:marker>
            <c:symbol val="none"/>
          </c:marker>
          <c:cat>
            <c:strRef>
              <c:f>Graph_22_Output_GAP!$A$2:$A$40</c:f>
              <c:strCache>
                <c:ptCount val="38"/>
                <c:pt idx="0">
                  <c:v>2010Q1</c:v>
                </c:pt>
                <c:pt idx="1">
                  <c:v>2010Q2</c:v>
                </c:pt>
                <c:pt idx="2">
                  <c:v>2010Q3</c:v>
                </c:pt>
                <c:pt idx="3">
                  <c:v>2010Q4</c:v>
                </c:pt>
                <c:pt idx="4">
                  <c:v>2011Q1</c:v>
                </c:pt>
                <c:pt idx="5">
                  <c:v>2011Q2</c:v>
                </c:pt>
                <c:pt idx="6">
                  <c:v>2011Q3</c:v>
                </c:pt>
                <c:pt idx="7">
                  <c:v>2011Q4</c:v>
                </c:pt>
                <c:pt idx="8">
                  <c:v>2012Q1</c:v>
                </c:pt>
                <c:pt idx="9">
                  <c:v>2012Q2</c:v>
                </c:pt>
                <c:pt idx="10">
                  <c:v>2012Q3</c:v>
                </c:pt>
                <c:pt idx="11">
                  <c:v>2012Q4</c:v>
                </c:pt>
                <c:pt idx="12">
                  <c:v>2013Q1</c:v>
                </c:pt>
                <c:pt idx="13">
                  <c:v>2013Q2</c:v>
                </c:pt>
                <c:pt idx="14">
                  <c:v>2013Q3</c:v>
                </c:pt>
                <c:pt idx="15">
                  <c:v>2013Q4</c:v>
                </c:pt>
                <c:pt idx="16">
                  <c:v>2014Q1</c:v>
                </c:pt>
                <c:pt idx="17">
                  <c:v>2014Q2</c:v>
                </c:pt>
                <c:pt idx="18">
                  <c:v>2014Q3</c:v>
                </c:pt>
                <c:pt idx="19">
                  <c:v>2014Q4</c:v>
                </c:pt>
                <c:pt idx="20">
                  <c:v>2015Q1</c:v>
                </c:pt>
                <c:pt idx="21">
                  <c:v>2015Q2</c:v>
                </c:pt>
                <c:pt idx="22">
                  <c:v>2015Q3</c:v>
                </c:pt>
                <c:pt idx="23">
                  <c:v>2015Q4</c:v>
                </c:pt>
                <c:pt idx="24">
                  <c:v>2016Q1</c:v>
                </c:pt>
                <c:pt idx="25">
                  <c:v>2016Q2</c:v>
                </c:pt>
                <c:pt idx="26">
                  <c:v>2016Q3</c:v>
                </c:pt>
                <c:pt idx="27">
                  <c:v>2016Q4</c:v>
                </c:pt>
                <c:pt idx="28">
                  <c:v>2017Q1</c:v>
                </c:pt>
                <c:pt idx="29">
                  <c:v>2017Q2</c:v>
                </c:pt>
                <c:pt idx="30">
                  <c:v>2017Q3</c:v>
                </c:pt>
                <c:pt idx="31">
                  <c:v>2017Q4</c:v>
                </c:pt>
                <c:pt idx="32">
                  <c:v>2018Q1</c:v>
                </c:pt>
                <c:pt idx="33">
                  <c:v>2018Q2</c:v>
                </c:pt>
                <c:pt idx="34">
                  <c:v>2018Q3</c:v>
                </c:pt>
                <c:pt idx="35">
                  <c:v>2018Q4</c:v>
                </c:pt>
                <c:pt idx="36">
                  <c:v>2019Q1</c:v>
                </c:pt>
                <c:pt idx="37">
                  <c:v>2019Q2</c:v>
                </c:pt>
              </c:strCache>
            </c:strRef>
          </c:cat>
          <c:val>
            <c:numRef>
              <c:f>Graph_22_Output_GAP!$C$2:$C$39</c:f>
              <c:numCache>
                <c:formatCode>0.00</c:formatCode>
                <c:ptCount val="38"/>
                <c:pt idx="0">
                  <c:v>1223.53681347358</c:v>
                </c:pt>
                <c:pt idx="1">
                  <c:v>1233.7889113993799</c:v>
                </c:pt>
                <c:pt idx="2">
                  <c:v>1244.0403293167601</c:v>
                </c:pt>
                <c:pt idx="3">
                  <c:v>1254.28987421017</c:v>
                </c:pt>
                <c:pt idx="4">
                  <c:v>1264.5276741707401</c:v>
                </c:pt>
                <c:pt idx="5">
                  <c:v>1274.73752124323</c:v>
                </c:pt>
                <c:pt idx="6">
                  <c:v>1284.94645536353</c:v>
                </c:pt>
                <c:pt idx="7">
                  <c:v>1295.1705469542601</c:v>
                </c:pt>
                <c:pt idx="8">
                  <c:v>1305.42046759092</c:v>
                </c:pt>
                <c:pt idx="9">
                  <c:v>1315.70060713219</c:v>
                </c:pt>
                <c:pt idx="10">
                  <c:v>1326.0068632069899</c:v>
                </c:pt>
                <c:pt idx="11">
                  <c:v>1336.32819450228</c:v>
                </c:pt>
                <c:pt idx="12">
                  <c:v>1346.6486985405199</c:v>
                </c:pt>
                <c:pt idx="13">
                  <c:v>1356.9915626601201</c:v>
                </c:pt>
                <c:pt idx="14">
                  <c:v>1367.40412070038</c:v>
                </c:pt>
                <c:pt idx="15">
                  <c:v>1377.9482756489499</c:v>
                </c:pt>
                <c:pt idx="16">
                  <c:v>1388.68477041805</c:v>
                </c:pt>
                <c:pt idx="17">
                  <c:v>1399.6684698100901</c:v>
                </c:pt>
                <c:pt idx="18">
                  <c:v>1410.9476843959901</c:v>
                </c:pt>
                <c:pt idx="19">
                  <c:v>1422.55692464054</c:v>
                </c:pt>
                <c:pt idx="20">
                  <c:v>1434.5203760182901</c:v>
                </c:pt>
                <c:pt idx="21">
                  <c:v>1446.85168261335</c:v>
                </c:pt>
                <c:pt idx="22">
                  <c:v>1459.55548096237</c:v>
                </c:pt>
                <c:pt idx="23">
                  <c:v>1472.63134092532</c:v>
                </c:pt>
                <c:pt idx="24">
                  <c:v>1486.0756204366101</c:v>
                </c:pt>
                <c:pt idx="25">
                  <c:v>1499.88354871754</c:v>
                </c:pt>
                <c:pt idx="26">
                  <c:v>1514.05041022664</c:v>
                </c:pt>
                <c:pt idx="27">
                  <c:v>1528.56929201701</c:v>
                </c:pt>
                <c:pt idx="28">
                  <c:v>1543.43217244786</c:v>
                </c:pt>
                <c:pt idx="29">
                  <c:v>1558.6294831333601</c:v>
                </c:pt>
                <c:pt idx="30">
                  <c:v>1574.15127189243</c:v>
                </c:pt>
                <c:pt idx="31">
                  <c:v>1589.98847167952</c:v>
                </c:pt>
                <c:pt idx="32">
                  <c:v>1606.1335844666401</c:v>
                </c:pt>
                <c:pt idx="33">
                  <c:v>1622.5802791185199</c:v>
                </c:pt>
                <c:pt idx="34">
                  <c:v>1639.3213238845799</c:v>
                </c:pt>
                <c:pt idx="35">
                  <c:v>1656.3494135897899</c:v>
                </c:pt>
                <c:pt idx="36">
                  <c:v>1673.65637591922</c:v>
                </c:pt>
                <c:pt idx="37">
                  <c:v>1691.2331784869</c:v>
                </c:pt>
              </c:numCache>
            </c:numRef>
          </c:val>
          <c:smooth val="0"/>
          <c:extLst xmlns:c16r2="http://schemas.microsoft.com/office/drawing/2015/06/chart">
            <c:ext xmlns:c16="http://schemas.microsoft.com/office/drawing/2014/chart" uri="{C3380CC4-5D6E-409C-BE32-E72D297353CC}">
              <c16:uniqueId val="{00000002-2CAD-44B4-AB3F-091FCDBDDCFC}"/>
            </c:ext>
          </c:extLst>
        </c:ser>
        <c:dLbls>
          <c:showLegendKey val="0"/>
          <c:showVal val="0"/>
          <c:showCatName val="0"/>
          <c:showSerName val="0"/>
          <c:showPercent val="0"/>
          <c:showBubbleSize val="0"/>
        </c:dLbls>
        <c:marker val="1"/>
        <c:smooth val="0"/>
        <c:axId val="405615712"/>
        <c:axId val="405616104"/>
      </c:lineChart>
      <c:catAx>
        <c:axId val="405615712"/>
        <c:scaling>
          <c:orientation val="minMax"/>
        </c:scaling>
        <c:delete val="0"/>
        <c:axPos val="b"/>
        <c:title>
          <c:tx>
            <c:rich>
              <a:bodyPr rot="0" spcFirstLastPara="1" vertOverflow="ellipsis" vert="horz" wrap="square" anchor="ctr" anchorCtr="1"/>
              <a:lstStyle/>
              <a:p>
                <a:pPr>
                  <a:defRPr sz="1000" b="0" i="1" u="none" strike="noStrike" kern="1200" baseline="0">
                    <a:solidFill>
                      <a:schemeClr val="tx1"/>
                    </a:solidFill>
                    <a:latin typeface="+mn-lt"/>
                    <a:ea typeface="+mn-ea"/>
                    <a:cs typeface="+mn-cs"/>
                  </a:defRPr>
                </a:pPr>
                <a:r>
                  <a:rPr lang="en-US" i="1">
                    <a:solidFill>
                      <a:schemeClr val="tx1"/>
                    </a:solidFill>
                  </a:rPr>
                  <a:t>in %</a:t>
                </a:r>
              </a:p>
            </c:rich>
          </c:tx>
          <c:layout>
            <c:manualLayout>
              <c:xMode val="edge"/>
              <c:yMode val="edge"/>
              <c:x val="0.91941812828951919"/>
              <c:y val="1.6365129931277681E-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616104"/>
        <c:crosses val="autoZero"/>
        <c:auto val="1"/>
        <c:lblAlgn val="ctr"/>
        <c:lblOffset val="100"/>
        <c:noMultiLvlLbl val="0"/>
      </c:catAx>
      <c:valAx>
        <c:axId val="405616104"/>
        <c:scaling>
          <c:orientation val="minMax"/>
          <c:min val="1000"/>
        </c:scaling>
        <c:delete val="0"/>
        <c:axPos val="l"/>
        <c:majorGridlines>
          <c:spPr>
            <a:ln w="9525" cap="flat" cmpd="sng" algn="ctr">
              <a:solidFill>
                <a:schemeClr val="tx1">
                  <a:lumMod val="15000"/>
                  <a:lumOff val="85000"/>
                </a:schemeClr>
              </a:solidFill>
              <a:prstDash val="dash"/>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615712"/>
        <c:crosses val="autoZero"/>
        <c:crossBetween val="between"/>
      </c:valAx>
      <c:valAx>
        <c:axId val="405616496"/>
        <c:scaling>
          <c:orientation val="minMax"/>
          <c:max val="15"/>
        </c:scaling>
        <c:delete val="0"/>
        <c:axPos val="r"/>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4568"/>
        <c:crosses val="max"/>
        <c:crossBetween val="between"/>
      </c:valAx>
      <c:catAx>
        <c:axId val="2134568"/>
        <c:scaling>
          <c:orientation val="minMax"/>
        </c:scaling>
        <c:delete val="1"/>
        <c:axPos val="b"/>
        <c:title>
          <c:tx>
            <c:rich>
              <a:bodyPr rot="0" spcFirstLastPara="1" vertOverflow="ellipsis" vert="horz" wrap="square" anchor="ctr" anchorCtr="1"/>
              <a:lstStyle/>
              <a:p>
                <a:pPr>
                  <a:defRPr sz="1000" b="0" i="1" u="none" strike="noStrike" kern="1200" baseline="0">
                    <a:solidFill>
                      <a:schemeClr val="tx1"/>
                    </a:solidFill>
                    <a:latin typeface="+mn-lt"/>
                    <a:ea typeface="+mn-ea"/>
                    <a:cs typeface="+mn-cs"/>
                  </a:defRPr>
                </a:pPr>
                <a:r>
                  <a:rPr lang="en-US" i="1">
                    <a:solidFill>
                      <a:schemeClr val="tx1"/>
                    </a:solidFill>
                  </a:rPr>
                  <a:t>mln</a:t>
                </a:r>
                <a:r>
                  <a:rPr lang="en-US" i="1" baseline="0">
                    <a:solidFill>
                      <a:schemeClr val="tx1"/>
                    </a:solidFill>
                  </a:rPr>
                  <a:t> Eur</a:t>
                </a:r>
                <a:endParaRPr lang="en-US" i="1">
                  <a:solidFill>
                    <a:schemeClr val="tx1"/>
                  </a:solidFill>
                </a:endParaRPr>
              </a:p>
            </c:rich>
          </c:tx>
          <c:layout>
            <c:manualLayout>
              <c:xMode val="edge"/>
              <c:yMode val="edge"/>
              <c:x val="8.2956297129525482E-3"/>
              <c:y val="4.216324811250444E-3"/>
            </c:manualLayout>
          </c:layout>
          <c:overlay val="0"/>
          <c:spPr>
            <a:noFill/>
            <a:ln>
              <a:noFill/>
            </a:ln>
            <a:effectLst/>
          </c:spPr>
        </c:title>
        <c:numFmt formatCode="General" sourceLinked="1"/>
        <c:majorTickMark val="out"/>
        <c:minorTickMark val="none"/>
        <c:tickLblPos val="nextTo"/>
        <c:crossAx val="405616496"/>
        <c:crosses val="autoZero"/>
        <c:auto val="1"/>
        <c:lblAlgn val="ctr"/>
        <c:lblOffset val="100"/>
        <c:noMultiLvlLbl val="0"/>
      </c:catAx>
      <c:spPr>
        <a:noFill/>
        <a:ln>
          <a:noFill/>
        </a:ln>
        <a:effectLst/>
      </c:spPr>
    </c:plotArea>
    <c:legend>
      <c:legendPos val="b"/>
      <c:layout>
        <c:manualLayout>
          <c:xMode val="edge"/>
          <c:yMode val="edge"/>
          <c:x val="6.1469260786846086E-2"/>
          <c:y val="0.8899355173195943"/>
          <c:w val="0.86802066408365619"/>
          <c:h val="8.298208094358576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726514383721832"/>
          <c:y val="7.6121880703998293E-2"/>
          <c:w val="0.61106000363815915"/>
          <c:h val="0.82235527665640784"/>
        </c:manualLayout>
      </c:layout>
      <c:pieChart>
        <c:varyColors val="1"/>
        <c:ser>
          <c:idx val="0"/>
          <c:order val="0"/>
          <c:tx>
            <c:strRef>
              <c:f>'10b and B'!$A$146</c:f>
              <c:strCache>
                <c:ptCount val="1"/>
                <c:pt idx="0">
                  <c:v>Total Expenditures 2019-2021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952-BB4B-8E06-15B7A1DAFD55}"/>
              </c:ext>
            </c:extLst>
          </c:dPt>
          <c:dPt>
            <c:idx val="1"/>
            <c:bubble3D val="0"/>
            <c:spPr>
              <a:solidFill>
                <a:schemeClr val="accent6">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E952-BB4B-8E06-15B7A1DAFD5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952-BB4B-8E06-15B7A1DAFD5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952-BB4B-8E06-15B7A1DAFD55}"/>
              </c:ext>
            </c:extLst>
          </c:dPt>
          <c:dLbls>
            <c:dLbl>
              <c:idx val="0"/>
              <c:layout>
                <c:manualLayout>
                  <c:x val="-0.18902666606521415"/>
                  <c:y val="3.1210986267166041E-3"/>
                </c:manualLayout>
              </c:layout>
              <c:tx>
                <c:rich>
                  <a:bodyPr/>
                  <a:lstStyle/>
                  <a:p>
                    <a:r>
                      <a:rPr lang="en-US"/>
                      <a:t>Pagat dhe mëditjet</a:t>
                    </a:r>
                    <a:r>
                      <a:rPr lang="en-US" baseline="0"/>
                      <a:t>, </a:t>
                    </a:r>
                    <a:fld id="{36A9DCFE-0832-A145-B71A-E754993D7A38}" type="VALUE">
                      <a:rPr lang="en-US" baseline="0"/>
                      <a:pPr/>
                      <a:t>[VALUE]</a:t>
                    </a:fld>
                    <a:r>
                      <a:rPr lang="en-US" baseline="0"/>
                      <a:t>, </a:t>
                    </a:r>
                  </a:p>
                  <a:p>
                    <a:fld id="{6D2202EC-6AF5-804C-A085-63EEEA57EC90}" type="PERCENTAGE">
                      <a:rPr lang="en-US" baseline="0"/>
                      <a:pPr/>
                      <a:t>[PERCENTAGE]</a:t>
                    </a:fld>
                    <a:endParaRPr lang="en-US"/>
                  </a:p>
                </c:rich>
              </c:tx>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E952-BB4B-8E06-15B7A1DAFD55}"/>
                </c:ext>
                <c:ext xmlns:c15="http://schemas.microsoft.com/office/drawing/2012/chart" uri="{CE6537A1-D6FC-4f65-9D91-7224C49458BB}">
                  <c15:layout/>
                  <c15:dlblFieldTable/>
                  <c15:showDataLabelsRange val="0"/>
                </c:ext>
              </c:extLst>
            </c:dLbl>
            <c:dLbl>
              <c:idx val="1"/>
              <c:layout>
                <c:manualLayout>
                  <c:x val="0.17777185166855719"/>
                  <c:y val="2.902600176432945E-2"/>
                </c:manualLayout>
              </c:layout>
              <c:tx>
                <c:rich>
                  <a:bodyPr/>
                  <a:lstStyle/>
                  <a:p>
                    <a:r>
                      <a:rPr lang="en-US"/>
                      <a:t>Mallrat dhe shërbimet</a:t>
                    </a:r>
                    <a:r>
                      <a:rPr lang="en-US" baseline="0"/>
                      <a:t>, </a:t>
                    </a:r>
                    <a:fld id="{B443E475-AD77-6948-BAB4-FF64153CA212}" type="VALUE">
                      <a:rPr lang="en-US" baseline="0"/>
                      <a:pPr/>
                      <a:t>[VALUE]</a:t>
                    </a:fld>
                    <a:r>
                      <a:rPr lang="en-US" baseline="0"/>
                      <a:t>, </a:t>
                    </a:r>
                  </a:p>
                  <a:p>
                    <a:fld id="{99FD22DC-C1D5-A34F-A979-1D164983DEA7}" type="PERCENTAGE">
                      <a:rPr lang="en-US" baseline="0"/>
                      <a:pPr/>
                      <a:t>[PERCENTAGE]</a:t>
                    </a:fld>
                    <a:endParaRPr lang="en-US"/>
                  </a:p>
                </c:rich>
              </c:tx>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E952-BB4B-8E06-15B7A1DAFD55}"/>
                </c:ext>
                <c:ext xmlns:c15="http://schemas.microsoft.com/office/drawing/2012/chart" uri="{CE6537A1-D6FC-4f65-9D91-7224C49458BB}">
                  <c15:layout/>
                  <c15:dlblFieldTable/>
                  <c15:showDataLabelsRange val="0"/>
                </c:ext>
              </c:extLst>
            </c:dLbl>
            <c:dLbl>
              <c:idx val="2"/>
              <c:layout>
                <c:manualLayout>
                  <c:x val="-1.6651507670452086E-2"/>
                  <c:y val="-7.1690554279239052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accent5">
                            <a:lumMod val="50000"/>
                          </a:schemeClr>
                        </a:solidFill>
                        <a:latin typeface="+mn-lt"/>
                        <a:ea typeface="+mn-ea"/>
                        <a:cs typeface="+mn-cs"/>
                      </a:defRPr>
                    </a:pPr>
                    <a:r>
                      <a:rPr lang="en-US"/>
                      <a:t>Subvencionet dhe transferet</a:t>
                    </a:r>
                    <a:r>
                      <a:rPr lang="en-US" baseline="0"/>
                      <a:t>, </a:t>
                    </a:r>
                    <a:fld id="{F2A79C65-C77F-AE45-A62E-BBED5BFFEB92}" type="VALUE">
                      <a:rPr lang="en-US" baseline="0"/>
                      <a:pPr>
                        <a:defRPr b="1">
                          <a:solidFill>
                            <a:schemeClr val="accent5">
                              <a:lumMod val="50000"/>
                            </a:schemeClr>
                          </a:solidFill>
                        </a:defRPr>
                      </a:pPr>
                      <a:t>[VALUE]</a:t>
                    </a:fld>
                    <a:r>
                      <a:rPr lang="en-US" baseline="0"/>
                      <a:t>, </a:t>
                    </a:r>
                  </a:p>
                  <a:p>
                    <a:pPr>
                      <a:defRPr b="1">
                        <a:solidFill>
                          <a:schemeClr val="accent5">
                            <a:lumMod val="50000"/>
                          </a:schemeClr>
                        </a:solidFill>
                      </a:defRPr>
                    </a:pPr>
                    <a:fld id="{DF05538A-8988-8B4B-9C33-F0BC825A8CD7}" type="PERCENTAGE">
                      <a:rPr lang="en-US" baseline="0"/>
                      <a:pPr>
                        <a:defRPr b="1">
                          <a:solidFill>
                            <a:schemeClr val="accent5">
                              <a:lumMod val="50000"/>
                            </a:schemeClr>
                          </a:solidFill>
                        </a:defRPr>
                      </a:pPr>
                      <a:t>[PERCENTAGE]</a:t>
                    </a:fld>
                    <a:endParaRPr lang="en-US"/>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E952-BB4B-8E06-15B7A1DAFD55}"/>
                </c:ext>
                <c:ext xmlns:c15="http://schemas.microsoft.com/office/drawing/2012/chart" uri="{CE6537A1-D6FC-4f65-9D91-7224C49458BB}">
                  <c15:layout>
                    <c:manualLayout>
                      <c:w val="0.17759084569874312"/>
                      <c:h val="0.22676157810041453"/>
                    </c:manualLayout>
                  </c15:layout>
                  <c15:dlblFieldTable/>
                  <c15:showDataLabelsRange val="0"/>
                </c:ext>
              </c:extLst>
            </c:dLbl>
            <c:dLbl>
              <c:idx val="3"/>
              <c:layout>
                <c:manualLayout>
                  <c:x val="-1.2468490943582547E-3"/>
                  <c:y val="-0.12428874055717655"/>
                </c:manualLayout>
              </c:layout>
              <c:tx>
                <c:rich>
                  <a:bodyPr/>
                  <a:lstStyle/>
                  <a:p>
                    <a:r>
                      <a:rPr lang="en-US"/>
                      <a:t>Shpenzimet kapitale</a:t>
                    </a:r>
                    <a:r>
                      <a:rPr lang="en-US" baseline="0"/>
                      <a:t>, </a:t>
                    </a:r>
                    <a:fld id="{DED04231-074D-F845-A756-B86FF88CC9A2}" type="VALUE">
                      <a:rPr lang="en-US" baseline="0"/>
                      <a:pPr/>
                      <a:t>[VALUE]</a:t>
                    </a:fld>
                    <a:r>
                      <a:rPr lang="en-US" baseline="0"/>
                      <a:t>,</a:t>
                    </a:r>
                  </a:p>
                  <a:p>
                    <a:r>
                      <a:rPr lang="en-US" baseline="0"/>
                      <a:t> </a:t>
                    </a:r>
                    <a:fld id="{AE66DEB2-EE1B-1B4F-874B-1ECECFEC5191}" type="PERCENTAGE">
                      <a:rPr lang="en-US" baseline="0"/>
                      <a:pPr/>
                      <a:t>[PERCENTAGE]</a:t>
                    </a:fld>
                    <a:endParaRPr lang="en-US" baseline="0"/>
                  </a:p>
                </c:rich>
              </c:tx>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7-E952-BB4B-8E06-15B7A1DAFD55}"/>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'10b and B'!$B$145:$E$145</c:f>
              <c:strCache>
                <c:ptCount val="4"/>
                <c:pt idx="0">
                  <c:v>Wages and Salaries</c:v>
                </c:pt>
                <c:pt idx="1">
                  <c:v>Goods and Services</c:v>
                </c:pt>
                <c:pt idx="2">
                  <c:v>Subsidies and Transfers </c:v>
                </c:pt>
                <c:pt idx="3">
                  <c:v>Capital Expenditures</c:v>
                </c:pt>
              </c:strCache>
            </c:strRef>
          </c:cat>
          <c:val>
            <c:numRef>
              <c:f>'10b and B'!$B$146:$E$146</c:f>
              <c:numCache>
                <c:formatCode>_(* #,##0.0_);_(* \(#,##0.0\);_(* "-"??_);_(@_)</c:formatCode>
                <c:ptCount val="4"/>
                <c:pt idx="0">
                  <c:v>4237672</c:v>
                </c:pt>
                <c:pt idx="1">
                  <c:v>39906874</c:v>
                </c:pt>
                <c:pt idx="2">
                  <c:v>253035066</c:v>
                </c:pt>
                <c:pt idx="3">
                  <c:v>363558684</c:v>
                </c:pt>
              </c:numCache>
            </c:numRef>
          </c:val>
          <c:extLst xmlns:c16r2="http://schemas.microsoft.com/office/drawing/2015/06/chart">
            <c:ext xmlns:c16="http://schemas.microsoft.com/office/drawing/2014/chart" uri="{C3380CC4-5D6E-409C-BE32-E72D297353CC}">
              <c16:uniqueId val="{00000008-E952-BB4B-8E06-15B7A1DAFD5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528278143314271E-2"/>
          <c:y val="6.1693774537296693E-2"/>
          <c:w val="0.85698313738179988"/>
          <c:h val="0.63111009048714684"/>
        </c:manualLayout>
      </c:layout>
      <c:barChart>
        <c:barDir val="col"/>
        <c:grouping val="clustered"/>
        <c:varyColors val="0"/>
        <c:ser>
          <c:idx val="0"/>
          <c:order val="0"/>
          <c:tx>
            <c:strRef>
              <c:f>'figure 2'!$A$14</c:f>
              <c:strCache>
                <c:ptCount val="1"/>
                <c:pt idx="0">
                  <c:v>Ekonomia Globale</c:v>
                </c:pt>
              </c:strCache>
            </c:strRef>
          </c:tx>
          <c:spPr>
            <a:solidFill>
              <a:schemeClr val="accent1"/>
            </a:solidFill>
            <a:ln>
              <a:noFill/>
            </a:ln>
            <a:effectLst/>
          </c:spPr>
          <c:invertIfNegative val="0"/>
          <c:cat>
            <c:numRef>
              <c:f>'figure 2'!$B$8:$F$8</c:f>
              <c:numCache>
                <c:formatCode>General</c:formatCode>
                <c:ptCount val="5"/>
                <c:pt idx="0">
                  <c:v>2018</c:v>
                </c:pt>
                <c:pt idx="1">
                  <c:v>2019</c:v>
                </c:pt>
                <c:pt idx="2">
                  <c:v>2020</c:v>
                </c:pt>
                <c:pt idx="3">
                  <c:v>2021</c:v>
                </c:pt>
                <c:pt idx="4">
                  <c:v>2022</c:v>
                </c:pt>
              </c:numCache>
            </c:numRef>
          </c:cat>
          <c:val>
            <c:numRef>
              <c:f>'figure 2'!$B$9:$F$9</c:f>
              <c:numCache>
                <c:formatCode>0%</c:formatCode>
                <c:ptCount val="5"/>
                <c:pt idx="0">
                  <c:v>3.6150000000000002E-2</c:v>
                </c:pt>
                <c:pt idx="1">
                  <c:v>3.4099999999999998E-2</c:v>
                </c:pt>
                <c:pt idx="2">
                  <c:v>3.5569999999999997E-2</c:v>
                </c:pt>
                <c:pt idx="3">
                  <c:v>3.4810000000000001E-2</c:v>
                </c:pt>
                <c:pt idx="4">
                  <c:v>3.4529999999999998E-2</c:v>
                </c:pt>
              </c:numCache>
            </c:numRef>
          </c:val>
          <c:extLst xmlns:c16r2="http://schemas.microsoft.com/office/drawing/2015/06/chart">
            <c:ext xmlns:c16="http://schemas.microsoft.com/office/drawing/2014/chart" uri="{C3380CC4-5D6E-409C-BE32-E72D297353CC}">
              <c16:uniqueId val="{00000000-FC8B-4EA6-9746-9652CC67DFEB}"/>
            </c:ext>
          </c:extLst>
        </c:ser>
        <c:ser>
          <c:idx val="1"/>
          <c:order val="1"/>
          <c:tx>
            <c:strRef>
              <c:f>'figure 2'!$A$15</c:f>
              <c:strCache>
                <c:ptCount val="1"/>
                <c:pt idx="0">
                  <c:v>Ekonomitë e Zhvilluara</c:v>
                </c:pt>
              </c:strCache>
            </c:strRef>
          </c:tx>
          <c:spPr>
            <a:solidFill>
              <a:schemeClr val="accent2"/>
            </a:solidFill>
            <a:ln>
              <a:noFill/>
            </a:ln>
            <a:effectLst/>
          </c:spPr>
          <c:invertIfNegative val="0"/>
          <c:cat>
            <c:numRef>
              <c:f>'figure 2'!$B$8:$F$8</c:f>
              <c:numCache>
                <c:formatCode>General</c:formatCode>
                <c:ptCount val="5"/>
                <c:pt idx="0">
                  <c:v>2018</c:v>
                </c:pt>
                <c:pt idx="1">
                  <c:v>2019</c:v>
                </c:pt>
                <c:pt idx="2">
                  <c:v>2020</c:v>
                </c:pt>
                <c:pt idx="3">
                  <c:v>2021</c:v>
                </c:pt>
                <c:pt idx="4">
                  <c:v>2022</c:v>
                </c:pt>
              </c:numCache>
            </c:numRef>
          </c:cat>
          <c:val>
            <c:numRef>
              <c:f>'figure 2'!$B$10:$F$10</c:f>
              <c:numCache>
                <c:formatCode>0%</c:formatCode>
                <c:ptCount val="5"/>
                <c:pt idx="0">
                  <c:v>1.958E-2</c:v>
                </c:pt>
                <c:pt idx="1">
                  <c:v>1.485E-2</c:v>
                </c:pt>
                <c:pt idx="2">
                  <c:v>1.7610000000000001E-2</c:v>
                </c:pt>
                <c:pt idx="3">
                  <c:v>1.84E-2</c:v>
                </c:pt>
                <c:pt idx="4">
                  <c:v>1.9370000000000002E-2</c:v>
                </c:pt>
              </c:numCache>
            </c:numRef>
          </c:val>
          <c:extLst xmlns:c16r2="http://schemas.microsoft.com/office/drawing/2015/06/chart">
            <c:ext xmlns:c16="http://schemas.microsoft.com/office/drawing/2014/chart" uri="{C3380CC4-5D6E-409C-BE32-E72D297353CC}">
              <c16:uniqueId val="{00000001-FC8B-4EA6-9746-9652CC67DFEB}"/>
            </c:ext>
          </c:extLst>
        </c:ser>
        <c:ser>
          <c:idx val="2"/>
          <c:order val="2"/>
          <c:tx>
            <c:strRef>
              <c:f>'figure 2'!$A$16</c:f>
              <c:strCache>
                <c:ptCount val="1"/>
                <c:pt idx="0">
                  <c:v>Bashkimi Evropian</c:v>
                </c:pt>
              </c:strCache>
            </c:strRef>
          </c:tx>
          <c:spPr>
            <a:solidFill>
              <a:schemeClr val="accent3"/>
            </a:solidFill>
            <a:ln>
              <a:noFill/>
            </a:ln>
            <a:effectLst/>
          </c:spPr>
          <c:invertIfNegative val="0"/>
          <c:cat>
            <c:numRef>
              <c:f>'figure 2'!$B$8:$F$8</c:f>
              <c:numCache>
                <c:formatCode>General</c:formatCode>
                <c:ptCount val="5"/>
                <c:pt idx="0">
                  <c:v>2018</c:v>
                </c:pt>
                <c:pt idx="1">
                  <c:v>2019</c:v>
                </c:pt>
                <c:pt idx="2">
                  <c:v>2020</c:v>
                </c:pt>
                <c:pt idx="3">
                  <c:v>2021</c:v>
                </c:pt>
                <c:pt idx="4">
                  <c:v>2022</c:v>
                </c:pt>
              </c:numCache>
            </c:numRef>
          </c:cat>
          <c:val>
            <c:numRef>
              <c:f>'figure 2'!$B$11:$F$11</c:f>
              <c:numCache>
                <c:formatCode>0%</c:formatCode>
                <c:ptCount val="5"/>
                <c:pt idx="0">
                  <c:v>1.934E-2</c:v>
                </c:pt>
                <c:pt idx="1">
                  <c:v>1.5480000000000001E-2</c:v>
                </c:pt>
                <c:pt idx="2">
                  <c:v>1.6930000000000001E-2</c:v>
                </c:pt>
                <c:pt idx="3">
                  <c:v>1.7760000000000001E-2</c:v>
                </c:pt>
                <c:pt idx="4">
                  <c:v>1.8759999999999999E-2</c:v>
                </c:pt>
              </c:numCache>
            </c:numRef>
          </c:val>
          <c:extLst xmlns:c16r2="http://schemas.microsoft.com/office/drawing/2015/06/chart">
            <c:ext xmlns:c16="http://schemas.microsoft.com/office/drawing/2014/chart" uri="{C3380CC4-5D6E-409C-BE32-E72D297353CC}">
              <c16:uniqueId val="{00000002-FC8B-4EA6-9746-9652CC67DFEB}"/>
            </c:ext>
          </c:extLst>
        </c:ser>
        <c:ser>
          <c:idx val="3"/>
          <c:order val="3"/>
          <c:tx>
            <c:strRef>
              <c:f>'figure 2'!$A$17</c:f>
              <c:strCache>
                <c:ptCount val="1"/>
                <c:pt idx="0">
                  <c:v>Ekonomitë Evropiane në Zhvillim</c:v>
                </c:pt>
              </c:strCache>
            </c:strRef>
          </c:tx>
          <c:spPr>
            <a:solidFill>
              <a:schemeClr val="accent4"/>
            </a:solidFill>
            <a:ln>
              <a:noFill/>
            </a:ln>
            <a:effectLst/>
          </c:spPr>
          <c:invertIfNegative val="0"/>
          <c:cat>
            <c:numRef>
              <c:f>'figure 2'!$B$8:$F$8</c:f>
              <c:numCache>
                <c:formatCode>General</c:formatCode>
                <c:ptCount val="5"/>
                <c:pt idx="0">
                  <c:v>2018</c:v>
                </c:pt>
                <c:pt idx="1">
                  <c:v>2019</c:v>
                </c:pt>
                <c:pt idx="2">
                  <c:v>2020</c:v>
                </c:pt>
                <c:pt idx="3">
                  <c:v>2021</c:v>
                </c:pt>
                <c:pt idx="4">
                  <c:v>2022</c:v>
                </c:pt>
              </c:numCache>
            </c:numRef>
          </c:cat>
          <c:val>
            <c:numRef>
              <c:f>'figure 2'!$B$12:$F$12</c:f>
              <c:numCache>
                <c:formatCode>0%</c:formatCode>
                <c:ptCount val="5"/>
                <c:pt idx="0">
                  <c:v>6.1509999999999995E-2</c:v>
                </c:pt>
                <c:pt idx="1">
                  <c:v>6.7889999999999992E-2</c:v>
                </c:pt>
                <c:pt idx="2">
                  <c:v>5.586E-2</c:v>
                </c:pt>
                <c:pt idx="3">
                  <c:v>5.6639999999999996E-2</c:v>
                </c:pt>
                <c:pt idx="4">
                  <c:v>5.4339999999999999E-2</c:v>
                </c:pt>
              </c:numCache>
            </c:numRef>
          </c:val>
          <c:extLst xmlns:c16r2="http://schemas.microsoft.com/office/drawing/2015/06/chart">
            <c:ext xmlns:c16="http://schemas.microsoft.com/office/drawing/2014/chart" uri="{C3380CC4-5D6E-409C-BE32-E72D297353CC}">
              <c16:uniqueId val="{00000003-FC8B-4EA6-9746-9652CC67DFEB}"/>
            </c:ext>
          </c:extLst>
        </c:ser>
        <c:dLbls>
          <c:showLegendKey val="0"/>
          <c:showVal val="0"/>
          <c:showCatName val="0"/>
          <c:showSerName val="0"/>
          <c:showPercent val="0"/>
          <c:showBubbleSize val="0"/>
        </c:dLbls>
        <c:gapWidth val="150"/>
        <c:overlap val="-25"/>
        <c:axId val="741957712"/>
        <c:axId val="741958104"/>
      </c:barChart>
      <c:catAx>
        <c:axId val="7419577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41958104"/>
        <c:crosses val="autoZero"/>
        <c:auto val="1"/>
        <c:lblAlgn val="ctr"/>
        <c:lblOffset val="100"/>
        <c:noMultiLvlLbl val="0"/>
      </c:catAx>
      <c:valAx>
        <c:axId val="741958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41957712"/>
        <c:crosses val="autoZero"/>
        <c:crossBetween val="between"/>
        <c:majorUnit val="1.0000000000000002E-2"/>
      </c:valAx>
      <c:spPr>
        <a:noFill/>
        <a:ln>
          <a:noFill/>
        </a:ln>
        <a:effectLst/>
      </c:spPr>
    </c:plotArea>
    <c:legend>
      <c:legendPos val="b"/>
      <c:layout>
        <c:manualLayout>
          <c:xMode val="edge"/>
          <c:yMode val="edge"/>
          <c:x val="4.7481022668180543E-3"/>
          <c:y val="0.79696844033429581"/>
          <c:w val="0.99525184521082366"/>
          <c:h val="0.2016905065778724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44203849518811"/>
          <c:y val="6.9444444444444448E-2"/>
          <c:w val="0.87653258967629044"/>
          <c:h val="0.79224482356372117"/>
        </c:manualLayout>
      </c:layout>
      <c:barChart>
        <c:barDir val="col"/>
        <c:grouping val="stacked"/>
        <c:varyColors val="0"/>
        <c:ser>
          <c:idx val="0"/>
          <c:order val="0"/>
          <c:tx>
            <c:strRef>
              <c:f>'C:\Users\blerta.kika\Desktop\Raporte\[tradable-nontradable 0508.xlsx]Databaza_finale_rregulluar'!$BK$172</c:f>
              <c:strCache>
                <c:ptCount val="1"/>
                <c:pt idx="0">
                  <c:v>Inflacioni I patregtueshëm</c:v>
                </c:pt>
              </c:strCache>
            </c:strRef>
          </c:tx>
          <c:spPr>
            <a:solidFill>
              <a:schemeClr val="accent1"/>
            </a:solidFill>
            <a:ln>
              <a:noFill/>
            </a:ln>
            <a:effectLst/>
          </c:spPr>
          <c:invertIfNegative val="0"/>
          <c:cat>
            <c:strRef>
              <c:f>'C:\Users\blerta.kika\Desktop\Raporte\[tradable-nontradable 0508.xlsx]Databaza_finale_rregulluar'!$BJ$191:$BJ$213</c:f>
              <c:strCache>
                <c:ptCount val="23"/>
                <c:pt idx="0">
                  <c:v>2014Q1</c:v>
                </c:pt>
                <c:pt idx="1">
                  <c:v>2014Q2</c:v>
                </c:pt>
                <c:pt idx="2">
                  <c:v>2014Q3</c:v>
                </c:pt>
                <c:pt idx="3">
                  <c:v>2014Q4</c:v>
                </c:pt>
                <c:pt idx="4">
                  <c:v>2015Q1</c:v>
                </c:pt>
                <c:pt idx="5">
                  <c:v>2015Q2</c:v>
                </c:pt>
                <c:pt idx="6">
                  <c:v>2015Q3</c:v>
                </c:pt>
                <c:pt idx="7">
                  <c:v>2015Q4</c:v>
                </c:pt>
                <c:pt idx="8">
                  <c:v>2016Q1</c:v>
                </c:pt>
                <c:pt idx="9">
                  <c:v>2016Q2</c:v>
                </c:pt>
                <c:pt idx="10">
                  <c:v>2016Q3</c:v>
                </c:pt>
                <c:pt idx="11">
                  <c:v>2016Q4</c:v>
                </c:pt>
                <c:pt idx="12">
                  <c:v>2017Q1</c:v>
                </c:pt>
                <c:pt idx="13">
                  <c:v>2017Q2</c:v>
                </c:pt>
                <c:pt idx="14">
                  <c:v>2017Q3</c:v>
                </c:pt>
                <c:pt idx="15">
                  <c:v>2017Q4</c:v>
                </c:pt>
                <c:pt idx="16">
                  <c:v>2018Q1</c:v>
                </c:pt>
                <c:pt idx="17">
                  <c:v>2018Q2</c:v>
                </c:pt>
                <c:pt idx="18">
                  <c:v>2018Q3</c:v>
                </c:pt>
                <c:pt idx="19">
                  <c:v>2018Q4</c:v>
                </c:pt>
                <c:pt idx="20">
                  <c:v>2019Q1</c:v>
                </c:pt>
                <c:pt idx="21">
                  <c:v>2019Q2</c:v>
                </c:pt>
                <c:pt idx="22">
                  <c:v>2019Q3</c:v>
                </c:pt>
              </c:strCache>
            </c:strRef>
          </c:cat>
          <c:val>
            <c:numRef>
              <c:f>'C:\Users\blerta.kika\Desktop\Raporte\[tradable-nontradable 0508.xlsx]Databaza_finale_rregulluar'!$BK$191:$BK$213</c:f>
              <c:numCache>
                <c:formatCode>General</c:formatCode>
                <c:ptCount val="23"/>
                <c:pt idx="0">
                  <c:v>0.40971412565006204</c:v>
                </c:pt>
                <c:pt idx="1">
                  <c:v>0.43397843636606437</c:v>
                </c:pt>
                <c:pt idx="2">
                  <c:v>0.57899383692171436</c:v>
                </c:pt>
                <c:pt idx="3">
                  <c:v>7.8670125587847001E-2</c:v>
                </c:pt>
                <c:pt idx="4">
                  <c:v>9.3004554403275555E-2</c:v>
                </c:pt>
                <c:pt idx="5">
                  <c:v>6.8430399624730368E-2</c:v>
                </c:pt>
                <c:pt idx="6">
                  <c:v>-0.23039122303727053</c:v>
                </c:pt>
                <c:pt idx="7">
                  <c:v>-0.38316654849188431</c:v>
                </c:pt>
                <c:pt idx="8">
                  <c:v>-0.18811591900311567</c:v>
                </c:pt>
                <c:pt idx="9">
                  <c:v>-0.18325732087227467</c:v>
                </c:pt>
                <c:pt idx="10">
                  <c:v>8.675171339563871E-2</c:v>
                </c:pt>
                <c:pt idx="11">
                  <c:v>0.2798015576323985</c:v>
                </c:pt>
                <c:pt idx="12">
                  <c:v>0.26612729677379943</c:v>
                </c:pt>
                <c:pt idx="13">
                  <c:v>0.5409737599293396</c:v>
                </c:pt>
                <c:pt idx="14">
                  <c:v>0.8181272741659219</c:v>
                </c:pt>
                <c:pt idx="15">
                  <c:v>-0.10228177726790959</c:v>
                </c:pt>
                <c:pt idx="16">
                  <c:v>-0.22493256499391168</c:v>
                </c:pt>
                <c:pt idx="17">
                  <c:v>0.18501427128806225</c:v>
                </c:pt>
                <c:pt idx="18">
                  <c:v>-0.15103853042893337</c:v>
                </c:pt>
                <c:pt idx="19">
                  <c:v>-3.7851216051001759E-3</c:v>
                </c:pt>
                <c:pt idx="20">
                  <c:v>1.0798199209075016E-2</c:v>
                </c:pt>
                <c:pt idx="21">
                  <c:v>9.4833424294882798E-2</c:v>
                </c:pt>
                <c:pt idx="22">
                  <c:v>8.0855594118626056E-2</c:v>
                </c:pt>
              </c:numCache>
            </c:numRef>
          </c:val>
        </c:ser>
        <c:ser>
          <c:idx val="1"/>
          <c:order val="1"/>
          <c:tx>
            <c:strRef>
              <c:f>'C:\Users\blerta.kika\Desktop\Raporte\[tradable-nontradable 0508.xlsx]Databaza_finale_rregulluar'!$BL$172</c:f>
              <c:strCache>
                <c:ptCount val="1"/>
                <c:pt idx="0">
                  <c:v>Inflacioni I tregtueshëm</c:v>
                </c:pt>
              </c:strCache>
            </c:strRef>
          </c:tx>
          <c:spPr>
            <a:solidFill>
              <a:schemeClr val="accent2"/>
            </a:solidFill>
            <a:ln>
              <a:noFill/>
            </a:ln>
            <a:effectLst/>
          </c:spPr>
          <c:invertIfNegative val="0"/>
          <c:cat>
            <c:strRef>
              <c:f>'C:\Users\blerta.kika\Desktop\Raporte\[tradable-nontradable 0508.xlsx]Databaza_finale_rregulluar'!$BJ$191:$BJ$213</c:f>
              <c:strCache>
                <c:ptCount val="23"/>
                <c:pt idx="0">
                  <c:v>2014Q1</c:v>
                </c:pt>
                <c:pt idx="1">
                  <c:v>2014Q2</c:v>
                </c:pt>
                <c:pt idx="2">
                  <c:v>2014Q3</c:v>
                </c:pt>
                <c:pt idx="3">
                  <c:v>2014Q4</c:v>
                </c:pt>
                <c:pt idx="4">
                  <c:v>2015Q1</c:v>
                </c:pt>
                <c:pt idx="5">
                  <c:v>2015Q2</c:v>
                </c:pt>
                <c:pt idx="6">
                  <c:v>2015Q3</c:v>
                </c:pt>
                <c:pt idx="7">
                  <c:v>2015Q4</c:v>
                </c:pt>
                <c:pt idx="8">
                  <c:v>2016Q1</c:v>
                </c:pt>
                <c:pt idx="9">
                  <c:v>2016Q2</c:v>
                </c:pt>
                <c:pt idx="10">
                  <c:v>2016Q3</c:v>
                </c:pt>
                <c:pt idx="11">
                  <c:v>2016Q4</c:v>
                </c:pt>
                <c:pt idx="12">
                  <c:v>2017Q1</c:v>
                </c:pt>
                <c:pt idx="13">
                  <c:v>2017Q2</c:v>
                </c:pt>
                <c:pt idx="14">
                  <c:v>2017Q3</c:v>
                </c:pt>
                <c:pt idx="15">
                  <c:v>2017Q4</c:v>
                </c:pt>
                <c:pt idx="16">
                  <c:v>2018Q1</c:v>
                </c:pt>
                <c:pt idx="17">
                  <c:v>2018Q2</c:v>
                </c:pt>
                <c:pt idx="18">
                  <c:v>2018Q3</c:v>
                </c:pt>
                <c:pt idx="19">
                  <c:v>2018Q4</c:v>
                </c:pt>
                <c:pt idx="20">
                  <c:v>2019Q1</c:v>
                </c:pt>
                <c:pt idx="21">
                  <c:v>2019Q2</c:v>
                </c:pt>
                <c:pt idx="22">
                  <c:v>2019Q3</c:v>
                </c:pt>
              </c:strCache>
            </c:strRef>
          </c:cat>
          <c:val>
            <c:numRef>
              <c:f>'C:\Users\blerta.kika\Desktop\Raporte\[tradable-nontradable 0508.xlsx]Databaza_finale_rregulluar'!$BL$191:$BL$213</c:f>
              <c:numCache>
                <c:formatCode>General</c:formatCode>
                <c:ptCount val="23"/>
                <c:pt idx="0">
                  <c:v>-0.26651784933547884</c:v>
                </c:pt>
                <c:pt idx="1">
                  <c:v>7.3172896955740308E-2</c:v>
                </c:pt>
                <c:pt idx="2">
                  <c:v>0.5664387070406719</c:v>
                </c:pt>
                <c:pt idx="3">
                  <c:v>3.2257627652130361E-2</c:v>
                </c:pt>
                <c:pt idx="4">
                  <c:v>-0.3453259569930045</c:v>
                </c:pt>
                <c:pt idx="5">
                  <c:v>-0.10664427838996576</c:v>
                </c:pt>
                <c:pt idx="6">
                  <c:v>-0.26732756506241184</c:v>
                </c:pt>
                <c:pt idx="7">
                  <c:v>1.3603511828201353E-2</c:v>
                </c:pt>
                <c:pt idx="8">
                  <c:v>0.70902587385528049</c:v>
                </c:pt>
                <c:pt idx="9">
                  <c:v>0.14250808719205318</c:v>
                </c:pt>
                <c:pt idx="10">
                  <c:v>2.709309944537475E-2</c:v>
                </c:pt>
                <c:pt idx="11">
                  <c:v>0.71674511801883012</c:v>
                </c:pt>
                <c:pt idx="12">
                  <c:v>1.3001359239026471</c:v>
                </c:pt>
                <c:pt idx="13">
                  <c:v>1.1738492336236737</c:v>
                </c:pt>
                <c:pt idx="14">
                  <c:v>0.6130955646726518</c:v>
                </c:pt>
                <c:pt idx="15">
                  <c:v>0.71428037880445505</c:v>
                </c:pt>
                <c:pt idx="16">
                  <c:v>0.17585003238062494</c:v>
                </c:pt>
                <c:pt idx="17">
                  <c:v>0.55140664528117789</c:v>
                </c:pt>
                <c:pt idx="18">
                  <c:v>1.5086456288695806</c:v>
                </c:pt>
                <c:pt idx="19">
                  <c:v>2.0615686952827761</c:v>
                </c:pt>
                <c:pt idx="20">
                  <c:v>3.1403728041664727</c:v>
                </c:pt>
                <c:pt idx="21">
                  <c:v>3.1229491660171464</c:v>
                </c:pt>
                <c:pt idx="22">
                  <c:v>2.4508256251574854</c:v>
                </c:pt>
              </c:numCache>
            </c:numRef>
          </c:val>
        </c:ser>
        <c:dLbls>
          <c:showLegendKey val="0"/>
          <c:showVal val="0"/>
          <c:showCatName val="0"/>
          <c:showSerName val="0"/>
          <c:showPercent val="0"/>
          <c:showBubbleSize val="0"/>
        </c:dLbls>
        <c:gapWidth val="150"/>
        <c:overlap val="100"/>
        <c:axId val="292426832"/>
        <c:axId val="292427224"/>
      </c:barChart>
      <c:lineChart>
        <c:grouping val="standard"/>
        <c:varyColors val="0"/>
        <c:ser>
          <c:idx val="2"/>
          <c:order val="2"/>
          <c:tx>
            <c:strRef>
              <c:f>'C:\Users\blerta.kika\Desktop\Raporte\[tradable-nontradable 0508.xlsx]Databaza_finale_rregulluar'!$BM$172</c:f>
              <c:strCache>
                <c:ptCount val="1"/>
                <c:pt idx="0">
                  <c:v>Inflacioni( boshti I djathtë)</c:v>
                </c:pt>
              </c:strCache>
            </c:strRef>
          </c:tx>
          <c:spPr>
            <a:ln w="19050" cap="rnd" cmpd="sng" algn="ctr">
              <a:solidFill>
                <a:schemeClr val="accent3"/>
              </a:solidFill>
              <a:prstDash val="solid"/>
              <a:round/>
            </a:ln>
            <a:effectLst/>
          </c:spPr>
          <c:marker>
            <c:symbol val="none"/>
          </c:marker>
          <c:cat>
            <c:strRef>
              <c:f>'C:\Users\blerta.kika\Desktop\Raporte\[tradable-nontradable 0508.xlsx]Databaza_finale_rregulluar'!$BJ$191:$BJ$213</c:f>
              <c:strCache>
                <c:ptCount val="23"/>
                <c:pt idx="0">
                  <c:v>2014Q1</c:v>
                </c:pt>
                <c:pt idx="1">
                  <c:v>2014Q2</c:v>
                </c:pt>
                <c:pt idx="2">
                  <c:v>2014Q3</c:v>
                </c:pt>
                <c:pt idx="3">
                  <c:v>2014Q4</c:v>
                </c:pt>
                <c:pt idx="4">
                  <c:v>2015Q1</c:v>
                </c:pt>
                <c:pt idx="5">
                  <c:v>2015Q2</c:v>
                </c:pt>
                <c:pt idx="6">
                  <c:v>2015Q3</c:v>
                </c:pt>
                <c:pt idx="7">
                  <c:v>2015Q4</c:v>
                </c:pt>
                <c:pt idx="8">
                  <c:v>2016Q1</c:v>
                </c:pt>
                <c:pt idx="9">
                  <c:v>2016Q2</c:v>
                </c:pt>
                <c:pt idx="10">
                  <c:v>2016Q3</c:v>
                </c:pt>
                <c:pt idx="11">
                  <c:v>2016Q4</c:v>
                </c:pt>
                <c:pt idx="12">
                  <c:v>2017Q1</c:v>
                </c:pt>
                <c:pt idx="13">
                  <c:v>2017Q2</c:v>
                </c:pt>
                <c:pt idx="14">
                  <c:v>2017Q3</c:v>
                </c:pt>
                <c:pt idx="15">
                  <c:v>2017Q4</c:v>
                </c:pt>
                <c:pt idx="16">
                  <c:v>2018Q1</c:v>
                </c:pt>
                <c:pt idx="17">
                  <c:v>2018Q2</c:v>
                </c:pt>
                <c:pt idx="18">
                  <c:v>2018Q3</c:v>
                </c:pt>
                <c:pt idx="19">
                  <c:v>2018Q4</c:v>
                </c:pt>
                <c:pt idx="20">
                  <c:v>2019Q1</c:v>
                </c:pt>
                <c:pt idx="21">
                  <c:v>2019Q2</c:v>
                </c:pt>
                <c:pt idx="22">
                  <c:v>2019Q3</c:v>
                </c:pt>
              </c:strCache>
            </c:strRef>
          </c:cat>
          <c:val>
            <c:numRef>
              <c:f>'C:\Users\blerta.kika\Desktop\Raporte\[tradable-nontradable 0508.xlsx]Databaza_finale_rregulluar'!$BM$191:$BM$213</c:f>
              <c:numCache>
                <c:formatCode>General</c:formatCode>
                <c:ptCount val="23"/>
                <c:pt idx="0">
                  <c:v>0.20994212656459213</c:v>
                </c:pt>
                <c:pt idx="1">
                  <c:v>0.38805269885662241</c:v>
                </c:pt>
                <c:pt idx="2">
                  <c:v>1.0297975134150539</c:v>
                </c:pt>
                <c:pt idx="3">
                  <c:v>9.5451837007272847E-2</c:v>
                </c:pt>
                <c:pt idx="4">
                  <c:v>-0.41710425081577335</c:v>
                </c:pt>
                <c:pt idx="5">
                  <c:v>-0.43785862369954226</c:v>
                </c:pt>
                <c:pt idx="6">
                  <c:v>-0.88544347325458428</c:v>
                </c:pt>
                <c:pt idx="7">
                  <c:v>-0.40679989339060069</c:v>
                </c:pt>
                <c:pt idx="8">
                  <c:v>0.10268966020339221</c:v>
                </c:pt>
                <c:pt idx="9">
                  <c:v>-0.16008083192942482</c:v>
                </c:pt>
                <c:pt idx="10">
                  <c:v>0.21490748416610103</c:v>
                </c:pt>
                <c:pt idx="11">
                  <c:v>1.0426608462345592</c:v>
                </c:pt>
                <c:pt idx="12">
                  <c:v>1.5895051272224459</c:v>
                </c:pt>
                <c:pt idx="13">
                  <c:v>1.9061550141782939</c:v>
                </c:pt>
                <c:pt idx="14">
                  <c:v>1.6700780409547367</c:v>
                </c:pt>
                <c:pt idx="15">
                  <c:v>0.72587829109008373</c:v>
                </c:pt>
                <c:pt idx="16">
                  <c:v>-3.2647668529243536E-2</c:v>
                </c:pt>
                <c:pt idx="17">
                  <c:v>0.72282549837889842</c:v>
                </c:pt>
                <c:pt idx="18">
                  <c:v>1.3796035541681813</c:v>
                </c:pt>
                <c:pt idx="19">
                  <c:v>2.1480026195153914</c:v>
                </c:pt>
                <c:pt idx="20">
                  <c:v>3.1952392011912316</c:v>
                </c:pt>
                <c:pt idx="21">
                  <c:v>3.2583925346315525</c:v>
                </c:pt>
                <c:pt idx="22">
                  <c:v>2.560111942215356</c:v>
                </c:pt>
              </c:numCache>
            </c:numRef>
          </c:val>
          <c:smooth val="0"/>
        </c:ser>
        <c:ser>
          <c:idx val="3"/>
          <c:order val="3"/>
          <c:tx>
            <c:strRef>
              <c:f>'C:\Users\blerta.kika\Desktop\Raporte\[tradable-nontradable 0508.xlsx]Databaza_finale_rregulluar'!$BN$172</c:f>
              <c:strCache>
                <c:ptCount val="1"/>
                <c:pt idx="0">
                  <c:v>Inflacioni bazë(pa ushqim dhe transport) boshti I djathtë</c:v>
                </c:pt>
              </c:strCache>
            </c:strRef>
          </c:tx>
          <c:spPr>
            <a:ln w="19050" cap="rnd" cmpd="sng" algn="ctr">
              <a:solidFill>
                <a:schemeClr val="accent4"/>
              </a:solidFill>
              <a:prstDash val="solid"/>
              <a:round/>
            </a:ln>
            <a:effectLst/>
          </c:spPr>
          <c:marker>
            <c:symbol val="none"/>
          </c:marker>
          <c:cat>
            <c:strRef>
              <c:f>'C:\Users\blerta.kika\Desktop\Raporte\[tradable-nontradable 0508.xlsx]Databaza_finale_rregulluar'!$BJ$191:$BJ$213</c:f>
              <c:strCache>
                <c:ptCount val="23"/>
                <c:pt idx="0">
                  <c:v>2014Q1</c:v>
                </c:pt>
                <c:pt idx="1">
                  <c:v>2014Q2</c:v>
                </c:pt>
                <c:pt idx="2">
                  <c:v>2014Q3</c:v>
                </c:pt>
                <c:pt idx="3">
                  <c:v>2014Q4</c:v>
                </c:pt>
                <c:pt idx="4">
                  <c:v>2015Q1</c:v>
                </c:pt>
                <c:pt idx="5">
                  <c:v>2015Q2</c:v>
                </c:pt>
                <c:pt idx="6">
                  <c:v>2015Q3</c:v>
                </c:pt>
                <c:pt idx="7">
                  <c:v>2015Q4</c:v>
                </c:pt>
                <c:pt idx="8">
                  <c:v>2016Q1</c:v>
                </c:pt>
                <c:pt idx="9">
                  <c:v>2016Q2</c:v>
                </c:pt>
                <c:pt idx="10">
                  <c:v>2016Q3</c:v>
                </c:pt>
                <c:pt idx="11">
                  <c:v>2016Q4</c:v>
                </c:pt>
                <c:pt idx="12">
                  <c:v>2017Q1</c:v>
                </c:pt>
                <c:pt idx="13">
                  <c:v>2017Q2</c:v>
                </c:pt>
                <c:pt idx="14">
                  <c:v>2017Q3</c:v>
                </c:pt>
                <c:pt idx="15">
                  <c:v>2017Q4</c:v>
                </c:pt>
                <c:pt idx="16">
                  <c:v>2018Q1</c:v>
                </c:pt>
                <c:pt idx="17">
                  <c:v>2018Q2</c:v>
                </c:pt>
                <c:pt idx="18">
                  <c:v>2018Q3</c:v>
                </c:pt>
                <c:pt idx="19">
                  <c:v>2018Q4</c:v>
                </c:pt>
                <c:pt idx="20">
                  <c:v>2019Q1</c:v>
                </c:pt>
                <c:pt idx="21">
                  <c:v>2019Q2</c:v>
                </c:pt>
                <c:pt idx="22">
                  <c:v>2019Q3</c:v>
                </c:pt>
              </c:strCache>
            </c:strRef>
          </c:cat>
          <c:val>
            <c:numRef>
              <c:f>'C:\Users\blerta.kika\Desktop\Raporte\[tradable-nontradable 0508.xlsx]Databaza_finale_rregulluar'!$BN$191:$BN$213</c:f>
              <c:numCache>
                <c:formatCode>General</c:formatCode>
                <c:ptCount val="23"/>
                <c:pt idx="0">
                  <c:v>2.0179496124212375</c:v>
                </c:pt>
                <c:pt idx="1">
                  <c:v>1.6759493797419605</c:v>
                </c:pt>
                <c:pt idx="2">
                  <c:v>1.9813404054662795</c:v>
                </c:pt>
                <c:pt idx="3">
                  <c:v>0.30514478231704606</c:v>
                </c:pt>
                <c:pt idx="4">
                  <c:v>0.50551446485924811</c:v>
                </c:pt>
                <c:pt idx="5">
                  <c:v>0.12103986852041597</c:v>
                </c:pt>
                <c:pt idx="6">
                  <c:v>0.17237616673911757</c:v>
                </c:pt>
                <c:pt idx="7">
                  <c:v>1.7129514722114898</c:v>
                </c:pt>
                <c:pt idx="8">
                  <c:v>1.4308162790211536</c:v>
                </c:pt>
                <c:pt idx="9">
                  <c:v>1.643449442885448</c:v>
                </c:pt>
                <c:pt idx="10">
                  <c:v>1.2233337449526591</c:v>
                </c:pt>
                <c:pt idx="11">
                  <c:v>0.95472068724347536</c:v>
                </c:pt>
                <c:pt idx="12">
                  <c:v>0.90402024020055416</c:v>
                </c:pt>
                <c:pt idx="13">
                  <c:v>1.5976841585441097</c:v>
                </c:pt>
                <c:pt idx="14">
                  <c:v>2.1153348712676476</c:v>
                </c:pt>
                <c:pt idx="15">
                  <c:v>-0.12085712275361915</c:v>
                </c:pt>
                <c:pt idx="16">
                  <c:v>-0.73030152310338547</c:v>
                </c:pt>
                <c:pt idx="17">
                  <c:v>0.19966805298143675</c:v>
                </c:pt>
                <c:pt idx="18">
                  <c:v>-0.253006104389983</c:v>
                </c:pt>
                <c:pt idx="19">
                  <c:v>0.251500803861894</c:v>
                </c:pt>
                <c:pt idx="20">
                  <c:v>0.57078987233271139</c:v>
                </c:pt>
                <c:pt idx="21">
                  <c:v>1.07691327534607</c:v>
                </c:pt>
                <c:pt idx="22">
                  <c:v>1.2095724681091766</c:v>
                </c:pt>
              </c:numCache>
            </c:numRef>
          </c:val>
          <c:smooth val="0"/>
        </c:ser>
        <c:dLbls>
          <c:showLegendKey val="0"/>
          <c:showVal val="0"/>
          <c:showCatName val="0"/>
          <c:showSerName val="0"/>
          <c:showPercent val="0"/>
          <c:showBubbleSize val="0"/>
        </c:dLbls>
        <c:marker val="1"/>
        <c:smooth val="0"/>
        <c:axId val="402923696"/>
        <c:axId val="292427616"/>
      </c:lineChart>
      <c:dateAx>
        <c:axId val="2924268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92427224"/>
        <c:crosses val="autoZero"/>
        <c:auto val="0"/>
        <c:lblOffset val="100"/>
        <c:baseTimeUnit val="days"/>
      </c:dateAx>
      <c:valAx>
        <c:axId val="29242722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0"/>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92426832"/>
        <c:crosses val="autoZero"/>
        <c:crossBetween val="between"/>
      </c:valAx>
      <c:valAx>
        <c:axId val="292427616"/>
        <c:scaling>
          <c:orientation val="minMax"/>
          <c:min val="-1"/>
        </c:scaling>
        <c:delete val="0"/>
        <c:axPos val="r"/>
        <c:numFmt formatCode="0.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02923696"/>
        <c:crosses val="max"/>
        <c:crossBetween val="between"/>
      </c:valAx>
      <c:dateAx>
        <c:axId val="402923696"/>
        <c:scaling>
          <c:orientation val="minMax"/>
        </c:scaling>
        <c:delete val="1"/>
        <c:axPos val="b"/>
        <c:numFmt formatCode="General" sourceLinked="1"/>
        <c:majorTickMark val="out"/>
        <c:minorTickMark val="none"/>
        <c:tickLblPos val="nextTo"/>
        <c:crossAx val="292427616"/>
        <c:crosses val="autoZero"/>
        <c:auto val="0"/>
        <c:lblOffset val="100"/>
        <c:baseTimeUnit val="days"/>
      </c:dateAx>
      <c:spPr>
        <a:noFill/>
        <a:ln>
          <a:noFill/>
        </a:ln>
        <a:effectLst/>
      </c:spPr>
    </c:plotArea>
    <c:legend>
      <c:legendPos val="b"/>
      <c:layout>
        <c:manualLayout>
          <c:xMode val="edge"/>
          <c:yMode val="edge"/>
          <c:x val="5.5589172638838252E-2"/>
          <c:y val="1.4467045785943431E-2"/>
          <c:w val="0.9407175350502589"/>
          <c:h val="9.6550743657042845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749064750983111E-2"/>
          <c:y val="0.13006506999125109"/>
          <c:w val="0.91751313223871378"/>
          <c:h val="0.73222507900798117"/>
        </c:manualLayout>
      </c:layout>
      <c:lineChart>
        <c:grouping val="standard"/>
        <c:varyColors val="0"/>
        <c:ser>
          <c:idx val="0"/>
          <c:order val="0"/>
          <c:tx>
            <c:strRef>
              <c:f>Balanca!$N$3</c:f>
              <c:strCache>
                <c:ptCount val="1"/>
                <c:pt idx="0">
                  <c:v>IKB</c:v>
                </c:pt>
              </c:strCache>
            </c:strRef>
          </c:tx>
          <c:spPr>
            <a:ln w="28575" cap="sq">
              <a:solidFill>
                <a:schemeClr val="accent1"/>
              </a:solidFill>
              <a:bevel/>
            </a:ln>
            <a:effectLst/>
          </c:spPr>
          <c:marker>
            <c:symbol val="none"/>
          </c:marker>
          <c:cat>
            <c:multiLvlStrRef>
              <c:f>Balanca!$A$81:$B$91</c:f>
              <c:multiLvlStrCache>
                <c:ptCount val="11"/>
                <c:lvl>
                  <c:pt idx="0">
                    <c:v>TM1</c:v>
                  </c:pt>
                  <c:pt idx="1">
                    <c:v>TM2</c:v>
                  </c:pt>
                  <c:pt idx="2">
                    <c:v>TM3</c:v>
                  </c:pt>
                  <c:pt idx="3">
                    <c:v>TM4</c:v>
                  </c:pt>
                  <c:pt idx="4">
                    <c:v>TM1</c:v>
                  </c:pt>
                  <c:pt idx="5">
                    <c:v>TM2</c:v>
                  </c:pt>
                  <c:pt idx="6">
                    <c:v>TM3</c:v>
                  </c:pt>
                  <c:pt idx="7">
                    <c:v>TM4</c:v>
                  </c:pt>
                  <c:pt idx="8">
                    <c:v>TM1</c:v>
                  </c:pt>
                  <c:pt idx="9">
                    <c:v>TM2</c:v>
                  </c:pt>
                  <c:pt idx="10">
                    <c:v>TM3</c:v>
                  </c:pt>
                </c:lvl>
                <c:lvl>
                  <c:pt idx="0">
                    <c:v>2017</c:v>
                  </c:pt>
                  <c:pt idx="4">
                    <c:v>2018</c:v>
                  </c:pt>
                  <c:pt idx="8">
                    <c:v>2019</c:v>
                  </c:pt>
                </c:lvl>
              </c:multiLvlStrCache>
            </c:multiLvlStrRef>
          </c:cat>
          <c:val>
            <c:numRef>
              <c:f>Balanca!$N$21:$N$31</c:f>
              <c:numCache>
                <c:formatCode>0</c:formatCode>
                <c:ptCount val="11"/>
                <c:pt idx="0">
                  <c:v>36.102723406571499</c:v>
                </c:pt>
                <c:pt idx="1">
                  <c:v>35.142509980649805</c:v>
                </c:pt>
                <c:pt idx="2">
                  <c:v>25.85110139204545</c:v>
                </c:pt>
                <c:pt idx="3">
                  <c:v>39.539725306680594</c:v>
                </c:pt>
                <c:pt idx="4">
                  <c:v>42.82500694944909</c:v>
                </c:pt>
                <c:pt idx="5">
                  <c:v>24.036844291290635</c:v>
                </c:pt>
                <c:pt idx="6">
                  <c:v>33.593813274238954</c:v>
                </c:pt>
                <c:pt idx="7">
                  <c:v>37.465143547426777</c:v>
                </c:pt>
                <c:pt idx="8">
                  <c:v>38.481697410933407</c:v>
                </c:pt>
                <c:pt idx="9">
                  <c:v>30.467325232884178</c:v>
                </c:pt>
                <c:pt idx="10">
                  <c:v>28.376975652100271</c:v>
                </c:pt>
              </c:numCache>
            </c:numRef>
          </c:val>
          <c:smooth val="1"/>
        </c:ser>
        <c:dLbls>
          <c:showLegendKey val="0"/>
          <c:showVal val="0"/>
          <c:showCatName val="0"/>
          <c:showSerName val="0"/>
          <c:showPercent val="0"/>
          <c:showBubbleSize val="0"/>
        </c:dLbls>
        <c:marker val="1"/>
        <c:smooth val="0"/>
        <c:axId val="402924480"/>
        <c:axId val="402924872"/>
      </c:lineChart>
      <c:scatterChart>
        <c:scatterStyle val="lineMarker"/>
        <c:varyColors val="0"/>
        <c:ser>
          <c:idx val="2"/>
          <c:order val="1"/>
          <c:tx>
            <c:strRef>
              <c:f>'Gjendja Aktuale'!$C$3:$D$3</c:f>
              <c:strCache>
                <c:ptCount val="1"/>
                <c:pt idx="0">
                  <c:v>Shitja me pakicë</c:v>
                </c:pt>
              </c:strCache>
            </c:strRef>
          </c:tx>
          <c:spPr>
            <a:ln w="25400" cap="rnd">
              <a:noFill/>
              <a:round/>
            </a:ln>
            <a:effectLst/>
          </c:spPr>
          <c:marker>
            <c:symbol val="dash"/>
            <c:size val="6"/>
            <c:spPr>
              <a:solidFill>
                <a:schemeClr val="tx1">
                  <a:lumMod val="50000"/>
                  <a:lumOff val="50000"/>
                </a:schemeClr>
              </a:solidFill>
              <a:ln w="9525">
                <a:solidFill>
                  <a:schemeClr val="tx1">
                    <a:lumMod val="50000"/>
                    <a:lumOff val="50000"/>
                  </a:schemeClr>
                </a:solidFill>
              </a:ln>
              <a:effectLst/>
            </c:spPr>
          </c:marker>
          <c:yVal>
            <c:numRef>
              <c:f>'Gjendja Aktuale'!$C$21:$C$31</c:f>
              <c:numCache>
                <c:formatCode>0</c:formatCode>
                <c:ptCount val="11"/>
                <c:pt idx="0">
                  <c:v>10.799999999999997</c:v>
                </c:pt>
                <c:pt idx="1">
                  <c:v>28</c:v>
                </c:pt>
                <c:pt idx="2">
                  <c:v>18</c:v>
                </c:pt>
                <c:pt idx="3">
                  <c:v>0</c:v>
                </c:pt>
                <c:pt idx="4">
                  <c:v>10.7</c:v>
                </c:pt>
                <c:pt idx="5">
                  <c:v>7</c:v>
                </c:pt>
                <c:pt idx="6">
                  <c:v>29.3</c:v>
                </c:pt>
                <c:pt idx="7">
                  <c:v>21</c:v>
                </c:pt>
                <c:pt idx="8">
                  <c:v>14.3</c:v>
                </c:pt>
                <c:pt idx="9">
                  <c:v>14.399999999999999</c:v>
                </c:pt>
                <c:pt idx="10">
                  <c:v>29.159999999999997</c:v>
                </c:pt>
              </c:numCache>
            </c:numRef>
          </c:yVal>
          <c:smooth val="0"/>
        </c:ser>
        <c:ser>
          <c:idx val="3"/>
          <c:order val="2"/>
          <c:tx>
            <c:strRef>
              <c:f>'Gjendja Aktuale'!$E$3:$F$3</c:f>
              <c:strCache>
                <c:ptCount val="1"/>
                <c:pt idx="0">
                  <c:v>Shitja me shumicë</c:v>
                </c:pt>
              </c:strCache>
            </c:strRef>
          </c:tx>
          <c:spPr>
            <a:ln w="25400" cap="rnd">
              <a:noFill/>
              <a:round/>
            </a:ln>
            <a:effectLst/>
          </c:spPr>
          <c:marker>
            <c:symbol val="square"/>
            <c:size val="5"/>
            <c:spPr>
              <a:solidFill>
                <a:srgbClr val="FFC000"/>
              </a:solidFill>
              <a:ln w="9525">
                <a:noFill/>
              </a:ln>
              <a:effectLst/>
            </c:spPr>
          </c:marker>
          <c:yVal>
            <c:numRef>
              <c:f>'Gjendja Aktuale'!$E$21:$E$31</c:f>
              <c:numCache>
                <c:formatCode>0</c:formatCode>
                <c:ptCount val="11"/>
                <c:pt idx="0">
                  <c:v>19</c:v>
                </c:pt>
                <c:pt idx="1">
                  <c:v>-2</c:v>
                </c:pt>
                <c:pt idx="2">
                  <c:v>11</c:v>
                </c:pt>
                <c:pt idx="3">
                  <c:v>12</c:v>
                </c:pt>
                <c:pt idx="4">
                  <c:v>3.8999999999999986</c:v>
                </c:pt>
                <c:pt idx="5">
                  <c:v>6.1999999999999993</c:v>
                </c:pt>
                <c:pt idx="6">
                  <c:v>26</c:v>
                </c:pt>
                <c:pt idx="7">
                  <c:v>27.200000000000003</c:v>
                </c:pt>
                <c:pt idx="8">
                  <c:v>17.899999999999999</c:v>
                </c:pt>
                <c:pt idx="9">
                  <c:v>-1.8000000000000007</c:v>
                </c:pt>
                <c:pt idx="10">
                  <c:v>8</c:v>
                </c:pt>
              </c:numCache>
            </c:numRef>
          </c:yVal>
          <c:smooth val="0"/>
        </c:ser>
        <c:ser>
          <c:idx val="4"/>
          <c:order val="3"/>
          <c:tx>
            <c:strRef>
              <c:f>'Gjendja Aktuale'!$G$3:$H$3</c:f>
              <c:strCache>
                <c:ptCount val="1"/>
                <c:pt idx="0">
                  <c:v>Ndërtimtari</c:v>
                </c:pt>
              </c:strCache>
            </c:strRef>
          </c:tx>
          <c:spPr>
            <a:ln w="25400" cap="rnd">
              <a:noFill/>
              <a:round/>
            </a:ln>
            <a:effectLst/>
          </c:spPr>
          <c:marker>
            <c:symbol val="x"/>
            <c:size val="6"/>
            <c:spPr>
              <a:noFill/>
              <a:ln w="9525">
                <a:solidFill>
                  <a:srgbClr val="0070C0"/>
                </a:solidFill>
              </a:ln>
              <a:effectLst/>
            </c:spPr>
          </c:marker>
          <c:yVal>
            <c:numRef>
              <c:f>'Gjendja Aktuale'!$G$21:$G$31</c:f>
              <c:numCache>
                <c:formatCode>0</c:formatCode>
                <c:ptCount val="11"/>
                <c:pt idx="0">
                  <c:v>20</c:v>
                </c:pt>
                <c:pt idx="1">
                  <c:v>50</c:v>
                </c:pt>
                <c:pt idx="2">
                  <c:v>0</c:v>
                </c:pt>
                <c:pt idx="3">
                  <c:v>42</c:v>
                </c:pt>
                <c:pt idx="4">
                  <c:v>38.799999999999997</c:v>
                </c:pt>
                <c:pt idx="5">
                  <c:v>35.799999999999997</c:v>
                </c:pt>
                <c:pt idx="6">
                  <c:v>23.400000000000002</c:v>
                </c:pt>
                <c:pt idx="7">
                  <c:v>23.400000000000002</c:v>
                </c:pt>
                <c:pt idx="8">
                  <c:v>23</c:v>
                </c:pt>
                <c:pt idx="9">
                  <c:v>2.8000000000000007</c:v>
                </c:pt>
                <c:pt idx="10">
                  <c:v>20</c:v>
                </c:pt>
              </c:numCache>
            </c:numRef>
          </c:yVal>
          <c:smooth val="0"/>
        </c:ser>
        <c:ser>
          <c:idx val="5"/>
          <c:order val="4"/>
          <c:tx>
            <c:strRef>
              <c:f>'Gjendja Aktuale'!$I$3:$J$3</c:f>
              <c:strCache>
                <c:ptCount val="1"/>
                <c:pt idx="0">
                  <c:v>Përpunim</c:v>
                </c:pt>
              </c:strCache>
            </c:strRef>
          </c:tx>
          <c:spPr>
            <a:ln w="25400" cap="rnd">
              <a:noFill/>
              <a:round/>
            </a:ln>
            <a:effectLst/>
          </c:spPr>
          <c:marker>
            <c:symbol val="diamond"/>
            <c:size val="6"/>
            <c:spPr>
              <a:solidFill>
                <a:srgbClr val="92D050"/>
              </a:solidFill>
              <a:ln w="9525">
                <a:noFill/>
              </a:ln>
              <a:effectLst/>
            </c:spPr>
          </c:marker>
          <c:yVal>
            <c:numRef>
              <c:f>'Gjendja Aktuale'!$I$21:$I$31</c:f>
              <c:numCache>
                <c:formatCode>0</c:formatCode>
                <c:ptCount val="11"/>
                <c:pt idx="0">
                  <c:v>44</c:v>
                </c:pt>
                <c:pt idx="1">
                  <c:v>43</c:v>
                </c:pt>
                <c:pt idx="2">
                  <c:v>38</c:v>
                </c:pt>
                <c:pt idx="3">
                  <c:v>31</c:v>
                </c:pt>
                <c:pt idx="4">
                  <c:v>42.5</c:v>
                </c:pt>
                <c:pt idx="5">
                  <c:v>20.6</c:v>
                </c:pt>
                <c:pt idx="6">
                  <c:v>41.099999999999994</c:v>
                </c:pt>
                <c:pt idx="7">
                  <c:v>41</c:v>
                </c:pt>
                <c:pt idx="8">
                  <c:v>47</c:v>
                </c:pt>
                <c:pt idx="9">
                  <c:v>37.199999999999996</c:v>
                </c:pt>
                <c:pt idx="10">
                  <c:v>36.059999999999995</c:v>
                </c:pt>
              </c:numCache>
            </c:numRef>
          </c:yVal>
          <c:smooth val="0"/>
        </c:ser>
        <c:ser>
          <c:idx val="6"/>
          <c:order val="5"/>
          <c:tx>
            <c:strRef>
              <c:f>'Gjendja Aktuale'!$K$3:$L$3</c:f>
              <c:strCache>
                <c:ptCount val="1"/>
                <c:pt idx="0">
                  <c:v>Shërbime</c:v>
                </c:pt>
              </c:strCache>
            </c:strRef>
          </c:tx>
          <c:spPr>
            <a:ln w="25400" cap="rnd">
              <a:noFill/>
              <a:round/>
            </a:ln>
            <a:effectLst/>
          </c:spPr>
          <c:marker>
            <c:symbol val="circle"/>
            <c:size val="5"/>
            <c:spPr>
              <a:solidFill>
                <a:srgbClr val="002060"/>
              </a:solidFill>
              <a:ln w="9525">
                <a:solidFill>
                  <a:schemeClr val="accent1">
                    <a:lumMod val="80000"/>
                    <a:lumOff val="20000"/>
                  </a:schemeClr>
                </a:solidFill>
              </a:ln>
              <a:effectLst/>
            </c:spPr>
          </c:marker>
          <c:yVal>
            <c:numRef>
              <c:f>'Gjendja Aktuale'!$K$21:$K$31</c:f>
              <c:numCache>
                <c:formatCode>0</c:formatCode>
                <c:ptCount val="11"/>
                <c:pt idx="0">
                  <c:v>14</c:v>
                </c:pt>
                <c:pt idx="1">
                  <c:v>31</c:v>
                </c:pt>
                <c:pt idx="2">
                  <c:v>16</c:v>
                </c:pt>
                <c:pt idx="3">
                  <c:v>21</c:v>
                </c:pt>
                <c:pt idx="4">
                  <c:v>25.599999999999998</c:v>
                </c:pt>
                <c:pt idx="5">
                  <c:v>24.300000000000004</c:v>
                </c:pt>
                <c:pt idx="6">
                  <c:v>34.5</c:v>
                </c:pt>
                <c:pt idx="7">
                  <c:v>31.299999999999997</c:v>
                </c:pt>
                <c:pt idx="8">
                  <c:v>33</c:v>
                </c:pt>
                <c:pt idx="9">
                  <c:v>26.099999999999998</c:v>
                </c:pt>
                <c:pt idx="10">
                  <c:v>37.5</c:v>
                </c:pt>
              </c:numCache>
            </c:numRef>
          </c:yVal>
          <c:smooth val="0"/>
        </c:ser>
        <c:dLbls>
          <c:showLegendKey val="0"/>
          <c:showVal val="0"/>
          <c:showCatName val="0"/>
          <c:showSerName val="0"/>
          <c:showPercent val="0"/>
          <c:showBubbleSize val="0"/>
        </c:dLbls>
        <c:axId val="402924480"/>
        <c:axId val="402924872"/>
      </c:scatterChart>
      <c:catAx>
        <c:axId val="4029244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924872"/>
        <c:crosses val="autoZero"/>
        <c:auto val="1"/>
        <c:lblAlgn val="ctr"/>
        <c:lblOffset val="100"/>
        <c:noMultiLvlLbl val="0"/>
      </c:catAx>
      <c:valAx>
        <c:axId val="402924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924480"/>
        <c:crosses val="autoZero"/>
        <c:crossBetween val="between"/>
      </c:valAx>
      <c:spPr>
        <a:noFill/>
        <a:ln>
          <a:noFill/>
        </a:ln>
        <a:effectLst/>
      </c:spPr>
    </c:plotArea>
    <c:legend>
      <c:legendPos val="t"/>
      <c:layout>
        <c:manualLayout>
          <c:xMode val="edge"/>
          <c:yMode val="edge"/>
          <c:x val="4.2470139494245267E-2"/>
          <c:y val="2.0408191163604549E-2"/>
          <c:w val="0.94033725485668285"/>
          <c:h val="0.180840715223097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46981627296589"/>
          <c:y val="4.1666666666666664E-2"/>
          <c:w val="0.88853018372703407"/>
          <c:h val="0.73577136191309422"/>
        </c:manualLayout>
      </c:layout>
      <c:barChart>
        <c:barDir val="col"/>
        <c:grouping val="clustered"/>
        <c:varyColors val="0"/>
        <c:ser>
          <c:idx val="0"/>
          <c:order val="0"/>
          <c:tx>
            <c:strRef>
              <c:f>'C:\Users\blerta.kika\Desktop\Raporte\[EmploymentProductivityWages_2018.xlsx]SAK Wages'!$D$31</c:f>
              <c:strCache>
                <c:ptCount val="1"/>
                <c:pt idx="0">
                  <c:v>Paga mesatare në sektorin publik</c:v>
                </c:pt>
              </c:strCache>
            </c:strRef>
          </c:tx>
          <c:spPr>
            <a:solidFill>
              <a:schemeClr val="accent1"/>
            </a:solidFill>
            <a:ln>
              <a:noFill/>
            </a:ln>
            <a:effectLst/>
          </c:spPr>
          <c:invertIfNegative val="0"/>
          <c:cat>
            <c:numRef>
              <c:f>'C:\Users\blerta.kika\Desktop\Raporte\[EmploymentProductivityWages_2018.xlsx]SAK Wages'!$E$30:$K$30</c:f>
              <c:numCache>
                <c:formatCode>General</c:formatCode>
                <c:ptCount val="7"/>
                <c:pt idx="0">
                  <c:v>2012</c:v>
                </c:pt>
                <c:pt idx="1">
                  <c:v>2013</c:v>
                </c:pt>
                <c:pt idx="2">
                  <c:v>2014</c:v>
                </c:pt>
                <c:pt idx="3">
                  <c:v>2015</c:v>
                </c:pt>
                <c:pt idx="4">
                  <c:v>2016</c:v>
                </c:pt>
                <c:pt idx="5">
                  <c:v>2017</c:v>
                </c:pt>
                <c:pt idx="6">
                  <c:v>2018</c:v>
                </c:pt>
              </c:numCache>
            </c:numRef>
          </c:cat>
          <c:val>
            <c:numRef>
              <c:f>'C:\Users\blerta.kika\Desktop\Raporte\[EmploymentProductivityWages_2018.xlsx]SAK Wages'!$E$31:$K$31</c:f>
              <c:numCache>
                <c:formatCode>General</c:formatCode>
                <c:ptCount val="7"/>
                <c:pt idx="0">
                  <c:v>407</c:v>
                </c:pt>
                <c:pt idx="1">
                  <c:v>415</c:v>
                </c:pt>
                <c:pt idx="2">
                  <c:v>465</c:v>
                </c:pt>
                <c:pt idx="3">
                  <c:v>511</c:v>
                </c:pt>
                <c:pt idx="4">
                  <c:v>525</c:v>
                </c:pt>
                <c:pt idx="5">
                  <c:v>532</c:v>
                </c:pt>
                <c:pt idx="6">
                  <c:v>573</c:v>
                </c:pt>
              </c:numCache>
            </c:numRef>
          </c:val>
        </c:ser>
        <c:ser>
          <c:idx val="1"/>
          <c:order val="1"/>
          <c:tx>
            <c:strRef>
              <c:f>'C:\Users\blerta.kika\Desktop\Raporte\[EmploymentProductivityWages_2018.xlsx]SAK Wages'!$D$32</c:f>
              <c:strCache>
                <c:ptCount val="1"/>
                <c:pt idx="0">
                  <c:v>Paga mesatare në sektorin privat</c:v>
                </c:pt>
              </c:strCache>
            </c:strRef>
          </c:tx>
          <c:spPr>
            <a:solidFill>
              <a:schemeClr val="accent2"/>
            </a:solidFill>
            <a:ln>
              <a:noFill/>
            </a:ln>
            <a:effectLst/>
          </c:spPr>
          <c:invertIfNegative val="0"/>
          <c:cat>
            <c:numRef>
              <c:f>'C:\Users\blerta.kika\Desktop\Raporte\[EmploymentProductivityWages_2018.xlsx]SAK Wages'!$E$30:$K$30</c:f>
              <c:numCache>
                <c:formatCode>General</c:formatCode>
                <c:ptCount val="7"/>
                <c:pt idx="0">
                  <c:v>2012</c:v>
                </c:pt>
                <c:pt idx="1">
                  <c:v>2013</c:v>
                </c:pt>
                <c:pt idx="2">
                  <c:v>2014</c:v>
                </c:pt>
                <c:pt idx="3">
                  <c:v>2015</c:v>
                </c:pt>
                <c:pt idx="4">
                  <c:v>2016</c:v>
                </c:pt>
                <c:pt idx="5">
                  <c:v>2017</c:v>
                </c:pt>
                <c:pt idx="6">
                  <c:v>2018</c:v>
                </c:pt>
              </c:numCache>
            </c:numRef>
          </c:cat>
          <c:val>
            <c:numRef>
              <c:f>'C:\Users\blerta.kika\Desktop\Raporte\[EmploymentProductivityWages_2018.xlsx]SAK Wages'!$E$32:$K$32</c:f>
              <c:numCache>
                <c:formatCode>General</c:formatCode>
                <c:ptCount val="7"/>
                <c:pt idx="0">
                  <c:v>367</c:v>
                </c:pt>
                <c:pt idx="1">
                  <c:v>367</c:v>
                </c:pt>
                <c:pt idx="2">
                  <c:v>358</c:v>
                </c:pt>
                <c:pt idx="3">
                  <c:v>367</c:v>
                </c:pt>
                <c:pt idx="4">
                  <c:v>371</c:v>
                </c:pt>
                <c:pt idx="5">
                  <c:v>384</c:v>
                </c:pt>
                <c:pt idx="6">
                  <c:v>401</c:v>
                </c:pt>
              </c:numCache>
            </c:numRef>
          </c:val>
        </c:ser>
        <c:ser>
          <c:idx val="3"/>
          <c:order val="2"/>
          <c:tx>
            <c:strRef>
              <c:f>'C:\Users\blerta.kika\Desktop\Raporte\[EmploymentProductivityWages_2018.xlsx]SAK Wages'!$D$33</c:f>
              <c:strCache>
                <c:ptCount val="1"/>
                <c:pt idx="0">
                  <c:v>Paga mesatare në ndërmarrjet publike</c:v>
                </c:pt>
              </c:strCache>
            </c:strRef>
          </c:tx>
          <c:spPr>
            <a:solidFill>
              <a:schemeClr val="accent4"/>
            </a:solidFill>
            <a:ln>
              <a:noFill/>
            </a:ln>
            <a:effectLst/>
          </c:spPr>
          <c:invertIfNegative val="0"/>
          <c:cat>
            <c:numRef>
              <c:f>'C:\Users\blerta.kika\Desktop\Raporte\[EmploymentProductivityWages_2018.xlsx]SAK Wages'!$E$30:$K$30</c:f>
              <c:numCache>
                <c:formatCode>General</c:formatCode>
                <c:ptCount val="7"/>
                <c:pt idx="0">
                  <c:v>2012</c:v>
                </c:pt>
                <c:pt idx="1">
                  <c:v>2013</c:v>
                </c:pt>
                <c:pt idx="2">
                  <c:v>2014</c:v>
                </c:pt>
                <c:pt idx="3">
                  <c:v>2015</c:v>
                </c:pt>
                <c:pt idx="4">
                  <c:v>2016</c:v>
                </c:pt>
                <c:pt idx="5">
                  <c:v>2017</c:v>
                </c:pt>
                <c:pt idx="6">
                  <c:v>2018</c:v>
                </c:pt>
              </c:numCache>
            </c:numRef>
          </c:cat>
          <c:val>
            <c:numRef>
              <c:f>'C:\Users\blerta.kika\Desktop\Raporte\[EmploymentProductivityWages_2018.xlsx]SAK Wages'!$E$33:$K$33</c:f>
              <c:numCache>
                <c:formatCode>General</c:formatCode>
                <c:ptCount val="7"/>
                <c:pt idx="0">
                  <c:v>518</c:v>
                </c:pt>
                <c:pt idx="1">
                  <c:v>549</c:v>
                </c:pt>
                <c:pt idx="2">
                  <c:v>624</c:v>
                </c:pt>
                <c:pt idx="3">
                  <c:v>651</c:v>
                </c:pt>
                <c:pt idx="4">
                  <c:v>660</c:v>
                </c:pt>
                <c:pt idx="5">
                  <c:v>667</c:v>
                </c:pt>
                <c:pt idx="6">
                  <c:v>699</c:v>
                </c:pt>
              </c:numCache>
            </c:numRef>
          </c:val>
        </c:ser>
        <c:ser>
          <c:idx val="4"/>
          <c:order val="4"/>
          <c:tx>
            <c:strRef>
              <c:f>'C:\Users\blerta.kika\Desktop\Raporte\[EmploymentProductivityWages_2018.xlsx]SAK Wages'!$D$34</c:f>
              <c:strCache>
                <c:ptCount val="1"/>
                <c:pt idx="0">
                  <c:v>Sektori publik dhe ndërmarrjet publike</c:v>
                </c:pt>
              </c:strCache>
            </c:strRef>
          </c:tx>
          <c:spPr>
            <a:solidFill>
              <a:schemeClr val="accent5"/>
            </a:solidFill>
            <a:ln>
              <a:noFill/>
            </a:ln>
            <a:effectLst/>
          </c:spPr>
          <c:invertIfNegative val="0"/>
          <c:cat>
            <c:numRef>
              <c:f>'C:\Users\blerta.kika\Desktop\Raporte\[EmploymentProductivityWages_2018.xlsx]SAK Wages'!$E$30:$K$30</c:f>
              <c:numCache>
                <c:formatCode>General</c:formatCode>
                <c:ptCount val="7"/>
                <c:pt idx="0">
                  <c:v>2012</c:v>
                </c:pt>
                <c:pt idx="1">
                  <c:v>2013</c:v>
                </c:pt>
                <c:pt idx="2">
                  <c:v>2014</c:v>
                </c:pt>
                <c:pt idx="3">
                  <c:v>2015</c:v>
                </c:pt>
                <c:pt idx="4">
                  <c:v>2016</c:v>
                </c:pt>
                <c:pt idx="5">
                  <c:v>2017</c:v>
                </c:pt>
                <c:pt idx="6">
                  <c:v>2018</c:v>
                </c:pt>
              </c:numCache>
            </c:numRef>
          </c:cat>
          <c:val>
            <c:numRef>
              <c:f>'C:\Users\blerta.kika\Desktop\Raporte\[EmploymentProductivityWages_2018.xlsx]SAK Wages'!$E$34:$K$34</c:f>
              <c:numCache>
                <c:formatCode>General</c:formatCode>
                <c:ptCount val="7"/>
                <c:pt idx="0">
                  <c:v>424</c:v>
                </c:pt>
                <c:pt idx="1">
                  <c:v>446</c:v>
                </c:pt>
                <c:pt idx="2">
                  <c:v>511</c:v>
                </c:pt>
                <c:pt idx="3">
                  <c:v>542</c:v>
                </c:pt>
                <c:pt idx="4">
                  <c:v>549</c:v>
                </c:pt>
                <c:pt idx="5">
                  <c:v>551</c:v>
                </c:pt>
                <c:pt idx="6">
                  <c:v>560</c:v>
                </c:pt>
              </c:numCache>
            </c:numRef>
          </c:val>
        </c:ser>
        <c:dLbls>
          <c:showLegendKey val="0"/>
          <c:showVal val="0"/>
          <c:showCatName val="0"/>
          <c:showSerName val="0"/>
          <c:showPercent val="0"/>
          <c:showBubbleSize val="0"/>
        </c:dLbls>
        <c:gapWidth val="150"/>
        <c:axId val="402925264"/>
        <c:axId val="746833496"/>
        <c:extLst>
          <c:ext xmlns:c15="http://schemas.microsoft.com/office/drawing/2012/chart" uri="{02D57815-91ED-43cb-92C2-25804820EDAC}">
            <c15:filteredBarSeries>
              <c15:ser>
                <c:idx val="2"/>
                <c:order val="3"/>
                <c:tx>
                  <c:strRef>
                    <c:extLst>
                      <c:ext uri="{02D57815-91ED-43cb-92C2-25804820EDAC}">
                        <c15:formulaRef>
                          <c15:sqref>'SAK Wages'!#REF!</c15:sqref>
                        </c15:formulaRef>
                      </c:ext>
                    </c:extLst>
                    <c:strCache>
                      <c:ptCount val="1"/>
                      <c:pt idx="0">
                        <c:v>#REF!</c:v>
                      </c:pt>
                    </c:strCache>
                  </c:strRef>
                </c:tx>
                <c:spPr>
                  <a:solidFill>
                    <a:schemeClr val="accent3"/>
                  </a:solidFill>
                  <a:ln>
                    <a:noFill/>
                  </a:ln>
                  <a:effectLst/>
                </c:spPr>
                <c:invertIfNegative val="0"/>
                <c:cat>
                  <c:numRef>
                    <c:extLst>
                      <c:ext uri="{02D57815-91ED-43cb-92C2-25804820EDAC}">
                        <c15:formulaRef>
                          <c15:sqref>'C:\Users\blerta.kika\Desktop\Raporte\[EmploymentProductivityWages_2018.xlsx]SAK Wages'!$E$30:$K$30</c15:sqref>
                        </c15:formulaRef>
                      </c:ext>
                    </c:extLst>
                    <c:numCache>
                      <c:formatCode>General</c:formatCode>
                      <c:ptCount val="7"/>
                      <c:pt idx="0">
                        <c:v>2012</c:v>
                      </c:pt>
                      <c:pt idx="1">
                        <c:v>2013</c:v>
                      </c:pt>
                      <c:pt idx="2">
                        <c:v>2014</c:v>
                      </c:pt>
                      <c:pt idx="3">
                        <c:v>2015</c:v>
                      </c:pt>
                      <c:pt idx="4">
                        <c:v>2016</c:v>
                      </c:pt>
                      <c:pt idx="5">
                        <c:v>2017</c:v>
                      </c:pt>
                      <c:pt idx="6">
                        <c:v>2018</c:v>
                      </c:pt>
                    </c:numCache>
                  </c:numRef>
                </c:cat>
                <c:val>
                  <c:numRef>
                    <c:extLst>
                      <c:ext uri="{02D57815-91ED-43cb-92C2-25804820EDAC}">
                        <c15:formulaRef>
                          <c15:sqref>'SAK Wages'!#REF!</c15:sqref>
                        </c15:formulaRef>
                      </c:ext>
                    </c:extLst>
                    <c:numCache>
                      <c:formatCode>General</c:formatCode>
                      <c:ptCount val="1"/>
                      <c:pt idx="0">
                        <c:v>1</c:v>
                      </c:pt>
                    </c:numCache>
                  </c:numRef>
                </c:val>
              </c15:ser>
            </c15:filteredBarSeries>
          </c:ext>
        </c:extLst>
      </c:barChart>
      <c:lineChart>
        <c:grouping val="standard"/>
        <c:varyColors val="0"/>
        <c:ser>
          <c:idx val="5"/>
          <c:order val="5"/>
          <c:tx>
            <c:strRef>
              <c:f>'C:\Users\blerta.kika\Desktop\Raporte\[EmploymentProductivityWages_2018.xlsx]SAK Wages'!$D$35</c:f>
              <c:strCache>
                <c:ptCount val="1"/>
                <c:pt idx="0">
                  <c:v>Paga mesatare(boshti I djathtë)</c:v>
                </c:pt>
              </c:strCache>
            </c:strRef>
          </c:tx>
          <c:spPr>
            <a:ln w="28575" cap="rnd">
              <a:solidFill>
                <a:schemeClr val="accent6"/>
              </a:solidFill>
              <a:round/>
            </a:ln>
            <a:effectLst/>
          </c:spPr>
          <c:marker>
            <c:symbol val="none"/>
          </c:marker>
          <c:val>
            <c:numRef>
              <c:f>'C:\Users\blerta.kika\Desktop\Raporte\[EmploymentProductivityWages_2018.xlsx]SAK Wages'!$E$35:$K$35</c:f>
              <c:numCache>
                <c:formatCode>General</c:formatCode>
                <c:ptCount val="7"/>
                <c:pt idx="0">
                  <c:v>431</c:v>
                </c:pt>
                <c:pt idx="1">
                  <c:v>444</c:v>
                </c:pt>
                <c:pt idx="2">
                  <c:v>482</c:v>
                </c:pt>
                <c:pt idx="3">
                  <c:v>510</c:v>
                </c:pt>
                <c:pt idx="4">
                  <c:v>519</c:v>
                </c:pt>
                <c:pt idx="5">
                  <c:v>528</c:v>
                </c:pt>
                <c:pt idx="6">
                  <c:v>558</c:v>
                </c:pt>
              </c:numCache>
            </c:numRef>
          </c:val>
          <c:smooth val="0"/>
        </c:ser>
        <c:dLbls>
          <c:showLegendKey val="0"/>
          <c:showVal val="0"/>
          <c:showCatName val="0"/>
          <c:showSerName val="0"/>
          <c:showPercent val="0"/>
          <c:showBubbleSize val="0"/>
        </c:dLbls>
        <c:marker val="1"/>
        <c:smooth val="0"/>
        <c:axId val="746834280"/>
        <c:axId val="746833888"/>
      </c:lineChart>
      <c:catAx>
        <c:axId val="40292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46833496"/>
        <c:crosses val="autoZero"/>
        <c:auto val="1"/>
        <c:lblAlgn val="ctr"/>
        <c:lblOffset val="100"/>
        <c:noMultiLvlLbl val="0"/>
      </c:catAx>
      <c:valAx>
        <c:axId val="746833496"/>
        <c:scaling>
          <c:orientation val="minMax"/>
          <c:max val="7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02925264"/>
        <c:crosses val="autoZero"/>
        <c:crossBetween val="between"/>
      </c:valAx>
      <c:valAx>
        <c:axId val="746833888"/>
        <c:scaling>
          <c:orientation val="minMax"/>
          <c:max val="800"/>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6834280"/>
        <c:crosses val="max"/>
        <c:crossBetween val="between"/>
      </c:valAx>
      <c:catAx>
        <c:axId val="746834280"/>
        <c:scaling>
          <c:orientation val="minMax"/>
        </c:scaling>
        <c:delete val="1"/>
        <c:axPos val="b"/>
        <c:majorTickMark val="none"/>
        <c:minorTickMark val="none"/>
        <c:tickLblPos val="nextTo"/>
        <c:crossAx val="746833888"/>
        <c:crosses val="autoZero"/>
        <c:auto val="1"/>
        <c:lblAlgn val="ctr"/>
        <c:lblOffset val="100"/>
        <c:noMultiLvlLbl val="0"/>
      </c:catAx>
      <c:spPr>
        <a:noFill/>
        <a:ln>
          <a:noFill/>
        </a:ln>
        <a:effectLst/>
      </c:spPr>
    </c:plotArea>
    <c:legend>
      <c:legendPos val="b"/>
      <c:legendEntry>
        <c:idx val="2"/>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7.1984470691163607E-2"/>
          <c:y val="0.84757700159274962"/>
          <c:w val="0.92801552930883635"/>
          <c:h val="0.1296309756152275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253146597363453E-2"/>
          <c:y val="3.8029365639147869E-2"/>
          <c:w val="0.87125733601881805"/>
          <c:h val="0.82713924709478237"/>
        </c:manualLayout>
      </c:layout>
      <c:barChart>
        <c:barDir val="col"/>
        <c:grouping val="stacked"/>
        <c:varyColors val="0"/>
        <c:ser>
          <c:idx val="0"/>
          <c:order val="0"/>
          <c:tx>
            <c:strRef>
              <c:f>Fig_4_BPV!$W$5</c:f>
              <c:strCache>
                <c:ptCount val="1"/>
                <c:pt idx="0">
                  <c:v>Konsumi</c:v>
                </c:pt>
              </c:strCache>
            </c:strRef>
          </c:tx>
          <c:spPr>
            <a:solidFill>
              <a:schemeClr val="accent1"/>
            </a:solidFill>
            <a:ln>
              <a:noFill/>
            </a:ln>
            <a:effectLst/>
          </c:spPr>
          <c:invertIfNegative val="0"/>
          <c:cat>
            <c:numRef>
              <c:f>Fig_4_BPV!$Y$4:$AE$4</c:f>
              <c:numCache>
                <c:formatCode>General</c:formatCode>
                <c:ptCount val="7"/>
                <c:pt idx="0">
                  <c:v>2016</c:v>
                </c:pt>
                <c:pt idx="1">
                  <c:v>2017</c:v>
                </c:pt>
                <c:pt idx="2">
                  <c:v>2018</c:v>
                </c:pt>
                <c:pt idx="3">
                  <c:v>2019</c:v>
                </c:pt>
                <c:pt idx="4">
                  <c:v>2020</c:v>
                </c:pt>
                <c:pt idx="5">
                  <c:v>2021</c:v>
                </c:pt>
                <c:pt idx="6">
                  <c:v>2022</c:v>
                </c:pt>
              </c:numCache>
            </c:numRef>
          </c:cat>
          <c:val>
            <c:numRef>
              <c:f>Fig_4_BPV!$Y$5:$AE$5</c:f>
              <c:numCache>
                <c:formatCode>0.0%</c:formatCode>
                <c:ptCount val="7"/>
                <c:pt idx="0">
                  <c:v>4.7007849679296658E-2</c:v>
                </c:pt>
                <c:pt idx="1">
                  <c:v>1.4942202295880584E-2</c:v>
                </c:pt>
                <c:pt idx="2">
                  <c:v>5.237063253246857E-2</c:v>
                </c:pt>
                <c:pt idx="3">
                  <c:v>2.1244406889186072E-2</c:v>
                </c:pt>
                <c:pt idx="4">
                  <c:v>4.3198121541578184E-2</c:v>
                </c:pt>
                <c:pt idx="5">
                  <c:v>3.54523611895282E-2</c:v>
                </c:pt>
                <c:pt idx="6">
                  <c:v>3.5383401421030337E-2</c:v>
                </c:pt>
              </c:numCache>
            </c:numRef>
          </c:val>
        </c:ser>
        <c:ser>
          <c:idx val="1"/>
          <c:order val="1"/>
          <c:tx>
            <c:strRef>
              <c:f>Fig_4_BPV!$W$12</c:f>
              <c:strCache>
                <c:ptCount val="1"/>
                <c:pt idx="0">
                  <c:v>Investimet</c:v>
                </c:pt>
              </c:strCache>
            </c:strRef>
          </c:tx>
          <c:spPr>
            <a:solidFill>
              <a:schemeClr val="accent2"/>
            </a:solidFill>
            <a:ln>
              <a:noFill/>
            </a:ln>
            <a:effectLst/>
          </c:spPr>
          <c:invertIfNegative val="0"/>
          <c:cat>
            <c:numRef>
              <c:f>Fig_4_BPV!$Y$4:$AE$4</c:f>
              <c:numCache>
                <c:formatCode>General</c:formatCode>
                <c:ptCount val="7"/>
                <c:pt idx="0">
                  <c:v>2016</c:v>
                </c:pt>
                <c:pt idx="1">
                  <c:v>2017</c:v>
                </c:pt>
                <c:pt idx="2">
                  <c:v>2018</c:v>
                </c:pt>
                <c:pt idx="3">
                  <c:v>2019</c:v>
                </c:pt>
                <c:pt idx="4">
                  <c:v>2020</c:v>
                </c:pt>
                <c:pt idx="5">
                  <c:v>2021</c:v>
                </c:pt>
                <c:pt idx="6">
                  <c:v>2022</c:v>
                </c:pt>
              </c:numCache>
            </c:numRef>
          </c:cat>
          <c:val>
            <c:numRef>
              <c:f>Fig_4_BPV!$Y$12:$AE$12</c:f>
              <c:numCache>
                <c:formatCode>0.0%</c:formatCode>
                <c:ptCount val="7"/>
                <c:pt idx="0">
                  <c:v>2.0662791067822588E-2</c:v>
                </c:pt>
                <c:pt idx="1">
                  <c:v>1.5172842684130191E-2</c:v>
                </c:pt>
                <c:pt idx="2">
                  <c:v>2.2950155131823097E-2</c:v>
                </c:pt>
                <c:pt idx="3">
                  <c:v>9.7458327172122595E-3</c:v>
                </c:pt>
                <c:pt idx="4">
                  <c:v>2.0828128421907451E-2</c:v>
                </c:pt>
                <c:pt idx="5">
                  <c:v>1.5655668293199206E-2</c:v>
                </c:pt>
                <c:pt idx="6">
                  <c:v>1.517342473938758E-2</c:v>
                </c:pt>
              </c:numCache>
            </c:numRef>
          </c:val>
        </c:ser>
        <c:ser>
          <c:idx val="2"/>
          <c:order val="2"/>
          <c:tx>
            <c:strRef>
              <c:f>Fig_4_BPV!$W$20</c:f>
              <c:strCache>
                <c:ptCount val="1"/>
                <c:pt idx="0">
                  <c:v>Eksportet (M&amp;Sh)</c:v>
                </c:pt>
              </c:strCache>
            </c:strRef>
          </c:tx>
          <c:spPr>
            <a:solidFill>
              <a:schemeClr val="accent3"/>
            </a:solidFill>
            <a:ln>
              <a:noFill/>
            </a:ln>
            <a:effectLst/>
          </c:spPr>
          <c:invertIfNegative val="0"/>
          <c:cat>
            <c:numRef>
              <c:f>Fig_4_BPV!$Y$4:$AE$4</c:f>
              <c:numCache>
                <c:formatCode>General</c:formatCode>
                <c:ptCount val="7"/>
                <c:pt idx="0">
                  <c:v>2016</c:v>
                </c:pt>
                <c:pt idx="1">
                  <c:v>2017</c:v>
                </c:pt>
                <c:pt idx="2">
                  <c:v>2018</c:v>
                </c:pt>
                <c:pt idx="3">
                  <c:v>2019</c:v>
                </c:pt>
                <c:pt idx="4">
                  <c:v>2020</c:v>
                </c:pt>
                <c:pt idx="5">
                  <c:v>2021</c:v>
                </c:pt>
                <c:pt idx="6">
                  <c:v>2022</c:v>
                </c:pt>
              </c:numCache>
            </c:numRef>
          </c:cat>
          <c:val>
            <c:numRef>
              <c:f>Fig_4_BPV!$Y$20:$AE$20</c:f>
              <c:numCache>
                <c:formatCode>0.0%</c:formatCode>
                <c:ptCount val="7"/>
                <c:pt idx="0">
                  <c:v>5.2196189758008027E-3</c:v>
                </c:pt>
                <c:pt idx="1">
                  <c:v>3.9699893073874649E-2</c:v>
                </c:pt>
                <c:pt idx="2">
                  <c:v>1.0181013112147013E-2</c:v>
                </c:pt>
                <c:pt idx="3">
                  <c:v>2.6339855179342824E-2</c:v>
                </c:pt>
                <c:pt idx="4">
                  <c:v>2.3986497418800639E-2</c:v>
                </c:pt>
                <c:pt idx="5">
                  <c:v>2.3030906933439541E-2</c:v>
                </c:pt>
                <c:pt idx="6">
                  <c:v>2.3569493166932961E-2</c:v>
                </c:pt>
              </c:numCache>
            </c:numRef>
          </c:val>
        </c:ser>
        <c:ser>
          <c:idx val="3"/>
          <c:order val="3"/>
          <c:tx>
            <c:strRef>
              <c:f>Fig_4_BPV!$W$25</c:f>
              <c:strCache>
                <c:ptCount val="1"/>
                <c:pt idx="0">
                  <c:v>Importet (M&amp;Sh)</c:v>
                </c:pt>
              </c:strCache>
            </c:strRef>
          </c:tx>
          <c:spPr>
            <a:solidFill>
              <a:schemeClr val="accent4"/>
            </a:solidFill>
            <a:ln>
              <a:noFill/>
            </a:ln>
            <a:effectLst/>
          </c:spPr>
          <c:invertIfNegative val="0"/>
          <c:cat>
            <c:numRef>
              <c:f>Fig_4_BPV!$Y$4:$AE$4</c:f>
              <c:numCache>
                <c:formatCode>General</c:formatCode>
                <c:ptCount val="7"/>
                <c:pt idx="0">
                  <c:v>2016</c:v>
                </c:pt>
                <c:pt idx="1">
                  <c:v>2017</c:v>
                </c:pt>
                <c:pt idx="2">
                  <c:v>2018</c:v>
                </c:pt>
                <c:pt idx="3">
                  <c:v>2019</c:v>
                </c:pt>
                <c:pt idx="4">
                  <c:v>2020</c:v>
                </c:pt>
                <c:pt idx="5">
                  <c:v>2021</c:v>
                </c:pt>
                <c:pt idx="6">
                  <c:v>2022</c:v>
                </c:pt>
              </c:numCache>
            </c:numRef>
          </c:cat>
          <c:val>
            <c:numRef>
              <c:f>Fig_4_BPV!$Y$25:$AE$25</c:f>
              <c:numCache>
                <c:formatCode>0.0%</c:formatCode>
                <c:ptCount val="7"/>
                <c:pt idx="0">
                  <c:v>-3.2294882554816405E-2</c:v>
                </c:pt>
                <c:pt idx="1">
                  <c:v>-2.7551023554235464E-2</c:v>
                </c:pt>
                <c:pt idx="2">
                  <c:v>-4.7334694959385151E-2</c:v>
                </c:pt>
                <c:pt idx="3">
                  <c:v>-1.7399347246660448E-2</c:v>
                </c:pt>
                <c:pt idx="4">
                  <c:v>-4.3558047073249791E-2</c:v>
                </c:pt>
                <c:pt idx="5">
                  <c:v>-2.9593735447733444E-2</c:v>
                </c:pt>
                <c:pt idx="6">
                  <c:v>-2.8856288463209086E-2</c:v>
                </c:pt>
              </c:numCache>
            </c:numRef>
          </c:val>
        </c:ser>
        <c:dLbls>
          <c:showLegendKey val="0"/>
          <c:showVal val="0"/>
          <c:showCatName val="0"/>
          <c:showSerName val="0"/>
          <c:showPercent val="0"/>
          <c:showBubbleSize val="0"/>
        </c:dLbls>
        <c:gapWidth val="150"/>
        <c:overlap val="100"/>
        <c:axId val="746835064"/>
        <c:axId val="741973792"/>
      </c:barChart>
      <c:lineChart>
        <c:grouping val="standard"/>
        <c:varyColors val="0"/>
        <c:ser>
          <c:idx val="4"/>
          <c:order val="4"/>
          <c:tx>
            <c:strRef>
              <c:f>Fig_4_BPV!$V$4</c:f>
              <c:strCache>
                <c:ptCount val="1"/>
                <c:pt idx="0">
                  <c:v>BPV Reale</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Fig_4_BPV!$Y$4:$AE$4</c:f>
              <c:numCache>
                <c:formatCode>General</c:formatCode>
                <c:ptCount val="7"/>
                <c:pt idx="0">
                  <c:v>2016</c:v>
                </c:pt>
                <c:pt idx="1">
                  <c:v>2017</c:v>
                </c:pt>
                <c:pt idx="2">
                  <c:v>2018</c:v>
                </c:pt>
                <c:pt idx="3">
                  <c:v>2019</c:v>
                </c:pt>
                <c:pt idx="4">
                  <c:v>2020</c:v>
                </c:pt>
                <c:pt idx="5">
                  <c:v>2021</c:v>
                </c:pt>
                <c:pt idx="6">
                  <c:v>2022</c:v>
                </c:pt>
              </c:numCache>
            </c:numRef>
          </c:cat>
          <c:val>
            <c:numRef>
              <c:f>Fig_4_BPV!$N$3:$T$3</c:f>
              <c:numCache>
                <c:formatCode>0.0%</c:formatCode>
                <c:ptCount val="7"/>
                <c:pt idx="0">
                  <c:v>4.0595377168103575E-2</c:v>
                </c:pt>
                <c:pt idx="1">
                  <c:v>4.2263914499649724E-2</c:v>
                </c:pt>
                <c:pt idx="2">
                  <c:v>3.8167105817053848E-2</c:v>
                </c:pt>
                <c:pt idx="3">
                  <c:v>3.993074753908088E-2</c:v>
                </c:pt>
                <c:pt idx="4">
                  <c:v>4.4454700309036532E-2</c:v>
                </c:pt>
                <c:pt idx="5">
                  <c:v>4.4545200968433507E-2</c:v>
                </c:pt>
                <c:pt idx="6">
                  <c:v>4.5270030864141608E-2</c:v>
                </c:pt>
              </c:numCache>
            </c:numRef>
          </c:val>
          <c:smooth val="0"/>
        </c:ser>
        <c:dLbls>
          <c:showLegendKey val="0"/>
          <c:showVal val="0"/>
          <c:showCatName val="0"/>
          <c:showSerName val="0"/>
          <c:showPercent val="0"/>
          <c:showBubbleSize val="0"/>
        </c:dLbls>
        <c:marker val="1"/>
        <c:smooth val="0"/>
        <c:axId val="741974576"/>
        <c:axId val="741974184"/>
      </c:lineChart>
      <c:catAx>
        <c:axId val="746835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973792"/>
        <c:crosses val="autoZero"/>
        <c:auto val="1"/>
        <c:lblAlgn val="ctr"/>
        <c:lblOffset val="100"/>
        <c:noMultiLvlLbl val="0"/>
      </c:catAx>
      <c:valAx>
        <c:axId val="7419737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6835064"/>
        <c:crosses val="autoZero"/>
        <c:crossBetween val="between"/>
      </c:valAx>
      <c:valAx>
        <c:axId val="741974184"/>
        <c:scaling>
          <c:orientation val="minMax"/>
          <c:min val="1.0000000000000002E-2"/>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974576"/>
        <c:crosses val="max"/>
        <c:crossBetween val="between"/>
        <c:minorUnit val="1.0000000000000002E-2"/>
      </c:valAx>
      <c:catAx>
        <c:axId val="741974576"/>
        <c:scaling>
          <c:orientation val="minMax"/>
        </c:scaling>
        <c:delete val="1"/>
        <c:axPos val="b"/>
        <c:numFmt formatCode="General" sourceLinked="1"/>
        <c:majorTickMark val="out"/>
        <c:minorTickMark val="none"/>
        <c:tickLblPos val="nextTo"/>
        <c:crossAx val="741974184"/>
        <c:crosses val="autoZero"/>
        <c:auto val="1"/>
        <c:lblAlgn val="ctr"/>
        <c:lblOffset val="100"/>
        <c:noMultiLvlLbl val="0"/>
      </c:catAx>
      <c:spPr>
        <a:noFill/>
        <a:ln>
          <a:noFill/>
        </a:ln>
        <a:effectLst/>
      </c:spPr>
    </c:plotArea>
    <c:legend>
      <c:legendPos val="r"/>
      <c:layout>
        <c:manualLayout>
          <c:xMode val="edge"/>
          <c:yMode val="edge"/>
          <c:x val="5.787697847615831E-2"/>
          <c:y val="0.88655870174224571"/>
          <c:w val="0.89306642503841571"/>
          <c:h val="0.11192937916856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HHI!$M$1</c:f>
              <c:strCache>
                <c:ptCount val="1"/>
                <c:pt idx="0">
                  <c:v>Seksioni</c:v>
                </c:pt>
              </c:strCache>
            </c:strRef>
          </c:tx>
          <c:spPr>
            <a:ln w="22225" cap="rnd" cmpd="sng" algn="ctr">
              <a:solidFill>
                <a:schemeClr val="accent1"/>
              </a:solidFill>
              <a:round/>
            </a:ln>
            <a:effectLst/>
          </c:spPr>
          <c:marker>
            <c:symbol val="none"/>
          </c:marker>
          <c:cat>
            <c:strRef>
              <c:f>HHI!$L$3:$L$13</c:f>
              <c:strCache>
                <c:ptCount val="8"/>
                <c:pt idx="0">
                  <c:v>2012</c:v>
                </c:pt>
                <c:pt idx="1">
                  <c:v>2013</c:v>
                </c:pt>
                <c:pt idx="2">
                  <c:v>2014</c:v>
                </c:pt>
                <c:pt idx="3">
                  <c:v>2015</c:v>
                </c:pt>
                <c:pt idx="4">
                  <c:v>2016</c:v>
                </c:pt>
                <c:pt idx="5">
                  <c:v>2017</c:v>
                </c:pt>
                <c:pt idx="6">
                  <c:v>2018</c:v>
                </c:pt>
                <c:pt idx="7">
                  <c:v>2019*</c:v>
                </c:pt>
              </c:strCache>
              <c:extLst/>
            </c:strRef>
          </c:cat>
          <c:val>
            <c:numRef>
              <c:f>HHI!$M$3:$M$13</c:f>
              <c:numCache>
                <c:formatCode>0.00</c:formatCode>
                <c:ptCount val="8"/>
                <c:pt idx="0">
                  <c:v>0.31205505617906015</c:v>
                </c:pt>
                <c:pt idx="1">
                  <c:v>0.28338608934610199</c:v>
                </c:pt>
                <c:pt idx="2">
                  <c:v>0.30015654889751625</c:v>
                </c:pt>
                <c:pt idx="3">
                  <c:v>0.26981695770590169</c:v>
                </c:pt>
                <c:pt idx="4">
                  <c:v>0.19593047284232412</c:v>
                </c:pt>
                <c:pt idx="5">
                  <c:v>0.17166389020869197</c:v>
                </c:pt>
                <c:pt idx="6">
                  <c:v>0.17143515737749163</c:v>
                </c:pt>
                <c:pt idx="7">
                  <c:v>0.1819723089493685</c:v>
                </c:pt>
              </c:numCache>
              <c:extLst/>
            </c:numRef>
          </c:val>
          <c:smooth val="0"/>
        </c:ser>
        <c:ser>
          <c:idx val="1"/>
          <c:order val="1"/>
          <c:tx>
            <c:strRef>
              <c:f>HHI!$N$1</c:f>
              <c:strCache>
                <c:ptCount val="1"/>
                <c:pt idx="0">
                  <c:v>Shteti</c:v>
                </c:pt>
              </c:strCache>
            </c:strRef>
          </c:tx>
          <c:spPr>
            <a:ln w="22225" cap="rnd" cmpd="sng" algn="ctr">
              <a:solidFill>
                <a:schemeClr val="accent2"/>
              </a:solidFill>
              <a:round/>
            </a:ln>
            <a:effectLst/>
          </c:spPr>
          <c:marker>
            <c:symbol val="none"/>
          </c:marker>
          <c:cat>
            <c:strRef>
              <c:f>HHI!$L$3:$L$13</c:f>
              <c:strCache>
                <c:ptCount val="8"/>
                <c:pt idx="0">
                  <c:v>2012</c:v>
                </c:pt>
                <c:pt idx="1">
                  <c:v>2013</c:v>
                </c:pt>
                <c:pt idx="2">
                  <c:v>2014</c:v>
                </c:pt>
                <c:pt idx="3">
                  <c:v>2015</c:v>
                </c:pt>
                <c:pt idx="4">
                  <c:v>2016</c:v>
                </c:pt>
                <c:pt idx="5">
                  <c:v>2017</c:v>
                </c:pt>
                <c:pt idx="6">
                  <c:v>2018</c:v>
                </c:pt>
                <c:pt idx="7">
                  <c:v>2019*</c:v>
                </c:pt>
              </c:strCache>
              <c:extLst/>
            </c:strRef>
          </c:cat>
          <c:val>
            <c:numRef>
              <c:f>HHI!$N$3:$N$13</c:f>
              <c:numCache>
                <c:formatCode>General</c:formatCode>
                <c:ptCount val="8"/>
                <c:pt idx="0">
                  <c:v>0.12042378270339599</c:v>
                </c:pt>
                <c:pt idx="1">
                  <c:v>0.12069912452628719</c:v>
                </c:pt>
                <c:pt idx="2" formatCode="0.00">
                  <c:v>9.4155188470762832E-2</c:v>
                </c:pt>
                <c:pt idx="3" formatCode="0.00">
                  <c:v>7.7918720250788678E-2</c:v>
                </c:pt>
                <c:pt idx="4" formatCode="0.00">
                  <c:v>8.3660268211850172E-2</c:v>
                </c:pt>
                <c:pt idx="5" formatCode="0.00">
                  <c:v>9.0588813433781321E-2</c:v>
                </c:pt>
                <c:pt idx="6" formatCode="0.00">
                  <c:v>8.7406066442346969E-2</c:v>
                </c:pt>
                <c:pt idx="7" formatCode="0.00">
                  <c:v>8.3404465708743603E-2</c:v>
                </c:pt>
              </c:numCache>
              <c:extLst/>
            </c:numRef>
          </c:val>
          <c:smooth val="0"/>
        </c:ser>
        <c:ser>
          <c:idx val="2"/>
          <c:order val="2"/>
          <c:tx>
            <c:strRef>
              <c:f>HHI!$O$1</c:f>
              <c:strCache>
                <c:ptCount val="1"/>
                <c:pt idx="0">
                  <c:v>SITC</c:v>
                </c:pt>
              </c:strCache>
            </c:strRef>
          </c:tx>
          <c:spPr>
            <a:ln w="22225" cap="rnd" cmpd="sng" algn="ctr">
              <a:solidFill>
                <a:schemeClr val="accent3"/>
              </a:solidFill>
              <a:round/>
            </a:ln>
            <a:effectLst/>
          </c:spPr>
          <c:marker>
            <c:symbol val="none"/>
          </c:marker>
          <c:cat>
            <c:strRef>
              <c:f>HHI!$L$3:$L$13</c:f>
              <c:strCache>
                <c:ptCount val="8"/>
                <c:pt idx="0">
                  <c:v>2012</c:v>
                </c:pt>
                <c:pt idx="1">
                  <c:v>2013</c:v>
                </c:pt>
                <c:pt idx="2">
                  <c:v>2014</c:v>
                </c:pt>
                <c:pt idx="3">
                  <c:v>2015</c:v>
                </c:pt>
                <c:pt idx="4">
                  <c:v>2016</c:v>
                </c:pt>
                <c:pt idx="5">
                  <c:v>2017</c:v>
                </c:pt>
                <c:pt idx="6">
                  <c:v>2018</c:v>
                </c:pt>
                <c:pt idx="7">
                  <c:v>2019*</c:v>
                </c:pt>
              </c:strCache>
              <c:extLst/>
            </c:strRef>
          </c:cat>
          <c:val>
            <c:numRef>
              <c:f>HHI!$O$3:$O$13</c:f>
              <c:numCache>
                <c:formatCode>General</c:formatCode>
                <c:ptCount val="8"/>
                <c:pt idx="0">
                  <c:v>0.29310402333460545</c:v>
                </c:pt>
                <c:pt idx="1">
                  <c:v>0.27470910084301359</c:v>
                </c:pt>
                <c:pt idx="2" formatCode="0.00">
                  <c:v>0.29704515684028832</c:v>
                </c:pt>
                <c:pt idx="3" formatCode="0.00">
                  <c:v>0.27370168375437448</c:v>
                </c:pt>
                <c:pt idx="4" formatCode="0.00">
                  <c:v>0.20075510484588638</c:v>
                </c:pt>
                <c:pt idx="5" formatCode="0.00">
                  <c:v>0.19219055821602626</c:v>
                </c:pt>
                <c:pt idx="6" formatCode="0.00">
                  <c:v>0.17998172262298121</c:v>
                </c:pt>
                <c:pt idx="7" formatCode="0.00">
                  <c:v>0.1887405408677246</c:v>
                </c:pt>
              </c:numCache>
              <c:extLst/>
            </c:numRef>
          </c:val>
          <c:smooth val="0"/>
        </c:ser>
        <c:dLbls>
          <c:showLegendKey val="0"/>
          <c:showVal val="0"/>
          <c:showCatName val="0"/>
          <c:showSerName val="0"/>
          <c:showPercent val="0"/>
          <c:showBubbleSize val="0"/>
        </c:dLbls>
        <c:smooth val="0"/>
        <c:axId val="741975360"/>
        <c:axId val="653914144"/>
      </c:lineChart>
      <c:catAx>
        <c:axId val="74197536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spc="20" baseline="0">
                <a:solidFill>
                  <a:schemeClr val="dk1">
                    <a:lumMod val="65000"/>
                    <a:lumOff val="35000"/>
                  </a:schemeClr>
                </a:solidFill>
                <a:latin typeface="+mn-lt"/>
                <a:ea typeface="+mn-ea"/>
                <a:cs typeface="+mn-cs"/>
              </a:defRPr>
            </a:pPr>
            <a:endParaRPr lang="en-US"/>
          </a:p>
        </c:txPr>
        <c:crossAx val="653914144"/>
        <c:crosses val="autoZero"/>
        <c:auto val="1"/>
        <c:lblAlgn val="ctr"/>
        <c:lblOffset val="100"/>
        <c:noMultiLvlLbl val="0"/>
      </c:catAx>
      <c:valAx>
        <c:axId val="653914144"/>
        <c:scaling>
          <c:orientation val="minMax"/>
        </c:scaling>
        <c:delete val="0"/>
        <c:axPos val="l"/>
        <c:majorGridlines>
          <c:spPr>
            <a:ln>
              <a:solidFill>
                <a:schemeClr val="dk1">
                  <a:lumMod val="15000"/>
                  <a:lumOff val="85000"/>
                </a:schemeClr>
              </a:solidFill>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spc="20" baseline="0">
                <a:solidFill>
                  <a:schemeClr val="dk1">
                    <a:lumMod val="65000"/>
                    <a:lumOff val="35000"/>
                  </a:schemeClr>
                </a:solidFill>
                <a:latin typeface="+mn-lt"/>
                <a:ea typeface="+mn-ea"/>
                <a:cs typeface="+mn-cs"/>
              </a:defRPr>
            </a:pPr>
            <a:endParaRPr lang="en-US"/>
          </a:p>
        </c:txPr>
        <c:crossAx val="741975360"/>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800"/>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103741269629433E-2"/>
          <c:y val="7.0512820512820512E-2"/>
          <c:w val="0.88530513395970434"/>
          <c:h val="0.65934211494591211"/>
        </c:manualLayout>
      </c:layout>
      <c:lineChart>
        <c:grouping val="standard"/>
        <c:varyColors val="0"/>
        <c:ser>
          <c:idx val="0"/>
          <c:order val="0"/>
          <c:tx>
            <c:strRef>
              <c:f>Sheet1!$I$7</c:f>
              <c:strCache>
                <c:ptCount val="1"/>
                <c:pt idx="0">
                  <c:v>Shqipëria</c:v>
                </c:pt>
              </c:strCache>
            </c:strRef>
          </c:tx>
          <c:spPr>
            <a:ln w="28575" cap="rnd">
              <a:solidFill>
                <a:schemeClr val="accent1"/>
              </a:solidFill>
              <a:round/>
            </a:ln>
            <a:effectLst/>
          </c:spPr>
          <c:marker>
            <c:symbol val="none"/>
          </c:marker>
          <c:cat>
            <c:strRef>
              <c:f>Sheet1!$BK$6:$BS$6</c:f>
              <c:strCache>
                <c:ptCount val="9"/>
                <c:pt idx="0">
                  <c:v>2010</c:v>
                </c:pt>
                <c:pt idx="1">
                  <c:v>2011</c:v>
                </c:pt>
                <c:pt idx="2">
                  <c:v>2012</c:v>
                </c:pt>
                <c:pt idx="3">
                  <c:v>2013</c:v>
                </c:pt>
                <c:pt idx="4">
                  <c:v>2014</c:v>
                </c:pt>
                <c:pt idx="5">
                  <c:v>2015</c:v>
                </c:pt>
                <c:pt idx="6">
                  <c:v>2016</c:v>
                </c:pt>
                <c:pt idx="7">
                  <c:v>2017</c:v>
                </c:pt>
                <c:pt idx="8">
                  <c:v>2018</c:v>
                </c:pt>
              </c:strCache>
            </c:strRef>
          </c:cat>
          <c:val>
            <c:numRef>
              <c:f>Sheet1!$BK$7:$BS$7</c:f>
              <c:numCache>
                <c:formatCode>General</c:formatCode>
                <c:ptCount val="9"/>
                <c:pt idx="0">
                  <c:v>76.543416984890939</c:v>
                </c:pt>
                <c:pt idx="1">
                  <c:v>81.218568933065967</c:v>
                </c:pt>
                <c:pt idx="2">
                  <c:v>76.510199870799397</c:v>
                </c:pt>
                <c:pt idx="3">
                  <c:v>75.873713106078057</c:v>
                </c:pt>
                <c:pt idx="4">
                  <c:v>75.407845596482488</c:v>
                </c:pt>
                <c:pt idx="5">
                  <c:v>71.80100633964696</c:v>
                </c:pt>
                <c:pt idx="6">
                  <c:v>74.809862823170988</c:v>
                </c:pt>
                <c:pt idx="7">
                  <c:v>78.161328605197895</c:v>
                </c:pt>
                <c:pt idx="8">
                  <c:v>77.250573148822355</c:v>
                </c:pt>
              </c:numCache>
            </c:numRef>
          </c:val>
          <c:smooth val="0"/>
        </c:ser>
        <c:ser>
          <c:idx val="1"/>
          <c:order val="1"/>
          <c:tx>
            <c:strRef>
              <c:f>Sheet1!$I$8</c:f>
              <c:strCache>
                <c:ptCount val="1"/>
                <c:pt idx="0">
                  <c:v>Bosnia dhe Hercegovina</c:v>
                </c:pt>
              </c:strCache>
            </c:strRef>
          </c:tx>
          <c:spPr>
            <a:ln w="28575" cap="rnd">
              <a:solidFill>
                <a:schemeClr val="accent2"/>
              </a:solidFill>
              <a:round/>
            </a:ln>
            <a:effectLst/>
          </c:spPr>
          <c:marker>
            <c:symbol val="none"/>
          </c:marker>
          <c:cat>
            <c:strRef>
              <c:f>Sheet1!$BK$6:$BS$6</c:f>
              <c:strCache>
                <c:ptCount val="9"/>
                <c:pt idx="0">
                  <c:v>2010</c:v>
                </c:pt>
                <c:pt idx="1">
                  <c:v>2011</c:v>
                </c:pt>
                <c:pt idx="2">
                  <c:v>2012</c:v>
                </c:pt>
                <c:pt idx="3">
                  <c:v>2013</c:v>
                </c:pt>
                <c:pt idx="4">
                  <c:v>2014</c:v>
                </c:pt>
                <c:pt idx="5">
                  <c:v>2015</c:v>
                </c:pt>
                <c:pt idx="6">
                  <c:v>2016</c:v>
                </c:pt>
                <c:pt idx="7">
                  <c:v>2017</c:v>
                </c:pt>
                <c:pt idx="8">
                  <c:v>2018</c:v>
                </c:pt>
              </c:strCache>
            </c:strRef>
          </c:cat>
          <c:val>
            <c:numRef>
              <c:f>Sheet1!$BK$8:$BS$8</c:f>
              <c:numCache>
                <c:formatCode>General</c:formatCode>
                <c:ptCount val="9"/>
                <c:pt idx="0">
                  <c:v>80.968212320361872</c:v>
                </c:pt>
                <c:pt idx="1">
                  <c:v>87.836349619778105</c:v>
                </c:pt>
                <c:pt idx="2">
                  <c:v>88.145111622711767</c:v>
                </c:pt>
                <c:pt idx="3">
                  <c:v>87.931242058536398</c:v>
                </c:pt>
                <c:pt idx="4">
                  <c:v>90.613870317716007</c:v>
                </c:pt>
                <c:pt idx="5">
                  <c:v>88.198300937075459</c:v>
                </c:pt>
                <c:pt idx="6">
                  <c:v>87.945574004680239</c:v>
                </c:pt>
                <c:pt idx="7">
                  <c:v>96.493139059346092</c:v>
                </c:pt>
                <c:pt idx="8">
                  <c:v>98.219711924342377</c:v>
                </c:pt>
              </c:numCache>
            </c:numRef>
          </c:val>
          <c:smooth val="0"/>
        </c:ser>
        <c:ser>
          <c:idx val="2"/>
          <c:order val="2"/>
          <c:tx>
            <c:strRef>
              <c:f>Sheet1!$I$9</c:f>
              <c:strCache>
                <c:ptCount val="1"/>
                <c:pt idx="0">
                  <c:v>Euro Zona</c:v>
                </c:pt>
              </c:strCache>
            </c:strRef>
          </c:tx>
          <c:spPr>
            <a:ln w="28575" cap="rnd">
              <a:solidFill>
                <a:schemeClr val="accent3"/>
              </a:solidFill>
              <a:round/>
            </a:ln>
            <a:effectLst/>
          </c:spPr>
          <c:marker>
            <c:symbol val="none"/>
          </c:marker>
          <c:cat>
            <c:strRef>
              <c:f>Sheet1!$BK$6:$BS$6</c:f>
              <c:strCache>
                <c:ptCount val="9"/>
                <c:pt idx="0">
                  <c:v>2010</c:v>
                </c:pt>
                <c:pt idx="1">
                  <c:v>2011</c:v>
                </c:pt>
                <c:pt idx="2">
                  <c:v>2012</c:v>
                </c:pt>
                <c:pt idx="3">
                  <c:v>2013</c:v>
                </c:pt>
                <c:pt idx="4">
                  <c:v>2014</c:v>
                </c:pt>
                <c:pt idx="5">
                  <c:v>2015</c:v>
                </c:pt>
                <c:pt idx="6">
                  <c:v>2016</c:v>
                </c:pt>
                <c:pt idx="7">
                  <c:v>2017</c:v>
                </c:pt>
                <c:pt idx="8">
                  <c:v>2018</c:v>
                </c:pt>
              </c:strCache>
            </c:strRef>
          </c:cat>
          <c:val>
            <c:numRef>
              <c:f>Sheet1!$BK$9:$BS$9</c:f>
              <c:numCache>
                <c:formatCode>General</c:formatCode>
                <c:ptCount val="9"/>
                <c:pt idx="0">
                  <c:v>76.161602062613412</c:v>
                </c:pt>
                <c:pt idx="1">
                  <c:v>81.610736302899468</c:v>
                </c:pt>
                <c:pt idx="2">
                  <c:v>83.30770943294813</c:v>
                </c:pt>
                <c:pt idx="3">
                  <c:v>83.026959227417933</c:v>
                </c:pt>
                <c:pt idx="4">
                  <c:v>83.757614983404167</c:v>
                </c:pt>
                <c:pt idx="5">
                  <c:v>85.101033393067937</c:v>
                </c:pt>
                <c:pt idx="6">
                  <c:v>83.862705757242722</c:v>
                </c:pt>
                <c:pt idx="7">
                  <c:v>86.938469737834708</c:v>
                </c:pt>
                <c:pt idx="8">
                  <c:v>88.089689006623047</c:v>
                </c:pt>
              </c:numCache>
            </c:numRef>
          </c:val>
          <c:smooth val="0"/>
        </c:ser>
        <c:ser>
          <c:idx val="3"/>
          <c:order val="3"/>
          <c:tx>
            <c:strRef>
              <c:f>Sheet1!$I$10</c:f>
              <c:strCache>
                <c:ptCount val="1"/>
                <c:pt idx="0">
                  <c:v>Maçedonia e Veriut</c:v>
                </c:pt>
              </c:strCache>
            </c:strRef>
          </c:tx>
          <c:spPr>
            <a:ln w="28575" cap="rnd">
              <a:solidFill>
                <a:schemeClr val="accent4"/>
              </a:solidFill>
              <a:round/>
            </a:ln>
            <a:effectLst/>
          </c:spPr>
          <c:marker>
            <c:symbol val="none"/>
          </c:marker>
          <c:cat>
            <c:strRef>
              <c:f>Sheet1!$BK$6:$BS$6</c:f>
              <c:strCache>
                <c:ptCount val="9"/>
                <c:pt idx="0">
                  <c:v>2010</c:v>
                </c:pt>
                <c:pt idx="1">
                  <c:v>2011</c:v>
                </c:pt>
                <c:pt idx="2">
                  <c:v>2012</c:v>
                </c:pt>
                <c:pt idx="3">
                  <c:v>2013</c:v>
                </c:pt>
                <c:pt idx="4">
                  <c:v>2014</c:v>
                </c:pt>
                <c:pt idx="5">
                  <c:v>2015</c:v>
                </c:pt>
                <c:pt idx="6">
                  <c:v>2016</c:v>
                </c:pt>
                <c:pt idx="7">
                  <c:v>2017</c:v>
                </c:pt>
                <c:pt idx="8">
                  <c:v>2018</c:v>
                </c:pt>
              </c:strCache>
            </c:strRef>
          </c:cat>
          <c:val>
            <c:numRef>
              <c:f>Sheet1!$BK$10:$BS$10</c:f>
              <c:numCache>
                <c:formatCode>General</c:formatCode>
                <c:ptCount val="9"/>
                <c:pt idx="0">
                  <c:v>97.881069115656217</c:v>
                </c:pt>
                <c:pt idx="1">
                  <c:v>113.19212557035326</c:v>
                </c:pt>
                <c:pt idx="2">
                  <c:v>112.21504897118723</c:v>
                </c:pt>
                <c:pt idx="3">
                  <c:v>104.85722995630526</c:v>
                </c:pt>
                <c:pt idx="4">
                  <c:v>112.53792896929862</c:v>
                </c:pt>
                <c:pt idx="5">
                  <c:v>113.69844387910275</c:v>
                </c:pt>
                <c:pt idx="6">
                  <c:v>116.18557654317874</c:v>
                </c:pt>
                <c:pt idx="7">
                  <c:v>124.57281868310088</c:v>
                </c:pt>
                <c:pt idx="8">
                  <c:v>133.2360050158411</c:v>
                </c:pt>
              </c:numCache>
            </c:numRef>
          </c:val>
          <c:smooth val="0"/>
        </c:ser>
        <c:ser>
          <c:idx val="4"/>
          <c:order val="4"/>
          <c:tx>
            <c:strRef>
              <c:f>Sheet1!$I$11</c:f>
              <c:strCache>
                <c:ptCount val="1"/>
                <c:pt idx="0">
                  <c:v>Mali i Zi</c:v>
                </c:pt>
              </c:strCache>
            </c:strRef>
          </c:tx>
          <c:spPr>
            <a:ln w="28575" cap="rnd">
              <a:solidFill>
                <a:schemeClr val="accent5"/>
              </a:solidFill>
              <a:round/>
            </a:ln>
            <a:effectLst/>
          </c:spPr>
          <c:marker>
            <c:symbol val="none"/>
          </c:marker>
          <c:cat>
            <c:strRef>
              <c:f>Sheet1!$BK$6:$BS$6</c:f>
              <c:strCache>
                <c:ptCount val="9"/>
                <c:pt idx="0">
                  <c:v>2010</c:v>
                </c:pt>
                <c:pt idx="1">
                  <c:v>2011</c:v>
                </c:pt>
                <c:pt idx="2">
                  <c:v>2012</c:v>
                </c:pt>
                <c:pt idx="3">
                  <c:v>2013</c:v>
                </c:pt>
                <c:pt idx="4">
                  <c:v>2014</c:v>
                </c:pt>
                <c:pt idx="5">
                  <c:v>2015</c:v>
                </c:pt>
                <c:pt idx="6">
                  <c:v>2016</c:v>
                </c:pt>
                <c:pt idx="7">
                  <c:v>2017</c:v>
                </c:pt>
                <c:pt idx="8">
                  <c:v>2018</c:v>
                </c:pt>
              </c:strCache>
            </c:strRef>
          </c:cat>
          <c:val>
            <c:numRef>
              <c:f>Sheet1!$BK$11:$BS$11</c:f>
              <c:numCache>
                <c:formatCode>General</c:formatCode>
                <c:ptCount val="9"/>
                <c:pt idx="0">
                  <c:v>99.780326326601795</c:v>
                </c:pt>
                <c:pt idx="1">
                  <c:v>106.65885399357569</c:v>
                </c:pt>
                <c:pt idx="2">
                  <c:v>111.76604451328738</c:v>
                </c:pt>
                <c:pt idx="3">
                  <c:v>102.7709293313689</c:v>
                </c:pt>
                <c:pt idx="4">
                  <c:v>100.12761999836897</c:v>
                </c:pt>
                <c:pt idx="5">
                  <c:v>102.68897735183246</c:v>
                </c:pt>
                <c:pt idx="6">
                  <c:v>103.38428996725514</c:v>
                </c:pt>
                <c:pt idx="7">
                  <c:v>105.5550115128989</c:v>
                </c:pt>
                <c:pt idx="8">
                  <c:v>110.59836361388771</c:v>
                </c:pt>
              </c:numCache>
            </c:numRef>
          </c:val>
          <c:smooth val="0"/>
        </c:ser>
        <c:ser>
          <c:idx val="5"/>
          <c:order val="5"/>
          <c:tx>
            <c:strRef>
              <c:f>Sheet1!$I$12</c:f>
              <c:strCache>
                <c:ptCount val="1"/>
                <c:pt idx="0">
                  <c:v>Serbia</c:v>
                </c:pt>
              </c:strCache>
            </c:strRef>
          </c:tx>
          <c:spPr>
            <a:ln w="28575" cap="rnd">
              <a:solidFill>
                <a:schemeClr val="accent6"/>
              </a:solidFill>
              <a:round/>
            </a:ln>
            <a:effectLst/>
          </c:spPr>
          <c:marker>
            <c:symbol val="none"/>
          </c:marker>
          <c:cat>
            <c:strRef>
              <c:f>Sheet1!$BK$6:$BS$6</c:f>
              <c:strCache>
                <c:ptCount val="9"/>
                <c:pt idx="0">
                  <c:v>2010</c:v>
                </c:pt>
                <c:pt idx="1">
                  <c:v>2011</c:v>
                </c:pt>
                <c:pt idx="2">
                  <c:v>2012</c:v>
                </c:pt>
                <c:pt idx="3">
                  <c:v>2013</c:v>
                </c:pt>
                <c:pt idx="4">
                  <c:v>2014</c:v>
                </c:pt>
                <c:pt idx="5">
                  <c:v>2015</c:v>
                </c:pt>
                <c:pt idx="6">
                  <c:v>2016</c:v>
                </c:pt>
                <c:pt idx="7">
                  <c:v>2017</c:v>
                </c:pt>
                <c:pt idx="8">
                  <c:v>2018</c:v>
                </c:pt>
              </c:strCache>
            </c:strRef>
          </c:cat>
          <c:val>
            <c:numRef>
              <c:f>Sheet1!$BK$12:$BS$12</c:f>
              <c:numCache>
                <c:formatCode>General</c:formatCode>
                <c:ptCount val="9"/>
                <c:pt idx="0">
                  <c:v>76.731161900180751</c:v>
                </c:pt>
                <c:pt idx="1">
                  <c:v>78.809036409438875</c:v>
                </c:pt>
                <c:pt idx="2">
                  <c:v>85.470824472247529</c:v>
                </c:pt>
                <c:pt idx="3">
                  <c:v>87.920273514503705</c:v>
                </c:pt>
                <c:pt idx="4">
                  <c:v>92.231420742515581</c:v>
                </c:pt>
                <c:pt idx="5">
                  <c:v>97.52841695736447</c:v>
                </c:pt>
                <c:pt idx="6">
                  <c:v>102.04022560324771</c:v>
                </c:pt>
                <c:pt idx="7">
                  <c:v>107.67286775673506</c:v>
                </c:pt>
                <c:pt idx="8">
                  <c:v>110.19117866469321</c:v>
                </c:pt>
              </c:numCache>
            </c:numRef>
          </c:val>
          <c:smooth val="0"/>
        </c:ser>
        <c:ser>
          <c:idx val="6"/>
          <c:order val="6"/>
          <c:tx>
            <c:strRef>
              <c:f>Sheet1!$I$13</c:f>
              <c:strCache>
                <c:ptCount val="1"/>
                <c:pt idx="0">
                  <c:v>Kosova</c:v>
                </c:pt>
              </c:strCache>
            </c:strRef>
          </c:tx>
          <c:spPr>
            <a:ln w="28575" cap="rnd">
              <a:solidFill>
                <a:schemeClr val="accent1">
                  <a:lumMod val="60000"/>
                </a:schemeClr>
              </a:solidFill>
              <a:round/>
            </a:ln>
            <a:effectLst/>
          </c:spPr>
          <c:marker>
            <c:symbol val="none"/>
          </c:marker>
          <c:cat>
            <c:strRef>
              <c:f>Sheet1!$BK$6:$BS$6</c:f>
              <c:strCache>
                <c:ptCount val="9"/>
                <c:pt idx="0">
                  <c:v>2010</c:v>
                </c:pt>
                <c:pt idx="1">
                  <c:v>2011</c:v>
                </c:pt>
                <c:pt idx="2">
                  <c:v>2012</c:v>
                </c:pt>
                <c:pt idx="3">
                  <c:v>2013</c:v>
                </c:pt>
                <c:pt idx="4">
                  <c:v>2014</c:v>
                </c:pt>
                <c:pt idx="5">
                  <c:v>2015</c:v>
                </c:pt>
                <c:pt idx="6">
                  <c:v>2016</c:v>
                </c:pt>
                <c:pt idx="7">
                  <c:v>2017</c:v>
                </c:pt>
                <c:pt idx="8">
                  <c:v>2018</c:v>
                </c:pt>
              </c:strCache>
            </c:strRef>
          </c:cat>
          <c:val>
            <c:numRef>
              <c:f>Sheet1!$BK$13:$BS$13</c:f>
              <c:numCache>
                <c:formatCode>General</c:formatCode>
                <c:ptCount val="9"/>
                <c:pt idx="0">
                  <c:v>75.445252158109952</c:v>
                </c:pt>
                <c:pt idx="1">
                  <c:v>81.637273841424147</c:v>
                </c:pt>
                <c:pt idx="2">
                  <c:v>77.153136057245661</c:v>
                </c:pt>
                <c:pt idx="3">
                  <c:v>71.595389178838275</c:v>
                </c:pt>
                <c:pt idx="4">
                  <c:v>73.720700493938025</c:v>
                </c:pt>
                <c:pt idx="5">
                  <c:v>72.323719328454587</c:v>
                </c:pt>
                <c:pt idx="6">
                  <c:v>74.613268315184271</c:v>
                </c:pt>
                <c:pt idx="7">
                  <c:v>79.182712546188753</c:v>
                </c:pt>
                <c:pt idx="8">
                  <c:v>83.071866128791271</c:v>
                </c:pt>
              </c:numCache>
            </c:numRef>
          </c:val>
          <c:smooth val="0"/>
        </c:ser>
        <c:dLbls>
          <c:showLegendKey val="0"/>
          <c:showVal val="0"/>
          <c:showCatName val="0"/>
          <c:showSerName val="0"/>
          <c:showPercent val="0"/>
          <c:showBubbleSize val="0"/>
        </c:dLbls>
        <c:smooth val="0"/>
        <c:axId val="653914928"/>
        <c:axId val="653915320"/>
      </c:lineChart>
      <c:catAx>
        <c:axId val="65391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3915320"/>
        <c:crosses val="autoZero"/>
        <c:auto val="1"/>
        <c:lblAlgn val="ctr"/>
        <c:lblOffset val="100"/>
        <c:noMultiLvlLbl val="0"/>
      </c:catAx>
      <c:valAx>
        <c:axId val="653915320"/>
        <c:scaling>
          <c:orientation val="minMax"/>
          <c:min val="60"/>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3914928"/>
        <c:crosses val="autoZero"/>
        <c:crossBetween val="between"/>
        <c:majorUnit val="10"/>
      </c:valAx>
      <c:spPr>
        <a:noFill/>
        <a:ln>
          <a:noFill/>
        </a:ln>
        <a:effectLst/>
      </c:spPr>
    </c:plotArea>
    <c:legend>
      <c:legendPos val="b"/>
      <c:layout>
        <c:manualLayout>
          <c:xMode val="edge"/>
          <c:yMode val="edge"/>
          <c:x val="2.795713035870517E-2"/>
          <c:y val="0.82075754363696851"/>
          <c:w val="0.94566026278678639"/>
          <c:h val="0.1514645756018546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694959058285997E-2"/>
          <c:y val="0.113869610112632"/>
          <c:w val="0.95746163980071097"/>
          <c:h val="0.65689035505319404"/>
        </c:manualLayout>
      </c:layout>
      <c:barChart>
        <c:barDir val="col"/>
        <c:grouping val="stacked"/>
        <c:varyColors val="0"/>
        <c:ser>
          <c:idx val="0"/>
          <c:order val="0"/>
          <c:tx>
            <c:strRef>
              <c:f>'[BOP-new graph.xlsx]1a BOP Charts'!$W$24</c:f>
              <c:strCache>
                <c:ptCount val="1"/>
                <c:pt idx="0">
                  <c:v>Investimet Direkte, neto (IHD)</c:v>
                </c:pt>
              </c:strCache>
            </c:strRef>
          </c:tx>
          <c:spPr>
            <a:solidFill>
              <a:schemeClr val="accent1"/>
            </a:solidFill>
            <a:ln>
              <a:noFill/>
            </a:ln>
            <a:effectLst/>
          </c:spPr>
          <c:invertIfNegative val="0"/>
          <c:cat>
            <c:strRef>
              <c:f>'[BOP-new graph.xlsx] 1. BOP Overview'!$C$5:$Q$5</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'[BOP-new graph.xlsx] 1. BOP Overview'!$C$48:$Q$48</c:f>
              <c:numCache>
                <c:formatCode>0.0</c:formatCode>
                <c:ptCount val="15"/>
                <c:pt idx="0">
                  <c:v>-3.5836954020679985</c:v>
                </c:pt>
                <c:pt idx="1">
                  <c:v>-9.2673613007589886</c:v>
                </c:pt>
                <c:pt idx="2">
                  <c:v>-12.45528153122121</c:v>
                </c:pt>
                <c:pt idx="3">
                  <c:v>-8.7941598625468682</c:v>
                </c:pt>
                <c:pt idx="4">
                  <c:v>-6.8035353450448355</c:v>
                </c:pt>
                <c:pt idx="5">
                  <c:v>-7.5211856725327459</c:v>
                </c:pt>
                <c:pt idx="6">
                  <c:v>-7.8712716622863983</c:v>
                </c:pt>
                <c:pt idx="7">
                  <c:v>-4.2145056468973907</c:v>
                </c:pt>
                <c:pt idx="8">
                  <c:v>-4.6974992604247356</c:v>
                </c:pt>
                <c:pt idx="9">
                  <c:v>-2.2244692100635004</c:v>
                </c:pt>
                <c:pt idx="10">
                  <c:v>-4.6794442787350885</c:v>
                </c:pt>
                <c:pt idx="11">
                  <c:v>-2.9194206964269851</c:v>
                </c:pt>
                <c:pt idx="12">
                  <c:v>-3.3047679565385666</c:v>
                </c:pt>
                <c:pt idx="13">
                  <c:v>-3.3575356071850009</c:v>
                </c:pt>
                <c:pt idx="14">
                  <c:v>-2.2196743317498457</c:v>
                </c:pt>
              </c:numCache>
            </c:numRef>
          </c:val>
          <c:extLst xmlns:c16r2="http://schemas.microsoft.com/office/drawing/2015/06/chart">
            <c:ext xmlns:c16="http://schemas.microsoft.com/office/drawing/2014/chart" uri="{C3380CC4-5D6E-409C-BE32-E72D297353CC}">
              <c16:uniqueId val="{00000000-D5C2-4C78-A9A6-7B5AC2CED1B1}"/>
            </c:ext>
          </c:extLst>
        </c:ser>
        <c:ser>
          <c:idx val="1"/>
          <c:order val="1"/>
          <c:tx>
            <c:strRef>
              <c:f>'[BOP-new graph.xlsx]1a BOP Charts'!$W$25</c:f>
              <c:strCache>
                <c:ptCount val="1"/>
                <c:pt idx="0">
                  <c:v>Investimet portfolio, neto</c:v>
                </c:pt>
              </c:strCache>
            </c:strRef>
          </c:tx>
          <c:spPr>
            <a:solidFill>
              <a:schemeClr val="accent2"/>
            </a:solidFill>
            <a:ln>
              <a:noFill/>
            </a:ln>
            <a:effectLst/>
          </c:spPr>
          <c:invertIfNegative val="0"/>
          <c:cat>
            <c:strRef>
              <c:f>'[BOP-new graph.xlsx] 1. BOP Overview'!$C$5:$Q$5</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'[BOP-new graph.xlsx] 1. BOP Overview'!$C$51:$Q$51</c:f>
              <c:numCache>
                <c:formatCode>0.0</c:formatCode>
                <c:ptCount val="15"/>
                <c:pt idx="0">
                  <c:v>0.583128951679311</c:v>
                </c:pt>
                <c:pt idx="1">
                  <c:v>2.0955555552134668</c:v>
                </c:pt>
                <c:pt idx="2">
                  <c:v>0.9960314529595492</c:v>
                </c:pt>
                <c:pt idx="3">
                  <c:v>2.8303405108321229</c:v>
                </c:pt>
                <c:pt idx="4">
                  <c:v>3.0566102535418707</c:v>
                </c:pt>
                <c:pt idx="5">
                  <c:v>1.1038628271815032</c:v>
                </c:pt>
                <c:pt idx="6">
                  <c:v>1.2005449371241519</c:v>
                </c:pt>
                <c:pt idx="7">
                  <c:v>3.668803239214796</c:v>
                </c:pt>
                <c:pt idx="8">
                  <c:v>2.6153774470378046</c:v>
                </c:pt>
                <c:pt idx="9">
                  <c:v>0.23940306975298919</c:v>
                </c:pt>
                <c:pt idx="10">
                  <c:v>0.31991891802047639</c:v>
                </c:pt>
                <c:pt idx="11">
                  <c:v>5.660970599342666</c:v>
                </c:pt>
                <c:pt idx="12">
                  <c:v>0.22952432150630289</c:v>
                </c:pt>
                <c:pt idx="13">
                  <c:v>-2.9714478430665565</c:v>
                </c:pt>
                <c:pt idx="14">
                  <c:v>-0.83641939670117693</c:v>
                </c:pt>
              </c:numCache>
            </c:numRef>
          </c:val>
          <c:extLst xmlns:c16r2="http://schemas.microsoft.com/office/drawing/2015/06/chart">
            <c:ext xmlns:c16="http://schemas.microsoft.com/office/drawing/2014/chart" uri="{C3380CC4-5D6E-409C-BE32-E72D297353CC}">
              <c16:uniqueId val="{00000001-D5C2-4C78-A9A6-7B5AC2CED1B1}"/>
            </c:ext>
          </c:extLst>
        </c:ser>
        <c:ser>
          <c:idx val="2"/>
          <c:order val="2"/>
          <c:tx>
            <c:strRef>
              <c:f>'[BOP-new graph.xlsx]1a BOP Charts'!$W$26</c:f>
              <c:strCache>
                <c:ptCount val="1"/>
                <c:pt idx="0">
                  <c:v>Investimet tjera, neto</c:v>
                </c:pt>
              </c:strCache>
            </c:strRef>
          </c:tx>
          <c:spPr>
            <a:solidFill>
              <a:schemeClr val="accent3"/>
            </a:solidFill>
            <a:ln>
              <a:noFill/>
            </a:ln>
            <a:effectLst/>
          </c:spPr>
          <c:invertIfNegative val="0"/>
          <c:cat>
            <c:strRef>
              <c:f>'[BOP-new graph.xlsx] 1. BOP Overview'!$C$5:$Q$5</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'[BOP-new graph.xlsx] 1. BOP Overview'!$C$55:$Q$55</c:f>
              <c:numCache>
                <c:formatCode>0.0</c:formatCode>
                <c:ptCount val="15"/>
                <c:pt idx="0">
                  <c:v>2.2878902901409859</c:v>
                </c:pt>
                <c:pt idx="1">
                  <c:v>5.8210232611863297</c:v>
                </c:pt>
                <c:pt idx="2">
                  <c:v>3.1222235495965998</c:v>
                </c:pt>
                <c:pt idx="3">
                  <c:v>-1.9251584359193643</c:v>
                </c:pt>
                <c:pt idx="4">
                  <c:v>3.3974436606206422</c:v>
                </c:pt>
                <c:pt idx="5">
                  <c:v>-1.3039079710479149</c:v>
                </c:pt>
                <c:pt idx="6">
                  <c:v>0.10051891943169475</c:v>
                </c:pt>
                <c:pt idx="7">
                  <c:v>-8.3095974149322185</c:v>
                </c:pt>
                <c:pt idx="8">
                  <c:v>0.26995408578094354</c:v>
                </c:pt>
                <c:pt idx="9">
                  <c:v>0.40559549078634466</c:v>
                </c:pt>
                <c:pt idx="10">
                  <c:v>-2.2860168242470857</c:v>
                </c:pt>
                <c:pt idx="11">
                  <c:v>-4.3495107959853385</c:v>
                </c:pt>
                <c:pt idx="12">
                  <c:v>-2.3200866595653546</c:v>
                </c:pt>
                <c:pt idx="13">
                  <c:v>5.055649030317122E-2</c:v>
                </c:pt>
                <c:pt idx="14">
                  <c:v>-1.7304744156960483</c:v>
                </c:pt>
              </c:numCache>
            </c:numRef>
          </c:val>
          <c:extLst xmlns:c16r2="http://schemas.microsoft.com/office/drawing/2015/06/chart">
            <c:ext xmlns:c16="http://schemas.microsoft.com/office/drawing/2014/chart" uri="{C3380CC4-5D6E-409C-BE32-E72D297353CC}">
              <c16:uniqueId val="{00000002-D5C2-4C78-A9A6-7B5AC2CED1B1}"/>
            </c:ext>
          </c:extLst>
        </c:ser>
        <c:ser>
          <c:idx val="3"/>
          <c:order val="3"/>
          <c:tx>
            <c:strRef>
              <c:f>'[BOP-new graph.xlsx]1a BOP Charts'!$W$27</c:f>
              <c:strCache>
                <c:ptCount val="1"/>
                <c:pt idx="0">
                  <c:v>Ndryshimi ne rezerva (-= zboglim)</c:v>
                </c:pt>
              </c:strCache>
            </c:strRef>
          </c:tx>
          <c:spPr>
            <a:solidFill>
              <a:schemeClr val="accent4"/>
            </a:solidFill>
            <a:ln>
              <a:noFill/>
            </a:ln>
            <a:effectLst/>
          </c:spPr>
          <c:invertIfNegative val="0"/>
          <c:cat>
            <c:strRef>
              <c:f>'[BOP-new graph.xlsx] 1. BOP Overview'!$C$5:$Q$5</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'[BOP-new graph.xlsx] 1. BOP Overview'!$C$58:$Q$58</c:f>
              <c:numCache>
                <c:formatCode>0.0</c:formatCode>
                <c:ptCount val="15"/>
                <c:pt idx="0">
                  <c:v>-1.077672922692319</c:v>
                </c:pt>
                <c:pt idx="1">
                  <c:v>2.4955025399062953</c:v>
                </c:pt>
                <c:pt idx="2">
                  <c:v>8.5048284187494598</c:v>
                </c:pt>
                <c:pt idx="3">
                  <c:v>0.46985553744334307</c:v>
                </c:pt>
                <c:pt idx="4">
                  <c:v>-2.3300861191792794</c:v>
                </c:pt>
                <c:pt idx="5">
                  <c:v>0.96932022967355858</c:v>
                </c:pt>
                <c:pt idx="6">
                  <c:v>-1.2720850622130913</c:v>
                </c:pt>
                <c:pt idx="7">
                  <c:v>4.2634319964887393</c:v>
                </c:pt>
                <c:pt idx="8">
                  <c:v>-0.66998098747817869</c:v>
                </c:pt>
                <c:pt idx="9">
                  <c:v>-1.0246126805808753</c:v>
                </c:pt>
                <c:pt idx="10">
                  <c:v>1.2671914750858233</c:v>
                </c:pt>
                <c:pt idx="11">
                  <c:v>-1.6718436697287384</c:v>
                </c:pt>
                <c:pt idx="12">
                  <c:v>1.0884317239121246</c:v>
                </c:pt>
                <c:pt idx="13">
                  <c:v>1.2900789898662635</c:v>
                </c:pt>
                <c:pt idx="14">
                  <c:v>4.7809451566062231</c:v>
                </c:pt>
              </c:numCache>
            </c:numRef>
          </c:val>
          <c:extLst xmlns:c16r2="http://schemas.microsoft.com/office/drawing/2015/06/chart">
            <c:ext xmlns:c16="http://schemas.microsoft.com/office/drawing/2014/chart" uri="{C3380CC4-5D6E-409C-BE32-E72D297353CC}">
              <c16:uniqueId val="{00000003-D5C2-4C78-A9A6-7B5AC2CED1B1}"/>
            </c:ext>
          </c:extLst>
        </c:ser>
        <c:dLbls>
          <c:showLegendKey val="0"/>
          <c:showVal val="0"/>
          <c:showCatName val="0"/>
          <c:showSerName val="0"/>
          <c:showPercent val="0"/>
          <c:showBubbleSize val="0"/>
        </c:dLbls>
        <c:gapWidth val="150"/>
        <c:overlap val="100"/>
        <c:axId val="288291000"/>
        <c:axId val="288291392"/>
      </c:barChart>
      <c:lineChart>
        <c:grouping val="standard"/>
        <c:varyColors val="0"/>
        <c:ser>
          <c:idx val="4"/>
          <c:order val="4"/>
          <c:tx>
            <c:strRef>
              <c:f>'[BOP-new graph.xlsx]1a BOP Charts'!$W$28</c:f>
              <c:strCache>
                <c:ptCount val="1"/>
                <c:pt idx="0">
                  <c:v>Llogaria Financiare</c:v>
                </c:pt>
              </c:strCache>
            </c:strRef>
          </c:tx>
          <c:spPr>
            <a:ln w="28575" cap="rnd">
              <a:solidFill>
                <a:schemeClr val="accent5"/>
              </a:solidFill>
              <a:round/>
            </a:ln>
            <a:effectLst/>
          </c:spPr>
          <c:marker>
            <c:symbol val="none"/>
          </c:marker>
          <c:cat>
            <c:numRef>
              <c:f>'[BOP-new graph.xlsx] 1. BOP Overview'!$C$5:$O$5</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'[BOP-new graph.xlsx] 1. BOP Overview'!$C$46:$Q$46</c:f>
              <c:numCache>
                <c:formatCode>0.0</c:formatCode>
                <c:ptCount val="15"/>
                <c:pt idx="0">
                  <c:v>-1.7903490829400202</c:v>
                </c:pt>
                <c:pt idx="1">
                  <c:v>1.1447200555471015</c:v>
                </c:pt>
                <c:pt idx="2">
                  <c:v>0.16780189008439741</c:v>
                </c:pt>
                <c:pt idx="3">
                  <c:v>-7.4191222501907674</c:v>
                </c:pt>
                <c:pt idx="4">
                  <c:v>-2.6795675500616025</c:v>
                </c:pt>
                <c:pt idx="5">
                  <c:v>-6.7519105867255984</c:v>
                </c:pt>
                <c:pt idx="6">
                  <c:v>-7.8422928679436428</c:v>
                </c:pt>
                <c:pt idx="7">
                  <c:v>-4.5918678261260739</c:v>
                </c:pt>
                <c:pt idx="8">
                  <c:v>-2.4821487150841661</c:v>
                </c:pt>
                <c:pt idx="9">
                  <c:v>-2.6040833301050421</c:v>
                </c:pt>
                <c:pt idx="10">
                  <c:v>-5.3783507098758747</c:v>
                </c:pt>
                <c:pt idx="11">
                  <c:v>-3.2798045627983958</c:v>
                </c:pt>
                <c:pt idx="12">
                  <c:v>-4.3068985706854939</c:v>
                </c:pt>
                <c:pt idx="13">
                  <c:v>-4.9883479700821223</c:v>
                </c:pt>
                <c:pt idx="14">
                  <c:v>-5.6229875408479284E-3</c:v>
                </c:pt>
              </c:numCache>
            </c:numRef>
          </c:val>
          <c:smooth val="0"/>
          <c:extLst xmlns:c16r2="http://schemas.microsoft.com/office/drawing/2015/06/chart">
            <c:ext xmlns:c16="http://schemas.microsoft.com/office/drawing/2014/chart" uri="{C3380CC4-5D6E-409C-BE32-E72D297353CC}">
              <c16:uniqueId val="{00000004-D5C2-4C78-A9A6-7B5AC2CED1B1}"/>
            </c:ext>
          </c:extLst>
        </c:ser>
        <c:dLbls>
          <c:showLegendKey val="0"/>
          <c:showVal val="0"/>
          <c:showCatName val="0"/>
          <c:showSerName val="0"/>
          <c:showPercent val="0"/>
          <c:showBubbleSize val="0"/>
        </c:dLbls>
        <c:marker val="1"/>
        <c:smooth val="0"/>
        <c:axId val="288292176"/>
        <c:axId val="288291784"/>
      </c:lineChart>
      <c:catAx>
        <c:axId val="288291000"/>
        <c:scaling>
          <c:orientation val="minMax"/>
        </c:scaling>
        <c:delete val="0"/>
        <c:axPos val="b"/>
        <c:numFmt formatCode="General" sourceLinked="1"/>
        <c:majorTickMark val="in"/>
        <c:minorTickMark val="none"/>
        <c:tickLblPos val="low"/>
        <c:spPr>
          <a:noFill/>
          <a:ln w="3175" cap="flat" cmpd="sng" algn="ctr">
            <a:solidFill>
              <a:srgbClr val="B3B3B3"/>
            </a:solidFill>
            <a:prstDash val="solid"/>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8291392"/>
        <c:crosses val="autoZero"/>
        <c:auto val="1"/>
        <c:lblAlgn val="ctr"/>
        <c:lblOffset val="100"/>
        <c:tickLblSkip val="2"/>
        <c:noMultiLvlLbl val="0"/>
      </c:catAx>
      <c:valAx>
        <c:axId val="288291392"/>
        <c:scaling>
          <c:orientation val="minMax"/>
        </c:scaling>
        <c:delete val="0"/>
        <c:axPos val="l"/>
        <c:numFmt formatCode="0" sourceLinked="0"/>
        <c:majorTickMark val="in"/>
        <c:minorTickMark val="none"/>
        <c:tickLblPos val="nextTo"/>
        <c:spPr>
          <a:noFill/>
          <a:ln w="3175">
            <a:solidFill>
              <a:srgbClr val="B3B3B3"/>
            </a:solidFill>
            <a:prstDash val="soli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8291000"/>
        <c:crosses val="autoZero"/>
        <c:crossBetween val="between"/>
      </c:valAx>
      <c:valAx>
        <c:axId val="288291784"/>
        <c:scaling>
          <c:orientation val="minMax"/>
        </c:scaling>
        <c:delete val="1"/>
        <c:axPos val="r"/>
        <c:numFmt formatCode="0" sourceLinked="0"/>
        <c:majorTickMark val="out"/>
        <c:minorTickMark val="none"/>
        <c:tickLblPos val="nextTo"/>
        <c:crossAx val="288292176"/>
        <c:crosses val="max"/>
        <c:crossBetween val="between"/>
      </c:valAx>
      <c:catAx>
        <c:axId val="288292176"/>
        <c:scaling>
          <c:orientation val="minMax"/>
        </c:scaling>
        <c:delete val="1"/>
        <c:axPos val="b"/>
        <c:numFmt formatCode="General" sourceLinked="1"/>
        <c:majorTickMark val="out"/>
        <c:minorTickMark val="none"/>
        <c:tickLblPos val="nextTo"/>
        <c:crossAx val="288291784"/>
        <c:crosses val="autoZero"/>
        <c:auto val="1"/>
        <c:lblAlgn val="ctr"/>
        <c:lblOffset val="100"/>
        <c:noMultiLvlLbl val="0"/>
      </c:catAx>
      <c:spPr>
        <a:solidFill>
          <a:srgbClr val="FFFFFF"/>
        </a:solidFill>
        <a:ln w="3175">
          <a:solidFill>
            <a:srgbClr val="B3B3B3"/>
          </a:solidFill>
          <a:prstDash val="solid"/>
        </a:ln>
        <a:effectLst/>
      </c:spPr>
    </c:plotArea>
    <c:legend>
      <c:legendPos val="b"/>
      <c:layout>
        <c:manualLayout>
          <c:xMode val="edge"/>
          <c:yMode val="edge"/>
          <c:x val="5.0480179310570486E-2"/>
          <c:y val="0.89748161346986921"/>
          <c:w val="0.89999999295390098"/>
          <c:h val="9.136996331711398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8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AFD55A20-2AEB-4067-BD2C-30657F93A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154</Pages>
  <Words>63270</Words>
  <Characters>360640</Characters>
  <Application>Microsoft Office Word</Application>
  <DocSecurity>0</DocSecurity>
  <Lines>3005</Lines>
  <Paragraphs>846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Vedat Sagonjeva</dc:creator>
  <cp:keywords>ERP 2020-2022</cp:keywords>
  <dc:description/>
  <cp:lastModifiedBy>Venhar Nushi</cp:lastModifiedBy>
  <cp:revision>8</cp:revision>
  <cp:lastPrinted>2019-11-25T10:33:00Z</cp:lastPrinted>
  <dcterms:created xsi:type="dcterms:W3CDTF">2019-11-28T21:50:00Z</dcterms:created>
  <dcterms:modified xsi:type="dcterms:W3CDTF">2019-11-29T10:35:00Z</dcterms:modified>
</cp:coreProperties>
</file>