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F5" w:rsidRPr="009C7AC9" w:rsidRDefault="00BA6BF5" w:rsidP="00BA6BF5">
      <w:pPr>
        <w:spacing w:before="118"/>
        <w:ind w:left="280"/>
        <w:rPr>
          <w:b/>
          <w:sz w:val="24"/>
          <w:szCs w:val="24"/>
        </w:rPr>
      </w:pPr>
      <w:r w:rsidRPr="009C7AC9">
        <w:rPr>
          <w:b/>
          <w:sz w:val="24"/>
          <w:szCs w:val="24"/>
        </w:rPr>
        <w:t>ANEKSI 2:</w:t>
      </w:r>
      <w:r w:rsidRPr="009C7AC9">
        <w:rPr>
          <w:b/>
          <w:spacing w:val="-52"/>
          <w:sz w:val="24"/>
          <w:szCs w:val="24"/>
        </w:rPr>
        <w:t xml:space="preserve"> </w:t>
      </w:r>
      <w:r w:rsidRPr="009C7AC9">
        <w:rPr>
          <w:b/>
          <w:sz w:val="24"/>
          <w:szCs w:val="24"/>
        </w:rPr>
        <w:t xml:space="preserve">KONTRIBUTI NGA </w:t>
      </w:r>
      <w:r w:rsidRPr="009C7AC9">
        <w:rPr>
          <w:b/>
          <w:spacing w:val="-3"/>
          <w:sz w:val="24"/>
          <w:szCs w:val="24"/>
        </w:rPr>
        <w:t xml:space="preserve">KONSULTIMET </w:t>
      </w:r>
      <w:r w:rsidRPr="009C7AC9">
        <w:rPr>
          <w:b/>
          <w:sz w:val="24"/>
          <w:szCs w:val="24"/>
        </w:rPr>
        <w:t>PUBLIKE P</w:t>
      </w:r>
      <w:r w:rsidR="00CB4E27" w:rsidRPr="009C7AC9">
        <w:rPr>
          <w:b/>
          <w:sz w:val="24"/>
          <w:szCs w:val="24"/>
        </w:rPr>
        <w:t>Ë</w:t>
      </w:r>
      <w:r w:rsidRPr="009C7AC9">
        <w:rPr>
          <w:b/>
          <w:sz w:val="24"/>
          <w:szCs w:val="24"/>
        </w:rPr>
        <w:t xml:space="preserve">R </w:t>
      </w:r>
      <w:r w:rsidRPr="009C7AC9">
        <w:rPr>
          <w:b/>
          <w:spacing w:val="-2"/>
          <w:sz w:val="24"/>
          <w:szCs w:val="24"/>
        </w:rPr>
        <w:t xml:space="preserve">PRE </w:t>
      </w:r>
      <w:r w:rsidR="000C3483" w:rsidRPr="009C7AC9">
        <w:rPr>
          <w:b/>
          <w:sz w:val="24"/>
          <w:szCs w:val="24"/>
        </w:rPr>
        <w:t>2020-2022</w:t>
      </w:r>
    </w:p>
    <w:p w:rsidR="009C7AC9" w:rsidRDefault="009C7AC9" w:rsidP="00BA6BF5">
      <w:pPr>
        <w:ind w:left="280" w:right="422"/>
        <w:jc w:val="both"/>
        <w:rPr>
          <w:b/>
        </w:rPr>
      </w:pPr>
    </w:p>
    <w:p w:rsidR="00BA6BF5" w:rsidRDefault="00BA6BF5" w:rsidP="00BA6BF5">
      <w:pPr>
        <w:ind w:left="280" w:right="422"/>
        <w:jc w:val="both"/>
      </w:pPr>
      <w:r>
        <w:t>Kosova ka vendosur marrëdhënie kontraktuale me Bashkimin Evropian nëpërmjet Marrëveshjes së Stabilizim Asociimit dhe mbi këtë bazë Kosova është ftuar të angazhohet në dialogun e strukturuar lidhur me qeverisjen ekonomike si pjesë e bashkëpunimit të vazhdueshëm institucional ndërmjet Kosovës dhe BE-së.</w:t>
      </w:r>
    </w:p>
    <w:p w:rsidR="00BA6BF5" w:rsidRDefault="00BA6BF5" w:rsidP="00BA6BF5">
      <w:pPr>
        <w:ind w:left="280" w:right="419"/>
        <w:jc w:val="both"/>
      </w:pPr>
      <w:r>
        <w:t>Programi i Reformave Ekonomike (PRE) 20</w:t>
      </w:r>
      <w:r w:rsidR="003C546E">
        <w:t>20</w:t>
      </w:r>
      <w:r>
        <w:t>-202</w:t>
      </w:r>
      <w:r w:rsidR="003C546E">
        <w:t>2</w:t>
      </w:r>
      <w:r>
        <w:t xml:space="preserve"> është një dokument i hartuar në baza të rregullta vjetore nëpërmjet të cilit, duke ndërlidhur kornizën makrofiskale afatmesme dhe politikat ekonomike me prioritetet e Qeverisë, procesi i zbatimit të reformave bëhet më i qartë. PRE përmban projeksionet makroekonomike</w:t>
      </w:r>
      <w:r>
        <w:rPr>
          <w:spacing w:val="-5"/>
        </w:rPr>
        <w:t xml:space="preserve"> </w:t>
      </w:r>
      <w:r>
        <w:t>afatmesme</w:t>
      </w:r>
      <w:r>
        <w:rPr>
          <w:spacing w:val="-4"/>
        </w:rPr>
        <w:t xml:space="preserve"> </w:t>
      </w:r>
      <w:r>
        <w:t>(duke</w:t>
      </w:r>
      <w:r>
        <w:rPr>
          <w:spacing w:val="-4"/>
        </w:rPr>
        <w:t xml:space="preserve"> </w:t>
      </w:r>
      <w:r>
        <w:t>përfshirë</w:t>
      </w:r>
      <w:r>
        <w:rPr>
          <w:spacing w:val="-6"/>
        </w:rPr>
        <w:t xml:space="preserve"> </w:t>
      </w:r>
      <w:r>
        <w:t>rritjen</w:t>
      </w:r>
      <w:r>
        <w:rPr>
          <w:spacing w:val="-4"/>
        </w:rPr>
        <w:t xml:space="preserve"> </w:t>
      </w:r>
      <w:r>
        <w:t>e</w:t>
      </w:r>
      <w:r>
        <w:rPr>
          <w:spacing w:val="-4"/>
        </w:rPr>
        <w:t xml:space="preserve"> </w:t>
      </w:r>
      <w:r>
        <w:t>PB</w:t>
      </w:r>
      <w:r w:rsidR="00916E54">
        <w:t>V</w:t>
      </w:r>
      <w:r>
        <w:t>-së,</w:t>
      </w:r>
      <w:r>
        <w:rPr>
          <w:spacing w:val="-5"/>
        </w:rPr>
        <w:t xml:space="preserve"> </w:t>
      </w:r>
      <w:r>
        <w:t>inflacionin,</w:t>
      </w:r>
      <w:r>
        <w:rPr>
          <w:spacing w:val="-5"/>
        </w:rPr>
        <w:t xml:space="preserve"> </w:t>
      </w:r>
      <w:r>
        <w:t>bilancin</w:t>
      </w:r>
      <w:r>
        <w:rPr>
          <w:spacing w:val="-7"/>
        </w:rPr>
        <w:t xml:space="preserve"> </w:t>
      </w:r>
      <w:r>
        <w:t>tregtar</w:t>
      </w:r>
      <w:r>
        <w:rPr>
          <w:spacing w:val="-4"/>
        </w:rPr>
        <w:t xml:space="preserve"> </w:t>
      </w:r>
      <w:r>
        <w:t>dhe</w:t>
      </w:r>
      <w:r>
        <w:rPr>
          <w:spacing w:val="-4"/>
        </w:rPr>
        <w:t xml:space="preserve"> </w:t>
      </w:r>
      <w:r>
        <w:t>qarkullimin e</w:t>
      </w:r>
      <w:r>
        <w:rPr>
          <w:spacing w:val="-9"/>
        </w:rPr>
        <w:t xml:space="preserve"> </w:t>
      </w:r>
      <w:r>
        <w:t>kapitalit),</w:t>
      </w:r>
      <w:r>
        <w:rPr>
          <w:spacing w:val="-9"/>
        </w:rPr>
        <w:t xml:space="preserve"> </w:t>
      </w:r>
      <w:r>
        <w:t>planet</w:t>
      </w:r>
      <w:r>
        <w:rPr>
          <w:spacing w:val="-9"/>
        </w:rPr>
        <w:t xml:space="preserve"> </w:t>
      </w:r>
      <w:r>
        <w:t>buxhetore</w:t>
      </w:r>
      <w:r>
        <w:rPr>
          <w:spacing w:val="-8"/>
        </w:rPr>
        <w:t xml:space="preserve"> </w:t>
      </w:r>
      <w:r>
        <w:t>për</w:t>
      </w:r>
      <w:r>
        <w:rPr>
          <w:spacing w:val="-8"/>
        </w:rPr>
        <w:t xml:space="preserve"> </w:t>
      </w:r>
      <w:r>
        <w:t>tre</w:t>
      </w:r>
      <w:r>
        <w:rPr>
          <w:spacing w:val="-8"/>
        </w:rPr>
        <w:t xml:space="preserve"> </w:t>
      </w:r>
      <w:r>
        <w:t>vitet</w:t>
      </w:r>
      <w:r>
        <w:rPr>
          <w:spacing w:val="-9"/>
        </w:rPr>
        <w:t xml:space="preserve"> </w:t>
      </w:r>
      <w:r>
        <w:t>e</w:t>
      </w:r>
      <w:r>
        <w:rPr>
          <w:spacing w:val="-8"/>
        </w:rPr>
        <w:t xml:space="preserve"> </w:t>
      </w:r>
      <w:r>
        <w:t>ardhshme</w:t>
      </w:r>
      <w:r>
        <w:rPr>
          <w:spacing w:val="-9"/>
        </w:rPr>
        <w:t xml:space="preserve"> </w:t>
      </w:r>
      <w:r>
        <w:t>dhe</w:t>
      </w:r>
      <w:r>
        <w:rPr>
          <w:spacing w:val="-8"/>
        </w:rPr>
        <w:t xml:space="preserve"> </w:t>
      </w:r>
      <w:r>
        <w:t>një</w:t>
      </w:r>
      <w:r>
        <w:rPr>
          <w:spacing w:val="-9"/>
        </w:rPr>
        <w:t xml:space="preserve"> </w:t>
      </w:r>
      <w:r>
        <w:t>agjendë</w:t>
      </w:r>
      <w:r>
        <w:rPr>
          <w:spacing w:val="-8"/>
        </w:rPr>
        <w:t xml:space="preserve"> </w:t>
      </w:r>
      <w:r>
        <w:t>për</w:t>
      </w:r>
      <w:r>
        <w:rPr>
          <w:spacing w:val="-9"/>
        </w:rPr>
        <w:t xml:space="preserve"> </w:t>
      </w:r>
      <w:r>
        <w:t>reformat</w:t>
      </w:r>
      <w:r>
        <w:rPr>
          <w:spacing w:val="-10"/>
        </w:rPr>
        <w:t xml:space="preserve"> </w:t>
      </w:r>
      <w:r>
        <w:t>strukturore</w:t>
      </w:r>
      <w:r>
        <w:rPr>
          <w:spacing w:val="-9"/>
        </w:rPr>
        <w:t xml:space="preserve"> </w:t>
      </w:r>
      <w:r>
        <w:t>që</w:t>
      </w:r>
      <w:r>
        <w:rPr>
          <w:spacing w:val="-8"/>
        </w:rPr>
        <w:t xml:space="preserve"> </w:t>
      </w:r>
      <w:r>
        <w:t>përfshijnë reforma për të rritur konkurrueshmërinë dhe për të përmirësuar kushtet për rritje gjithëpërfshirëse dhe krijimin e vendeve të reja të</w:t>
      </w:r>
      <w:r>
        <w:rPr>
          <w:spacing w:val="-3"/>
        </w:rPr>
        <w:t xml:space="preserve"> </w:t>
      </w:r>
      <w:r>
        <w:t>punës.</w:t>
      </w:r>
    </w:p>
    <w:p w:rsidR="00916E54" w:rsidRDefault="00916E54" w:rsidP="00BA6BF5">
      <w:pPr>
        <w:ind w:left="280" w:right="419"/>
        <w:jc w:val="both"/>
      </w:pPr>
    </w:p>
    <w:p w:rsidR="00BA6BF5" w:rsidRDefault="00BA6BF5" w:rsidP="00BA6BF5">
      <w:pPr>
        <w:ind w:left="280" w:right="417"/>
        <w:jc w:val="both"/>
      </w:pPr>
      <w:r>
        <w:t>Në mënyrë për një koordinim më të mirë të procesit të PRE-së dhe duke u bazuar në Udhëzuesin e Komisionit Evropian, Qeveria e Kosovës ka caktuar Ministrin e Financave si Koordinator Kombëtar për PRE. Koordinatori Kombëtar në nivel teknik është mbështetur nga: Departamenti për Politika Makroekonomike dhe Bashkëpunim Financiar Ndërkombëtar në Ministrinë e Financave për pjesën e kornizës makrofiskale dhe Zyra e Planifikimit Strategjik të Kryeministrit për agjendën e reformave strukturore.</w:t>
      </w:r>
    </w:p>
    <w:p w:rsidR="00BA6BF5" w:rsidRDefault="00BA6BF5" w:rsidP="00BA6BF5">
      <w:pPr>
        <w:ind w:left="280" w:right="414"/>
        <w:jc w:val="both"/>
      </w:pPr>
      <w:r>
        <w:t>Struktura</w:t>
      </w:r>
      <w:r>
        <w:rPr>
          <w:spacing w:val="-13"/>
        </w:rPr>
        <w:t xml:space="preserve"> </w:t>
      </w:r>
      <w:r>
        <w:t>dhe</w:t>
      </w:r>
      <w:r>
        <w:rPr>
          <w:spacing w:val="-12"/>
        </w:rPr>
        <w:t xml:space="preserve"> </w:t>
      </w:r>
      <w:r>
        <w:t>përmbajtja</w:t>
      </w:r>
      <w:r>
        <w:rPr>
          <w:spacing w:val="-13"/>
        </w:rPr>
        <w:t xml:space="preserve"> </w:t>
      </w:r>
      <w:r>
        <w:t>e</w:t>
      </w:r>
      <w:r>
        <w:rPr>
          <w:spacing w:val="-12"/>
        </w:rPr>
        <w:t xml:space="preserve"> </w:t>
      </w:r>
      <w:r>
        <w:t>ERP</w:t>
      </w:r>
      <w:r>
        <w:rPr>
          <w:spacing w:val="-14"/>
        </w:rPr>
        <w:t xml:space="preserve"> </w:t>
      </w:r>
      <w:r>
        <w:t>janë</w:t>
      </w:r>
      <w:r>
        <w:rPr>
          <w:spacing w:val="-12"/>
        </w:rPr>
        <w:t xml:space="preserve"> </w:t>
      </w:r>
      <w:r>
        <w:t>të</w:t>
      </w:r>
      <w:r>
        <w:rPr>
          <w:spacing w:val="-13"/>
        </w:rPr>
        <w:t xml:space="preserve"> </w:t>
      </w:r>
      <w:r>
        <w:t>paracaktuara</w:t>
      </w:r>
      <w:r>
        <w:rPr>
          <w:spacing w:val="-12"/>
        </w:rPr>
        <w:t xml:space="preserve"> </w:t>
      </w:r>
      <w:r>
        <w:t>me</w:t>
      </w:r>
      <w:r>
        <w:rPr>
          <w:spacing w:val="-13"/>
        </w:rPr>
        <w:t xml:space="preserve"> </w:t>
      </w:r>
      <w:r>
        <w:t>Udhëzuesin</w:t>
      </w:r>
      <w:r>
        <w:rPr>
          <w:spacing w:val="-12"/>
        </w:rPr>
        <w:t xml:space="preserve"> </w:t>
      </w:r>
      <w:r>
        <w:t>e</w:t>
      </w:r>
      <w:r>
        <w:rPr>
          <w:spacing w:val="-15"/>
        </w:rPr>
        <w:t xml:space="preserve"> </w:t>
      </w:r>
      <w:r>
        <w:t>Komisionit</w:t>
      </w:r>
      <w:r>
        <w:rPr>
          <w:spacing w:val="-14"/>
        </w:rPr>
        <w:t xml:space="preserve"> </w:t>
      </w:r>
      <w:r>
        <w:t>Evropian</w:t>
      </w:r>
      <w:r>
        <w:rPr>
          <w:spacing w:val="-13"/>
        </w:rPr>
        <w:t xml:space="preserve"> </w:t>
      </w:r>
      <w:r>
        <w:t>lidhur</w:t>
      </w:r>
      <w:r>
        <w:rPr>
          <w:spacing w:val="-12"/>
        </w:rPr>
        <w:t xml:space="preserve"> </w:t>
      </w:r>
      <w:r>
        <w:t>me</w:t>
      </w:r>
      <w:r>
        <w:rPr>
          <w:spacing w:val="-13"/>
        </w:rPr>
        <w:t xml:space="preserve"> </w:t>
      </w:r>
      <w:r>
        <w:t>PRE- në.</w:t>
      </w:r>
      <w:r>
        <w:rPr>
          <w:spacing w:val="-9"/>
        </w:rPr>
        <w:t xml:space="preserve"> </w:t>
      </w:r>
      <w:r>
        <w:t>Programi</w:t>
      </w:r>
      <w:r>
        <w:rPr>
          <w:spacing w:val="-9"/>
        </w:rPr>
        <w:t xml:space="preserve"> </w:t>
      </w:r>
      <w:r>
        <w:t>përbëhet</w:t>
      </w:r>
      <w:r>
        <w:rPr>
          <w:spacing w:val="-11"/>
        </w:rPr>
        <w:t xml:space="preserve"> </w:t>
      </w:r>
      <w:r>
        <w:t>nga</w:t>
      </w:r>
      <w:r>
        <w:rPr>
          <w:spacing w:val="-9"/>
        </w:rPr>
        <w:t xml:space="preserve"> </w:t>
      </w:r>
      <w:r>
        <w:t>tre</w:t>
      </w:r>
      <w:r>
        <w:rPr>
          <w:spacing w:val="-9"/>
        </w:rPr>
        <w:t xml:space="preserve"> </w:t>
      </w:r>
      <w:r>
        <w:t>kapituj</w:t>
      </w:r>
      <w:r>
        <w:rPr>
          <w:spacing w:val="-9"/>
        </w:rPr>
        <w:t xml:space="preserve"> </w:t>
      </w:r>
      <w:r>
        <w:t>kryesorë</w:t>
      </w:r>
      <w:r>
        <w:rPr>
          <w:spacing w:val="-12"/>
        </w:rPr>
        <w:t xml:space="preserve"> </w:t>
      </w:r>
      <w:r>
        <w:t>dhe</w:t>
      </w:r>
      <w:r>
        <w:rPr>
          <w:spacing w:val="-12"/>
        </w:rPr>
        <w:t xml:space="preserve"> </w:t>
      </w:r>
      <w:r>
        <w:t>përfshin:</w:t>
      </w:r>
      <w:r>
        <w:rPr>
          <w:spacing w:val="-9"/>
        </w:rPr>
        <w:t xml:space="preserve"> </w:t>
      </w:r>
      <w:r>
        <w:t>kornizën</w:t>
      </w:r>
      <w:r>
        <w:rPr>
          <w:spacing w:val="37"/>
        </w:rPr>
        <w:t xml:space="preserve"> </w:t>
      </w:r>
      <w:r>
        <w:t>makroekonomike,</w:t>
      </w:r>
      <w:r>
        <w:rPr>
          <w:spacing w:val="-9"/>
        </w:rPr>
        <w:t xml:space="preserve"> </w:t>
      </w:r>
      <w:r>
        <w:t>kuadrin</w:t>
      </w:r>
      <w:r>
        <w:rPr>
          <w:spacing w:val="-12"/>
        </w:rPr>
        <w:t xml:space="preserve"> </w:t>
      </w:r>
      <w:r>
        <w:t>fiskal</w:t>
      </w:r>
      <w:r>
        <w:rPr>
          <w:spacing w:val="-8"/>
        </w:rPr>
        <w:t xml:space="preserve"> </w:t>
      </w:r>
      <w:r>
        <w:t>dhe prioritetet e reformës strukturore për tre vitet e</w:t>
      </w:r>
      <w:r>
        <w:rPr>
          <w:spacing w:val="-4"/>
        </w:rPr>
        <w:t xml:space="preserve"> </w:t>
      </w:r>
      <w:r>
        <w:t>ardhshme.</w:t>
      </w:r>
    </w:p>
    <w:p w:rsidR="00916E54" w:rsidRDefault="00916E54" w:rsidP="00BA6BF5">
      <w:pPr>
        <w:ind w:left="280" w:right="414"/>
        <w:jc w:val="both"/>
      </w:pPr>
    </w:p>
    <w:p w:rsidR="00BA6BF5" w:rsidRDefault="00BA6BF5" w:rsidP="00BA6BF5">
      <w:pPr>
        <w:ind w:left="280" w:right="412"/>
        <w:jc w:val="both"/>
      </w:pPr>
      <w:r w:rsidRPr="00CB4E27">
        <w:t>Lidhur</w:t>
      </w:r>
      <w:r w:rsidRPr="00CB4E27">
        <w:rPr>
          <w:spacing w:val="-5"/>
        </w:rPr>
        <w:t xml:space="preserve"> </w:t>
      </w:r>
      <w:r w:rsidRPr="00CB4E27">
        <w:t>me</w:t>
      </w:r>
      <w:r w:rsidRPr="00CB4E27">
        <w:rPr>
          <w:spacing w:val="-6"/>
        </w:rPr>
        <w:t xml:space="preserve"> </w:t>
      </w:r>
      <w:r w:rsidRPr="00CB4E27">
        <w:t>agjendën</w:t>
      </w:r>
      <w:r w:rsidRPr="00CB4E27">
        <w:rPr>
          <w:spacing w:val="-6"/>
        </w:rPr>
        <w:t xml:space="preserve"> </w:t>
      </w:r>
      <w:r w:rsidRPr="00CB4E27">
        <w:t>e</w:t>
      </w:r>
      <w:r w:rsidRPr="00CB4E27">
        <w:rPr>
          <w:spacing w:val="-5"/>
        </w:rPr>
        <w:t xml:space="preserve"> </w:t>
      </w:r>
      <w:r w:rsidRPr="00CB4E27">
        <w:t>reformave</w:t>
      </w:r>
      <w:r w:rsidRPr="00CB4E27">
        <w:rPr>
          <w:spacing w:val="-6"/>
        </w:rPr>
        <w:t xml:space="preserve"> </w:t>
      </w:r>
      <w:r w:rsidRPr="00CB4E27">
        <w:t>strukturore,</w:t>
      </w:r>
      <w:r w:rsidRPr="00CB4E27">
        <w:rPr>
          <w:spacing w:val="-6"/>
        </w:rPr>
        <w:t xml:space="preserve"> </w:t>
      </w:r>
      <w:r w:rsidRPr="00CB4E27">
        <w:t>koordinatorët</w:t>
      </w:r>
      <w:r w:rsidRPr="00CB4E27">
        <w:rPr>
          <w:spacing w:val="-5"/>
        </w:rPr>
        <w:t xml:space="preserve"> </w:t>
      </w:r>
      <w:r w:rsidRPr="00CB4E27">
        <w:t>e</w:t>
      </w:r>
      <w:r w:rsidRPr="00CB4E27">
        <w:rPr>
          <w:spacing w:val="-7"/>
        </w:rPr>
        <w:t xml:space="preserve"> </w:t>
      </w:r>
      <w:r w:rsidRPr="00CB4E27">
        <w:t>fushave</w:t>
      </w:r>
      <w:r w:rsidRPr="00CB4E27">
        <w:rPr>
          <w:spacing w:val="-6"/>
        </w:rPr>
        <w:t xml:space="preserve"> </w:t>
      </w:r>
      <w:r w:rsidRPr="00CB4E27">
        <w:t>janë</w:t>
      </w:r>
      <w:r w:rsidRPr="00CB4E27">
        <w:rPr>
          <w:spacing w:val="-6"/>
        </w:rPr>
        <w:t xml:space="preserve"> </w:t>
      </w:r>
      <w:r w:rsidRPr="00CB4E27">
        <w:t>emëruar</w:t>
      </w:r>
      <w:r w:rsidRPr="00CB4E27">
        <w:rPr>
          <w:spacing w:val="-7"/>
        </w:rPr>
        <w:t xml:space="preserve"> </w:t>
      </w:r>
      <w:r w:rsidRPr="00CB4E27">
        <w:t>sipas</w:t>
      </w:r>
      <w:r w:rsidRPr="00CB4E27">
        <w:rPr>
          <w:spacing w:val="-4"/>
        </w:rPr>
        <w:t xml:space="preserve"> </w:t>
      </w:r>
      <w:r w:rsidRPr="00CB4E27">
        <w:t>udhëzuesit</w:t>
      </w:r>
      <w:r w:rsidRPr="00CB4E27">
        <w:rPr>
          <w:spacing w:val="-5"/>
        </w:rPr>
        <w:t xml:space="preserve"> </w:t>
      </w:r>
      <w:r w:rsidRPr="00CB4E27">
        <w:t>të</w:t>
      </w:r>
      <w:r w:rsidRPr="00CB4E27">
        <w:rPr>
          <w:spacing w:val="-8"/>
        </w:rPr>
        <w:t xml:space="preserve"> </w:t>
      </w:r>
      <w:r w:rsidRPr="00CB4E27">
        <w:rPr>
          <w:spacing w:val="2"/>
        </w:rPr>
        <w:t xml:space="preserve">KE- </w:t>
      </w:r>
      <w:r w:rsidRPr="00CB4E27">
        <w:t xml:space="preserve">së, </w:t>
      </w:r>
      <w:r w:rsidR="000A09C6" w:rsidRPr="00CB4E27">
        <w:t>siç</w:t>
      </w:r>
      <w:r w:rsidRPr="00CB4E27">
        <w:t xml:space="preserve"> vijon: </w:t>
      </w:r>
      <w:r w:rsidR="000A09C6">
        <w:t>Energjia</w:t>
      </w:r>
      <w:r w:rsidRPr="00CB4E27">
        <w:t xml:space="preserve"> dhe Transporti; Bu</w:t>
      </w:r>
      <w:r w:rsidR="000A09C6">
        <w:t>jqësia, Industria dhe Shërbimet</w:t>
      </w:r>
      <w:r w:rsidRPr="00CB4E27">
        <w:t xml:space="preserve">; Mjedisi i biznesit dhe reduktimi i ekonomisë informale; Inovacioni, Hulumtimi dhe Zhvillimi (RDI) dhe Ekonomia Dixhitale; Reformat lidhur me tregtinë; Arsimi dhe Shkathtësitë; Punësimi dhe Tregu i Punës; dhe </w:t>
      </w:r>
      <w:r w:rsidR="000A09C6">
        <w:t>P</w:t>
      </w:r>
      <w:r w:rsidRPr="00CB4E27">
        <w:t>ërfshirja Sociale</w:t>
      </w:r>
      <w:r w:rsidR="000A09C6">
        <w:t>, ulja e varfërisë dhe m</w:t>
      </w:r>
      <w:r w:rsidRPr="00CB4E27">
        <w:t>undësitë e</w:t>
      </w:r>
      <w:r w:rsidRPr="00CB4E27">
        <w:rPr>
          <w:spacing w:val="-13"/>
        </w:rPr>
        <w:t xml:space="preserve"> </w:t>
      </w:r>
      <w:r w:rsidR="000A09C6">
        <w:t>b</w:t>
      </w:r>
      <w:r w:rsidRPr="00CB4E27">
        <w:t>arabarta.</w:t>
      </w:r>
    </w:p>
    <w:p w:rsidR="00916E54" w:rsidRPr="00CB4E27" w:rsidRDefault="00916E54" w:rsidP="00BA6BF5">
      <w:pPr>
        <w:ind w:left="280" w:right="412"/>
        <w:jc w:val="both"/>
      </w:pPr>
    </w:p>
    <w:p w:rsidR="00BA6BF5" w:rsidRDefault="00BA6BF5" w:rsidP="00BA6BF5">
      <w:pPr>
        <w:ind w:left="280" w:right="416"/>
        <w:jc w:val="both"/>
      </w:pPr>
      <w:r w:rsidRPr="000956CA">
        <w:t>Gjatë</w:t>
      </w:r>
      <w:r w:rsidRPr="000956CA">
        <w:rPr>
          <w:spacing w:val="-12"/>
        </w:rPr>
        <w:t xml:space="preserve"> </w:t>
      </w:r>
      <w:r w:rsidRPr="000956CA">
        <w:t>vitit</w:t>
      </w:r>
      <w:r w:rsidRPr="000956CA">
        <w:rPr>
          <w:spacing w:val="-11"/>
        </w:rPr>
        <w:t xml:space="preserve"> </w:t>
      </w:r>
      <w:r w:rsidRPr="000956CA">
        <w:t>2019</w:t>
      </w:r>
      <w:r w:rsidR="000956CA" w:rsidRPr="000956CA">
        <w:t xml:space="preserve"> </w:t>
      </w:r>
      <w:r w:rsidRPr="000956CA">
        <w:t>në</w:t>
      </w:r>
      <w:r w:rsidRPr="000956CA">
        <w:rPr>
          <w:spacing w:val="-12"/>
        </w:rPr>
        <w:t xml:space="preserve"> </w:t>
      </w:r>
      <w:r>
        <w:t>kuadër</w:t>
      </w:r>
      <w:r>
        <w:rPr>
          <w:spacing w:val="-11"/>
        </w:rPr>
        <w:t xml:space="preserve"> </w:t>
      </w:r>
      <w:r>
        <w:t>të</w:t>
      </w:r>
      <w:r>
        <w:rPr>
          <w:spacing w:val="-11"/>
        </w:rPr>
        <w:t xml:space="preserve"> </w:t>
      </w:r>
      <w:r>
        <w:t>fazës</w:t>
      </w:r>
      <w:r>
        <w:rPr>
          <w:spacing w:val="-11"/>
        </w:rPr>
        <w:t xml:space="preserve"> </w:t>
      </w:r>
      <w:r>
        <w:t>së</w:t>
      </w:r>
      <w:r>
        <w:rPr>
          <w:spacing w:val="-11"/>
        </w:rPr>
        <w:t xml:space="preserve"> </w:t>
      </w:r>
      <w:r>
        <w:t>planifikimit</w:t>
      </w:r>
      <w:r>
        <w:rPr>
          <w:spacing w:val="-11"/>
        </w:rPr>
        <w:t xml:space="preserve"> </w:t>
      </w:r>
      <w:r>
        <w:t>të</w:t>
      </w:r>
      <w:r>
        <w:rPr>
          <w:spacing w:val="-11"/>
        </w:rPr>
        <w:t xml:space="preserve"> </w:t>
      </w:r>
      <w:r>
        <w:t>Programit</w:t>
      </w:r>
      <w:r>
        <w:rPr>
          <w:spacing w:val="-11"/>
        </w:rPr>
        <w:t xml:space="preserve"> </w:t>
      </w:r>
      <w:r>
        <w:t>të</w:t>
      </w:r>
      <w:r>
        <w:rPr>
          <w:spacing w:val="-11"/>
        </w:rPr>
        <w:t xml:space="preserve"> </w:t>
      </w:r>
      <w:r>
        <w:t>Reformave</w:t>
      </w:r>
      <w:r>
        <w:rPr>
          <w:spacing w:val="-9"/>
        </w:rPr>
        <w:t xml:space="preserve"> </w:t>
      </w:r>
      <w:r>
        <w:t>Ekonomike</w:t>
      </w:r>
      <w:r>
        <w:rPr>
          <w:spacing w:val="-12"/>
        </w:rPr>
        <w:t xml:space="preserve"> </w:t>
      </w:r>
      <w:r>
        <w:t>janë</w:t>
      </w:r>
      <w:r>
        <w:rPr>
          <w:spacing w:val="-11"/>
        </w:rPr>
        <w:t xml:space="preserve"> </w:t>
      </w:r>
      <w:r>
        <w:t>mbajtur takime individuale me të gjithë koordinatorët e fushave në ministritë relevante, ndërsa takime të nivelit të lartë politik u zhvilluan edhe gjatë hartimit të dokumentit si dhe punëtori me përfaqësuesit e</w:t>
      </w:r>
      <w:r>
        <w:rPr>
          <w:spacing w:val="-28"/>
        </w:rPr>
        <w:t xml:space="preserve"> </w:t>
      </w:r>
      <w:r>
        <w:t>ministrive.</w:t>
      </w:r>
    </w:p>
    <w:p w:rsidR="00916E54" w:rsidRDefault="00916E54" w:rsidP="00BA6BF5">
      <w:pPr>
        <w:ind w:left="280" w:right="416"/>
        <w:jc w:val="both"/>
      </w:pPr>
    </w:p>
    <w:p w:rsidR="00BA6BF5" w:rsidRDefault="00BA6BF5" w:rsidP="00BA6BF5">
      <w:pPr>
        <w:ind w:left="280" w:right="419"/>
        <w:jc w:val="both"/>
      </w:pPr>
      <w:r>
        <w:t xml:space="preserve">Programi i Reformave Ekonomike </w:t>
      </w:r>
      <w:r w:rsidR="003C546E">
        <w:t>2020</w:t>
      </w:r>
      <w:r>
        <w:t>-202</w:t>
      </w:r>
      <w:r w:rsidR="003C546E">
        <w:t>2</w:t>
      </w:r>
      <w:r>
        <w:t xml:space="preserve"> gjithashtu është vendosur edhe në procesin e konsultimeve ndërministrore, në përputhje me Nenin 7 të Rregullores së Punës së Qeverisë, si dhe konsultimeve publike përmes</w:t>
      </w:r>
      <w:r>
        <w:rPr>
          <w:spacing w:val="-6"/>
        </w:rPr>
        <w:t xml:space="preserve"> </w:t>
      </w:r>
      <w:r>
        <w:t>një</w:t>
      </w:r>
      <w:r>
        <w:rPr>
          <w:spacing w:val="-7"/>
        </w:rPr>
        <w:t xml:space="preserve"> </w:t>
      </w:r>
      <w:r>
        <w:t>platforme</w:t>
      </w:r>
      <w:r>
        <w:rPr>
          <w:spacing w:val="-7"/>
        </w:rPr>
        <w:t xml:space="preserve"> </w:t>
      </w:r>
      <w:r>
        <w:t>elektronike</w:t>
      </w:r>
      <w:r>
        <w:rPr>
          <w:spacing w:val="-6"/>
        </w:rPr>
        <w:t xml:space="preserve"> </w:t>
      </w:r>
      <w:r>
        <w:t>për</w:t>
      </w:r>
      <w:r>
        <w:rPr>
          <w:spacing w:val="-6"/>
        </w:rPr>
        <w:t xml:space="preserve"> </w:t>
      </w:r>
      <w:r>
        <w:t>konsultime</w:t>
      </w:r>
      <w:r>
        <w:rPr>
          <w:spacing w:val="-4"/>
        </w:rPr>
        <w:t xml:space="preserve"> </w:t>
      </w:r>
      <w:r>
        <w:t>me</w:t>
      </w:r>
      <w:r>
        <w:rPr>
          <w:spacing w:val="-7"/>
        </w:rPr>
        <w:t xml:space="preserve"> </w:t>
      </w:r>
      <w:r>
        <w:t>organizatat</w:t>
      </w:r>
      <w:r>
        <w:rPr>
          <w:spacing w:val="-5"/>
        </w:rPr>
        <w:t xml:space="preserve"> </w:t>
      </w:r>
      <w:r>
        <w:t>e</w:t>
      </w:r>
      <w:r>
        <w:rPr>
          <w:spacing w:val="-7"/>
        </w:rPr>
        <w:t xml:space="preserve"> </w:t>
      </w:r>
      <w:r>
        <w:t>shoqërisë</w:t>
      </w:r>
      <w:r>
        <w:rPr>
          <w:spacing w:val="-6"/>
        </w:rPr>
        <w:t xml:space="preserve"> </w:t>
      </w:r>
      <w:r>
        <w:t>civile.</w:t>
      </w:r>
      <w:r>
        <w:rPr>
          <w:spacing w:val="-9"/>
        </w:rPr>
        <w:t xml:space="preserve"> </w:t>
      </w:r>
      <w:r>
        <w:t>Finalizimi</w:t>
      </w:r>
      <w:r>
        <w:rPr>
          <w:spacing w:val="-6"/>
        </w:rPr>
        <w:t xml:space="preserve"> </w:t>
      </w:r>
      <w:r>
        <w:t>i</w:t>
      </w:r>
      <w:r>
        <w:rPr>
          <w:spacing w:val="-6"/>
        </w:rPr>
        <w:t xml:space="preserve"> </w:t>
      </w:r>
      <w:r>
        <w:t xml:space="preserve">dokumentit u krye në bazë të kontributeve </w:t>
      </w:r>
      <w:r w:rsidRPr="0089169B">
        <w:t>të marra</w:t>
      </w:r>
      <w:r w:rsidRPr="0089169B">
        <w:rPr>
          <w:spacing w:val="-1"/>
        </w:rPr>
        <w:t xml:space="preserve"> </w:t>
      </w:r>
      <w:r w:rsidRPr="0089169B">
        <w:t>nga</w:t>
      </w:r>
      <w:r w:rsidR="00523378" w:rsidRPr="0089169B">
        <w:t xml:space="preserve"> </w:t>
      </w:r>
      <w:r w:rsidR="00916E54" w:rsidRPr="0089169B">
        <w:t>institucionet, shoqëria civile dhe publiku.</w:t>
      </w:r>
    </w:p>
    <w:p w:rsidR="00BA6BF5" w:rsidRDefault="00BA6BF5" w:rsidP="00BA6BF5">
      <w:pPr>
        <w:pStyle w:val="BodyText"/>
        <w:spacing w:before="4"/>
        <w:rPr>
          <w:sz w:val="22"/>
        </w:rPr>
      </w:pPr>
    </w:p>
    <w:p w:rsidR="00BA6BF5" w:rsidRDefault="00BA6BF5" w:rsidP="00BA6BF5">
      <w:pPr>
        <w:spacing w:before="1" w:line="250" w:lineRule="exact"/>
        <w:ind w:left="280"/>
        <w:jc w:val="both"/>
        <w:rPr>
          <w:b/>
        </w:rPr>
      </w:pPr>
      <w:r>
        <w:rPr>
          <w:b/>
        </w:rPr>
        <w:t>Progresi i procesit të konsultimit</w:t>
      </w:r>
    </w:p>
    <w:p w:rsidR="00916E54" w:rsidRDefault="00916E54" w:rsidP="00BA6BF5">
      <w:pPr>
        <w:spacing w:before="1" w:line="250" w:lineRule="exact"/>
        <w:ind w:left="280"/>
        <w:jc w:val="both"/>
        <w:rPr>
          <w:b/>
        </w:rPr>
      </w:pPr>
    </w:p>
    <w:p w:rsidR="00BA6BF5" w:rsidRDefault="00BA6BF5" w:rsidP="00BA6BF5">
      <w:pPr>
        <w:ind w:left="280" w:right="416"/>
        <w:jc w:val="both"/>
      </w:pPr>
      <w:r>
        <w:t>Konsultimet</w:t>
      </w:r>
      <w:r>
        <w:rPr>
          <w:spacing w:val="-4"/>
        </w:rPr>
        <w:t xml:space="preserve"> </w:t>
      </w:r>
      <w:r>
        <w:t>për</w:t>
      </w:r>
      <w:r>
        <w:rPr>
          <w:spacing w:val="-3"/>
        </w:rPr>
        <w:t xml:space="preserve"> </w:t>
      </w:r>
      <w:r>
        <w:t>hartimin</w:t>
      </w:r>
      <w:r>
        <w:rPr>
          <w:spacing w:val="-5"/>
        </w:rPr>
        <w:t xml:space="preserve"> </w:t>
      </w:r>
      <w:r>
        <w:t>e</w:t>
      </w:r>
      <w:r>
        <w:rPr>
          <w:spacing w:val="-6"/>
        </w:rPr>
        <w:t xml:space="preserve"> </w:t>
      </w:r>
      <w:r>
        <w:t>PRE</w:t>
      </w:r>
      <w:r>
        <w:rPr>
          <w:spacing w:val="-4"/>
        </w:rPr>
        <w:t xml:space="preserve"> </w:t>
      </w:r>
      <w:r>
        <w:t>20</w:t>
      </w:r>
      <w:r w:rsidR="003C546E">
        <w:t>20</w:t>
      </w:r>
      <w:r>
        <w:t>-202</w:t>
      </w:r>
      <w:r w:rsidR="003C546E">
        <w:t>2</w:t>
      </w:r>
      <w:r>
        <w:rPr>
          <w:spacing w:val="-5"/>
        </w:rPr>
        <w:t xml:space="preserve"> </w:t>
      </w:r>
      <w:r>
        <w:t>u</w:t>
      </w:r>
      <w:r>
        <w:rPr>
          <w:spacing w:val="-4"/>
        </w:rPr>
        <w:t xml:space="preserve"> </w:t>
      </w:r>
      <w:r>
        <w:t>zhvilluan</w:t>
      </w:r>
      <w:r>
        <w:rPr>
          <w:spacing w:val="-6"/>
        </w:rPr>
        <w:t xml:space="preserve"> </w:t>
      </w:r>
      <w:r>
        <w:t>që</w:t>
      </w:r>
      <w:r>
        <w:rPr>
          <w:spacing w:val="-4"/>
        </w:rPr>
        <w:t xml:space="preserve"> </w:t>
      </w:r>
      <w:r>
        <w:t>nga</w:t>
      </w:r>
      <w:r>
        <w:rPr>
          <w:spacing w:val="-3"/>
        </w:rPr>
        <w:t xml:space="preserve"> </w:t>
      </w:r>
      <w:r>
        <w:t>fillimi</w:t>
      </w:r>
      <w:r>
        <w:rPr>
          <w:spacing w:val="-4"/>
        </w:rPr>
        <w:t xml:space="preserve"> </w:t>
      </w:r>
      <w:r>
        <w:t>i</w:t>
      </w:r>
      <w:r>
        <w:rPr>
          <w:spacing w:val="-3"/>
        </w:rPr>
        <w:t xml:space="preserve"> </w:t>
      </w:r>
      <w:r>
        <w:t>procesit</w:t>
      </w:r>
      <w:r>
        <w:rPr>
          <w:spacing w:val="-5"/>
        </w:rPr>
        <w:t xml:space="preserve"> </w:t>
      </w:r>
      <w:r>
        <w:t>të</w:t>
      </w:r>
      <w:r>
        <w:rPr>
          <w:spacing w:val="-7"/>
        </w:rPr>
        <w:t xml:space="preserve"> </w:t>
      </w:r>
      <w:r>
        <w:t>hartimit.</w:t>
      </w:r>
      <w:r>
        <w:rPr>
          <w:spacing w:val="-4"/>
        </w:rPr>
        <w:t xml:space="preserve"> </w:t>
      </w:r>
      <w:r>
        <w:t>Më</w:t>
      </w:r>
      <w:r>
        <w:rPr>
          <w:spacing w:val="-4"/>
        </w:rPr>
        <w:t xml:space="preserve"> </w:t>
      </w:r>
      <w:r w:rsidR="006E1A54">
        <w:rPr>
          <w:spacing w:val="-4"/>
        </w:rPr>
        <w:t>9 Korrik</w:t>
      </w:r>
      <w:r w:rsidR="00523378">
        <w:rPr>
          <w:spacing w:val="-4"/>
        </w:rPr>
        <w:t xml:space="preserve"> 2019</w:t>
      </w:r>
      <w:r>
        <w:t>, ZPS filloi procesin e PRE 20</w:t>
      </w:r>
      <w:r w:rsidR="007629DC">
        <w:t>20</w:t>
      </w:r>
      <w:r>
        <w:t>-202</w:t>
      </w:r>
      <w:r w:rsidR="007629DC">
        <w:t>2</w:t>
      </w:r>
      <w:r>
        <w:t xml:space="preserve"> me pjesëmarrjen e </w:t>
      </w:r>
      <w:r w:rsidR="00523378">
        <w:t xml:space="preserve">institucioneve qeveritare, </w:t>
      </w:r>
      <w:r>
        <w:t>organizatave të shoqërisë civile dhe të sektorit të biznesit.</w:t>
      </w:r>
      <w:r>
        <w:rPr>
          <w:spacing w:val="-5"/>
        </w:rPr>
        <w:t xml:space="preserve"> </w:t>
      </w:r>
      <w:r>
        <w:t>Në</w:t>
      </w:r>
      <w:r w:rsidR="00864B03">
        <w:rPr>
          <w:color w:val="FF0000"/>
        </w:rPr>
        <w:t xml:space="preserve"> </w:t>
      </w:r>
      <w:r w:rsidR="00864B03" w:rsidRPr="008F566E">
        <w:t xml:space="preserve">korrik/gusht </w:t>
      </w:r>
      <w:r w:rsidRPr="008F566E">
        <w:rPr>
          <w:spacing w:val="-6"/>
        </w:rPr>
        <w:t xml:space="preserve"> </w:t>
      </w:r>
      <w:r>
        <w:t>201</w:t>
      </w:r>
      <w:r w:rsidR="006E1A54">
        <w:t>9</w:t>
      </w:r>
      <w:r>
        <w:t>,</w:t>
      </w:r>
      <w:r>
        <w:rPr>
          <w:spacing w:val="-6"/>
        </w:rPr>
        <w:t xml:space="preserve"> </w:t>
      </w:r>
      <w:r>
        <w:t>ZPS</w:t>
      </w:r>
      <w:r>
        <w:rPr>
          <w:spacing w:val="-5"/>
        </w:rPr>
        <w:t xml:space="preserve"> </w:t>
      </w:r>
      <w:r>
        <w:t>zhvilloi</w:t>
      </w:r>
      <w:r>
        <w:rPr>
          <w:spacing w:val="-6"/>
        </w:rPr>
        <w:t xml:space="preserve"> </w:t>
      </w:r>
      <w:r>
        <w:t>takime</w:t>
      </w:r>
      <w:r>
        <w:rPr>
          <w:spacing w:val="-4"/>
        </w:rPr>
        <w:t xml:space="preserve"> </w:t>
      </w:r>
      <w:r>
        <w:t>individuale</w:t>
      </w:r>
      <w:r>
        <w:rPr>
          <w:spacing w:val="-5"/>
        </w:rPr>
        <w:t xml:space="preserve"> </w:t>
      </w:r>
      <w:r>
        <w:t>me</w:t>
      </w:r>
      <w:r>
        <w:rPr>
          <w:spacing w:val="-4"/>
        </w:rPr>
        <w:t xml:space="preserve"> </w:t>
      </w:r>
      <w:r>
        <w:t>koordinatorët</w:t>
      </w:r>
      <w:r>
        <w:rPr>
          <w:spacing w:val="-6"/>
        </w:rPr>
        <w:t xml:space="preserve"> </w:t>
      </w:r>
      <w:r>
        <w:t>e</w:t>
      </w:r>
      <w:r>
        <w:rPr>
          <w:spacing w:val="-4"/>
        </w:rPr>
        <w:t xml:space="preserve"> </w:t>
      </w:r>
      <w:r>
        <w:t>fushave</w:t>
      </w:r>
      <w:r>
        <w:rPr>
          <w:spacing w:val="-4"/>
        </w:rPr>
        <w:t xml:space="preserve"> </w:t>
      </w:r>
      <w:r>
        <w:t>përkatëse</w:t>
      </w:r>
      <w:r>
        <w:rPr>
          <w:spacing w:val="-5"/>
        </w:rPr>
        <w:t xml:space="preserve"> </w:t>
      </w:r>
      <w:r>
        <w:t>nga ministritë e linjës, ndërsa gjatë hartimit të dokumentit u zhvilluan disa takime për përgatitjen e masave të PRE 20</w:t>
      </w:r>
      <w:r w:rsidR="006E1A54">
        <w:t>20</w:t>
      </w:r>
      <w:r>
        <w:t>-202</w:t>
      </w:r>
      <w:r w:rsidR="006E1A54">
        <w:t>2</w:t>
      </w:r>
      <w:r>
        <w:t xml:space="preserve"> dhe monitorimin dhe raportimin e </w:t>
      </w:r>
      <w:r w:rsidR="00523378">
        <w:t>masave të PRE 2019-2021</w:t>
      </w:r>
      <w:r>
        <w:t xml:space="preserve">. Ndërsa më </w:t>
      </w:r>
      <w:r w:rsidR="00101DDA">
        <w:t>7</w:t>
      </w:r>
      <w:r w:rsidR="007629DC">
        <w:t xml:space="preserve"> nëntor</w:t>
      </w:r>
      <w:r>
        <w:t xml:space="preserve"> u mbajt takim</w:t>
      </w:r>
      <w:r w:rsidR="00523378">
        <w:t>i</w:t>
      </w:r>
      <w:r>
        <w:t xml:space="preserve"> i nivelit të lartë të Qeverisë </w:t>
      </w:r>
      <w:r w:rsidR="00523378">
        <w:t xml:space="preserve">së Kosovës </w:t>
      </w:r>
      <w:r>
        <w:t>dhe Komisionit</w:t>
      </w:r>
      <w:r>
        <w:rPr>
          <w:spacing w:val="-16"/>
        </w:rPr>
        <w:t xml:space="preserve"> </w:t>
      </w:r>
      <w:r>
        <w:t>Evropian.</w:t>
      </w:r>
    </w:p>
    <w:p w:rsidR="0089169B" w:rsidRDefault="0089169B" w:rsidP="00BA6BF5">
      <w:pPr>
        <w:ind w:left="280" w:right="416"/>
        <w:jc w:val="both"/>
      </w:pPr>
    </w:p>
    <w:p w:rsidR="00BA6BF5" w:rsidRDefault="00BA6BF5" w:rsidP="00BA6BF5">
      <w:pPr>
        <w:ind w:left="280" w:right="421"/>
        <w:jc w:val="both"/>
      </w:pPr>
      <w:r>
        <w:t>Programi i Reformave Ekonomike u publikua për konsultime me publikun në platformën elektronike të konsultimit</w:t>
      </w:r>
      <w:r>
        <w:rPr>
          <w:spacing w:val="-12"/>
        </w:rPr>
        <w:t xml:space="preserve"> </w:t>
      </w:r>
      <w:r>
        <w:t>publik</w:t>
      </w:r>
      <w:r>
        <w:rPr>
          <w:spacing w:val="-13"/>
        </w:rPr>
        <w:t xml:space="preserve"> </w:t>
      </w:r>
      <w:r>
        <w:t>më</w:t>
      </w:r>
      <w:r>
        <w:rPr>
          <w:spacing w:val="-12"/>
        </w:rPr>
        <w:t xml:space="preserve"> </w:t>
      </w:r>
      <w:r w:rsidR="002C7039">
        <w:rPr>
          <w:spacing w:val="-12"/>
        </w:rPr>
        <w:t xml:space="preserve">29 Nëntor </w:t>
      </w:r>
      <w:r>
        <w:rPr>
          <w:spacing w:val="-12"/>
        </w:rPr>
        <w:t xml:space="preserve"> </w:t>
      </w:r>
      <w:r>
        <w:t>201</w:t>
      </w:r>
      <w:r w:rsidR="002C7039">
        <w:t>9</w:t>
      </w:r>
      <w:r>
        <w:rPr>
          <w:spacing w:val="-13"/>
        </w:rPr>
        <w:t xml:space="preserve"> </w:t>
      </w:r>
      <w:r>
        <w:t>dhe</w:t>
      </w:r>
      <w:r>
        <w:rPr>
          <w:spacing w:val="-13"/>
        </w:rPr>
        <w:t xml:space="preserve"> </w:t>
      </w:r>
      <w:r>
        <w:t>ishte</w:t>
      </w:r>
      <w:r>
        <w:rPr>
          <w:spacing w:val="-14"/>
        </w:rPr>
        <w:t xml:space="preserve"> </w:t>
      </w:r>
      <w:r>
        <w:t>i</w:t>
      </w:r>
      <w:r>
        <w:rPr>
          <w:spacing w:val="-12"/>
        </w:rPr>
        <w:t xml:space="preserve"> </w:t>
      </w:r>
      <w:r>
        <w:t>hapur</w:t>
      </w:r>
      <w:r>
        <w:rPr>
          <w:spacing w:val="-14"/>
        </w:rPr>
        <w:t xml:space="preserve"> </w:t>
      </w:r>
      <w:r>
        <w:t>për</w:t>
      </w:r>
      <w:r>
        <w:rPr>
          <w:spacing w:val="-12"/>
        </w:rPr>
        <w:t xml:space="preserve"> </w:t>
      </w:r>
      <w:r>
        <w:t>komente</w:t>
      </w:r>
      <w:r>
        <w:rPr>
          <w:spacing w:val="-13"/>
        </w:rPr>
        <w:t xml:space="preserve"> </w:t>
      </w:r>
      <w:r>
        <w:t>deri</w:t>
      </w:r>
      <w:r>
        <w:rPr>
          <w:spacing w:val="-11"/>
        </w:rPr>
        <w:t xml:space="preserve"> </w:t>
      </w:r>
      <w:r>
        <w:t>më</w:t>
      </w:r>
      <w:r>
        <w:rPr>
          <w:spacing w:val="-13"/>
        </w:rPr>
        <w:t xml:space="preserve"> </w:t>
      </w:r>
      <w:r w:rsidR="002C7039">
        <w:t xml:space="preserve">20 Djetor </w:t>
      </w:r>
      <w:r>
        <w:t>2019,</w:t>
      </w:r>
      <w:r>
        <w:rPr>
          <w:spacing w:val="-12"/>
        </w:rPr>
        <w:t xml:space="preserve"> </w:t>
      </w:r>
      <w:r>
        <w:t>sipas</w:t>
      </w:r>
      <w:r>
        <w:rPr>
          <w:spacing w:val="-13"/>
        </w:rPr>
        <w:t xml:space="preserve"> </w:t>
      </w:r>
      <w:r>
        <w:t>Rregullores mbi Standardet Minimale për Konsultime</w:t>
      </w:r>
      <w:r>
        <w:rPr>
          <w:spacing w:val="-3"/>
        </w:rPr>
        <w:t xml:space="preserve"> </w:t>
      </w:r>
      <w:r>
        <w:t>Publike.</w:t>
      </w:r>
    </w:p>
    <w:p w:rsidR="00BA6BF5" w:rsidRDefault="00BA6BF5" w:rsidP="0089169B">
      <w:pPr>
        <w:ind w:left="280" w:right="420"/>
        <w:jc w:val="both"/>
      </w:pPr>
      <w:r>
        <w:lastRenderedPageBreak/>
        <w:t>Pas</w:t>
      </w:r>
      <w:r>
        <w:rPr>
          <w:spacing w:val="-3"/>
        </w:rPr>
        <w:t xml:space="preserve"> </w:t>
      </w:r>
      <w:r>
        <w:t>mbylljes</w:t>
      </w:r>
      <w:r>
        <w:rPr>
          <w:spacing w:val="-3"/>
        </w:rPr>
        <w:t xml:space="preserve"> </w:t>
      </w:r>
      <w:r>
        <w:t>së</w:t>
      </w:r>
      <w:r>
        <w:rPr>
          <w:spacing w:val="-3"/>
        </w:rPr>
        <w:t xml:space="preserve"> </w:t>
      </w:r>
      <w:r>
        <w:t>procesit</w:t>
      </w:r>
      <w:r>
        <w:rPr>
          <w:spacing w:val="-3"/>
        </w:rPr>
        <w:t xml:space="preserve"> </w:t>
      </w:r>
      <w:r>
        <w:t>të</w:t>
      </w:r>
      <w:r>
        <w:rPr>
          <w:spacing w:val="-6"/>
        </w:rPr>
        <w:t xml:space="preserve"> </w:t>
      </w:r>
      <w:r>
        <w:t>konsultimit,</w:t>
      </w:r>
      <w:r>
        <w:rPr>
          <w:spacing w:val="-4"/>
        </w:rPr>
        <w:t xml:space="preserve"> </w:t>
      </w:r>
      <w:r>
        <w:t>u</w:t>
      </w:r>
      <w:r>
        <w:rPr>
          <w:spacing w:val="-4"/>
        </w:rPr>
        <w:t xml:space="preserve"> </w:t>
      </w:r>
      <w:r>
        <w:t>analizuan</w:t>
      </w:r>
      <w:r>
        <w:rPr>
          <w:spacing w:val="-3"/>
        </w:rPr>
        <w:t xml:space="preserve"> </w:t>
      </w:r>
      <w:r>
        <w:t>të</w:t>
      </w:r>
      <w:r>
        <w:rPr>
          <w:spacing w:val="-3"/>
        </w:rPr>
        <w:t xml:space="preserve"> </w:t>
      </w:r>
      <w:r>
        <w:t>gjitha</w:t>
      </w:r>
      <w:r>
        <w:rPr>
          <w:spacing w:val="-2"/>
        </w:rPr>
        <w:t xml:space="preserve"> </w:t>
      </w:r>
      <w:r>
        <w:t>kontributet</w:t>
      </w:r>
      <w:r>
        <w:rPr>
          <w:spacing w:val="-3"/>
        </w:rPr>
        <w:t xml:space="preserve"> </w:t>
      </w:r>
      <w:r>
        <w:t>e</w:t>
      </w:r>
      <w:r>
        <w:rPr>
          <w:spacing w:val="-3"/>
        </w:rPr>
        <w:t xml:space="preserve"> </w:t>
      </w:r>
      <w:r>
        <w:t>pranuara</w:t>
      </w:r>
      <w:r>
        <w:rPr>
          <w:spacing w:val="-3"/>
        </w:rPr>
        <w:t xml:space="preserve"> </w:t>
      </w:r>
      <w:r>
        <w:t>dhe</w:t>
      </w:r>
      <w:r>
        <w:rPr>
          <w:spacing w:val="-3"/>
        </w:rPr>
        <w:t xml:space="preserve"> </w:t>
      </w:r>
      <w:r>
        <w:t>në</w:t>
      </w:r>
      <w:r>
        <w:rPr>
          <w:spacing w:val="-3"/>
        </w:rPr>
        <w:t xml:space="preserve"> </w:t>
      </w:r>
      <w:r>
        <w:t>bazë</w:t>
      </w:r>
      <w:r>
        <w:rPr>
          <w:spacing w:val="-3"/>
        </w:rPr>
        <w:t xml:space="preserve"> </w:t>
      </w:r>
      <w:r>
        <w:t>të</w:t>
      </w:r>
      <w:r>
        <w:rPr>
          <w:spacing w:val="-6"/>
        </w:rPr>
        <w:t xml:space="preserve"> </w:t>
      </w:r>
      <w:r>
        <w:t>tyre</w:t>
      </w:r>
      <w:r>
        <w:rPr>
          <w:spacing w:val="-6"/>
        </w:rPr>
        <w:t xml:space="preserve"> </w:t>
      </w:r>
      <w:r>
        <w:t>janë plotësuar</w:t>
      </w:r>
      <w:r>
        <w:rPr>
          <w:spacing w:val="-9"/>
        </w:rPr>
        <w:t xml:space="preserve"> </w:t>
      </w:r>
      <w:r>
        <w:t>ndryshimet</w:t>
      </w:r>
      <w:r>
        <w:rPr>
          <w:spacing w:val="-8"/>
        </w:rPr>
        <w:t xml:space="preserve"> </w:t>
      </w:r>
      <w:r>
        <w:t>e</w:t>
      </w:r>
      <w:r>
        <w:rPr>
          <w:spacing w:val="-9"/>
        </w:rPr>
        <w:t xml:space="preserve"> </w:t>
      </w:r>
      <w:r>
        <w:t>nevojshme</w:t>
      </w:r>
      <w:r>
        <w:rPr>
          <w:spacing w:val="-9"/>
        </w:rPr>
        <w:t xml:space="preserve"> </w:t>
      </w:r>
      <w:r>
        <w:t>në</w:t>
      </w:r>
      <w:r>
        <w:rPr>
          <w:spacing w:val="-9"/>
        </w:rPr>
        <w:t xml:space="preserve"> </w:t>
      </w:r>
      <w:r>
        <w:t>dokument,</w:t>
      </w:r>
      <w:r>
        <w:rPr>
          <w:spacing w:val="-9"/>
        </w:rPr>
        <w:t xml:space="preserve"> </w:t>
      </w:r>
      <w:r>
        <w:t>në</w:t>
      </w:r>
      <w:r>
        <w:rPr>
          <w:spacing w:val="-9"/>
        </w:rPr>
        <w:t xml:space="preserve"> </w:t>
      </w:r>
      <w:r>
        <w:t>mënyrë</w:t>
      </w:r>
      <w:r>
        <w:rPr>
          <w:spacing w:val="-9"/>
        </w:rPr>
        <w:t xml:space="preserve"> </w:t>
      </w:r>
      <w:r>
        <w:t>që</w:t>
      </w:r>
      <w:r>
        <w:rPr>
          <w:spacing w:val="-9"/>
        </w:rPr>
        <w:t xml:space="preserve"> </w:t>
      </w:r>
      <w:r>
        <w:t>versioni</w:t>
      </w:r>
      <w:r>
        <w:rPr>
          <w:spacing w:val="-8"/>
        </w:rPr>
        <w:t xml:space="preserve"> </w:t>
      </w:r>
      <w:r>
        <w:t>përfundimtar</w:t>
      </w:r>
      <w:r>
        <w:rPr>
          <w:spacing w:val="-8"/>
        </w:rPr>
        <w:t xml:space="preserve"> </w:t>
      </w:r>
      <w:r>
        <w:t>t'i</w:t>
      </w:r>
      <w:r>
        <w:rPr>
          <w:spacing w:val="-9"/>
        </w:rPr>
        <w:t xml:space="preserve"> </w:t>
      </w:r>
      <w:r>
        <w:t>dorëzohet</w:t>
      </w:r>
      <w:r>
        <w:rPr>
          <w:spacing w:val="-9"/>
        </w:rPr>
        <w:t xml:space="preserve"> </w:t>
      </w:r>
      <w:r>
        <w:t>Qeverisë për miratim dhe më pastaj të dorëzohet në Komisionin Evropian jo më vonë 31 janar</w:t>
      </w:r>
      <w:r>
        <w:rPr>
          <w:spacing w:val="-12"/>
        </w:rPr>
        <w:t xml:space="preserve"> </w:t>
      </w:r>
      <w:r>
        <w:t>20</w:t>
      </w:r>
      <w:r w:rsidR="0089169B">
        <w:t>20</w:t>
      </w:r>
      <w:r w:rsidR="009C7AC9">
        <w:t>.</w:t>
      </w:r>
    </w:p>
    <w:p w:rsidR="009C7AC9" w:rsidRDefault="009C7AC9" w:rsidP="0089169B">
      <w:pPr>
        <w:ind w:left="280" w:right="420"/>
        <w:jc w:val="both"/>
      </w:pPr>
    </w:p>
    <w:tbl>
      <w:tblPr>
        <w:tblpPr w:leftFromText="180" w:rightFromText="180" w:vertAnchor="text" w:horzAnchor="margin" w:tblpY="183"/>
        <w:tblW w:w="0" w:type="auto"/>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4770"/>
        <w:gridCol w:w="1981"/>
        <w:gridCol w:w="3061"/>
      </w:tblGrid>
      <w:tr w:rsidR="009C7AC9" w:rsidTr="009C7AC9">
        <w:trPr>
          <w:trHeight w:val="505"/>
        </w:trPr>
        <w:tc>
          <w:tcPr>
            <w:tcW w:w="4770" w:type="dxa"/>
            <w:tcBorders>
              <w:bottom w:val="single" w:sz="12" w:space="0" w:color="8EAADB"/>
            </w:tcBorders>
            <w:shd w:val="clear" w:color="auto" w:fill="FAE3D4"/>
          </w:tcPr>
          <w:p w:rsidR="009C7AC9" w:rsidRDefault="009C7AC9" w:rsidP="009C7AC9">
            <w:pPr>
              <w:pStyle w:val="TableParagraph"/>
              <w:spacing w:line="251" w:lineRule="exact"/>
              <w:ind w:left="108"/>
              <w:rPr>
                <w:b/>
              </w:rPr>
            </w:pPr>
            <w:r>
              <w:rPr>
                <w:b/>
              </w:rPr>
              <w:t>Metodat e konsultimit</w:t>
            </w:r>
          </w:p>
        </w:tc>
        <w:tc>
          <w:tcPr>
            <w:tcW w:w="1981" w:type="dxa"/>
            <w:tcBorders>
              <w:bottom w:val="single" w:sz="12" w:space="0" w:color="8EAADB"/>
            </w:tcBorders>
            <w:shd w:val="clear" w:color="auto" w:fill="FAE3D4"/>
          </w:tcPr>
          <w:p w:rsidR="009C7AC9" w:rsidRDefault="009C7AC9" w:rsidP="009C7AC9">
            <w:pPr>
              <w:pStyle w:val="TableParagraph"/>
              <w:spacing w:line="254" w:lineRule="exact"/>
              <w:ind w:left="107" w:right="768"/>
              <w:rPr>
                <w:b/>
              </w:rPr>
            </w:pPr>
            <w:r>
              <w:rPr>
                <w:b/>
              </w:rPr>
              <w:t>Metodat e konsultimit</w:t>
            </w:r>
          </w:p>
        </w:tc>
        <w:tc>
          <w:tcPr>
            <w:tcW w:w="3061" w:type="dxa"/>
            <w:tcBorders>
              <w:bottom w:val="single" w:sz="12" w:space="0" w:color="8EAADB"/>
            </w:tcBorders>
            <w:shd w:val="clear" w:color="auto" w:fill="FAE3D4"/>
          </w:tcPr>
          <w:p w:rsidR="009C7AC9" w:rsidRDefault="009C7AC9" w:rsidP="009C7AC9">
            <w:pPr>
              <w:pStyle w:val="TableParagraph"/>
              <w:spacing w:line="254" w:lineRule="exact"/>
              <w:ind w:left="106" w:right="658"/>
              <w:rPr>
                <w:b/>
              </w:rPr>
            </w:pPr>
            <w:r>
              <w:rPr>
                <w:b/>
              </w:rPr>
              <w:t>Numri i pjesëmarrësve / kontribuuesve</w:t>
            </w:r>
          </w:p>
        </w:tc>
      </w:tr>
      <w:tr w:rsidR="009C7AC9" w:rsidTr="009C7AC9">
        <w:trPr>
          <w:trHeight w:val="251"/>
        </w:trPr>
        <w:tc>
          <w:tcPr>
            <w:tcW w:w="4770" w:type="dxa"/>
            <w:tcBorders>
              <w:top w:val="single" w:sz="12" w:space="0" w:color="8EAADB"/>
            </w:tcBorders>
            <w:shd w:val="clear" w:color="auto" w:fill="FAE3D4"/>
          </w:tcPr>
          <w:p w:rsidR="009C7AC9" w:rsidRDefault="009C7AC9" w:rsidP="009C7AC9">
            <w:pPr>
              <w:pStyle w:val="TableParagraph"/>
              <w:spacing w:line="232" w:lineRule="exact"/>
              <w:ind w:left="199"/>
            </w:pPr>
            <w:r>
              <w:t xml:space="preserve">1. Publikimi në </w:t>
            </w:r>
            <w:proofErr w:type="spellStart"/>
            <w:r>
              <w:t>uebfaqe</w:t>
            </w:r>
            <w:proofErr w:type="spellEnd"/>
            <w:r>
              <w:t xml:space="preserve"> / Platforma elektronike</w:t>
            </w:r>
          </w:p>
        </w:tc>
        <w:tc>
          <w:tcPr>
            <w:tcW w:w="1981" w:type="dxa"/>
            <w:tcBorders>
              <w:top w:val="single" w:sz="12" w:space="0" w:color="8EAADB"/>
            </w:tcBorders>
            <w:vAlign w:val="center"/>
          </w:tcPr>
          <w:p w:rsidR="009C7AC9" w:rsidRDefault="009C7AC9" w:rsidP="009C7AC9">
            <w:pPr>
              <w:pStyle w:val="TableParagraph"/>
              <w:spacing w:line="232" w:lineRule="exact"/>
              <w:ind w:left="107"/>
              <w:jc w:val="center"/>
            </w:pPr>
            <w:r>
              <w:t>15 ditë pune</w:t>
            </w:r>
          </w:p>
        </w:tc>
        <w:tc>
          <w:tcPr>
            <w:tcW w:w="3061" w:type="dxa"/>
            <w:tcBorders>
              <w:top w:val="single" w:sz="12" w:space="0" w:color="8EAADB"/>
            </w:tcBorders>
            <w:vAlign w:val="center"/>
          </w:tcPr>
          <w:p w:rsidR="009C7AC9" w:rsidRDefault="009C7AC9" w:rsidP="009C7AC9">
            <w:pPr>
              <w:pStyle w:val="TableParagraph"/>
              <w:spacing w:line="232" w:lineRule="exact"/>
              <w:ind w:left="106"/>
              <w:jc w:val="center"/>
            </w:pPr>
            <w:r>
              <w:t>3 kontribuues</w:t>
            </w:r>
          </w:p>
        </w:tc>
      </w:tr>
      <w:tr w:rsidR="009C7AC9" w:rsidTr="009C7AC9">
        <w:trPr>
          <w:trHeight w:val="505"/>
        </w:trPr>
        <w:tc>
          <w:tcPr>
            <w:tcW w:w="4770" w:type="dxa"/>
            <w:shd w:val="clear" w:color="auto" w:fill="FAE3D4"/>
          </w:tcPr>
          <w:p w:rsidR="009C7AC9" w:rsidRDefault="009C7AC9" w:rsidP="009C7AC9">
            <w:pPr>
              <w:pStyle w:val="TableParagraph"/>
              <w:spacing w:line="246" w:lineRule="exact"/>
              <w:ind w:left="199"/>
            </w:pPr>
            <w:r>
              <w:t xml:space="preserve">2. Takimi i nivelit të lartë ndërmjet </w:t>
            </w:r>
            <w:proofErr w:type="spellStart"/>
            <w:r>
              <w:t>QeK</w:t>
            </w:r>
            <w:proofErr w:type="spellEnd"/>
            <w:r>
              <w:t xml:space="preserve"> dhe KE</w:t>
            </w:r>
          </w:p>
          <w:p w:rsidR="009C7AC9" w:rsidRDefault="009C7AC9" w:rsidP="009C7AC9">
            <w:pPr>
              <w:pStyle w:val="TableParagraph"/>
              <w:spacing w:line="240" w:lineRule="exact"/>
              <w:ind w:left="559"/>
            </w:pPr>
            <w:r>
              <w:t>dhe OECD</w:t>
            </w:r>
          </w:p>
        </w:tc>
        <w:tc>
          <w:tcPr>
            <w:tcW w:w="1981" w:type="dxa"/>
            <w:vAlign w:val="center"/>
          </w:tcPr>
          <w:p w:rsidR="009C7AC9" w:rsidRDefault="009C7AC9" w:rsidP="009C7AC9">
            <w:pPr>
              <w:pStyle w:val="TableParagraph"/>
              <w:spacing w:line="247" w:lineRule="exact"/>
              <w:ind w:left="107"/>
              <w:jc w:val="center"/>
            </w:pPr>
            <w:r>
              <w:t>07/11/2019</w:t>
            </w:r>
          </w:p>
        </w:tc>
        <w:tc>
          <w:tcPr>
            <w:tcW w:w="3061" w:type="dxa"/>
            <w:vAlign w:val="center"/>
          </w:tcPr>
          <w:p w:rsidR="009C7AC9" w:rsidRDefault="009C7AC9" w:rsidP="009C7AC9">
            <w:pPr>
              <w:pStyle w:val="TableParagraph"/>
              <w:spacing w:line="247" w:lineRule="exact"/>
              <w:ind w:left="106"/>
              <w:jc w:val="center"/>
            </w:pPr>
            <w:r>
              <w:t>66 pjesëmarrës</w:t>
            </w:r>
          </w:p>
        </w:tc>
      </w:tr>
      <w:tr w:rsidR="009C7AC9" w:rsidTr="009C7AC9">
        <w:trPr>
          <w:trHeight w:val="3896"/>
        </w:trPr>
        <w:tc>
          <w:tcPr>
            <w:tcW w:w="4770" w:type="dxa"/>
            <w:shd w:val="clear" w:color="auto" w:fill="FAE3D4"/>
          </w:tcPr>
          <w:p w:rsidR="009C7AC9" w:rsidRDefault="009C7AC9" w:rsidP="009C7AC9">
            <w:pPr>
              <w:pStyle w:val="TableParagraph"/>
              <w:numPr>
                <w:ilvl w:val="0"/>
                <w:numId w:val="2"/>
              </w:numPr>
              <w:tabs>
                <w:tab w:val="left" w:pos="560"/>
              </w:tabs>
              <w:ind w:right="95"/>
            </w:pPr>
            <w:r>
              <w:t>Takime</w:t>
            </w:r>
            <w:r>
              <w:rPr>
                <w:spacing w:val="-13"/>
              </w:rPr>
              <w:t xml:space="preserve"> </w:t>
            </w:r>
            <w:r>
              <w:t>të</w:t>
            </w:r>
            <w:r>
              <w:rPr>
                <w:spacing w:val="-14"/>
              </w:rPr>
              <w:t xml:space="preserve"> </w:t>
            </w:r>
            <w:r>
              <w:t>përbashkëta</w:t>
            </w:r>
            <w:r>
              <w:rPr>
                <w:spacing w:val="-12"/>
              </w:rPr>
              <w:t xml:space="preserve"> </w:t>
            </w:r>
            <w:r>
              <w:t>me</w:t>
            </w:r>
            <w:r>
              <w:rPr>
                <w:spacing w:val="-12"/>
              </w:rPr>
              <w:t xml:space="preserve"> </w:t>
            </w:r>
            <w:r>
              <w:t>koordinatorët</w:t>
            </w:r>
            <w:r>
              <w:rPr>
                <w:spacing w:val="-14"/>
              </w:rPr>
              <w:t xml:space="preserve"> </w:t>
            </w:r>
            <w:r>
              <w:t>e</w:t>
            </w:r>
            <w:r>
              <w:rPr>
                <w:spacing w:val="-12"/>
              </w:rPr>
              <w:t xml:space="preserve"> </w:t>
            </w:r>
            <w:r>
              <w:t>PRE dhe ministritë e</w:t>
            </w:r>
            <w:r>
              <w:rPr>
                <w:spacing w:val="-3"/>
              </w:rPr>
              <w:t xml:space="preserve"> </w:t>
            </w:r>
            <w:r>
              <w:t>linjës</w:t>
            </w:r>
          </w:p>
          <w:p w:rsidR="009C7AC9" w:rsidRDefault="009C7AC9" w:rsidP="009C7AC9">
            <w:pPr>
              <w:pStyle w:val="TableParagraph"/>
              <w:numPr>
                <w:ilvl w:val="1"/>
                <w:numId w:val="2"/>
              </w:numPr>
              <w:tabs>
                <w:tab w:val="left" w:pos="1289"/>
              </w:tabs>
              <w:spacing w:line="273" w:lineRule="auto"/>
              <w:ind w:left="1288" w:right="95"/>
              <w:jc w:val="both"/>
            </w:pPr>
            <w:r>
              <w:t>Energjia dhe Transporti;</w:t>
            </w:r>
          </w:p>
          <w:p w:rsidR="009C7AC9" w:rsidRDefault="009C7AC9" w:rsidP="009C7AC9">
            <w:pPr>
              <w:pStyle w:val="TableParagraph"/>
              <w:numPr>
                <w:ilvl w:val="1"/>
                <w:numId w:val="2"/>
              </w:numPr>
              <w:tabs>
                <w:tab w:val="left" w:pos="1289"/>
              </w:tabs>
              <w:spacing w:before="2" w:line="273" w:lineRule="auto"/>
              <w:ind w:left="1288" w:right="97"/>
              <w:jc w:val="both"/>
            </w:pPr>
            <w:r>
              <w:t>Bujqësia, Industria dhe</w:t>
            </w:r>
            <w:r>
              <w:rPr>
                <w:spacing w:val="-1"/>
              </w:rPr>
              <w:t xml:space="preserve"> </w:t>
            </w:r>
            <w:r>
              <w:t>Shërbimet;</w:t>
            </w:r>
          </w:p>
          <w:p w:rsidR="009C7AC9" w:rsidRDefault="009C7AC9" w:rsidP="009C7AC9">
            <w:pPr>
              <w:pStyle w:val="TableParagraph"/>
              <w:numPr>
                <w:ilvl w:val="1"/>
                <w:numId w:val="2"/>
              </w:numPr>
              <w:tabs>
                <w:tab w:val="left" w:pos="1289"/>
              </w:tabs>
              <w:spacing w:before="2" w:line="276" w:lineRule="auto"/>
              <w:ind w:left="1288" w:right="98"/>
              <w:jc w:val="both"/>
            </w:pPr>
            <w:r>
              <w:t>Mjedisi i biznesit dhe reduktimi i ekonomisë</w:t>
            </w:r>
            <w:r>
              <w:rPr>
                <w:spacing w:val="-1"/>
              </w:rPr>
              <w:t xml:space="preserve"> </w:t>
            </w:r>
            <w:proofErr w:type="spellStart"/>
            <w:r>
              <w:t>informale</w:t>
            </w:r>
            <w:proofErr w:type="spellEnd"/>
            <w:r>
              <w:t>;</w:t>
            </w:r>
          </w:p>
          <w:p w:rsidR="009C7AC9" w:rsidRDefault="009C7AC9" w:rsidP="009C7AC9">
            <w:pPr>
              <w:pStyle w:val="TableParagraph"/>
              <w:numPr>
                <w:ilvl w:val="1"/>
                <w:numId w:val="2"/>
              </w:numPr>
              <w:tabs>
                <w:tab w:val="left" w:pos="1289"/>
              </w:tabs>
              <w:spacing w:line="273" w:lineRule="auto"/>
              <w:ind w:left="1288" w:right="98"/>
              <w:jc w:val="both"/>
            </w:pPr>
            <w:r>
              <w:t>Inovacioni, Hulumtimi dhe Zhvillimi (RDI) dhe Ekonomia</w:t>
            </w:r>
            <w:r>
              <w:rPr>
                <w:spacing w:val="-2"/>
              </w:rPr>
              <w:t xml:space="preserve"> </w:t>
            </w:r>
            <w:proofErr w:type="spellStart"/>
            <w:r>
              <w:t>Dixhitale</w:t>
            </w:r>
            <w:proofErr w:type="spellEnd"/>
            <w:r>
              <w:t>;</w:t>
            </w:r>
          </w:p>
          <w:p w:rsidR="009C7AC9" w:rsidRPr="00916E54" w:rsidRDefault="009C7AC9" w:rsidP="009C7AC9">
            <w:pPr>
              <w:pStyle w:val="TableParagraph"/>
              <w:numPr>
                <w:ilvl w:val="1"/>
                <w:numId w:val="2"/>
              </w:numPr>
              <w:tabs>
                <w:tab w:val="left" w:pos="1289"/>
              </w:tabs>
              <w:spacing w:line="276" w:lineRule="auto"/>
              <w:ind w:left="1288" w:right="95"/>
              <w:jc w:val="both"/>
            </w:pPr>
            <w:r>
              <w:t xml:space="preserve">Punësimi dhe Tregu i </w:t>
            </w:r>
            <w:r>
              <w:rPr>
                <w:spacing w:val="-3"/>
              </w:rPr>
              <w:t xml:space="preserve">Punës; </w:t>
            </w:r>
          </w:p>
          <w:p w:rsidR="009C7AC9" w:rsidRDefault="009C7AC9" w:rsidP="009C7AC9">
            <w:pPr>
              <w:pStyle w:val="TableParagraph"/>
              <w:numPr>
                <w:ilvl w:val="1"/>
                <w:numId w:val="2"/>
              </w:numPr>
              <w:tabs>
                <w:tab w:val="left" w:pos="1289"/>
              </w:tabs>
              <w:spacing w:line="276" w:lineRule="auto"/>
              <w:ind w:left="1288" w:right="95"/>
              <w:jc w:val="both"/>
            </w:pPr>
            <w:r>
              <w:t xml:space="preserve">Përfshirja Sociale, ulja e varfërisë dhe mundësitë e barabarta </w:t>
            </w:r>
          </w:p>
          <w:p w:rsidR="009C7AC9" w:rsidRDefault="009C7AC9" w:rsidP="009C7AC9">
            <w:pPr>
              <w:pStyle w:val="TableParagraph"/>
              <w:numPr>
                <w:ilvl w:val="1"/>
                <w:numId w:val="2"/>
              </w:numPr>
              <w:tabs>
                <w:tab w:val="left" w:pos="1289"/>
              </w:tabs>
              <w:spacing w:line="273" w:lineRule="auto"/>
              <w:ind w:left="1288" w:right="98"/>
              <w:jc w:val="both"/>
            </w:pPr>
            <w:r>
              <w:t xml:space="preserve">Reformat lidhur me tregtinë; </w:t>
            </w:r>
          </w:p>
          <w:p w:rsidR="009C7AC9" w:rsidRDefault="009C7AC9" w:rsidP="009C7AC9">
            <w:pPr>
              <w:pStyle w:val="TableParagraph"/>
              <w:numPr>
                <w:ilvl w:val="1"/>
                <w:numId w:val="2"/>
              </w:numPr>
              <w:tabs>
                <w:tab w:val="left" w:pos="1289"/>
              </w:tabs>
              <w:spacing w:line="273" w:lineRule="auto"/>
              <w:ind w:left="1288" w:right="98"/>
              <w:jc w:val="both"/>
            </w:pPr>
            <w:r>
              <w:t>Arsimi dhe</w:t>
            </w:r>
            <w:r>
              <w:rPr>
                <w:spacing w:val="-1"/>
              </w:rPr>
              <w:t xml:space="preserve"> </w:t>
            </w:r>
            <w:r>
              <w:t>Shkathtësitë;</w:t>
            </w:r>
          </w:p>
        </w:tc>
        <w:tc>
          <w:tcPr>
            <w:tcW w:w="1981" w:type="dxa"/>
          </w:tcPr>
          <w:p w:rsidR="009C7AC9" w:rsidRDefault="009C7AC9" w:rsidP="009C7AC9">
            <w:pPr>
              <w:pStyle w:val="TableParagraph"/>
              <w:rPr>
                <w:sz w:val="24"/>
              </w:rPr>
            </w:pPr>
          </w:p>
          <w:p w:rsidR="009C7AC9" w:rsidRDefault="009C7AC9" w:rsidP="009C7AC9">
            <w:pPr>
              <w:pStyle w:val="TableParagraph"/>
              <w:rPr>
                <w:sz w:val="24"/>
              </w:rPr>
            </w:pPr>
          </w:p>
          <w:p w:rsidR="009C7AC9" w:rsidRDefault="009C7AC9" w:rsidP="009C7AC9">
            <w:pPr>
              <w:pStyle w:val="TableParagraph"/>
              <w:rPr>
                <w:sz w:val="24"/>
              </w:rPr>
            </w:pPr>
          </w:p>
          <w:p w:rsidR="009C7AC9" w:rsidRDefault="009C7AC9" w:rsidP="009C7AC9">
            <w:pPr>
              <w:pStyle w:val="TableParagraph"/>
              <w:rPr>
                <w:sz w:val="24"/>
              </w:rPr>
            </w:pPr>
          </w:p>
          <w:p w:rsidR="009C7AC9" w:rsidRDefault="009C7AC9" w:rsidP="009C7AC9">
            <w:pPr>
              <w:pStyle w:val="TableParagraph"/>
              <w:rPr>
                <w:sz w:val="24"/>
              </w:rPr>
            </w:pPr>
          </w:p>
          <w:p w:rsidR="009C7AC9" w:rsidRDefault="009C7AC9" w:rsidP="009C7AC9">
            <w:pPr>
              <w:pStyle w:val="TableParagraph"/>
              <w:rPr>
                <w:sz w:val="24"/>
              </w:rPr>
            </w:pPr>
          </w:p>
          <w:p w:rsidR="009C7AC9" w:rsidRDefault="009C7AC9" w:rsidP="009C7AC9">
            <w:pPr>
              <w:pStyle w:val="TableParagraph"/>
              <w:spacing w:before="4"/>
              <w:rPr>
                <w:sz w:val="31"/>
              </w:rPr>
            </w:pPr>
          </w:p>
          <w:p w:rsidR="009C7AC9" w:rsidRDefault="009C7AC9" w:rsidP="009C7AC9">
            <w:pPr>
              <w:pStyle w:val="TableParagraph"/>
              <w:ind w:left="107"/>
            </w:pPr>
          </w:p>
        </w:tc>
        <w:tc>
          <w:tcPr>
            <w:tcW w:w="3061" w:type="dxa"/>
          </w:tcPr>
          <w:p w:rsidR="009C7AC9" w:rsidRDefault="009C7AC9" w:rsidP="009C7AC9">
            <w:pPr>
              <w:pStyle w:val="TableParagraph"/>
              <w:rPr>
                <w:sz w:val="24"/>
              </w:rPr>
            </w:pPr>
          </w:p>
          <w:p w:rsidR="009C7AC9" w:rsidRDefault="009C7AC9" w:rsidP="009C7AC9">
            <w:pPr>
              <w:pStyle w:val="TableParagraph"/>
              <w:spacing w:before="178"/>
            </w:pPr>
            <w:r>
              <w:t>9  pjesëmarrës</w:t>
            </w:r>
          </w:p>
          <w:p w:rsidR="009C7AC9" w:rsidRDefault="009C7AC9" w:rsidP="009C7AC9">
            <w:pPr>
              <w:pStyle w:val="TableParagraph"/>
            </w:pPr>
            <w:r>
              <w:t>4 pjesëmarrës</w:t>
            </w:r>
          </w:p>
          <w:p w:rsidR="009C7AC9" w:rsidRDefault="009C7AC9" w:rsidP="009C7AC9">
            <w:pPr>
              <w:pStyle w:val="TableParagraph"/>
            </w:pPr>
          </w:p>
          <w:p w:rsidR="009C7AC9" w:rsidRDefault="009C7AC9" w:rsidP="009C7AC9">
            <w:pPr>
              <w:pStyle w:val="TableParagraph"/>
            </w:pPr>
            <w:r>
              <w:t>8 pjesëmarrës</w:t>
            </w:r>
          </w:p>
          <w:p w:rsidR="009C7AC9" w:rsidRDefault="009C7AC9" w:rsidP="009C7AC9">
            <w:pPr>
              <w:pStyle w:val="TableParagraph"/>
              <w:tabs>
                <w:tab w:val="left" w:pos="273"/>
              </w:tabs>
            </w:pPr>
          </w:p>
          <w:p w:rsidR="009C7AC9" w:rsidRDefault="009C7AC9" w:rsidP="009C7AC9">
            <w:pPr>
              <w:pStyle w:val="TableParagraph"/>
              <w:spacing w:before="11"/>
            </w:pPr>
            <w:r>
              <w:t xml:space="preserve">3 pjesëmarrës </w:t>
            </w:r>
          </w:p>
          <w:p w:rsidR="009C7AC9" w:rsidRDefault="009C7AC9" w:rsidP="009C7AC9">
            <w:pPr>
              <w:pStyle w:val="TableParagraph"/>
              <w:spacing w:before="11"/>
            </w:pPr>
          </w:p>
          <w:p w:rsidR="009C7AC9" w:rsidRDefault="009C7AC9" w:rsidP="009C7AC9">
            <w:pPr>
              <w:pStyle w:val="TableParagraph"/>
              <w:spacing w:before="11"/>
            </w:pPr>
            <w:r>
              <w:t>4 pjesëmarrës</w:t>
            </w:r>
          </w:p>
          <w:p w:rsidR="009C7AC9" w:rsidRDefault="009C7AC9" w:rsidP="009C7AC9">
            <w:pPr>
              <w:pStyle w:val="TableParagraph"/>
              <w:tabs>
                <w:tab w:val="left" w:pos="273"/>
              </w:tabs>
            </w:pPr>
            <w:r>
              <w:t>5 pjesëmarrës</w:t>
            </w:r>
          </w:p>
          <w:p w:rsidR="009C7AC9" w:rsidRDefault="009C7AC9" w:rsidP="009C7AC9">
            <w:pPr>
              <w:pStyle w:val="TableParagraph"/>
            </w:pPr>
          </w:p>
          <w:p w:rsidR="009C7AC9" w:rsidRDefault="009C7AC9" w:rsidP="009C7AC9">
            <w:pPr>
              <w:pStyle w:val="TableParagraph"/>
            </w:pPr>
          </w:p>
          <w:p w:rsidR="009C7AC9" w:rsidRDefault="009C7AC9" w:rsidP="009C7AC9">
            <w:pPr>
              <w:pStyle w:val="TableParagraph"/>
            </w:pPr>
            <w:r>
              <w:t>7 pjesëmarrës</w:t>
            </w:r>
          </w:p>
          <w:p w:rsidR="009C7AC9" w:rsidRDefault="009C7AC9" w:rsidP="009C7AC9">
            <w:pPr>
              <w:pStyle w:val="TableParagraph"/>
            </w:pPr>
            <w:r>
              <w:t>8 pjesëmarrës</w:t>
            </w:r>
          </w:p>
        </w:tc>
      </w:tr>
    </w:tbl>
    <w:p w:rsidR="009C7AC9" w:rsidRDefault="009C7AC9" w:rsidP="0089169B">
      <w:pPr>
        <w:spacing w:before="92" w:line="251" w:lineRule="exact"/>
        <w:jc w:val="both"/>
        <w:rPr>
          <w:b/>
        </w:rPr>
      </w:pPr>
    </w:p>
    <w:p w:rsidR="009C7AC9" w:rsidRDefault="009C7AC9" w:rsidP="0089169B">
      <w:pPr>
        <w:spacing w:before="92" w:line="251" w:lineRule="exact"/>
        <w:jc w:val="both"/>
        <w:rPr>
          <w:b/>
        </w:rPr>
      </w:pPr>
    </w:p>
    <w:p w:rsidR="0089169B" w:rsidRDefault="0089169B" w:rsidP="0089169B">
      <w:pPr>
        <w:spacing w:before="92" w:line="251" w:lineRule="exact"/>
        <w:jc w:val="both"/>
        <w:rPr>
          <w:b/>
        </w:rPr>
      </w:pPr>
      <w:r>
        <w:rPr>
          <w:b/>
        </w:rPr>
        <w:t xml:space="preserve">     Përmbledhje e kontributeve të marra gjatë procesit të konsultimit</w:t>
      </w:r>
    </w:p>
    <w:p w:rsidR="0089169B" w:rsidRPr="00CB4E27" w:rsidRDefault="0089169B" w:rsidP="0089169B">
      <w:pPr>
        <w:ind w:left="280" w:right="412"/>
        <w:jc w:val="both"/>
      </w:pPr>
      <w:r>
        <w:t>Kontributet</w:t>
      </w:r>
      <w:r>
        <w:rPr>
          <w:spacing w:val="-12"/>
        </w:rPr>
        <w:t xml:space="preserve"> </w:t>
      </w:r>
      <w:r>
        <w:t>lidhur</w:t>
      </w:r>
      <w:r>
        <w:rPr>
          <w:spacing w:val="-9"/>
        </w:rPr>
        <w:t xml:space="preserve"> </w:t>
      </w:r>
      <w:r>
        <w:t>me</w:t>
      </w:r>
      <w:r>
        <w:rPr>
          <w:spacing w:val="-9"/>
        </w:rPr>
        <w:t xml:space="preserve"> </w:t>
      </w:r>
      <w:r>
        <w:t>PRE</w:t>
      </w:r>
      <w:r>
        <w:rPr>
          <w:spacing w:val="-11"/>
        </w:rPr>
        <w:t xml:space="preserve"> </w:t>
      </w:r>
      <w:r>
        <w:t>2020-2022</w:t>
      </w:r>
      <w:r>
        <w:rPr>
          <w:spacing w:val="-10"/>
        </w:rPr>
        <w:t xml:space="preserve"> </w:t>
      </w:r>
      <w:r>
        <w:t>ofrohen</w:t>
      </w:r>
      <w:r>
        <w:rPr>
          <w:spacing w:val="-9"/>
        </w:rPr>
        <w:t xml:space="preserve"> </w:t>
      </w:r>
      <w:r>
        <w:t>kryesisht</w:t>
      </w:r>
      <w:r>
        <w:rPr>
          <w:spacing w:val="-10"/>
        </w:rPr>
        <w:t xml:space="preserve"> </w:t>
      </w:r>
      <w:r>
        <w:t>gjatë</w:t>
      </w:r>
      <w:r>
        <w:rPr>
          <w:spacing w:val="-9"/>
        </w:rPr>
        <w:t xml:space="preserve"> </w:t>
      </w:r>
      <w:r>
        <w:t>punëtorive</w:t>
      </w:r>
      <w:r>
        <w:rPr>
          <w:spacing w:val="-12"/>
        </w:rPr>
        <w:t xml:space="preserve"> </w:t>
      </w:r>
      <w:r>
        <w:t>të</w:t>
      </w:r>
      <w:r>
        <w:rPr>
          <w:spacing w:val="-10"/>
        </w:rPr>
        <w:t xml:space="preserve"> </w:t>
      </w:r>
      <w:r>
        <w:t>mbajtura</w:t>
      </w:r>
      <w:r>
        <w:rPr>
          <w:spacing w:val="-9"/>
        </w:rPr>
        <w:t xml:space="preserve"> </w:t>
      </w:r>
      <w:r>
        <w:t>me</w:t>
      </w:r>
      <w:r>
        <w:rPr>
          <w:spacing w:val="-10"/>
        </w:rPr>
        <w:t xml:space="preserve"> </w:t>
      </w:r>
      <w:r>
        <w:t>ministritë</w:t>
      </w:r>
      <w:r>
        <w:rPr>
          <w:spacing w:val="-9"/>
        </w:rPr>
        <w:t xml:space="preserve"> </w:t>
      </w:r>
      <w:r>
        <w:t>e</w:t>
      </w:r>
      <w:r>
        <w:rPr>
          <w:spacing w:val="-12"/>
        </w:rPr>
        <w:t xml:space="preserve"> </w:t>
      </w:r>
      <w:r>
        <w:t>linjës. Janë dhënë gjithashtu kontribute përmes platformës së konsultimeve publike</w:t>
      </w:r>
      <w:r>
        <w:rPr>
          <w:spacing w:val="-8"/>
        </w:rPr>
        <w:t xml:space="preserve"> </w:t>
      </w:r>
      <w:proofErr w:type="spellStart"/>
      <w:r>
        <w:t>online</w:t>
      </w:r>
      <w:proofErr w:type="spellEnd"/>
      <w:r>
        <w:t>.</w:t>
      </w:r>
    </w:p>
    <w:p w:rsidR="0089169B" w:rsidRDefault="0089169B" w:rsidP="0089169B">
      <w:pPr>
        <w:ind w:right="419"/>
        <w:jc w:val="both"/>
      </w:pPr>
    </w:p>
    <w:p w:rsidR="0089169B" w:rsidRDefault="0089169B" w:rsidP="0089169B">
      <w:pPr>
        <w:spacing w:before="1" w:line="251" w:lineRule="exact"/>
        <w:ind w:left="280"/>
        <w:jc w:val="both"/>
        <w:rPr>
          <w:b/>
        </w:rPr>
      </w:pPr>
      <w:r>
        <w:rPr>
          <w:b/>
        </w:rPr>
        <w:t>Çështje të tjera</w:t>
      </w:r>
    </w:p>
    <w:p w:rsidR="0089169B" w:rsidRDefault="0089169B" w:rsidP="0089169B">
      <w:pPr>
        <w:ind w:left="280" w:right="421"/>
        <w:jc w:val="both"/>
      </w:pPr>
      <w:r>
        <w:t>Të</w:t>
      </w:r>
      <w:r>
        <w:rPr>
          <w:spacing w:val="-9"/>
        </w:rPr>
        <w:t xml:space="preserve"> </w:t>
      </w:r>
      <w:r>
        <w:t>gjitha</w:t>
      </w:r>
      <w:r>
        <w:rPr>
          <w:spacing w:val="-8"/>
        </w:rPr>
        <w:t xml:space="preserve"> </w:t>
      </w:r>
      <w:r>
        <w:t>kontributet</w:t>
      </w:r>
      <w:r>
        <w:rPr>
          <w:spacing w:val="-8"/>
        </w:rPr>
        <w:t xml:space="preserve"> </w:t>
      </w:r>
      <w:r>
        <w:t>e</w:t>
      </w:r>
      <w:r>
        <w:rPr>
          <w:spacing w:val="-9"/>
        </w:rPr>
        <w:t xml:space="preserve"> </w:t>
      </w:r>
      <w:r>
        <w:t>pranuara</w:t>
      </w:r>
      <w:r>
        <w:rPr>
          <w:spacing w:val="-11"/>
        </w:rPr>
        <w:t xml:space="preserve"> </w:t>
      </w:r>
      <w:r>
        <w:t>janë</w:t>
      </w:r>
      <w:r>
        <w:rPr>
          <w:spacing w:val="-8"/>
        </w:rPr>
        <w:t xml:space="preserve"> </w:t>
      </w:r>
      <w:r>
        <w:t>shqyrtuar</w:t>
      </w:r>
      <w:r>
        <w:rPr>
          <w:spacing w:val="-9"/>
        </w:rPr>
        <w:t xml:space="preserve"> </w:t>
      </w:r>
      <w:r>
        <w:t>nga</w:t>
      </w:r>
      <w:r>
        <w:rPr>
          <w:spacing w:val="-8"/>
        </w:rPr>
        <w:t xml:space="preserve"> </w:t>
      </w:r>
      <w:r>
        <w:t>Zyra</w:t>
      </w:r>
      <w:r>
        <w:rPr>
          <w:spacing w:val="-8"/>
        </w:rPr>
        <w:t xml:space="preserve"> </w:t>
      </w:r>
      <w:r>
        <w:t>për</w:t>
      </w:r>
      <w:r>
        <w:rPr>
          <w:spacing w:val="-8"/>
        </w:rPr>
        <w:t xml:space="preserve"> </w:t>
      </w:r>
      <w:r>
        <w:t>Planifikim</w:t>
      </w:r>
      <w:r>
        <w:rPr>
          <w:spacing w:val="-12"/>
        </w:rPr>
        <w:t xml:space="preserve"> </w:t>
      </w:r>
      <w:r>
        <w:t>Strategjik</w:t>
      </w:r>
      <w:r>
        <w:rPr>
          <w:spacing w:val="-11"/>
        </w:rPr>
        <w:t xml:space="preserve"> </w:t>
      </w:r>
      <w:r>
        <w:t>në</w:t>
      </w:r>
      <w:r>
        <w:rPr>
          <w:spacing w:val="-9"/>
        </w:rPr>
        <w:t xml:space="preserve"> </w:t>
      </w:r>
      <w:r>
        <w:t>Zyrën</w:t>
      </w:r>
      <w:r>
        <w:rPr>
          <w:spacing w:val="-8"/>
        </w:rPr>
        <w:t xml:space="preserve"> </w:t>
      </w:r>
      <w:r>
        <w:t>e</w:t>
      </w:r>
      <w:r>
        <w:rPr>
          <w:spacing w:val="-8"/>
        </w:rPr>
        <w:t xml:space="preserve"> </w:t>
      </w:r>
      <w:r>
        <w:t xml:space="preserve">Kryeministrit. Raporti i detajuar mbi komentet e pranuara, </w:t>
      </w:r>
      <w:proofErr w:type="spellStart"/>
      <w:r>
        <w:t>kontribuesit</w:t>
      </w:r>
      <w:proofErr w:type="spellEnd"/>
      <w:r>
        <w:t xml:space="preserve"> dhe statusi i kontributeve paraqitet në Aneksin nr. 1 të këtij</w:t>
      </w:r>
      <w:r>
        <w:rPr>
          <w:spacing w:val="-6"/>
        </w:rPr>
        <w:t xml:space="preserve"> </w:t>
      </w:r>
      <w:r>
        <w:t>raporti.</w:t>
      </w:r>
    </w:p>
    <w:p w:rsidR="0089169B" w:rsidRDefault="0089169B" w:rsidP="0089169B">
      <w:pPr>
        <w:spacing w:before="3" w:line="250" w:lineRule="exact"/>
        <w:ind w:left="280"/>
        <w:jc w:val="both"/>
        <w:rPr>
          <w:b/>
        </w:rPr>
      </w:pPr>
    </w:p>
    <w:p w:rsidR="0089169B" w:rsidRDefault="0089169B" w:rsidP="0089169B">
      <w:pPr>
        <w:spacing w:before="3" w:line="250" w:lineRule="exact"/>
        <w:ind w:left="280"/>
        <w:jc w:val="both"/>
        <w:rPr>
          <w:b/>
        </w:rPr>
      </w:pPr>
      <w:r>
        <w:rPr>
          <w:b/>
        </w:rPr>
        <w:t>Hapat e</w:t>
      </w:r>
      <w:r>
        <w:rPr>
          <w:b/>
          <w:spacing w:val="-4"/>
        </w:rPr>
        <w:t xml:space="preserve"> </w:t>
      </w:r>
      <w:r>
        <w:rPr>
          <w:b/>
        </w:rPr>
        <w:t>ardhshëm</w:t>
      </w:r>
    </w:p>
    <w:p w:rsidR="0089169B" w:rsidRDefault="0089169B" w:rsidP="0089169B">
      <w:pPr>
        <w:spacing w:line="242" w:lineRule="auto"/>
        <w:ind w:left="280" w:right="420"/>
        <w:jc w:val="both"/>
      </w:pPr>
      <w:r w:rsidRPr="00D31370">
        <w:t>Programi</w:t>
      </w:r>
      <w:r w:rsidRPr="00D31370">
        <w:rPr>
          <w:spacing w:val="-11"/>
        </w:rPr>
        <w:t xml:space="preserve"> </w:t>
      </w:r>
      <w:r w:rsidRPr="00D31370">
        <w:t>i</w:t>
      </w:r>
      <w:r w:rsidRPr="00D31370">
        <w:rPr>
          <w:spacing w:val="-10"/>
        </w:rPr>
        <w:t xml:space="preserve"> </w:t>
      </w:r>
      <w:r w:rsidRPr="00D31370">
        <w:t>Reformave</w:t>
      </w:r>
      <w:r w:rsidRPr="00D31370">
        <w:rPr>
          <w:spacing w:val="-11"/>
        </w:rPr>
        <w:t xml:space="preserve"> </w:t>
      </w:r>
      <w:r w:rsidRPr="00D31370">
        <w:t>Ekonomike</w:t>
      </w:r>
      <w:r w:rsidRPr="00D31370">
        <w:rPr>
          <w:spacing w:val="-11"/>
        </w:rPr>
        <w:t xml:space="preserve"> </w:t>
      </w:r>
      <w:r w:rsidRPr="00D31370">
        <w:t>2020-2022</w:t>
      </w:r>
      <w:r w:rsidRPr="00D31370">
        <w:rPr>
          <w:spacing w:val="-11"/>
        </w:rPr>
        <w:t xml:space="preserve"> </w:t>
      </w:r>
      <w:r w:rsidRPr="00D31370">
        <w:t>është</w:t>
      </w:r>
      <w:r w:rsidRPr="00D31370">
        <w:rPr>
          <w:spacing w:val="-12"/>
        </w:rPr>
        <w:t xml:space="preserve"> </w:t>
      </w:r>
      <w:r w:rsidRPr="00D31370">
        <w:t>finalizuar</w:t>
      </w:r>
      <w:r w:rsidRPr="00D31370">
        <w:rPr>
          <w:spacing w:val="-10"/>
        </w:rPr>
        <w:t xml:space="preserve"> </w:t>
      </w:r>
      <w:r w:rsidRPr="00D31370">
        <w:t>dhe</w:t>
      </w:r>
      <w:r w:rsidRPr="00D31370">
        <w:rPr>
          <w:spacing w:val="-11"/>
        </w:rPr>
        <w:t xml:space="preserve"> </w:t>
      </w:r>
      <w:r w:rsidRPr="00D31370">
        <w:t>është</w:t>
      </w:r>
      <w:r w:rsidRPr="00D31370">
        <w:rPr>
          <w:spacing w:val="-11"/>
        </w:rPr>
        <w:t xml:space="preserve"> </w:t>
      </w:r>
      <w:r w:rsidRPr="00D31370">
        <w:t>proceduar</w:t>
      </w:r>
      <w:r w:rsidRPr="00D31370">
        <w:rPr>
          <w:spacing w:val="-13"/>
        </w:rPr>
        <w:t xml:space="preserve"> </w:t>
      </w:r>
      <w:r w:rsidRPr="00D31370">
        <w:t>për</w:t>
      </w:r>
      <w:r w:rsidRPr="00D31370">
        <w:rPr>
          <w:spacing w:val="-11"/>
        </w:rPr>
        <w:t xml:space="preserve"> </w:t>
      </w:r>
      <w:r w:rsidRPr="00D31370">
        <w:t>miratim</w:t>
      </w:r>
      <w:r w:rsidRPr="00D31370">
        <w:rPr>
          <w:spacing w:val="-15"/>
        </w:rPr>
        <w:t xml:space="preserve"> </w:t>
      </w:r>
      <w:r w:rsidRPr="00D31370">
        <w:t>në</w:t>
      </w:r>
      <w:r w:rsidRPr="00D31370">
        <w:rPr>
          <w:spacing w:val="-11"/>
        </w:rPr>
        <w:t xml:space="preserve"> </w:t>
      </w:r>
      <w:r w:rsidRPr="00D31370">
        <w:t>Qeverinë e Kosovës</w:t>
      </w:r>
      <w:r>
        <w:t>, ku me datë 22.01.2019 Programi për Reforma në Ekonomi 2020-2022 është miratuar.</w:t>
      </w:r>
    </w:p>
    <w:p w:rsidR="0089169B" w:rsidRDefault="0089169B" w:rsidP="0089169B">
      <w:pPr>
        <w:ind w:right="420"/>
        <w:jc w:val="both"/>
        <w:sectPr w:rsidR="0089169B">
          <w:footerReference w:type="default" r:id="rId8"/>
          <w:pgSz w:w="12240" w:h="15840"/>
          <w:pgMar w:top="1500" w:right="1020" w:bottom="940" w:left="1160" w:header="0" w:footer="744" w:gutter="0"/>
          <w:pgNumType w:start="131"/>
          <w:cols w:space="720"/>
        </w:sectPr>
      </w:pPr>
    </w:p>
    <w:p w:rsidR="00D10601" w:rsidRPr="00410192" w:rsidRDefault="00D10601" w:rsidP="00D10601">
      <w:pPr>
        <w:pStyle w:val="Heading3"/>
        <w:spacing w:before="90" w:after="4"/>
        <w:ind w:left="100" w:firstLine="180"/>
        <w:jc w:val="left"/>
        <w:rPr>
          <w:sz w:val="22"/>
          <w:szCs w:val="22"/>
        </w:rPr>
      </w:pPr>
      <w:r w:rsidRPr="00410192">
        <w:rPr>
          <w:sz w:val="22"/>
          <w:szCs w:val="22"/>
        </w:rPr>
        <w:lastRenderedPageBreak/>
        <w:t xml:space="preserve">Tabela e detajuar me informatat për </w:t>
      </w:r>
      <w:proofErr w:type="spellStart"/>
      <w:r w:rsidRPr="00410192">
        <w:rPr>
          <w:sz w:val="22"/>
          <w:szCs w:val="22"/>
        </w:rPr>
        <w:t>kontribuesit</w:t>
      </w:r>
      <w:proofErr w:type="spellEnd"/>
      <w:r w:rsidRPr="00410192">
        <w:rPr>
          <w:sz w:val="22"/>
          <w:szCs w:val="22"/>
        </w:rPr>
        <w:t xml:space="preserve">, arsyetimet për përgjigjet e pranuara dhe të refuzuara </w:t>
      </w:r>
    </w:p>
    <w:tbl>
      <w:tblPr>
        <w:tblW w:w="1517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4500"/>
        <w:gridCol w:w="1170"/>
        <w:gridCol w:w="2150"/>
        <w:gridCol w:w="4950"/>
      </w:tblGrid>
      <w:tr w:rsidR="00D10601" w:rsidRPr="00410192" w:rsidTr="00A63A67">
        <w:trPr>
          <w:trHeight w:val="269"/>
        </w:trPr>
        <w:tc>
          <w:tcPr>
            <w:tcW w:w="10220" w:type="dxa"/>
            <w:gridSpan w:val="4"/>
            <w:shd w:val="clear" w:color="auto" w:fill="DEEAF6"/>
          </w:tcPr>
          <w:p w:rsidR="00D10601" w:rsidRPr="00410192" w:rsidRDefault="00D10601" w:rsidP="00A63A67">
            <w:pPr>
              <w:pStyle w:val="TableParagraph"/>
              <w:spacing w:line="251" w:lineRule="exact"/>
              <w:ind w:left="107"/>
              <w:rPr>
                <w:b/>
              </w:rPr>
            </w:pPr>
            <w:r w:rsidRPr="00410192">
              <w:rPr>
                <w:b/>
                <w:bCs/>
              </w:rPr>
              <w:t>Programi për Reforma në Ekonomi</w:t>
            </w:r>
            <w:r w:rsidRPr="00410192">
              <w:rPr>
                <w:b/>
              </w:rPr>
              <w:t xml:space="preserve"> 2020-2022</w:t>
            </w:r>
          </w:p>
        </w:tc>
        <w:tc>
          <w:tcPr>
            <w:tcW w:w="4950" w:type="dxa"/>
            <w:shd w:val="clear" w:color="auto" w:fill="DEEAF6"/>
          </w:tcPr>
          <w:p w:rsidR="00D10601" w:rsidRPr="00410192" w:rsidRDefault="00D10601" w:rsidP="00A63A67">
            <w:pPr>
              <w:pStyle w:val="TableParagraph"/>
            </w:pPr>
          </w:p>
        </w:tc>
      </w:tr>
      <w:tr w:rsidR="00D10601" w:rsidRPr="00410192" w:rsidTr="00A63A67">
        <w:trPr>
          <w:trHeight w:val="817"/>
        </w:trPr>
        <w:tc>
          <w:tcPr>
            <w:tcW w:w="2400" w:type="dxa"/>
            <w:shd w:val="clear" w:color="auto" w:fill="DEEAF6"/>
          </w:tcPr>
          <w:p w:rsidR="00D10601" w:rsidRPr="00410192" w:rsidRDefault="00D10601" w:rsidP="00A63A67">
            <w:pPr>
              <w:pStyle w:val="TableParagraph"/>
            </w:pPr>
          </w:p>
        </w:tc>
        <w:tc>
          <w:tcPr>
            <w:tcW w:w="4500" w:type="dxa"/>
            <w:shd w:val="clear" w:color="auto" w:fill="DEEAF6"/>
          </w:tcPr>
          <w:p w:rsidR="00D10601" w:rsidRPr="00410192" w:rsidRDefault="00D10601" w:rsidP="00A63A67">
            <w:pPr>
              <w:pStyle w:val="TableParagraph"/>
              <w:spacing w:line="251" w:lineRule="exact"/>
              <w:ind w:left="108"/>
              <w:rPr>
                <w:b/>
              </w:rPr>
            </w:pPr>
            <w:r w:rsidRPr="00410192">
              <w:rPr>
                <w:b/>
              </w:rPr>
              <w:t>Komentet</w:t>
            </w:r>
          </w:p>
        </w:tc>
        <w:tc>
          <w:tcPr>
            <w:tcW w:w="1170" w:type="dxa"/>
            <w:shd w:val="clear" w:color="auto" w:fill="DEEAF6"/>
          </w:tcPr>
          <w:p w:rsidR="00D10601" w:rsidRPr="00410192" w:rsidRDefault="00D10601" w:rsidP="00A63A67">
            <w:pPr>
              <w:pStyle w:val="TableParagraph"/>
              <w:tabs>
                <w:tab w:val="left" w:pos="1129"/>
              </w:tabs>
              <w:ind w:left="106" w:right="152"/>
              <w:jc w:val="center"/>
              <w:rPr>
                <w:b/>
              </w:rPr>
            </w:pPr>
            <w:r w:rsidRPr="00410192">
              <w:rPr>
                <w:b/>
              </w:rPr>
              <w:t>Komenti nga:</w:t>
            </w:r>
          </w:p>
        </w:tc>
        <w:tc>
          <w:tcPr>
            <w:tcW w:w="2150" w:type="dxa"/>
            <w:shd w:val="clear" w:color="auto" w:fill="DEEAF6"/>
          </w:tcPr>
          <w:p w:rsidR="00D10601" w:rsidRPr="00410192" w:rsidRDefault="00D10601" w:rsidP="00A63A67">
            <w:pPr>
              <w:pStyle w:val="TableParagraph"/>
              <w:ind w:left="110" w:right="90"/>
              <w:jc w:val="center"/>
              <w:rPr>
                <w:b/>
              </w:rPr>
            </w:pPr>
            <w:r w:rsidRPr="00410192">
              <w:rPr>
                <w:b/>
              </w:rPr>
              <w:t>Statusi i komenteve</w:t>
            </w:r>
          </w:p>
          <w:p w:rsidR="00D10601" w:rsidRPr="00410192" w:rsidRDefault="00D10601" w:rsidP="00A63A67">
            <w:pPr>
              <w:pStyle w:val="TableParagraph"/>
              <w:spacing w:before="2" w:line="252" w:lineRule="exact"/>
              <w:ind w:left="110" w:right="85"/>
              <w:jc w:val="center"/>
              <w:rPr>
                <w:b/>
              </w:rPr>
            </w:pPr>
            <w:r w:rsidRPr="00410192">
              <w:rPr>
                <w:b/>
              </w:rPr>
              <w:t>(Pranohet, pranohet pjesërisht, dhe nuk pranohet)</w:t>
            </w:r>
          </w:p>
        </w:tc>
        <w:tc>
          <w:tcPr>
            <w:tcW w:w="4950" w:type="dxa"/>
            <w:shd w:val="clear" w:color="auto" w:fill="DEEAF6"/>
          </w:tcPr>
          <w:p w:rsidR="00D10601" w:rsidRPr="00410192" w:rsidRDefault="00D10601" w:rsidP="00A63A67">
            <w:pPr>
              <w:pStyle w:val="TableParagraph"/>
              <w:ind w:left="111" w:right="92"/>
              <w:jc w:val="center"/>
              <w:rPr>
                <w:b/>
              </w:rPr>
            </w:pPr>
            <w:r w:rsidRPr="00410192">
              <w:rPr>
                <w:b/>
              </w:rPr>
              <w:t>Komente (komenti për të pranuar pjesërisht dhe për të mos pranuar komente është i detyrueshëm)</w:t>
            </w:r>
          </w:p>
        </w:tc>
      </w:tr>
      <w:tr w:rsidR="00D10601" w:rsidRPr="00410192" w:rsidTr="00A63A67">
        <w:trPr>
          <w:trHeight w:val="1430"/>
        </w:trPr>
        <w:tc>
          <w:tcPr>
            <w:tcW w:w="2400" w:type="dxa"/>
            <w:shd w:val="clear" w:color="auto" w:fill="DEEAF6"/>
          </w:tcPr>
          <w:p w:rsidR="00D10601" w:rsidRPr="00410192" w:rsidRDefault="00D10601" w:rsidP="00A63A67">
            <w:pPr>
              <w:pStyle w:val="TableParagraph"/>
              <w:spacing w:line="246" w:lineRule="exact"/>
              <w:ind w:left="50"/>
              <w:rPr>
                <w:spacing w:val="-1"/>
              </w:rPr>
            </w:pPr>
            <w:r w:rsidRPr="00410192">
              <w:t xml:space="preserve">Fusha </w:t>
            </w:r>
            <w:proofErr w:type="spellStart"/>
            <w:r w:rsidRPr="00410192">
              <w:t>Prioritare</w:t>
            </w:r>
            <w:proofErr w:type="spellEnd"/>
            <w:r w:rsidRPr="00410192">
              <w:t xml:space="preserve"> I: Reforma </w:t>
            </w:r>
            <w:r w:rsidRPr="00410192">
              <w:rPr>
                <w:spacing w:val="-14"/>
              </w:rPr>
              <w:t xml:space="preserve">e </w:t>
            </w:r>
            <w:r w:rsidRPr="00410192">
              <w:t xml:space="preserve">tregut të </w:t>
            </w:r>
            <w:r w:rsidRPr="00410192">
              <w:rPr>
                <w:spacing w:val="-3"/>
              </w:rPr>
              <w:t xml:space="preserve">energjisë </w:t>
            </w:r>
            <w:r w:rsidRPr="00410192">
              <w:t xml:space="preserve">dhe </w:t>
            </w:r>
            <w:r w:rsidRPr="00410192">
              <w:rPr>
                <w:spacing w:val="-1"/>
              </w:rPr>
              <w:t xml:space="preserve">transportit: </w:t>
            </w:r>
          </w:p>
          <w:p w:rsidR="00D10601" w:rsidRPr="00410192" w:rsidRDefault="00D10601" w:rsidP="00A63A67">
            <w:pPr>
              <w:pStyle w:val="TableParagraph"/>
              <w:spacing w:line="246" w:lineRule="exact"/>
              <w:ind w:left="50"/>
              <w:rPr>
                <w:spacing w:val="-1"/>
              </w:rPr>
            </w:pPr>
          </w:p>
          <w:p w:rsidR="00D10601" w:rsidRPr="00410192" w:rsidRDefault="00D10601" w:rsidP="00A63A67">
            <w:pPr>
              <w:pStyle w:val="TableParagraph"/>
              <w:spacing w:line="246" w:lineRule="exact"/>
              <w:ind w:left="50"/>
              <w:rPr>
                <w:spacing w:val="-1"/>
              </w:rPr>
            </w:pPr>
            <w:r w:rsidRPr="00410192">
              <w:t>Masa 1:  </w:t>
            </w:r>
            <w:r w:rsidRPr="00410192">
              <w:rPr>
                <w:bCs/>
              </w:rPr>
              <w:t>Ulja e konsumit të energjisë përmes masave</w:t>
            </w:r>
            <w:r w:rsidRPr="00410192">
              <w:t> </w:t>
            </w:r>
            <w:proofErr w:type="spellStart"/>
            <w:r w:rsidRPr="00410192">
              <w:t>efiçiente</w:t>
            </w:r>
            <w:proofErr w:type="spellEnd"/>
          </w:p>
        </w:tc>
        <w:tc>
          <w:tcPr>
            <w:tcW w:w="4500" w:type="dxa"/>
            <w:shd w:val="clear" w:color="auto" w:fill="DEEAF6"/>
          </w:tcPr>
          <w:p w:rsidR="00D10601" w:rsidRPr="00410192" w:rsidRDefault="00D10601" w:rsidP="00A63A67">
            <w:pPr>
              <w:pStyle w:val="TableParagraph"/>
              <w:ind w:left="108" w:right="98"/>
              <w:jc w:val="both"/>
            </w:pPr>
            <w:r w:rsidRPr="00410192">
              <w:t xml:space="preserve">Zbatimi  i </w:t>
            </w:r>
            <w:r w:rsidRPr="00410192">
              <w:rPr>
                <w:b/>
              </w:rPr>
              <w:t>masave të</w:t>
            </w:r>
            <w:r w:rsidRPr="00410192">
              <w:t xml:space="preserve"> </w:t>
            </w:r>
            <w:proofErr w:type="spellStart"/>
            <w:r w:rsidRPr="00410192">
              <w:rPr>
                <w:b/>
              </w:rPr>
              <w:t>efiçencës</w:t>
            </w:r>
            <w:proofErr w:type="spellEnd"/>
            <w:r w:rsidRPr="00410192">
              <w:rPr>
                <w:b/>
              </w:rPr>
              <w:t xml:space="preserve"> së energjisë</w:t>
            </w:r>
            <w:r w:rsidRPr="00410192">
              <w:t xml:space="preserve"> në ndërtesat publike të financuara nga Qeveria gjermane, WBIF përmes </w:t>
            </w:r>
            <w:proofErr w:type="spellStart"/>
            <w:r w:rsidRPr="00410192">
              <w:t>KfW</w:t>
            </w:r>
            <w:proofErr w:type="spellEnd"/>
            <w:r w:rsidRPr="00410192">
              <w:t xml:space="preserve"> në </w:t>
            </w:r>
            <w:r w:rsidRPr="00410192">
              <w:rPr>
                <w:b/>
              </w:rPr>
              <w:t>4 komuna</w:t>
            </w:r>
            <w:r w:rsidRPr="00410192">
              <w:t xml:space="preserve"> (e jo 3 siç thuhet në draft PRE).</w:t>
            </w:r>
          </w:p>
          <w:p w:rsidR="00D10601" w:rsidRPr="00410192" w:rsidRDefault="00D10601" w:rsidP="00A63A67">
            <w:pPr>
              <w:pStyle w:val="TableParagraph"/>
              <w:ind w:left="108" w:right="98"/>
              <w:jc w:val="both"/>
            </w:pPr>
          </w:p>
          <w:p w:rsidR="00D10601" w:rsidRPr="00410192" w:rsidRDefault="00D10601" w:rsidP="00A63A67">
            <w:pPr>
              <w:pStyle w:val="TableParagraph"/>
              <w:ind w:left="108" w:right="98"/>
              <w:jc w:val="both"/>
            </w:pP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410192" w:rsidRDefault="00D10601" w:rsidP="00A63A67">
            <w:pPr>
              <w:pStyle w:val="TableParagraph"/>
              <w:spacing w:line="247" w:lineRule="exact"/>
              <w:ind w:left="106"/>
              <w:jc w:val="cente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Pranohet</w:t>
            </w:r>
          </w:p>
          <w:p w:rsidR="00D10601" w:rsidRPr="00410192" w:rsidRDefault="00D10601" w:rsidP="00A63A67">
            <w:pPr>
              <w:pStyle w:val="TableParagraph"/>
              <w:spacing w:line="247" w:lineRule="exact"/>
              <w:ind w:left="110"/>
              <w:rPr>
                <w:b/>
              </w:rPr>
            </w:pPr>
          </w:p>
        </w:tc>
        <w:tc>
          <w:tcPr>
            <w:tcW w:w="4950" w:type="dxa"/>
            <w:shd w:val="clear" w:color="auto" w:fill="DEEAF6"/>
          </w:tcPr>
          <w:p w:rsidR="00D10601" w:rsidRPr="00410192" w:rsidRDefault="00D10601" w:rsidP="00A63A67">
            <w:pPr>
              <w:pStyle w:val="TableParagraph"/>
              <w:ind w:left="111" w:right="191"/>
            </w:pPr>
          </w:p>
        </w:tc>
      </w:tr>
      <w:tr w:rsidR="00D10601" w:rsidRPr="00410192" w:rsidTr="00A63A67">
        <w:trPr>
          <w:trHeight w:val="1268"/>
        </w:trPr>
        <w:tc>
          <w:tcPr>
            <w:tcW w:w="2400" w:type="dxa"/>
            <w:shd w:val="clear" w:color="auto" w:fill="DEEAF6"/>
          </w:tcPr>
          <w:p w:rsidR="00D10601" w:rsidRPr="00410192" w:rsidRDefault="00D10601" w:rsidP="00A63A67">
            <w:pPr>
              <w:pStyle w:val="TableParagraph"/>
              <w:spacing w:line="246" w:lineRule="exact"/>
            </w:pPr>
            <w:r w:rsidRPr="00410192">
              <w:t xml:space="preserve">Fusha </w:t>
            </w:r>
            <w:proofErr w:type="spellStart"/>
            <w:r w:rsidRPr="00410192">
              <w:t>Prioritare</w:t>
            </w:r>
            <w:proofErr w:type="spellEnd"/>
            <w:r w:rsidRPr="00410192">
              <w:t xml:space="preserve"> I: Energjia dhe Transporti</w:t>
            </w:r>
          </w:p>
          <w:p w:rsidR="00D10601" w:rsidRPr="00410192" w:rsidRDefault="00D10601" w:rsidP="00A63A67">
            <w:pPr>
              <w:pStyle w:val="TableParagraph"/>
              <w:spacing w:line="246" w:lineRule="exact"/>
            </w:pPr>
            <w:r w:rsidRPr="00410192">
              <w:t>Analiza e fushës së politikave</w:t>
            </w:r>
          </w:p>
        </w:tc>
        <w:tc>
          <w:tcPr>
            <w:tcW w:w="4500" w:type="dxa"/>
            <w:shd w:val="clear" w:color="auto" w:fill="DEEAF6"/>
          </w:tcPr>
          <w:p w:rsidR="00D10601" w:rsidRPr="00410192" w:rsidRDefault="00D10601" w:rsidP="00A63A67">
            <w:pPr>
              <w:pStyle w:val="NormalWeb"/>
              <w:rPr>
                <w:sz w:val="22"/>
                <w:szCs w:val="22"/>
                <w:u w:val="single"/>
                <w:lang w:val="sq-AL"/>
              </w:rPr>
            </w:pPr>
            <w:r w:rsidRPr="00410192">
              <w:rPr>
                <w:rFonts w:eastAsia="Times New Roman"/>
                <w:sz w:val="22"/>
                <w:szCs w:val="22"/>
                <w:lang w:val="sq-AL"/>
              </w:rPr>
              <w:t xml:space="preserve">Raporti duhet të përmend që Kosova duhet të zhvillojë </w:t>
            </w:r>
            <w:r w:rsidRPr="00410192">
              <w:rPr>
                <w:rFonts w:eastAsia="Times New Roman"/>
                <w:b/>
                <w:sz w:val="22"/>
                <w:szCs w:val="22"/>
                <w:lang w:val="sq-AL"/>
              </w:rPr>
              <w:t>Panin Kombëtar të Integruar të Energjisë dhe Klimës</w:t>
            </w:r>
            <w:r w:rsidRPr="00410192">
              <w:rPr>
                <w:rFonts w:eastAsia="Times New Roman"/>
                <w:sz w:val="22"/>
                <w:szCs w:val="22"/>
                <w:lang w:val="sq-AL"/>
              </w:rPr>
              <w:t xml:space="preserve"> (PKEK) i cili pritet t'i dorëzohet Sekretariatit të Komunitetit të Energjisë deri në mes të vitit 2020.</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Pranohet</w:t>
            </w:r>
          </w:p>
          <w:p w:rsidR="00D10601" w:rsidRPr="00410192" w:rsidRDefault="00D10601" w:rsidP="00A63A67">
            <w:pPr>
              <w:pStyle w:val="TableParagraph"/>
              <w:spacing w:line="247" w:lineRule="exact"/>
              <w:ind w:left="110"/>
              <w:rPr>
                <w:b/>
              </w:rPr>
            </w:pPr>
          </w:p>
        </w:tc>
        <w:tc>
          <w:tcPr>
            <w:tcW w:w="4950" w:type="dxa"/>
            <w:shd w:val="clear" w:color="auto" w:fill="DEEAF6"/>
          </w:tcPr>
          <w:p w:rsidR="00D10601" w:rsidRPr="00410192" w:rsidRDefault="00D10601" w:rsidP="00A63A67">
            <w:pPr>
              <w:pStyle w:val="TableParagraph"/>
              <w:ind w:left="111" w:right="191"/>
            </w:pPr>
            <w:r w:rsidRPr="00410192">
              <w:t xml:space="preserve"> </w:t>
            </w:r>
          </w:p>
        </w:tc>
      </w:tr>
      <w:tr w:rsidR="00D10601" w:rsidRPr="00410192" w:rsidTr="00A63A67">
        <w:trPr>
          <w:trHeight w:val="2312"/>
        </w:trPr>
        <w:tc>
          <w:tcPr>
            <w:tcW w:w="2400" w:type="dxa"/>
            <w:shd w:val="clear" w:color="auto" w:fill="DEEAF6"/>
          </w:tcPr>
          <w:p w:rsidR="00D10601" w:rsidRPr="00410192" w:rsidRDefault="00D10601" w:rsidP="00A63A67">
            <w:pPr>
              <w:pStyle w:val="TableParagraph"/>
              <w:spacing w:line="246" w:lineRule="exact"/>
            </w:pPr>
            <w:r w:rsidRPr="00410192">
              <w:t xml:space="preserve">Fusha </w:t>
            </w:r>
            <w:proofErr w:type="spellStart"/>
            <w:r w:rsidRPr="00410192">
              <w:t>Prioritare</w:t>
            </w:r>
            <w:proofErr w:type="spellEnd"/>
            <w:r w:rsidRPr="00410192">
              <w:t xml:space="preserve"> I:  Energjia dhe Transporti</w:t>
            </w:r>
          </w:p>
          <w:p w:rsidR="00D10601" w:rsidRPr="00410192" w:rsidRDefault="00D10601" w:rsidP="00A63A67">
            <w:pPr>
              <w:pStyle w:val="TableParagraph"/>
              <w:spacing w:line="246" w:lineRule="exact"/>
            </w:pPr>
            <w:r w:rsidRPr="00410192">
              <w:t>Analiza e fushës së politikave</w:t>
            </w:r>
          </w:p>
        </w:tc>
        <w:tc>
          <w:tcPr>
            <w:tcW w:w="4500" w:type="dxa"/>
            <w:shd w:val="clear" w:color="auto" w:fill="DEEAF6"/>
          </w:tcPr>
          <w:p w:rsidR="00D10601" w:rsidRPr="00410192" w:rsidRDefault="00D10601" w:rsidP="00A63A67">
            <w:pPr>
              <w:pStyle w:val="NormalWeb"/>
              <w:rPr>
                <w:sz w:val="22"/>
                <w:szCs w:val="22"/>
                <w:lang w:val="sq-AL"/>
              </w:rPr>
            </w:pPr>
            <w:r w:rsidRPr="00410192">
              <w:rPr>
                <w:sz w:val="22"/>
                <w:szCs w:val="22"/>
                <w:u w:val="single"/>
                <w:lang w:val="sq-AL"/>
              </w:rPr>
              <w:t>Projekti i Termocentralit Kosova e re</w:t>
            </w:r>
            <w:r w:rsidRPr="00410192">
              <w:rPr>
                <w:sz w:val="22"/>
                <w:szCs w:val="22"/>
                <w:lang w:val="sq-AL"/>
              </w:rPr>
              <w:t xml:space="preserve"> Drafti i PRE-së i referohet Termocentralit Kosova e Re shkurtimisht dhe në një kontekst të kapaciteteve gjeneruese që synojnë zëvendësimin e Kosovës A. Marrë parasysh faktin se kjo përfaqëson investimin e vetëm më të madh në këtë sektor, PRE duhet të adresojë ndikimin / </w:t>
            </w:r>
            <w:r w:rsidRPr="00410192">
              <w:rPr>
                <w:b/>
                <w:sz w:val="22"/>
                <w:szCs w:val="22"/>
                <w:lang w:val="sq-AL"/>
              </w:rPr>
              <w:t xml:space="preserve">implikimet e këtij termocentrali mbi </w:t>
            </w:r>
            <w:proofErr w:type="spellStart"/>
            <w:r w:rsidRPr="00410192">
              <w:rPr>
                <w:b/>
                <w:sz w:val="22"/>
                <w:szCs w:val="22"/>
                <w:lang w:val="sq-AL"/>
              </w:rPr>
              <w:t>përballueshmërinë</w:t>
            </w:r>
            <w:proofErr w:type="spellEnd"/>
            <w:r w:rsidRPr="00410192">
              <w:rPr>
                <w:b/>
                <w:sz w:val="22"/>
                <w:szCs w:val="22"/>
                <w:lang w:val="sq-AL"/>
              </w:rPr>
              <w:t xml:space="preserve">, pajtueshmërinë me </w:t>
            </w:r>
            <w:proofErr w:type="spellStart"/>
            <w:r w:rsidRPr="00410192">
              <w:rPr>
                <w:b/>
                <w:sz w:val="22"/>
                <w:szCs w:val="22"/>
                <w:lang w:val="sq-AL"/>
              </w:rPr>
              <w:t>acquis</w:t>
            </w:r>
            <w:proofErr w:type="spellEnd"/>
            <w:r w:rsidRPr="00410192">
              <w:rPr>
                <w:b/>
                <w:sz w:val="22"/>
                <w:szCs w:val="22"/>
                <w:lang w:val="sq-AL"/>
              </w:rPr>
              <w:t xml:space="preserve">-in dhe strategjinë e </w:t>
            </w:r>
            <w:proofErr w:type="spellStart"/>
            <w:r w:rsidRPr="00410192">
              <w:rPr>
                <w:b/>
                <w:sz w:val="22"/>
                <w:szCs w:val="22"/>
                <w:lang w:val="sq-AL"/>
              </w:rPr>
              <w:t>çkarbonizimit</w:t>
            </w:r>
            <w:proofErr w:type="spellEnd"/>
            <w:r w:rsidRPr="00410192">
              <w:rPr>
                <w:b/>
                <w:sz w:val="22"/>
                <w:szCs w:val="22"/>
                <w:lang w:val="sq-AL"/>
              </w:rPr>
              <w:t>.</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bookmarkStart w:id="0" w:name="_GoBack"/>
            <w:bookmarkEnd w:id="0"/>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Pranohet</w:t>
            </w:r>
          </w:p>
          <w:p w:rsidR="00D10601" w:rsidRPr="00410192" w:rsidRDefault="00D10601" w:rsidP="00A63A67">
            <w:pPr>
              <w:pStyle w:val="TableParagraph"/>
              <w:spacing w:line="247" w:lineRule="exact"/>
              <w:ind w:left="110"/>
              <w:rPr>
                <w:b/>
              </w:rPr>
            </w:pPr>
            <w:r w:rsidRPr="00410192">
              <w:rPr>
                <w:b/>
              </w:rPr>
              <w:t xml:space="preserve"> </w:t>
            </w:r>
          </w:p>
        </w:tc>
        <w:tc>
          <w:tcPr>
            <w:tcW w:w="4950" w:type="dxa"/>
            <w:shd w:val="clear" w:color="auto" w:fill="DEEAF6"/>
          </w:tcPr>
          <w:p w:rsidR="00D10601" w:rsidRPr="00410192" w:rsidRDefault="00D10601" w:rsidP="00A63A67">
            <w:pPr>
              <w:pStyle w:val="TableParagraph"/>
              <w:ind w:left="111" w:right="191"/>
            </w:pPr>
          </w:p>
        </w:tc>
      </w:tr>
      <w:tr w:rsidR="00D10601" w:rsidRPr="00410192" w:rsidTr="00A63A67">
        <w:trPr>
          <w:trHeight w:val="620"/>
        </w:trPr>
        <w:tc>
          <w:tcPr>
            <w:tcW w:w="2400" w:type="dxa"/>
            <w:shd w:val="clear" w:color="auto" w:fill="DEEAF6"/>
          </w:tcPr>
          <w:p w:rsidR="00D10601" w:rsidRPr="00410192" w:rsidRDefault="00D10601" w:rsidP="00A63A67">
            <w:pPr>
              <w:pStyle w:val="TableParagraph"/>
              <w:spacing w:line="246" w:lineRule="exact"/>
            </w:pPr>
            <w:r w:rsidRPr="00410192">
              <w:t xml:space="preserve">Fusha </w:t>
            </w:r>
            <w:proofErr w:type="spellStart"/>
            <w:r w:rsidRPr="00410192">
              <w:t>Prioritare</w:t>
            </w:r>
            <w:proofErr w:type="spellEnd"/>
            <w:r w:rsidRPr="00410192">
              <w:t xml:space="preserve"> I:  Energjia dhe Transporti</w:t>
            </w:r>
          </w:p>
          <w:p w:rsidR="00D10601" w:rsidRPr="00410192" w:rsidRDefault="00D10601" w:rsidP="00A63A67">
            <w:pPr>
              <w:pStyle w:val="TableParagraph"/>
              <w:spacing w:line="246" w:lineRule="exact"/>
              <w:ind w:left="162"/>
            </w:pPr>
          </w:p>
          <w:p w:rsidR="00D10601" w:rsidRPr="00410192" w:rsidRDefault="00D10601" w:rsidP="00A63A67">
            <w:r w:rsidRPr="00410192">
              <w:t>Masa 2: Zhvillimi i mëtejshëm i kapaciteteve prodhuese të energjisë</w:t>
            </w:r>
          </w:p>
          <w:p w:rsidR="00D10601" w:rsidRPr="00410192" w:rsidRDefault="00D10601" w:rsidP="00A63A67">
            <w:pPr>
              <w:pStyle w:val="TableParagraph"/>
              <w:spacing w:line="246" w:lineRule="exact"/>
              <w:ind w:left="162"/>
            </w:pPr>
          </w:p>
        </w:tc>
        <w:tc>
          <w:tcPr>
            <w:tcW w:w="4500" w:type="dxa"/>
            <w:shd w:val="clear" w:color="auto" w:fill="DEEAF6"/>
          </w:tcPr>
          <w:p w:rsidR="00D10601" w:rsidRPr="00410192" w:rsidRDefault="00D10601" w:rsidP="00A63A67">
            <w:pPr>
              <w:pStyle w:val="NormalWeb"/>
              <w:rPr>
                <w:sz w:val="22"/>
                <w:szCs w:val="22"/>
                <w:u w:val="single"/>
                <w:lang w:val="sq-AL"/>
              </w:rPr>
            </w:pPr>
            <w:r w:rsidRPr="00410192">
              <w:rPr>
                <w:sz w:val="22"/>
                <w:szCs w:val="22"/>
                <w:u w:val="single"/>
                <w:lang w:val="sq-AL"/>
              </w:rPr>
              <w:t>Furnizimi me energji elektrike</w:t>
            </w:r>
            <w:r w:rsidRPr="00410192">
              <w:rPr>
                <w:sz w:val="22"/>
                <w:szCs w:val="22"/>
                <w:lang w:val="sq-AL"/>
              </w:rPr>
              <w:t xml:space="preserve"> PRE e pranon vendimin e Rregullatorit për të vonuar hapjen e tregut, por nuk e adreson arsyen kryesore </w:t>
            </w:r>
            <w:r w:rsidRPr="00410192">
              <w:rPr>
                <w:b/>
                <w:sz w:val="22"/>
                <w:szCs w:val="22"/>
                <w:lang w:val="sq-AL"/>
              </w:rPr>
              <w:t>(mungesë të konkurrencës) pas vonesave në hapjen e tregut</w:t>
            </w:r>
            <w:r w:rsidRPr="00410192">
              <w:rPr>
                <w:sz w:val="22"/>
                <w:szCs w:val="22"/>
                <w:lang w:val="sq-AL"/>
              </w:rPr>
              <w:t xml:space="preserve">. Për më tepër, PRE-ja </w:t>
            </w:r>
            <w:r w:rsidRPr="00410192">
              <w:rPr>
                <w:b/>
                <w:sz w:val="22"/>
                <w:szCs w:val="22"/>
                <w:lang w:val="sq-AL"/>
              </w:rPr>
              <w:t>nuk e trajton furnizimin me energji elektrike në pjesën veriore të Kosovës</w:t>
            </w:r>
            <w:r w:rsidRPr="00410192">
              <w:rPr>
                <w:sz w:val="22"/>
                <w:szCs w:val="22"/>
                <w:lang w:val="sq-AL"/>
              </w:rPr>
              <w:t xml:space="preserve">. Marrë parasysh ndikimin e gjerë të kësaj çështje në rolin dhe detyrimet e Kosovës (KOSTT) si zonë e kontrollit të ardhshëm në kuadër të ENTSO-E, PRE duhet të adresojë këtë çështje dhe të përcaktoj zgjidhjet dhe </w:t>
            </w:r>
            <w:r w:rsidRPr="00410192">
              <w:rPr>
                <w:sz w:val="22"/>
                <w:szCs w:val="22"/>
                <w:lang w:val="sq-AL"/>
              </w:rPr>
              <w:lastRenderedPageBreak/>
              <w:t>hapat që duhen ndërmarrë nga institucionet kosovare.</w:t>
            </w:r>
          </w:p>
        </w:tc>
        <w:tc>
          <w:tcPr>
            <w:tcW w:w="1170" w:type="dxa"/>
            <w:shd w:val="clear" w:color="auto" w:fill="DEEAF6"/>
          </w:tcPr>
          <w:p w:rsidR="00D10601" w:rsidRPr="00D10601" w:rsidRDefault="00D10601" w:rsidP="00A63A67">
            <w:pPr>
              <w:jc w:val="center"/>
              <w:rPr>
                <w:b/>
                <w:lang w:eastAsia="de-DE"/>
              </w:rPr>
            </w:pPr>
            <w:r w:rsidRPr="00D10601">
              <w:rPr>
                <w:b/>
                <w:lang w:eastAsia="de-DE"/>
              </w:rPr>
              <w:lastRenderedPageBreak/>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pPr>
          </w:p>
        </w:tc>
        <w:tc>
          <w:tcPr>
            <w:tcW w:w="4950" w:type="dxa"/>
            <w:shd w:val="clear" w:color="auto" w:fill="DEEAF6"/>
          </w:tcPr>
          <w:p w:rsidR="00D10601" w:rsidRPr="00410192" w:rsidRDefault="00D10601" w:rsidP="00A63A67">
            <w:pPr>
              <w:pStyle w:val="TableParagraph"/>
              <w:ind w:right="191"/>
              <w:jc w:val="both"/>
            </w:pPr>
            <w:r w:rsidRPr="00410192">
              <w:t xml:space="preserve">Zyra e Rregullatorit të Energjisë ka licencuar shumë kompani për të kryer aktivitetin e furnizimit me energji elektrike në vend me qëllimin e vetëm të rritjes së konkurrencës. Kompanitë e licencuara për të kryer këtë aktivitet nuk janë akoma aktive dhe rrjedhimisht i gjithë furnizimi në vend bëhet nga një furnizues i vetëm KESCO. Siç shpjegohet në dokument, </w:t>
            </w:r>
            <w:proofErr w:type="spellStart"/>
            <w:r w:rsidRPr="00410192">
              <w:t>derregullimi</w:t>
            </w:r>
            <w:proofErr w:type="spellEnd"/>
            <w:r w:rsidRPr="00410192">
              <w:t xml:space="preserve"> i konsumatorëve është shtyrë nga Bordi i ZRRE-së pas shumë kërkesave nga Odat Ekonomike që përfaqësojnë bizneset dhe rekomandimet nga Kuvendi i Kosovës si organi më i lartë legjislativ në vend. Me fjalë të tjera, përkundër përpjekjeve për të </w:t>
            </w:r>
            <w:r w:rsidRPr="00410192">
              <w:lastRenderedPageBreak/>
              <w:t>krijuar një treg konkurrues të energjisë elektrike me shumicë në Kosovë, KESCO ende furnizon mbi 80% të energjisë së saj për konsumatorët. Një arsye tjetër e rëndësishme përveç kërkesave të Odave Ekonomike dhe Kuvendit është se KEK-u mban një Marrëveshje të furnizimit me shumicë (BSA) me furnizuesin kryesor KESCO, BSA, i cili mund të konsiderohet si një nga faktorët që mund të pengojnë zhvillimin e një tregu real konkurruese me pakicë. Sa i përket furnizimit me energji elektrike në pjesën veriore …..</w:t>
            </w:r>
          </w:p>
        </w:tc>
      </w:tr>
      <w:tr w:rsidR="00D10601" w:rsidRPr="00410192" w:rsidTr="00A63A67">
        <w:trPr>
          <w:trHeight w:val="350"/>
        </w:trPr>
        <w:tc>
          <w:tcPr>
            <w:tcW w:w="2400" w:type="dxa"/>
            <w:shd w:val="clear" w:color="auto" w:fill="DEEAF6"/>
          </w:tcPr>
          <w:p w:rsidR="00D10601" w:rsidRPr="00410192" w:rsidRDefault="00D10601" w:rsidP="00A63A67">
            <w:pPr>
              <w:pStyle w:val="TableParagraph"/>
              <w:spacing w:line="246" w:lineRule="exact"/>
              <w:ind w:left="50"/>
            </w:pPr>
            <w:r w:rsidRPr="00410192">
              <w:lastRenderedPageBreak/>
              <w:t xml:space="preserve">Fusha </w:t>
            </w:r>
            <w:proofErr w:type="spellStart"/>
            <w:r w:rsidRPr="00410192">
              <w:t>Prioritare</w:t>
            </w:r>
            <w:proofErr w:type="spellEnd"/>
            <w:r w:rsidRPr="00410192">
              <w:t xml:space="preserve"> I:  Energjia dhe Transporti</w:t>
            </w:r>
          </w:p>
          <w:p w:rsidR="00D10601" w:rsidRPr="00410192" w:rsidRDefault="00D10601" w:rsidP="00A63A67">
            <w:pPr>
              <w:pStyle w:val="TableParagraph"/>
              <w:spacing w:line="246" w:lineRule="exact"/>
              <w:ind w:left="50"/>
            </w:pPr>
            <w:r w:rsidRPr="00410192">
              <w:t xml:space="preserve">Masa1: Ulja e konsumit të energjisë nëpërmjet masave të </w:t>
            </w:r>
            <w:proofErr w:type="spellStart"/>
            <w:r w:rsidRPr="00410192">
              <w:t>efiçiencës</w:t>
            </w:r>
            <w:proofErr w:type="spellEnd"/>
            <w:r w:rsidRPr="00410192">
              <w:t xml:space="preserve"> së energjisë</w:t>
            </w:r>
          </w:p>
        </w:tc>
        <w:tc>
          <w:tcPr>
            <w:tcW w:w="4500" w:type="dxa"/>
            <w:shd w:val="clear" w:color="auto" w:fill="DEEAF6"/>
          </w:tcPr>
          <w:p w:rsidR="00D10601" w:rsidRPr="00410192" w:rsidRDefault="00D10601" w:rsidP="00A63A67">
            <w:pPr>
              <w:pStyle w:val="NormalWeb"/>
              <w:rPr>
                <w:rFonts w:eastAsia="Times New Roman"/>
                <w:sz w:val="22"/>
                <w:szCs w:val="22"/>
                <w:lang w:val="sq-AL"/>
              </w:rPr>
            </w:pPr>
            <w:r w:rsidRPr="00410192">
              <w:rPr>
                <w:rFonts w:eastAsia="Times New Roman"/>
                <w:sz w:val="22"/>
                <w:szCs w:val="22"/>
                <w:lang w:val="sq-AL"/>
              </w:rPr>
              <w:t xml:space="preserve">Raporti përmend që Fondi i </w:t>
            </w:r>
            <w:proofErr w:type="spellStart"/>
            <w:r w:rsidRPr="00410192">
              <w:rPr>
                <w:rFonts w:eastAsia="Times New Roman"/>
                <w:sz w:val="22"/>
                <w:szCs w:val="22"/>
                <w:lang w:val="sq-AL"/>
              </w:rPr>
              <w:t>Efiçencës</w:t>
            </w:r>
            <w:proofErr w:type="spellEnd"/>
            <w:r w:rsidRPr="00410192">
              <w:rPr>
                <w:rFonts w:eastAsia="Times New Roman"/>
                <w:sz w:val="22"/>
                <w:szCs w:val="22"/>
                <w:lang w:val="sq-AL"/>
              </w:rPr>
              <w:t xml:space="preserve"> së Energjisë është themeluar dhe 25 komuna kanë hartuar Plane të Veprimit për </w:t>
            </w:r>
            <w:proofErr w:type="spellStart"/>
            <w:r w:rsidRPr="00410192">
              <w:rPr>
                <w:rFonts w:eastAsia="Times New Roman"/>
                <w:sz w:val="22"/>
                <w:szCs w:val="22"/>
                <w:lang w:val="sq-AL"/>
              </w:rPr>
              <w:t>Efiçiencën</w:t>
            </w:r>
            <w:proofErr w:type="spellEnd"/>
            <w:r w:rsidRPr="00410192">
              <w:rPr>
                <w:rFonts w:eastAsia="Times New Roman"/>
                <w:sz w:val="22"/>
                <w:szCs w:val="22"/>
                <w:lang w:val="sq-AL"/>
              </w:rPr>
              <w:t xml:space="preserve"> e Energjisë, por deri në vitin 2019 </w:t>
            </w:r>
            <w:r w:rsidRPr="00410192">
              <w:rPr>
                <w:rFonts w:eastAsia="Times New Roman"/>
                <w:b/>
                <w:sz w:val="22"/>
                <w:szCs w:val="22"/>
                <w:lang w:val="sq-AL"/>
              </w:rPr>
              <w:t>të gjitha 38 komunat</w:t>
            </w:r>
            <w:r w:rsidRPr="00410192">
              <w:rPr>
                <w:rFonts w:eastAsia="Times New Roman"/>
                <w:sz w:val="22"/>
                <w:szCs w:val="22"/>
                <w:lang w:val="sq-AL"/>
              </w:rPr>
              <w:t xml:space="preserve"> kanë hartuar </w:t>
            </w:r>
            <w:r w:rsidRPr="00410192">
              <w:rPr>
                <w:rFonts w:eastAsia="Times New Roman"/>
                <w:b/>
                <w:sz w:val="22"/>
                <w:szCs w:val="22"/>
                <w:lang w:val="sq-AL"/>
              </w:rPr>
              <w:t xml:space="preserve">Planet e tyre Kombëtare të Veprimit për </w:t>
            </w:r>
            <w:proofErr w:type="spellStart"/>
            <w:r w:rsidRPr="00410192">
              <w:rPr>
                <w:rFonts w:eastAsia="Times New Roman"/>
                <w:b/>
                <w:sz w:val="22"/>
                <w:szCs w:val="22"/>
                <w:lang w:val="sq-AL"/>
              </w:rPr>
              <w:t>Efiçiencën</w:t>
            </w:r>
            <w:proofErr w:type="spellEnd"/>
            <w:r w:rsidRPr="00410192">
              <w:rPr>
                <w:rFonts w:eastAsia="Times New Roman"/>
                <w:b/>
                <w:sz w:val="22"/>
                <w:szCs w:val="22"/>
                <w:lang w:val="sq-AL"/>
              </w:rPr>
              <w:t xml:space="preserve"> e Energjisë</w:t>
            </w:r>
            <w:r w:rsidRPr="00410192">
              <w:rPr>
                <w:rFonts w:eastAsia="Times New Roman"/>
                <w:sz w:val="22"/>
                <w:szCs w:val="22"/>
                <w:lang w:val="sq-AL"/>
              </w:rPr>
              <w:t>.</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jc w:val="both"/>
            </w:pPr>
            <w:r w:rsidRPr="00410192">
              <w:t>Nga gjithsejtë 38 komuna sa janë, 25 prej tyre kanë miratuar Planet e Veprimit Komunal të EE dhe 13 komuna janë në proces</w:t>
            </w:r>
          </w:p>
        </w:tc>
      </w:tr>
      <w:tr w:rsidR="00D10601" w:rsidRPr="00410192" w:rsidTr="00A63A67">
        <w:trPr>
          <w:trHeight w:val="333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  Energjia dhe Transporti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 xml:space="preserve">Masa1: Ulja e konsumit të energjisë nëpërmjet masave të </w:t>
            </w:r>
            <w:proofErr w:type="spellStart"/>
            <w:r w:rsidRPr="00410192">
              <w:t>efiçiencës</w:t>
            </w:r>
            <w:proofErr w:type="spellEnd"/>
            <w:r w:rsidRPr="00410192">
              <w:t xml:space="preserve"> së</w:t>
            </w:r>
          </w:p>
        </w:tc>
        <w:tc>
          <w:tcPr>
            <w:tcW w:w="4500" w:type="dxa"/>
            <w:shd w:val="clear" w:color="auto" w:fill="DEEAF6"/>
          </w:tcPr>
          <w:p w:rsidR="00D10601" w:rsidRPr="00410192" w:rsidRDefault="00D10601" w:rsidP="00A63A67">
            <w:pPr>
              <w:pStyle w:val="NormalWeb"/>
              <w:rPr>
                <w:rFonts w:eastAsia="Times New Roman"/>
                <w:sz w:val="22"/>
                <w:szCs w:val="22"/>
                <w:lang w:val="sq-AL"/>
              </w:rPr>
            </w:pPr>
            <w:r w:rsidRPr="00410192">
              <w:rPr>
                <w:rFonts w:eastAsia="Times New Roman"/>
                <w:sz w:val="22"/>
                <w:szCs w:val="22"/>
                <w:lang w:val="sq-AL"/>
              </w:rPr>
              <w:t xml:space="preserve">Nevojiten </w:t>
            </w:r>
            <w:r w:rsidRPr="00410192">
              <w:rPr>
                <w:rFonts w:eastAsia="Times New Roman"/>
                <w:b/>
                <w:sz w:val="22"/>
                <w:szCs w:val="22"/>
                <w:lang w:val="sq-AL"/>
              </w:rPr>
              <w:t>reforma të mëtutjeshme të politikave</w:t>
            </w:r>
            <w:r w:rsidRPr="00410192">
              <w:rPr>
                <w:rFonts w:eastAsia="Times New Roman"/>
                <w:sz w:val="22"/>
                <w:szCs w:val="22"/>
                <w:lang w:val="sq-AL"/>
              </w:rPr>
              <w:t xml:space="preserve"> për zbatimin e </w:t>
            </w:r>
            <w:r w:rsidRPr="00410192">
              <w:rPr>
                <w:rFonts w:eastAsia="Times New Roman"/>
                <w:b/>
                <w:sz w:val="22"/>
                <w:szCs w:val="22"/>
                <w:lang w:val="sq-AL"/>
              </w:rPr>
              <w:t xml:space="preserve">Ligjit për </w:t>
            </w:r>
            <w:proofErr w:type="spellStart"/>
            <w:r w:rsidRPr="00410192">
              <w:rPr>
                <w:rFonts w:eastAsia="Times New Roman"/>
                <w:b/>
                <w:sz w:val="22"/>
                <w:szCs w:val="22"/>
                <w:lang w:val="sq-AL"/>
              </w:rPr>
              <w:t>Efiçencën</w:t>
            </w:r>
            <w:proofErr w:type="spellEnd"/>
            <w:r w:rsidRPr="00410192">
              <w:rPr>
                <w:rFonts w:eastAsia="Times New Roman"/>
                <w:b/>
                <w:sz w:val="22"/>
                <w:szCs w:val="22"/>
                <w:lang w:val="sq-AL"/>
              </w:rPr>
              <w:t xml:space="preserve"> së Energjisë</w:t>
            </w:r>
            <w:r w:rsidRPr="00410192">
              <w:rPr>
                <w:rFonts w:eastAsia="Times New Roman"/>
                <w:sz w:val="22"/>
                <w:szCs w:val="22"/>
                <w:lang w:val="sq-AL"/>
              </w:rPr>
              <w:t xml:space="preserve">, siç është përcaktimi i skemave të detyrueshme ose masave alternative për zbatimin e masave të </w:t>
            </w:r>
            <w:proofErr w:type="spellStart"/>
            <w:r w:rsidRPr="00410192">
              <w:rPr>
                <w:rFonts w:eastAsia="Times New Roman"/>
                <w:sz w:val="22"/>
                <w:szCs w:val="22"/>
                <w:lang w:val="sq-AL"/>
              </w:rPr>
              <w:t>efiçencës</w:t>
            </w:r>
            <w:proofErr w:type="spellEnd"/>
            <w:r w:rsidRPr="00410192">
              <w:rPr>
                <w:rFonts w:eastAsia="Times New Roman"/>
                <w:sz w:val="22"/>
                <w:szCs w:val="22"/>
                <w:lang w:val="sq-AL"/>
              </w:rPr>
              <w:t xml:space="preserve"> së energjisë nga kompanitë e energjisë. Kjo kërkon zhvillimin e mëtutjeshëm të pakos së politikave për </w:t>
            </w:r>
            <w:r w:rsidRPr="00410192">
              <w:rPr>
                <w:rFonts w:eastAsia="Times New Roman"/>
                <w:b/>
                <w:sz w:val="22"/>
                <w:szCs w:val="22"/>
                <w:lang w:val="sq-AL"/>
              </w:rPr>
              <w:t>arritjen e kursimeve të kërkuara të përdorimit fundor të energjisë</w:t>
            </w:r>
            <w:r w:rsidRPr="00410192">
              <w:rPr>
                <w:rFonts w:eastAsia="Times New Roman"/>
                <w:sz w:val="22"/>
                <w:szCs w:val="22"/>
                <w:lang w:val="sq-AL"/>
              </w:rPr>
              <w:t xml:space="preserve"> (sipas nenit 7 të DEE). Ky proces kërkon harmonizimin e kornizës ligjore, strukturave institucionale dhe kapaciteteve, si dhe modeleve të realizimit (mekanizmat e shpërndarjes, financimi, sistemi i monitorimit dhe verifikimit).</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90"/>
              <w:jc w:val="both"/>
            </w:pPr>
            <w:r w:rsidRPr="00410192">
              <w:t xml:space="preserve">Zbatimi i ligjit të EE në lidhje me Kapitullin 7 të Direktivës, AEEK me BERZH mbështesin </w:t>
            </w:r>
            <w:proofErr w:type="spellStart"/>
            <w:r w:rsidRPr="00410192">
              <w:t>konsulencën</w:t>
            </w:r>
            <w:proofErr w:type="spellEnd"/>
            <w:r w:rsidRPr="00410192">
              <w:t xml:space="preserve"> RIPLUS në kryerjen e një studimi të </w:t>
            </w:r>
            <w:proofErr w:type="spellStart"/>
            <w:r w:rsidRPr="00410192">
              <w:t>fizibilitetit</w:t>
            </w:r>
            <w:proofErr w:type="spellEnd"/>
            <w:r w:rsidRPr="00410192">
              <w:t xml:space="preserve"> për zbatimin e skemave të detyrueshme i cili pritet të përfundojë deri në vitin 2020</w:t>
            </w:r>
          </w:p>
        </w:tc>
      </w:tr>
      <w:tr w:rsidR="00D10601" w:rsidRPr="00410192" w:rsidTr="00A63A67">
        <w:trPr>
          <w:trHeight w:val="1061"/>
        </w:trPr>
        <w:tc>
          <w:tcPr>
            <w:tcW w:w="2400" w:type="dxa"/>
            <w:shd w:val="clear" w:color="auto" w:fill="DEEAF6"/>
          </w:tcPr>
          <w:p w:rsidR="00D10601" w:rsidRPr="00410192" w:rsidRDefault="00D10601" w:rsidP="00A63A67">
            <w:pPr>
              <w:pStyle w:val="TableParagraph"/>
              <w:spacing w:line="246" w:lineRule="exact"/>
            </w:pPr>
            <w:r w:rsidRPr="00410192">
              <w:t xml:space="preserve">Fusha </w:t>
            </w:r>
            <w:proofErr w:type="spellStart"/>
            <w:r w:rsidRPr="00410192">
              <w:t>Prioritare</w:t>
            </w:r>
            <w:proofErr w:type="spellEnd"/>
            <w:r w:rsidRPr="00410192">
              <w:t xml:space="preserve"> I:  Energjia dhe Transporti</w:t>
            </w:r>
          </w:p>
          <w:p w:rsidR="00D10601" w:rsidRPr="00410192" w:rsidRDefault="00D10601" w:rsidP="00A63A67">
            <w:pPr>
              <w:pStyle w:val="TableParagraph"/>
              <w:spacing w:line="246" w:lineRule="exact"/>
            </w:pPr>
          </w:p>
          <w:p w:rsidR="00D10601" w:rsidRPr="00410192" w:rsidRDefault="00D10601" w:rsidP="00A63A67">
            <w:pPr>
              <w:pStyle w:val="TableParagraph"/>
              <w:spacing w:line="246" w:lineRule="exact"/>
            </w:pPr>
            <w:r w:rsidRPr="00410192">
              <w:t xml:space="preserve">Masa1: Ulja e konsumit të energjisë nëpërmjet masave të </w:t>
            </w:r>
            <w:proofErr w:type="spellStart"/>
            <w:r w:rsidRPr="00410192">
              <w:t>efiçiencës</w:t>
            </w:r>
            <w:proofErr w:type="spellEnd"/>
            <w:r w:rsidRPr="00410192">
              <w:t xml:space="preserve"> së</w:t>
            </w:r>
          </w:p>
        </w:tc>
        <w:tc>
          <w:tcPr>
            <w:tcW w:w="4500" w:type="dxa"/>
            <w:shd w:val="clear" w:color="auto" w:fill="DEEAF6"/>
          </w:tcPr>
          <w:p w:rsidR="00D10601" w:rsidRPr="00410192" w:rsidRDefault="00D10601" w:rsidP="00A63A67">
            <w:pPr>
              <w:pStyle w:val="NormalWeb"/>
              <w:rPr>
                <w:sz w:val="22"/>
                <w:szCs w:val="22"/>
                <w:u w:val="single"/>
                <w:lang w:val="sq-AL"/>
              </w:rPr>
            </w:pPr>
            <w:r w:rsidRPr="00410192">
              <w:rPr>
                <w:sz w:val="22"/>
                <w:szCs w:val="22"/>
                <w:lang w:val="sq-AL"/>
              </w:rPr>
              <w:t xml:space="preserve">Seksioni i ngrohtores së qytetit është i kufizuar në studimet e planifikuara të </w:t>
            </w:r>
            <w:proofErr w:type="spellStart"/>
            <w:r w:rsidRPr="00410192">
              <w:rPr>
                <w:sz w:val="22"/>
                <w:szCs w:val="22"/>
                <w:lang w:val="sq-AL"/>
              </w:rPr>
              <w:t>fizibilitetit</w:t>
            </w:r>
            <w:proofErr w:type="spellEnd"/>
            <w:r w:rsidRPr="00410192">
              <w:rPr>
                <w:sz w:val="22"/>
                <w:szCs w:val="22"/>
                <w:lang w:val="sq-AL"/>
              </w:rPr>
              <w:t xml:space="preserve"> për ngrohtoren e qytetit në qytetet kryesore. PRE do të përfshijë një përmbledhje të </w:t>
            </w:r>
            <w:r w:rsidRPr="00410192">
              <w:rPr>
                <w:b/>
                <w:sz w:val="22"/>
                <w:szCs w:val="22"/>
                <w:lang w:val="sq-AL"/>
              </w:rPr>
              <w:t>investimeve në proces dhe të planifikuara</w:t>
            </w:r>
            <w:r w:rsidRPr="00410192">
              <w:rPr>
                <w:sz w:val="22"/>
                <w:szCs w:val="22"/>
                <w:lang w:val="sq-AL"/>
              </w:rPr>
              <w:t xml:space="preserve"> për ngrohtoren e qytetit në Prishtinë, veçanërisht duke pasur parasysh ndikimin e tij në anën e kërkesës për </w:t>
            </w:r>
            <w:proofErr w:type="spellStart"/>
            <w:r w:rsidRPr="00410192">
              <w:rPr>
                <w:sz w:val="22"/>
                <w:szCs w:val="22"/>
                <w:lang w:val="sq-AL"/>
              </w:rPr>
              <w:t>efiçencën</w:t>
            </w:r>
            <w:proofErr w:type="spellEnd"/>
            <w:r w:rsidRPr="00410192">
              <w:rPr>
                <w:sz w:val="22"/>
                <w:szCs w:val="22"/>
                <w:lang w:val="sq-AL"/>
              </w:rPr>
              <w:t xml:space="preserve"> e energjisë. Prandaj, investimet e vazhdueshme në </w:t>
            </w:r>
            <w:r w:rsidRPr="00410192">
              <w:rPr>
                <w:b/>
                <w:sz w:val="22"/>
                <w:szCs w:val="22"/>
                <w:lang w:val="sq-AL"/>
              </w:rPr>
              <w:t>rehabilitimin e sistemit të ngrohtores së qytetit të Prishtinës</w:t>
            </w:r>
            <w:r w:rsidRPr="00410192">
              <w:rPr>
                <w:sz w:val="22"/>
                <w:szCs w:val="22"/>
                <w:lang w:val="sq-AL"/>
              </w:rPr>
              <w:t xml:space="preserve"> të financuar nga Qeveria gjermane dhe Dukati i Madh i </w:t>
            </w:r>
            <w:r w:rsidRPr="00410192">
              <w:rPr>
                <w:sz w:val="22"/>
                <w:szCs w:val="22"/>
                <w:lang w:val="sq-AL"/>
              </w:rPr>
              <w:lastRenderedPageBreak/>
              <w:t xml:space="preserve">Luksemburgut përmes </w:t>
            </w:r>
            <w:proofErr w:type="spellStart"/>
            <w:r w:rsidRPr="00410192">
              <w:rPr>
                <w:sz w:val="22"/>
                <w:szCs w:val="22"/>
                <w:lang w:val="sq-AL"/>
              </w:rPr>
              <w:t>KfW</w:t>
            </w:r>
            <w:proofErr w:type="spellEnd"/>
            <w:r w:rsidRPr="00410192">
              <w:rPr>
                <w:sz w:val="22"/>
                <w:szCs w:val="22"/>
                <w:lang w:val="sq-AL"/>
              </w:rPr>
              <w:t xml:space="preserve"> si dhe projekti i rrjetit të financuar nga BE duhet të përshkruhen në raport.</w:t>
            </w:r>
          </w:p>
        </w:tc>
        <w:tc>
          <w:tcPr>
            <w:tcW w:w="1170" w:type="dxa"/>
            <w:shd w:val="clear" w:color="auto" w:fill="DEEAF6"/>
          </w:tcPr>
          <w:p w:rsidR="00D10601" w:rsidRPr="00D10601" w:rsidRDefault="00D10601" w:rsidP="00A63A67">
            <w:pPr>
              <w:jc w:val="center"/>
              <w:rPr>
                <w:b/>
                <w:lang w:eastAsia="de-DE"/>
              </w:rPr>
            </w:pPr>
            <w:r w:rsidRPr="00D10601">
              <w:rPr>
                <w:b/>
                <w:lang w:eastAsia="de-DE"/>
              </w:rPr>
              <w:lastRenderedPageBreak/>
              <w:t>Ambasada Gjermane Prishtinë</w:t>
            </w:r>
          </w:p>
          <w:p w:rsidR="00D10601" w:rsidRPr="00410192" w:rsidRDefault="00D10601" w:rsidP="00A63A67">
            <w:pPr>
              <w:jc w:val="center"/>
              <w:rPr>
                <w:lang w:eastAsia="de-DE"/>
              </w:rPr>
            </w:pPr>
          </w:p>
        </w:tc>
        <w:tc>
          <w:tcPr>
            <w:tcW w:w="2150" w:type="dxa"/>
            <w:shd w:val="clear" w:color="auto" w:fill="DEEAF6"/>
          </w:tcPr>
          <w:p w:rsidR="00D10601" w:rsidRPr="00410192" w:rsidRDefault="00D10601" w:rsidP="00A63A67">
            <w:pPr>
              <w:pStyle w:val="TableParagraph"/>
              <w:spacing w:line="247" w:lineRule="exact"/>
              <w:rPr>
                <w:b/>
              </w:rPr>
            </w:pPr>
            <w:r w:rsidRPr="00410192">
              <w:rPr>
                <w:b/>
              </w:rPr>
              <w:t xml:space="preserve"> Pranohet</w:t>
            </w:r>
          </w:p>
        </w:tc>
        <w:tc>
          <w:tcPr>
            <w:tcW w:w="4950" w:type="dxa"/>
            <w:shd w:val="clear" w:color="auto" w:fill="DEEAF6"/>
          </w:tcPr>
          <w:p w:rsidR="00D10601" w:rsidRPr="00410192" w:rsidRDefault="00D10601" w:rsidP="00A63A67">
            <w:pPr>
              <w:pStyle w:val="TableParagraph"/>
              <w:ind w:left="111" w:right="191"/>
            </w:pPr>
          </w:p>
        </w:tc>
      </w:tr>
      <w:tr w:rsidR="00D10601" w:rsidRPr="00410192" w:rsidTr="00A63A67">
        <w:trPr>
          <w:trHeight w:val="1880"/>
        </w:trPr>
        <w:tc>
          <w:tcPr>
            <w:tcW w:w="2400" w:type="dxa"/>
            <w:shd w:val="clear" w:color="auto" w:fill="DEEAF6"/>
          </w:tcPr>
          <w:p w:rsidR="00D10601" w:rsidRPr="00410192" w:rsidRDefault="00D10601" w:rsidP="00A63A67">
            <w:pPr>
              <w:pStyle w:val="TableParagraph"/>
              <w:spacing w:line="246" w:lineRule="exact"/>
              <w:ind w:left="50"/>
            </w:pPr>
            <w:r w:rsidRPr="00410192">
              <w:lastRenderedPageBreak/>
              <w:t xml:space="preserve">Fusha </w:t>
            </w:r>
            <w:proofErr w:type="spellStart"/>
            <w:r w:rsidRPr="00410192">
              <w:t>Prioritare</w:t>
            </w:r>
            <w:proofErr w:type="spellEnd"/>
            <w:r w:rsidRPr="00410192">
              <w:t xml:space="preserve"> I:  Energjia dhe Transporti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 xml:space="preserve">Masa1: Ulja e konsumit të energjisë nëpërmjet masave të </w:t>
            </w:r>
            <w:proofErr w:type="spellStart"/>
            <w:r w:rsidRPr="00410192">
              <w:t>efiçiencës</w:t>
            </w:r>
            <w:proofErr w:type="spellEnd"/>
            <w:r w:rsidRPr="00410192">
              <w:t xml:space="preserve"> së</w:t>
            </w:r>
          </w:p>
        </w:tc>
        <w:tc>
          <w:tcPr>
            <w:tcW w:w="4500" w:type="dxa"/>
            <w:shd w:val="clear" w:color="auto" w:fill="DEEAF6"/>
          </w:tcPr>
          <w:p w:rsidR="00D10601" w:rsidRPr="00410192" w:rsidRDefault="00D10601" w:rsidP="00A63A67">
            <w:pPr>
              <w:pStyle w:val="NormalWeb"/>
              <w:rPr>
                <w:b/>
                <w:sz w:val="22"/>
                <w:szCs w:val="22"/>
                <w:lang w:val="sq-AL"/>
              </w:rPr>
            </w:pPr>
            <w:r w:rsidRPr="00410192">
              <w:rPr>
                <w:sz w:val="22"/>
                <w:szCs w:val="22"/>
                <w:lang w:val="sq-AL"/>
              </w:rPr>
              <w:t xml:space="preserve">PRE do të përfshijë </w:t>
            </w:r>
            <w:r w:rsidRPr="00410192">
              <w:rPr>
                <w:b/>
                <w:sz w:val="22"/>
                <w:szCs w:val="22"/>
                <w:lang w:val="sq-AL"/>
              </w:rPr>
              <w:t>projektin e gjenerimit të energjisë </w:t>
            </w:r>
            <w:r w:rsidRPr="00410192">
              <w:rPr>
                <w:b/>
                <w:bCs/>
                <w:sz w:val="22"/>
                <w:szCs w:val="22"/>
                <w:lang w:val="sq-AL"/>
              </w:rPr>
              <w:t>termike</w:t>
            </w:r>
            <w:r w:rsidRPr="00410192">
              <w:rPr>
                <w:b/>
                <w:sz w:val="22"/>
                <w:szCs w:val="22"/>
                <w:lang w:val="sq-AL"/>
              </w:rPr>
              <w:t> përmes energjisë </w:t>
            </w:r>
            <w:r w:rsidRPr="00410192">
              <w:rPr>
                <w:b/>
                <w:bCs/>
                <w:sz w:val="22"/>
                <w:szCs w:val="22"/>
                <w:lang w:val="sq-AL"/>
              </w:rPr>
              <w:t>diellore</w:t>
            </w:r>
            <w:r w:rsidRPr="00410192">
              <w:rPr>
                <w:b/>
                <w:sz w:val="22"/>
                <w:szCs w:val="22"/>
                <w:lang w:val="sq-AL"/>
              </w:rPr>
              <w:t xml:space="preserve"> </w:t>
            </w:r>
          </w:p>
          <w:p w:rsidR="00D10601" w:rsidRPr="00410192" w:rsidRDefault="00D10601" w:rsidP="00A63A67">
            <w:pPr>
              <w:pStyle w:val="NormalWeb"/>
              <w:rPr>
                <w:sz w:val="22"/>
                <w:szCs w:val="22"/>
                <w:lang w:val="sq-AL"/>
              </w:rPr>
            </w:pPr>
            <w:r w:rsidRPr="00410192">
              <w:rPr>
                <w:sz w:val="22"/>
                <w:szCs w:val="22"/>
                <w:lang w:val="sq-AL"/>
              </w:rPr>
              <w:t xml:space="preserve">me </w:t>
            </w:r>
            <w:proofErr w:type="spellStart"/>
            <w:r w:rsidRPr="00410192">
              <w:rPr>
                <w:sz w:val="22"/>
                <w:szCs w:val="22"/>
                <w:lang w:val="sq-AL"/>
              </w:rPr>
              <w:t>Termokos</w:t>
            </w:r>
            <w:proofErr w:type="spellEnd"/>
            <w:r w:rsidRPr="00410192">
              <w:rPr>
                <w:sz w:val="22"/>
                <w:szCs w:val="22"/>
                <w:lang w:val="sq-AL"/>
              </w:rPr>
              <w:t xml:space="preserve"> me kapacitet të parashikuar 40GWh dhe shumë të investimeve rreth 45 milion euro. Zbatimi i këtij projekti do të fillonte në 2021-2022.</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jc w:val="both"/>
            </w:pPr>
            <w:r w:rsidRPr="00410192">
              <w:rPr>
                <w:b/>
              </w:rPr>
              <w:t xml:space="preserve">Projekti i gjenerimit të energjisë termike </w:t>
            </w:r>
            <w:r w:rsidRPr="00410192">
              <w:t xml:space="preserve">me </w:t>
            </w:r>
            <w:proofErr w:type="spellStart"/>
            <w:r w:rsidRPr="00410192">
              <w:t>Termokos</w:t>
            </w:r>
            <w:proofErr w:type="spellEnd"/>
            <w:r w:rsidRPr="00410192">
              <w:t xml:space="preserve"> sipas GIZ është ende në fazat e para (të hershme) dhe për aq kohë sa nuk është ratifikuar nga kuvendi i Kosovës ne nuk mund ta përfshijmë në PRE.</w:t>
            </w:r>
          </w:p>
          <w:p w:rsidR="00D10601" w:rsidRPr="00410192" w:rsidRDefault="00D10601" w:rsidP="00A63A67">
            <w:pPr>
              <w:pStyle w:val="TableParagraph"/>
              <w:ind w:right="191"/>
              <w:jc w:val="both"/>
            </w:pPr>
          </w:p>
          <w:p w:rsidR="00D10601" w:rsidRPr="00410192" w:rsidRDefault="00D10601" w:rsidP="00A63A67">
            <w:pPr>
              <w:pStyle w:val="TableParagraph"/>
              <w:ind w:right="191"/>
              <w:jc w:val="both"/>
            </w:pPr>
            <w:r w:rsidRPr="00410192">
              <w:t>Ne jemi të përkushtuar që ta përfshijmë këtë projekt në ciklin tjetër të PRE-së pas ratifikimit nga kuvendi të marrëveshjes së kredisë.</w:t>
            </w:r>
          </w:p>
        </w:tc>
      </w:tr>
      <w:tr w:rsidR="00D10601" w:rsidRPr="00410192" w:rsidTr="00A63A67">
        <w:trPr>
          <w:trHeight w:val="1610"/>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162"/>
            </w:pPr>
          </w:p>
          <w:p w:rsidR="00D10601" w:rsidRPr="00410192" w:rsidRDefault="00D10601" w:rsidP="00A63A67">
            <w:pPr>
              <w:pStyle w:val="TableParagraph"/>
              <w:spacing w:line="246" w:lineRule="exact"/>
              <w:ind w:left="50"/>
            </w:pPr>
            <w:r w:rsidRPr="00410192">
              <w:t>Bujqësia, Industria dhe Shërbimet</w:t>
            </w:r>
          </w:p>
        </w:tc>
        <w:tc>
          <w:tcPr>
            <w:tcW w:w="4500" w:type="dxa"/>
            <w:shd w:val="clear" w:color="auto" w:fill="DEEAF6"/>
          </w:tcPr>
          <w:p w:rsidR="00D10601" w:rsidRPr="00410192" w:rsidRDefault="00D10601" w:rsidP="00A63A67">
            <w:pPr>
              <w:pStyle w:val="NormalWeb"/>
              <w:rPr>
                <w:sz w:val="22"/>
                <w:szCs w:val="22"/>
                <w:lang w:val="sq-AL" w:eastAsia="it-IT"/>
              </w:rPr>
            </w:pPr>
            <w:r w:rsidRPr="00410192">
              <w:rPr>
                <w:sz w:val="22"/>
                <w:szCs w:val="22"/>
                <w:lang w:val="sq-AL" w:eastAsia="it-IT"/>
              </w:rPr>
              <w:t xml:space="preserve">Të përfshihen ndryshimet strukturore dhe përmirësimi i kushteve kornizë për </w:t>
            </w:r>
            <w:r w:rsidRPr="00410192">
              <w:rPr>
                <w:b/>
                <w:sz w:val="22"/>
                <w:szCs w:val="22"/>
                <w:lang w:val="sq-AL" w:eastAsia="it-IT"/>
              </w:rPr>
              <w:t>investime në zinxhirë</w:t>
            </w:r>
            <w:r w:rsidRPr="00410192">
              <w:rPr>
                <w:sz w:val="22"/>
                <w:szCs w:val="22"/>
                <w:lang w:val="sq-AL" w:eastAsia="it-IT"/>
              </w:rPr>
              <w:t xml:space="preserve"> vlerash për krijimin e korporatës afatgjatë midis fermerëve dhe palëve të interesuara përkatëse në zinxhirin e vlerës bujqësore (d.m.th. qendrat e grumbullimit, përpunuesit, tregtarët dhe agjencitë e tregtimit).</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pPr>
            <w:r w:rsidRPr="00410192">
              <w:t>Qeveria po planifikon të hartojë një Program të ri të Bujqësisë dhe Zhvillimit Rural i cili do të parashikojë krijimin e një korporate afatgjatë midis fermerëve dhe palëve të interesuara përkatëse në zinxhirin e vlerës bujqësore.</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p w:rsidR="00D10601" w:rsidRPr="00410192" w:rsidRDefault="00D10601" w:rsidP="00A63A67">
            <w:pPr>
              <w:pStyle w:val="TableParagraph"/>
              <w:spacing w:line="246" w:lineRule="exact"/>
              <w:ind w:left="50"/>
            </w:pPr>
          </w:p>
        </w:tc>
        <w:tc>
          <w:tcPr>
            <w:tcW w:w="4500" w:type="dxa"/>
            <w:shd w:val="clear" w:color="auto" w:fill="DEEAF6"/>
          </w:tcPr>
          <w:p w:rsidR="00D10601" w:rsidRPr="00410192" w:rsidRDefault="00D10601" w:rsidP="00A63A67">
            <w:pPr>
              <w:pStyle w:val="NormalWeb"/>
              <w:rPr>
                <w:sz w:val="22"/>
                <w:szCs w:val="22"/>
                <w:lang w:val="sq-AL" w:eastAsia="it-IT"/>
              </w:rPr>
            </w:pPr>
            <w:r w:rsidRPr="00410192">
              <w:rPr>
                <w:sz w:val="22"/>
                <w:szCs w:val="22"/>
                <w:lang w:val="sq-AL" w:eastAsia="it-IT"/>
              </w:rPr>
              <w:t xml:space="preserve">Të mbështetet  zbatimit i GAP </w:t>
            </w:r>
            <w:r w:rsidRPr="00410192">
              <w:rPr>
                <w:b/>
                <w:sz w:val="22"/>
                <w:szCs w:val="22"/>
                <w:lang w:val="sq-AL" w:eastAsia="it-IT"/>
              </w:rPr>
              <w:t>(Praktikat e mira bujqësore)</w:t>
            </w:r>
            <w:r w:rsidRPr="00410192">
              <w:rPr>
                <w:sz w:val="22"/>
                <w:szCs w:val="22"/>
                <w:lang w:val="sq-AL" w:eastAsia="it-IT"/>
              </w:rPr>
              <w:t xml:space="preserve"> dhe </w:t>
            </w:r>
            <w:r w:rsidRPr="00410192">
              <w:rPr>
                <w:b/>
                <w:sz w:val="22"/>
                <w:szCs w:val="22"/>
                <w:lang w:val="sq-AL" w:eastAsia="it-IT"/>
              </w:rPr>
              <w:t>standardeve të sigurisë ushqimore.</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pPr>
            <w:r w:rsidRPr="00410192">
              <w:t>MBPZHR është e përkushtuar të mbështesë zbatimin e GAP dhe standardeve të sigurisë ushqimore, sa i përket GAP, së pari duhet të punojë në hartimin e Udhëzimeve Administrative dhe më pas zbatimin e tyre mbi standardet e sigurisë.</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tc>
        <w:tc>
          <w:tcPr>
            <w:tcW w:w="4500" w:type="dxa"/>
            <w:shd w:val="clear" w:color="auto" w:fill="DEEAF6"/>
          </w:tcPr>
          <w:p w:rsidR="00D10601" w:rsidRPr="00410192" w:rsidRDefault="00D10601" w:rsidP="00A63A67">
            <w:pPr>
              <w:pStyle w:val="NormalWeb"/>
              <w:rPr>
                <w:sz w:val="22"/>
                <w:szCs w:val="22"/>
                <w:lang w:val="sq-AL" w:eastAsia="it-IT"/>
              </w:rPr>
            </w:pPr>
            <w:r w:rsidRPr="00410192">
              <w:rPr>
                <w:sz w:val="22"/>
                <w:szCs w:val="22"/>
                <w:lang w:val="sq-AL" w:eastAsia="it-IT"/>
              </w:rPr>
              <w:t xml:space="preserve"> Të përmirësohet bashkëpunimi afatgjatë midis fermerëve dhe ofruesve të shërbimeve përkatëse në bujqësi - krijimi i </w:t>
            </w:r>
            <w:r w:rsidRPr="00410192">
              <w:rPr>
                <w:b/>
                <w:sz w:val="22"/>
                <w:szCs w:val="22"/>
                <w:lang w:val="sq-AL" w:eastAsia="it-IT"/>
              </w:rPr>
              <w:t>kooperativave bujqësore, unaza të makinerive.</w:t>
            </w:r>
            <w:r w:rsidRPr="00410192">
              <w:rPr>
                <w:sz w:val="22"/>
                <w:szCs w:val="22"/>
                <w:lang w:val="sq-AL" w:eastAsia="it-IT"/>
              </w:rPr>
              <w:t xml:space="preserve"> Industria </w:t>
            </w:r>
            <w:proofErr w:type="spellStart"/>
            <w:r w:rsidRPr="00410192">
              <w:rPr>
                <w:sz w:val="22"/>
                <w:szCs w:val="22"/>
                <w:lang w:val="sq-AL" w:eastAsia="it-IT"/>
              </w:rPr>
              <w:t>agro</w:t>
            </w:r>
            <w:proofErr w:type="spellEnd"/>
            <w:r w:rsidRPr="00410192">
              <w:rPr>
                <w:sz w:val="22"/>
                <w:szCs w:val="22"/>
                <w:lang w:val="sq-AL" w:eastAsia="it-IT"/>
              </w:rPr>
              <w:t xml:space="preserve">-ushqimore në Kosovë është e fragmentuar, madhësia e vogël e fermave dhe fragmentimi i tokës bujqësore janë një faktor kufizues i rëndësishëm që parandalon </w:t>
            </w:r>
            <w:r w:rsidRPr="00410192">
              <w:rPr>
                <w:b/>
                <w:sz w:val="22"/>
                <w:szCs w:val="22"/>
                <w:lang w:val="sq-AL" w:eastAsia="it-IT"/>
              </w:rPr>
              <w:t>përdorimin e ekonomive të shkallës</w:t>
            </w:r>
            <w:r w:rsidRPr="00410192">
              <w:rPr>
                <w:sz w:val="22"/>
                <w:szCs w:val="22"/>
                <w:lang w:val="sq-AL" w:eastAsia="it-IT"/>
              </w:rPr>
              <w:t xml:space="preserve"> dhe rezulton në ferma </w:t>
            </w:r>
            <w:proofErr w:type="spellStart"/>
            <w:r w:rsidRPr="00410192">
              <w:rPr>
                <w:sz w:val="22"/>
                <w:szCs w:val="22"/>
                <w:lang w:val="sq-AL" w:eastAsia="it-IT"/>
              </w:rPr>
              <w:t>jokonkurruese</w:t>
            </w:r>
            <w:proofErr w:type="spellEnd"/>
            <w:r w:rsidRPr="00410192">
              <w:rPr>
                <w:sz w:val="22"/>
                <w:szCs w:val="22"/>
                <w:lang w:val="sq-AL" w:eastAsia="it-IT"/>
              </w:rPr>
              <w:t>, ku shumica e fermave i përkasin fermerëve ekzistues.</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pPr>
            <w:r w:rsidRPr="00410192">
              <w:t>Kjo çështje është adresuar në ERP-në e mëparshme, megjithatë pas zhvillimit të një Programi të ri të Bujqësisë dhe Zhvillimit Rural kjo çështje do të trajtohet në pasqyrimin e politikave të reja të PRE-së në të ardhmen.</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tc>
        <w:tc>
          <w:tcPr>
            <w:tcW w:w="4500" w:type="dxa"/>
            <w:shd w:val="clear" w:color="auto" w:fill="DEEAF6"/>
          </w:tcPr>
          <w:p w:rsidR="00D10601" w:rsidRPr="00410192" w:rsidRDefault="00D10601" w:rsidP="00A63A67">
            <w:pPr>
              <w:pStyle w:val="NormalWeb"/>
              <w:rPr>
                <w:sz w:val="22"/>
                <w:szCs w:val="22"/>
                <w:lang w:val="sq-AL" w:eastAsia="it-IT"/>
              </w:rPr>
            </w:pPr>
            <w:r w:rsidRPr="00410192">
              <w:rPr>
                <w:sz w:val="22"/>
                <w:szCs w:val="22"/>
                <w:lang w:val="sq-AL" w:eastAsia="it-IT"/>
              </w:rPr>
              <w:t xml:space="preserve">Të mbështetet </w:t>
            </w:r>
            <w:r w:rsidRPr="00410192">
              <w:rPr>
                <w:b/>
                <w:sz w:val="22"/>
                <w:szCs w:val="22"/>
                <w:lang w:val="sq-AL" w:eastAsia="it-IT"/>
              </w:rPr>
              <w:t xml:space="preserve">digjitalizimi i sektorit bujqësor </w:t>
            </w:r>
            <w:r w:rsidRPr="00410192">
              <w:rPr>
                <w:sz w:val="22"/>
                <w:szCs w:val="22"/>
                <w:lang w:val="sq-AL" w:eastAsia="it-IT"/>
              </w:rPr>
              <w:t xml:space="preserve">(sistemi i </w:t>
            </w:r>
            <w:proofErr w:type="spellStart"/>
            <w:r w:rsidRPr="00410192">
              <w:rPr>
                <w:sz w:val="22"/>
                <w:szCs w:val="22"/>
                <w:lang w:val="sq-AL" w:eastAsia="it-IT"/>
              </w:rPr>
              <w:t>gjurmueshmërisë</w:t>
            </w:r>
            <w:proofErr w:type="spellEnd"/>
            <w:r w:rsidRPr="00410192">
              <w:rPr>
                <w:sz w:val="22"/>
                <w:szCs w:val="22"/>
                <w:lang w:val="sq-AL" w:eastAsia="it-IT"/>
              </w:rPr>
              <w:t>, mbrojtja e bimëve, sistemet e informacionit për motin).</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pPr>
            <w:r w:rsidRPr="00410192">
              <w:t>Qeveria po planifikon të hartojë një Program të ri të Bujqësisë dhe Zhvillimit Rural i cili do të parashikojë digjitalizimin e sektorit bujqësor.</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lastRenderedPageBreak/>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 xml:space="preserve">Bujqësia, Industria dhe Shërbimet </w:t>
            </w:r>
          </w:p>
        </w:tc>
        <w:tc>
          <w:tcPr>
            <w:tcW w:w="4500" w:type="dxa"/>
            <w:shd w:val="clear" w:color="auto" w:fill="DEEAF6"/>
          </w:tcPr>
          <w:p w:rsidR="00D10601" w:rsidRPr="00410192" w:rsidRDefault="00D10601" w:rsidP="00A63A67">
            <w:pPr>
              <w:pStyle w:val="NormalWeb"/>
              <w:rPr>
                <w:sz w:val="22"/>
                <w:szCs w:val="22"/>
                <w:lang w:val="sq-AL" w:eastAsia="it-IT"/>
              </w:rPr>
            </w:pPr>
            <w:r w:rsidRPr="00410192">
              <w:rPr>
                <w:sz w:val="22"/>
                <w:szCs w:val="22"/>
                <w:lang w:val="sq-AL" w:eastAsia="it-IT"/>
              </w:rPr>
              <w:t xml:space="preserve">Të zhvillohet një </w:t>
            </w:r>
            <w:r w:rsidRPr="00410192">
              <w:rPr>
                <w:b/>
                <w:sz w:val="22"/>
                <w:szCs w:val="22"/>
                <w:lang w:val="sq-AL" w:eastAsia="it-IT"/>
              </w:rPr>
              <w:t>strategjie të marketingut për promovim të eksportit dhe zëvendësim të importit</w:t>
            </w:r>
            <w:r w:rsidRPr="00410192">
              <w:rPr>
                <w:sz w:val="22"/>
                <w:szCs w:val="22"/>
                <w:lang w:val="sq-AL" w:eastAsia="it-IT"/>
              </w:rPr>
              <w:t xml:space="preserve"> për produktet bujqësore</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pPr>
            <w:r w:rsidRPr="00410192">
              <w:t>Qeveria po planifikon të hartojë një Program të ri Bujqësisë dhe Zhvillimit Rural i cili do të parashikojë strategji marketingut për promovim të eksportit dhe zëvendësim të importit</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p w:rsidR="00D10601" w:rsidRPr="00410192" w:rsidRDefault="00D10601" w:rsidP="00A63A67">
            <w:pPr>
              <w:pStyle w:val="TableParagraph"/>
              <w:spacing w:line="246" w:lineRule="exact"/>
              <w:ind w:left="50"/>
            </w:pPr>
          </w:p>
        </w:tc>
        <w:tc>
          <w:tcPr>
            <w:tcW w:w="4500" w:type="dxa"/>
            <w:shd w:val="clear" w:color="auto" w:fill="DEEAF6"/>
          </w:tcPr>
          <w:p w:rsidR="00D10601" w:rsidRPr="00410192" w:rsidRDefault="00D10601" w:rsidP="00A63A67">
            <w:pPr>
              <w:pStyle w:val="NormalWeb"/>
              <w:rPr>
                <w:b/>
                <w:sz w:val="22"/>
                <w:szCs w:val="22"/>
                <w:lang w:val="sq-AL" w:eastAsia="it-IT"/>
              </w:rPr>
            </w:pPr>
            <w:r w:rsidRPr="00410192">
              <w:rPr>
                <w:sz w:val="22"/>
                <w:szCs w:val="22"/>
                <w:lang w:val="sq-AL" w:eastAsia="it-IT"/>
              </w:rPr>
              <w:t xml:space="preserve">Të mbështetet zhvillimit </w:t>
            </w:r>
            <w:r w:rsidRPr="00410192">
              <w:rPr>
                <w:b/>
                <w:sz w:val="22"/>
                <w:szCs w:val="22"/>
                <w:lang w:val="sq-AL" w:eastAsia="it-IT"/>
              </w:rPr>
              <w:t xml:space="preserve">i masave të reja për mbrojtjen e mjedisit, si dhe përdorimin e energjisë së </w:t>
            </w:r>
            <w:proofErr w:type="spellStart"/>
            <w:r w:rsidRPr="00410192">
              <w:rPr>
                <w:b/>
                <w:sz w:val="22"/>
                <w:szCs w:val="22"/>
                <w:lang w:val="sq-AL" w:eastAsia="it-IT"/>
              </w:rPr>
              <w:t>ripërtërishme</w:t>
            </w:r>
            <w:proofErr w:type="spellEnd"/>
            <w:r w:rsidRPr="00410192">
              <w:rPr>
                <w:b/>
                <w:sz w:val="22"/>
                <w:szCs w:val="22"/>
                <w:lang w:val="sq-AL" w:eastAsia="it-IT"/>
              </w:rPr>
              <w:t xml:space="preserve"> dhe masat e </w:t>
            </w:r>
            <w:proofErr w:type="spellStart"/>
            <w:r w:rsidRPr="00410192">
              <w:rPr>
                <w:b/>
                <w:sz w:val="22"/>
                <w:szCs w:val="22"/>
                <w:lang w:val="sq-AL" w:eastAsia="it-IT"/>
              </w:rPr>
              <w:t>efiçencës</w:t>
            </w:r>
            <w:proofErr w:type="spellEnd"/>
            <w:r w:rsidRPr="00410192">
              <w:rPr>
                <w:b/>
                <w:sz w:val="22"/>
                <w:szCs w:val="22"/>
                <w:lang w:val="sq-AL" w:eastAsia="it-IT"/>
              </w:rPr>
              <w:t xml:space="preserve"> së energjisë në sektorin e bujqësisë.</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jc w:val="both"/>
            </w:pPr>
            <w:r w:rsidRPr="00410192">
              <w:t xml:space="preserve">MBPZHR u jep pikë shtesë fermerëve për masa të caktuara siç janë investimet potenciale, energjia e </w:t>
            </w:r>
            <w:proofErr w:type="spellStart"/>
            <w:r w:rsidRPr="00410192">
              <w:t>ripërtërishme</w:t>
            </w:r>
            <w:proofErr w:type="spellEnd"/>
            <w:r w:rsidRPr="00410192">
              <w:t xml:space="preserve"> dhe mbrojtja e mjedisit. MBPZHR po planifikon të zhvillojë një Program të ri të Bujqësisë dhe Zhvillimit Rural 2021-2027, me qëllim që të jetë sa më mbështetëse dhe të sigurojë mbështetje më të madhe për masat në lidhje me mbrojtjen e mjedisit dhe energjinë e </w:t>
            </w:r>
            <w:proofErr w:type="spellStart"/>
            <w:r w:rsidRPr="00410192">
              <w:t>ripërtërishme</w:t>
            </w:r>
            <w:proofErr w:type="spellEnd"/>
            <w:r w:rsidRPr="00410192">
              <w:t>.</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tc>
        <w:tc>
          <w:tcPr>
            <w:tcW w:w="4500" w:type="dxa"/>
            <w:shd w:val="clear" w:color="auto" w:fill="DEEAF6"/>
          </w:tcPr>
          <w:p w:rsidR="00D10601" w:rsidRPr="00410192" w:rsidRDefault="00D10601" w:rsidP="00A63A67">
            <w:pPr>
              <w:pStyle w:val="NormalWeb"/>
              <w:rPr>
                <w:sz w:val="22"/>
                <w:szCs w:val="22"/>
                <w:lang w:val="sq-AL" w:eastAsia="it-IT"/>
              </w:rPr>
            </w:pPr>
            <w:r w:rsidRPr="00410192">
              <w:rPr>
                <w:sz w:val="22"/>
                <w:szCs w:val="22"/>
                <w:lang w:val="sq-AL" w:eastAsia="it-IT"/>
              </w:rPr>
              <w:t xml:space="preserve">Të përfshihen masat për mënyrën e trajtimit të </w:t>
            </w:r>
            <w:r w:rsidRPr="00410192">
              <w:rPr>
                <w:b/>
                <w:sz w:val="22"/>
                <w:szCs w:val="22"/>
                <w:lang w:val="sq-AL" w:eastAsia="it-IT"/>
              </w:rPr>
              <w:t>hendekut të financimit</w:t>
            </w:r>
            <w:r w:rsidRPr="00410192">
              <w:rPr>
                <w:sz w:val="22"/>
                <w:szCs w:val="22"/>
                <w:lang w:val="sq-AL" w:eastAsia="it-IT"/>
              </w:rPr>
              <w:t xml:space="preserve"> (shkalla e ulët e huadhënies nga institucionet financiare) dhe nevoja për lehtësimin e </w:t>
            </w:r>
            <w:r w:rsidRPr="00410192">
              <w:rPr>
                <w:b/>
                <w:sz w:val="22"/>
                <w:szCs w:val="22"/>
                <w:lang w:val="sq-AL" w:eastAsia="it-IT"/>
              </w:rPr>
              <w:t xml:space="preserve">qasjes në financa për </w:t>
            </w:r>
            <w:proofErr w:type="spellStart"/>
            <w:r w:rsidRPr="00410192">
              <w:rPr>
                <w:b/>
                <w:sz w:val="22"/>
                <w:szCs w:val="22"/>
                <w:lang w:val="sq-AL" w:eastAsia="it-IT"/>
              </w:rPr>
              <w:t>agro</w:t>
            </w:r>
            <w:proofErr w:type="spellEnd"/>
            <w:r w:rsidRPr="00410192">
              <w:rPr>
                <w:b/>
                <w:sz w:val="22"/>
                <w:szCs w:val="22"/>
                <w:lang w:val="sq-AL" w:eastAsia="it-IT"/>
              </w:rPr>
              <w:t>-biznese.</w:t>
            </w:r>
          </w:p>
        </w:tc>
        <w:tc>
          <w:tcPr>
            <w:tcW w:w="1170" w:type="dxa"/>
            <w:shd w:val="clear" w:color="auto" w:fill="DEEAF6"/>
          </w:tcPr>
          <w:p w:rsidR="00D10601" w:rsidRPr="00D10601" w:rsidRDefault="00D10601" w:rsidP="00A63A67">
            <w:pPr>
              <w:jc w:val="center"/>
              <w:rPr>
                <w:b/>
                <w:lang w:eastAsia="de-DE"/>
              </w:rPr>
            </w:pPr>
            <w:r w:rsidRPr="00D10601">
              <w:rPr>
                <w:b/>
                <w:lang w:eastAsia="de-DE"/>
              </w:rPr>
              <w:t>Ambasada Gjermane Prishtinë</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pPr>
            <w:r w:rsidRPr="00410192">
              <w:t xml:space="preserve">Fondi i garancisë së kredisë ekziston tashmë me qëllim të përmirësimit të Qasjes në financa për të gjithë sektorët, përfshirë </w:t>
            </w:r>
            <w:proofErr w:type="spellStart"/>
            <w:r w:rsidRPr="00410192">
              <w:t>agro</w:t>
            </w:r>
            <w:proofErr w:type="spellEnd"/>
            <w:r w:rsidRPr="00410192">
              <w:t>-biznesin.</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pPr>
            <w:r w:rsidRPr="00410192">
              <w:t xml:space="preserve">Fusha </w:t>
            </w:r>
            <w:proofErr w:type="spellStart"/>
            <w:r w:rsidRPr="00410192">
              <w:t>Prioritare</w:t>
            </w:r>
            <w:proofErr w:type="spellEnd"/>
            <w:r w:rsidRPr="00410192">
              <w:t xml:space="preserve"> I:  Energjia dhe Transporti</w:t>
            </w:r>
          </w:p>
          <w:p w:rsidR="00D10601" w:rsidRPr="00410192" w:rsidRDefault="00D10601" w:rsidP="00A63A67">
            <w:pPr>
              <w:pStyle w:val="TableParagraph"/>
              <w:spacing w:line="246" w:lineRule="exact"/>
              <w:ind w:left="162"/>
            </w:pPr>
          </w:p>
          <w:p w:rsidR="00D10601" w:rsidRPr="00410192" w:rsidRDefault="00D10601" w:rsidP="00A63A67">
            <w:r w:rsidRPr="00410192">
              <w:t>Masa 2: Zhvillimi i mëtejshëm i kapaciteteve prodhuese të energjisë</w:t>
            </w:r>
          </w:p>
          <w:p w:rsidR="00D10601" w:rsidRPr="00410192" w:rsidRDefault="00D10601" w:rsidP="00A63A67">
            <w:pPr>
              <w:pStyle w:val="TableParagraph"/>
              <w:spacing w:line="246" w:lineRule="exact"/>
            </w:pPr>
          </w:p>
        </w:tc>
        <w:tc>
          <w:tcPr>
            <w:tcW w:w="4500" w:type="dxa"/>
            <w:shd w:val="clear" w:color="auto" w:fill="DEEAF6"/>
          </w:tcPr>
          <w:p w:rsidR="00D10601" w:rsidRPr="00410192" w:rsidRDefault="00D10601" w:rsidP="00A63A67">
            <w:pPr>
              <w:pStyle w:val="NormalWeb"/>
              <w:rPr>
                <w:sz w:val="22"/>
                <w:szCs w:val="22"/>
                <w:lang w:val="sq-AL" w:eastAsia="it-IT"/>
              </w:rPr>
            </w:pPr>
            <w:r w:rsidRPr="00410192">
              <w:rPr>
                <w:b/>
                <w:bCs/>
                <w:sz w:val="22"/>
                <w:szCs w:val="22"/>
                <w:lang w:val="sq-AL"/>
              </w:rPr>
              <w:t xml:space="preserve">PRE mund të përshkruaj ndikimin e pritshëm të reformave strukturore në sektor për tarifat e energjisë elektrike.  </w:t>
            </w:r>
            <w:r w:rsidRPr="00410192">
              <w:rPr>
                <w:bCs/>
                <w:sz w:val="22"/>
                <w:szCs w:val="22"/>
                <w:lang w:val="sq-AL"/>
              </w:rPr>
              <w:t>Ne presim që uljet e humbjeve jo-komerciale ish dashur të rezultojnë në ulje të tarifave. Sidoqoftë, shtesa të reja në matricën e gjenerimit mund të rezultojë në një rritje të tarifave të energjisë elektrike, në varësi të kushteve të përcaktuara në marrëveshjet afatgjata të furnizimit me gjeneratorët.</w:t>
            </w:r>
          </w:p>
        </w:tc>
        <w:tc>
          <w:tcPr>
            <w:tcW w:w="1170" w:type="dxa"/>
            <w:shd w:val="clear" w:color="auto" w:fill="DEEAF6"/>
          </w:tcPr>
          <w:p w:rsidR="00D10601" w:rsidRPr="00D10601" w:rsidRDefault="00D10601" w:rsidP="00A63A67">
            <w:pPr>
              <w:jc w:val="center"/>
              <w:rPr>
                <w:b/>
                <w:lang w:eastAsia="de-DE"/>
              </w:rPr>
            </w:pPr>
            <w:r w:rsidRPr="00D10601">
              <w:rPr>
                <w:b/>
                <w:lang w:eastAsia="de-DE"/>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 xml:space="preserve">Nuk pranohet </w:t>
            </w:r>
          </w:p>
        </w:tc>
        <w:tc>
          <w:tcPr>
            <w:tcW w:w="4950" w:type="dxa"/>
            <w:shd w:val="clear" w:color="auto" w:fill="DEEAF6"/>
          </w:tcPr>
          <w:p w:rsidR="00D10601" w:rsidRPr="00410192" w:rsidRDefault="00D10601" w:rsidP="00A63A67">
            <w:pPr>
              <w:pStyle w:val="TableParagraph"/>
              <w:ind w:right="191"/>
            </w:pPr>
            <w:r w:rsidRPr="00410192">
              <w:t>Ky koment tashmë është adresuar në pjesën Makro Fiskale të PRE</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p w:rsidR="00D10601" w:rsidRPr="00410192" w:rsidRDefault="00D10601" w:rsidP="00A63A67">
            <w:pPr>
              <w:pStyle w:val="TableParagraph"/>
              <w:spacing w:line="246" w:lineRule="exact"/>
            </w:pPr>
          </w:p>
        </w:tc>
        <w:tc>
          <w:tcPr>
            <w:tcW w:w="4500" w:type="dxa"/>
            <w:shd w:val="clear" w:color="auto" w:fill="DEEAF6"/>
          </w:tcPr>
          <w:p w:rsidR="00D10601" w:rsidRPr="00410192" w:rsidRDefault="00D10601" w:rsidP="00A63A67">
            <w:pPr>
              <w:pStyle w:val="NormalWeb"/>
              <w:rPr>
                <w:sz w:val="22"/>
                <w:szCs w:val="22"/>
                <w:lang w:val="sq-AL" w:eastAsia="it-IT"/>
              </w:rPr>
            </w:pPr>
            <w:r w:rsidRPr="00410192">
              <w:rPr>
                <w:b/>
                <w:bCs/>
                <w:sz w:val="22"/>
                <w:szCs w:val="22"/>
                <w:lang w:val="sq-AL"/>
              </w:rPr>
              <w:t xml:space="preserve">Efektiviteti i kostos së politikave që synojnë nxitjen e ndryshimit strukturor në sektorin e bujqësisë mund të mbështetet me dëshmi më mirë. </w:t>
            </w:r>
            <w:r w:rsidRPr="00410192">
              <w:rPr>
                <w:bCs/>
                <w:sz w:val="22"/>
                <w:szCs w:val="22"/>
                <w:lang w:val="sq-AL"/>
              </w:rPr>
              <w:t>Subvencionet për sektorin e bujqësisë janë shumë të mëdha dhe mbështetja e pritshme nga buxheti për 3 vitet e ardhshme vlerësohet në rreth 150 milion EUR. PRE-ja mund të shtjellojë mekanizmat në fuqi për të siguruar që subvencionet të drejtohen në mënyrë transparente tek fermerët më premtues dhe më efektivë.</w:t>
            </w:r>
          </w:p>
        </w:tc>
        <w:tc>
          <w:tcPr>
            <w:tcW w:w="1170" w:type="dxa"/>
            <w:shd w:val="clear" w:color="auto" w:fill="DEEAF6"/>
          </w:tcPr>
          <w:p w:rsidR="00D10601" w:rsidRPr="00D10601" w:rsidRDefault="00D10601" w:rsidP="00A63A67">
            <w:pPr>
              <w:jc w:val="center"/>
              <w:rPr>
                <w:b/>
                <w:lang w:eastAsia="de-DE"/>
              </w:rPr>
            </w:pPr>
            <w:r w:rsidRPr="00D10601">
              <w:rPr>
                <w:b/>
                <w:lang w:eastAsia="de-DE"/>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pPr>
            <w:r w:rsidRPr="00410192">
              <w:t xml:space="preserve">Qeveria po planifikon të hartojë një Program të ri të Bujqësisë dhe Zhvillimit Rural i cili do të parashikojë një skemë të re të subvencioneve dhe mekanizmin zbatues. </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p w:rsidR="00D10601" w:rsidRPr="00410192" w:rsidRDefault="00D10601" w:rsidP="00A63A67">
            <w:pPr>
              <w:pStyle w:val="TableParagraph"/>
              <w:spacing w:line="246" w:lineRule="exact"/>
            </w:pPr>
          </w:p>
        </w:tc>
        <w:tc>
          <w:tcPr>
            <w:tcW w:w="4500" w:type="dxa"/>
            <w:shd w:val="clear" w:color="auto" w:fill="DEEAF6"/>
          </w:tcPr>
          <w:p w:rsidR="00D10601" w:rsidRPr="00410192" w:rsidRDefault="00D10601" w:rsidP="00A63A67">
            <w:pPr>
              <w:pStyle w:val="NormalWeb"/>
              <w:rPr>
                <w:b/>
                <w:bCs/>
                <w:sz w:val="22"/>
                <w:szCs w:val="22"/>
                <w:lang w:val="sq-AL"/>
              </w:rPr>
            </w:pPr>
            <w:r w:rsidRPr="00410192">
              <w:rPr>
                <w:b/>
                <w:bCs/>
                <w:sz w:val="22"/>
                <w:szCs w:val="22"/>
                <w:lang w:val="sq-AL"/>
              </w:rPr>
              <w:lastRenderedPageBreak/>
              <w:t xml:space="preserve">PRE gjithashtu mund të diskutojë nëse sistemi </w:t>
            </w:r>
            <w:proofErr w:type="spellStart"/>
            <w:r w:rsidRPr="00410192">
              <w:rPr>
                <w:b/>
                <w:bCs/>
                <w:sz w:val="22"/>
                <w:szCs w:val="22"/>
                <w:lang w:val="sq-AL"/>
              </w:rPr>
              <w:t>kadastral</w:t>
            </w:r>
            <w:proofErr w:type="spellEnd"/>
            <w:r w:rsidRPr="00410192">
              <w:rPr>
                <w:b/>
                <w:bCs/>
                <w:sz w:val="22"/>
                <w:szCs w:val="22"/>
                <w:lang w:val="sq-AL"/>
              </w:rPr>
              <w:t xml:space="preserve"> dhe qasja në financa janë pengesa strukturore në sektorin e bujqësisë. </w:t>
            </w:r>
            <w:r w:rsidRPr="00410192">
              <w:rPr>
                <w:bCs/>
                <w:sz w:val="22"/>
                <w:szCs w:val="22"/>
                <w:lang w:val="sq-AL"/>
              </w:rPr>
              <w:t xml:space="preserve">Stafi i FMN-së rekomandoi krijimin e një sistemi </w:t>
            </w:r>
            <w:r w:rsidRPr="00410192">
              <w:rPr>
                <w:bCs/>
                <w:sz w:val="22"/>
                <w:szCs w:val="22"/>
                <w:lang w:val="sq-AL"/>
              </w:rPr>
              <w:lastRenderedPageBreak/>
              <w:t>plotësisht funksional të kadastrave që mbulon tërë Kosovën dhe dhënien bankave qasje në regjistrin e bujqësisë të krijuar kohët e fundit.</w:t>
            </w:r>
          </w:p>
          <w:p w:rsidR="00D10601" w:rsidRPr="00410192" w:rsidRDefault="00D10601" w:rsidP="00A63A67">
            <w:pPr>
              <w:pStyle w:val="NormalWeb"/>
              <w:rPr>
                <w:b/>
                <w:bCs/>
                <w:sz w:val="22"/>
                <w:szCs w:val="22"/>
                <w:lang w:val="sq-AL"/>
              </w:rPr>
            </w:pPr>
          </w:p>
          <w:p w:rsidR="00D10601" w:rsidRPr="00410192" w:rsidRDefault="00D10601" w:rsidP="00A63A67">
            <w:pPr>
              <w:pStyle w:val="NormalWeb"/>
              <w:rPr>
                <w:sz w:val="22"/>
                <w:szCs w:val="22"/>
                <w:lang w:val="sq-AL" w:eastAsia="it-IT"/>
              </w:rPr>
            </w:pPr>
          </w:p>
        </w:tc>
        <w:tc>
          <w:tcPr>
            <w:tcW w:w="1170" w:type="dxa"/>
            <w:shd w:val="clear" w:color="auto" w:fill="DEEAF6"/>
          </w:tcPr>
          <w:p w:rsidR="00D10601" w:rsidRPr="00D10601" w:rsidRDefault="00D10601" w:rsidP="00A63A67">
            <w:pPr>
              <w:jc w:val="center"/>
              <w:rPr>
                <w:b/>
                <w:lang w:eastAsia="de-DE"/>
              </w:rPr>
            </w:pPr>
            <w:r w:rsidRPr="00D10601">
              <w:rPr>
                <w:b/>
                <w:lang w:eastAsia="de-DE"/>
              </w:rPr>
              <w:lastRenderedPageBreak/>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 xml:space="preserve">Nuk pranohet </w:t>
            </w:r>
          </w:p>
        </w:tc>
        <w:tc>
          <w:tcPr>
            <w:tcW w:w="4950" w:type="dxa"/>
            <w:shd w:val="clear" w:color="auto" w:fill="DEEAF6"/>
          </w:tcPr>
          <w:p w:rsidR="00D10601" w:rsidRPr="00410192" w:rsidRDefault="00D10601" w:rsidP="00A63A67">
            <w:pPr>
              <w:pStyle w:val="TableParagraph"/>
              <w:ind w:right="191"/>
              <w:jc w:val="both"/>
            </w:pPr>
            <w:r w:rsidRPr="00410192">
              <w:t xml:space="preserve">Sa i përket sistemit </w:t>
            </w:r>
            <w:proofErr w:type="spellStart"/>
            <w:r w:rsidRPr="00410192">
              <w:t>kadastral</w:t>
            </w:r>
            <w:proofErr w:type="spellEnd"/>
            <w:r w:rsidRPr="00410192">
              <w:t xml:space="preserve">, MBPZHR posedon vetëm sistemin e regjistrimit të parcelave të Vreshtave dhe LPIS-in - sistemin e regjistrimit të parcelave. Në kohën e zbatimit të masave të caktuara, gratë </w:t>
            </w:r>
            <w:r w:rsidRPr="00410192">
              <w:lastRenderedPageBreak/>
              <w:t>detyrohen të sjellin prova për posedim të tokës ose prova për marrje me qira të tokës.</w:t>
            </w:r>
          </w:p>
          <w:p w:rsidR="00D10601" w:rsidRPr="00410192" w:rsidRDefault="00D10601" w:rsidP="00A63A67">
            <w:pPr>
              <w:pStyle w:val="TableParagraph"/>
              <w:ind w:right="191"/>
              <w:jc w:val="both"/>
            </w:pPr>
            <w:r w:rsidRPr="00410192">
              <w:t xml:space="preserve">Sa i përket </w:t>
            </w:r>
            <w:proofErr w:type="spellStart"/>
            <w:r w:rsidRPr="00410192">
              <w:t>kadastrit</w:t>
            </w:r>
            <w:proofErr w:type="spellEnd"/>
            <w:r w:rsidRPr="00410192">
              <w:t xml:space="preserve">, ndryshimi i ligjit </w:t>
            </w:r>
            <w:proofErr w:type="spellStart"/>
            <w:r w:rsidRPr="00410192">
              <w:t>kadastral</w:t>
            </w:r>
            <w:proofErr w:type="spellEnd"/>
            <w:r w:rsidRPr="00410192">
              <w:t xml:space="preserve"> ka për qëllim zgjidhjen e sistemit </w:t>
            </w:r>
            <w:proofErr w:type="spellStart"/>
            <w:r w:rsidRPr="00410192">
              <w:t>kadastral</w:t>
            </w:r>
            <w:proofErr w:type="spellEnd"/>
            <w:r w:rsidRPr="00410192">
              <w:t xml:space="preserve"> që mbulon tërë Kosovën, ligji pritet të miratohet në kuvend këtë vit - i cili është pjesë e masës për të drejtat pronësore ku tërthorazi kontribuon në qasjen në financa. Gjithashtu, Kosova ka krijuar një fond të garantimit të kredive dhe po merr masa të tjera që synojnë lehtësimin e qasjes në financa.</w:t>
            </w:r>
          </w:p>
        </w:tc>
      </w:tr>
      <w:tr w:rsidR="00D10601" w:rsidRPr="00410192" w:rsidTr="00A63A67">
        <w:trPr>
          <w:trHeight w:val="620"/>
        </w:trPr>
        <w:tc>
          <w:tcPr>
            <w:tcW w:w="2400" w:type="dxa"/>
            <w:shd w:val="clear" w:color="auto" w:fill="DEEAF6"/>
          </w:tcPr>
          <w:p w:rsidR="00D10601" w:rsidRPr="00410192" w:rsidRDefault="00D10601" w:rsidP="00A63A67">
            <w:pPr>
              <w:pStyle w:val="TableParagraph"/>
              <w:spacing w:line="246" w:lineRule="exact"/>
              <w:ind w:left="50"/>
            </w:pPr>
            <w:r w:rsidRPr="00410192">
              <w:lastRenderedPageBreak/>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p w:rsidR="00D10601" w:rsidRPr="00410192" w:rsidRDefault="00D10601" w:rsidP="00A63A67">
            <w:pPr>
              <w:pStyle w:val="TableParagraph"/>
              <w:spacing w:line="246" w:lineRule="exact"/>
            </w:pPr>
          </w:p>
        </w:tc>
        <w:tc>
          <w:tcPr>
            <w:tcW w:w="4500" w:type="dxa"/>
            <w:shd w:val="clear" w:color="auto" w:fill="DEEAF6"/>
          </w:tcPr>
          <w:p w:rsidR="00D10601" w:rsidRPr="00410192" w:rsidRDefault="00D10601" w:rsidP="00A63A67">
            <w:pPr>
              <w:pStyle w:val="NormalWeb"/>
              <w:rPr>
                <w:bCs/>
                <w:sz w:val="22"/>
                <w:szCs w:val="22"/>
                <w:lang w:val="sq-AL"/>
              </w:rPr>
            </w:pPr>
            <w:r w:rsidRPr="00410192">
              <w:rPr>
                <w:b/>
                <w:bCs/>
                <w:sz w:val="22"/>
                <w:szCs w:val="22"/>
                <w:lang w:val="sq-AL"/>
              </w:rPr>
              <w:t>Ne miratohen masat për mbështetjen e NVM-ve, por çdo subvencion për firmat e caktuara duhet të ndahet në baza konkurruese dhe në mënyrë transparente.</w:t>
            </w:r>
            <w:r w:rsidRPr="00410192">
              <w:rPr>
                <w:bCs/>
                <w:sz w:val="22"/>
                <w:szCs w:val="22"/>
                <w:lang w:val="sq-AL"/>
              </w:rPr>
              <w:t xml:space="preserve"> Edhe pse subvencionet e planifikuara për NVM-të janë shumë më të vogla për nga shuma sesa ato për sektorin bujqësor, parimi i përgjithshëm i konkurrencës dhe transparenca në </w:t>
            </w:r>
            <w:proofErr w:type="spellStart"/>
            <w:r w:rsidRPr="00410192">
              <w:rPr>
                <w:bCs/>
                <w:sz w:val="22"/>
                <w:szCs w:val="22"/>
                <w:lang w:val="sq-AL"/>
              </w:rPr>
              <w:t>alokim</w:t>
            </w:r>
            <w:proofErr w:type="spellEnd"/>
            <w:r w:rsidRPr="00410192">
              <w:rPr>
                <w:bCs/>
                <w:sz w:val="22"/>
                <w:szCs w:val="22"/>
                <w:lang w:val="sq-AL"/>
              </w:rPr>
              <w:t xml:space="preserve"> vlen për subvencione në prodhim.</w:t>
            </w:r>
          </w:p>
        </w:tc>
        <w:tc>
          <w:tcPr>
            <w:tcW w:w="1170" w:type="dxa"/>
            <w:shd w:val="clear" w:color="auto" w:fill="DEEAF6"/>
          </w:tcPr>
          <w:p w:rsidR="00D10601" w:rsidRPr="00D10601" w:rsidRDefault="00D10601" w:rsidP="00A63A67">
            <w:pPr>
              <w:jc w:val="center"/>
              <w:rPr>
                <w:b/>
                <w:lang w:eastAsia="de-DE"/>
              </w:rPr>
            </w:pPr>
            <w:r w:rsidRPr="00D10601">
              <w:rPr>
                <w:b/>
                <w:lang w:eastAsia="de-DE"/>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hemeFill="accent1" w:themeFillTint="33"/>
          </w:tcPr>
          <w:p w:rsidR="00D10601" w:rsidRPr="00410192" w:rsidRDefault="00D10601" w:rsidP="00A63A67">
            <w:pPr>
              <w:pStyle w:val="TableParagraph"/>
              <w:ind w:right="191"/>
              <w:jc w:val="both"/>
            </w:pPr>
            <w:r w:rsidRPr="00410192">
              <w:t xml:space="preserve">Subvencionet për NVM-të tashmë janë ndarë në baza konkurruese, bazuar në Udhëzimin Administrative (MTI) nr. 01/2018 për Ndarjen e Mjeteve Financiare nga Kategoria Ekonomike e Subvencioneve dhe </w:t>
            </w:r>
            <w:proofErr w:type="spellStart"/>
            <w:r w:rsidRPr="00410192">
              <w:t>Transfereve</w:t>
            </w:r>
            <w:proofErr w:type="spellEnd"/>
            <w:r w:rsidRPr="00410192">
              <w:t xml:space="preserve">, i cili përcakton kriteret për ndarjen e subvencioneve dhe </w:t>
            </w:r>
            <w:proofErr w:type="spellStart"/>
            <w:r w:rsidRPr="00410192">
              <w:t>transfereve</w:t>
            </w:r>
            <w:proofErr w:type="spellEnd"/>
            <w:r w:rsidRPr="00410192">
              <w:t xml:space="preserve">, mënyrën e aplikimit dhe procedurat e ndarjes së mjeteve nga buxheti i Ministrisë së Tregtisë dhe Industrisë nga kategoria ekonomike e subvencioneve dhe </w:t>
            </w:r>
            <w:proofErr w:type="spellStart"/>
            <w:r w:rsidRPr="00410192">
              <w:t>transfereve</w:t>
            </w:r>
            <w:proofErr w:type="spellEnd"/>
            <w:r w:rsidRPr="00410192">
              <w:t>.</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t xml:space="preserve"> II:</w:t>
            </w:r>
          </w:p>
          <w:p w:rsidR="00D10601" w:rsidRPr="00410192" w:rsidRDefault="00D10601" w:rsidP="00A63A67">
            <w:pPr>
              <w:pStyle w:val="TableParagraph"/>
              <w:spacing w:line="246" w:lineRule="exact"/>
              <w:ind w:left="50"/>
            </w:pPr>
          </w:p>
          <w:p w:rsidR="00D10601" w:rsidRPr="00410192" w:rsidRDefault="00D10601" w:rsidP="00A63A67">
            <w:pPr>
              <w:pStyle w:val="TableParagraph"/>
              <w:spacing w:line="246" w:lineRule="exact"/>
              <w:ind w:left="50"/>
            </w:pPr>
            <w:r w:rsidRPr="00410192">
              <w:t>Bujqësia, Industria dhe Shërbimet</w:t>
            </w:r>
          </w:p>
          <w:p w:rsidR="00D10601" w:rsidRPr="00410192" w:rsidRDefault="00D10601" w:rsidP="00A63A67">
            <w:pPr>
              <w:pStyle w:val="TableParagraph"/>
              <w:spacing w:line="246" w:lineRule="exact"/>
            </w:pPr>
          </w:p>
        </w:tc>
        <w:tc>
          <w:tcPr>
            <w:tcW w:w="4500" w:type="dxa"/>
            <w:shd w:val="clear" w:color="auto" w:fill="DEEAF6"/>
          </w:tcPr>
          <w:p w:rsidR="00D10601" w:rsidRPr="00410192" w:rsidRDefault="00D10601" w:rsidP="00A63A67">
            <w:pPr>
              <w:pStyle w:val="NormalWeb"/>
              <w:rPr>
                <w:b/>
                <w:bCs/>
                <w:sz w:val="22"/>
                <w:szCs w:val="22"/>
                <w:lang w:val="sq-AL"/>
              </w:rPr>
            </w:pPr>
            <w:r w:rsidRPr="00410192">
              <w:rPr>
                <w:b/>
                <w:bCs/>
                <w:sz w:val="22"/>
                <w:szCs w:val="22"/>
                <w:lang w:val="sq-AL"/>
              </w:rPr>
              <w:t xml:space="preserve">Vini re se IKP për bujqësi, prodhim dhe shërbime përfshijnë të gjitha objektivat për rritje (të drejtpërdrejt ose të tërthorët) së përqindjes së tyre në BPV. </w:t>
            </w:r>
            <w:r w:rsidRPr="00410192">
              <w:rPr>
                <w:bCs/>
                <w:sz w:val="22"/>
                <w:szCs w:val="22"/>
                <w:lang w:val="sq-AL"/>
              </w:rPr>
              <w:t xml:space="preserve">Përqindja e një sektori (qoftë në BPV ose eksport) mund të ndryshojë për shkak të faktorëve që fare nuk lidhen me punën e sektorit. Kjo është edhe një arsye tjetër për të konsideruar IKP më </w:t>
            </w:r>
            <w:proofErr w:type="spellStart"/>
            <w:r w:rsidRPr="00410192">
              <w:rPr>
                <w:bCs/>
                <w:sz w:val="22"/>
                <w:szCs w:val="22"/>
                <w:lang w:val="sq-AL"/>
              </w:rPr>
              <w:t>granulare</w:t>
            </w:r>
            <w:proofErr w:type="spellEnd"/>
            <w:r w:rsidRPr="00410192">
              <w:rPr>
                <w:bCs/>
                <w:sz w:val="22"/>
                <w:szCs w:val="22"/>
                <w:lang w:val="sq-AL"/>
              </w:rPr>
              <w:t>, të përcaktuara mirë dhe të lidhura me sektorin.</w:t>
            </w:r>
          </w:p>
        </w:tc>
        <w:tc>
          <w:tcPr>
            <w:tcW w:w="1170" w:type="dxa"/>
            <w:shd w:val="clear" w:color="auto" w:fill="DEEAF6"/>
          </w:tcPr>
          <w:p w:rsidR="00D10601" w:rsidRPr="00D10601" w:rsidRDefault="00D10601" w:rsidP="00A63A67">
            <w:pPr>
              <w:jc w:val="center"/>
              <w:rPr>
                <w:b/>
                <w:lang w:eastAsia="de-DE"/>
              </w:rPr>
            </w:pPr>
            <w:r w:rsidRPr="00D10601">
              <w:rPr>
                <w:b/>
                <w:lang w:eastAsia="de-DE"/>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pPr>
            <w:r w:rsidRPr="00410192">
              <w:t xml:space="preserve">IKP e Bujqësisë përfshin objektiva në rritjen e pjesës së eksportit bujqësor dhe importeve në </w:t>
            </w:r>
            <w:proofErr w:type="spellStart"/>
            <w:r w:rsidRPr="00410192">
              <w:t>eksp-imp</w:t>
            </w:r>
            <w:proofErr w:type="spellEnd"/>
            <w:r w:rsidRPr="00410192">
              <w:t xml:space="preserve"> e përgjithshëm dhe jo në BPV</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pPr>
            <w:r w:rsidRPr="00410192">
              <w:t xml:space="preserve">Fusha </w:t>
            </w:r>
            <w:proofErr w:type="spellStart"/>
            <w:r w:rsidRPr="00410192">
              <w:t>Prioritare</w:t>
            </w:r>
            <w:proofErr w:type="spellEnd"/>
            <w:r w:rsidRPr="00410192">
              <w:t xml:space="preserve"> III. Mjedisi i të bërit biznes dhe ulja e ekonomisë joformale</w:t>
            </w:r>
          </w:p>
          <w:p w:rsidR="00D10601" w:rsidRPr="00410192" w:rsidRDefault="00D10601" w:rsidP="00A63A67">
            <w:pPr>
              <w:pStyle w:val="TableParagraph"/>
              <w:spacing w:line="246" w:lineRule="exact"/>
            </w:pPr>
          </w:p>
        </w:tc>
        <w:tc>
          <w:tcPr>
            <w:tcW w:w="4500" w:type="dxa"/>
            <w:shd w:val="clear" w:color="auto" w:fill="DEEAF6"/>
          </w:tcPr>
          <w:p w:rsidR="00D10601" w:rsidRPr="00410192" w:rsidRDefault="00D10601" w:rsidP="00A63A67">
            <w:pPr>
              <w:pStyle w:val="NormalWeb"/>
              <w:rPr>
                <w:b/>
                <w:bCs/>
                <w:sz w:val="22"/>
                <w:szCs w:val="22"/>
                <w:lang w:val="sq-AL"/>
              </w:rPr>
            </w:pPr>
            <w:r w:rsidRPr="00410192">
              <w:rPr>
                <w:sz w:val="22"/>
                <w:szCs w:val="22"/>
                <w:lang w:val="sq-AL" w:eastAsia="it-IT"/>
              </w:rPr>
              <w:t xml:space="preserve">Adresimi i </w:t>
            </w:r>
            <w:proofErr w:type="spellStart"/>
            <w:r w:rsidRPr="00410192">
              <w:rPr>
                <w:sz w:val="22"/>
                <w:szCs w:val="22"/>
                <w:lang w:val="sq-AL" w:eastAsia="it-IT"/>
              </w:rPr>
              <w:t>informalitetit</w:t>
            </w:r>
            <w:proofErr w:type="spellEnd"/>
            <w:r w:rsidRPr="00410192">
              <w:rPr>
                <w:sz w:val="22"/>
                <w:szCs w:val="22"/>
                <w:lang w:val="sq-AL" w:eastAsia="it-IT"/>
              </w:rPr>
              <w:t xml:space="preserve"> në </w:t>
            </w:r>
            <w:proofErr w:type="spellStart"/>
            <w:r w:rsidRPr="00410192">
              <w:rPr>
                <w:sz w:val="22"/>
                <w:szCs w:val="22"/>
                <w:lang w:val="sq-AL" w:eastAsia="it-IT"/>
              </w:rPr>
              <w:t>agro</w:t>
            </w:r>
            <w:proofErr w:type="spellEnd"/>
            <w:r w:rsidRPr="00410192">
              <w:rPr>
                <w:sz w:val="22"/>
                <w:szCs w:val="22"/>
                <w:lang w:val="sq-AL" w:eastAsia="it-IT"/>
              </w:rPr>
              <w:t>-sektor</w:t>
            </w:r>
          </w:p>
        </w:tc>
        <w:tc>
          <w:tcPr>
            <w:tcW w:w="1170" w:type="dxa"/>
            <w:shd w:val="clear" w:color="auto" w:fill="DEEAF6"/>
          </w:tcPr>
          <w:p w:rsidR="00D10601" w:rsidRPr="00D10601" w:rsidRDefault="00D10601" w:rsidP="00A63A67">
            <w:pPr>
              <w:jc w:val="center"/>
              <w:rPr>
                <w:b/>
                <w:lang w:eastAsia="de-DE"/>
              </w:rPr>
            </w:pPr>
            <w:r w:rsidRPr="00D10601">
              <w:rPr>
                <w:b/>
              </w:rPr>
              <w:t xml:space="preserve">Ambasada Gjermane </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Pranohet pjesërisht</w:t>
            </w:r>
          </w:p>
        </w:tc>
        <w:tc>
          <w:tcPr>
            <w:tcW w:w="4950" w:type="dxa"/>
            <w:shd w:val="clear" w:color="auto" w:fill="DEEAF6"/>
          </w:tcPr>
          <w:p w:rsidR="00D10601" w:rsidRPr="00410192" w:rsidRDefault="00D10601" w:rsidP="00A63A67">
            <w:pPr>
              <w:pStyle w:val="TableParagraph"/>
              <w:ind w:right="191"/>
            </w:pPr>
            <w:r w:rsidRPr="00410192">
              <w:t xml:space="preserve">Çështja e </w:t>
            </w:r>
            <w:proofErr w:type="spellStart"/>
            <w:r w:rsidRPr="00410192">
              <w:t>informalitetit</w:t>
            </w:r>
            <w:proofErr w:type="spellEnd"/>
            <w:r w:rsidRPr="00410192">
              <w:t xml:space="preserve"> në </w:t>
            </w:r>
            <w:proofErr w:type="spellStart"/>
            <w:r w:rsidRPr="00410192">
              <w:t>agro</w:t>
            </w:r>
            <w:proofErr w:type="spellEnd"/>
            <w:r w:rsidRPr="00410192">
              <w:t xml:space="preserve">-sektor adresohet deri në një farë mase nga aktivitetet 3 dhe 4 të vitit 2020 dhe 2021. Më konkretisht, kontrolli i stoqeve dhe intensifikimi i bashkëpunimit midis ATK-së dhe inspektorëve të punës në sektorët me rrezik të lartë mbulojnë luftën ndaj </w:t>
            </w:r>
            <w:proofErr w:type="spellStart"/>
            <w:r w:rsidRPr="00410192">
              <w:t>informalitetit</w:t>
            </w:r>
            <w:proofErr w:type="spellEnd"/>
            <w:r w:rsidRPr="00410192">
              <w:t xml:space="preserve"> në </w:t>
            </w:r>
            <w:proofErr w:type="spellStart"/>
            <w:r w:rsidRPr="00410192">
              <w:t>agro</w:t>
            </w:r>
            <w:proofErr w:type="spellEnd"/>
            <w:r w:rsidRPr="00410192">
              <w:t>-sektor gjithashtu.</w:t>
            </w:r>
          </w:p>
        </w:tc>
      </w:tr>
      <w:tr w:rsidR="00D10601" w:rsidRPr="00410192" w:rsidTr="00A63A67">
        <w:trPr>
          <w:trHeight w:val="341"/>
        </w:trPr>
        <w:tc>
          <w:tcPr>
            <w:tcW w:w="2400" w:type="dxa"/>
            <w:shd w:val="clear" w:color="auto" w:fill="DEEAF6"/>
          </w:tcPr>
          <w:p w:rsidR="00D10601" w:rsidRPr="00410192" w:rsidRDefault="00D10601" w:rsidP="00A63A67">
            <w:pPr>
              <w:pStyle w:val="TableParagraph"/>
              <w:spacing w:line="238" w:lineRule="exact"/>
            </w:pPr>
            <w:r w:rsidRPr="00410192">
              <w:t xml:space="preserve">Masa # 11 Zvogëlimi i ekonomisë joformale </w:t>
            </w:r>
          </w:p>
          <w:p w:rsidR="00D10601" w:rsidRPr="00410192" w:rsidRDefault="00D10601" w:rsidP="00A63A67">
            <w:pPr>
              <w:pStyle w:val="TableParagraph"/>
              <w:spacing w:line="246" w:lineRule="exact"/>
              <w:ind w:left="50"/>
            </w:pPr>
          </w:p>
        </w:tc>
        <w:tc>
          <w:tcPr>
            <w:tcW w:w="4500" w:type="dxa"/>
            <w:shd w:val="clear" w:color="auto" w:fill="DEEAF6"/>
          </w:tcPr>
          <w:p w:rsidR="00D10601" w:rsidRPr="00410192" w:rsidRDefault="00D10601" w:rsidP="00A63A67">
            <w:pPr>
              <w:pStyle w:val="NormalWeb"/>
              <w:rPr>
                <w:b/>
                <w:bCs/>
                <w:sz w:val="22"/>
                <w:szCs w:val="22"/>
                <w:lang w:val="sq-AL"/>
              </w:rPr>
            </w:pPr>
            <w:r w:rsidRPr="00410192">
              <w:rPr>
                <w:sz w:val="22"/>
                <w:szCs w:val="22"/>
                <w:lang w:val="sq-AL" w:eastAsia="it-IT"/>
              </w:rPr>
              <w:t xml:space="preserve">Të përfshihet pjesa me ngjyrë të verdhë: Qëllimi i masës është luftimi i ekonomisë joformale përmes përmirësimit të sundimin e ligjit, </w:t>
            </w:r>
            <w:r w:rsidRPr="00410192">
              <w:rPr>
                <w:sz w:val="22"/>
                <w:szCs w:val="22"/>
                <w:highlight w:val="yellow"/>
                <w:lang w:val="sq-AL" w:eastAsia="it-IT"/>
              </w:rPr>
              <w:t xml:space="preserve">shkëmbimit të </w:t>
            </w:r>
            <w:proofErr w:type="spellStart"/>
            <w:r w:rsidRPr="00410192">
              <w:rPr>
                <w:sz w:val="22"/>
                <w:szCs w:val="22"/>
                <w:highlight w:val="yellow"/>
                <w:lang w:val="sq-AL" w:eastAsia="it-IT"/>
              </w:rPr>
              <w:t>të</w:t>
            </w:r>
            <w:proofErr w:type="spellEnd"/>
            <w:r w:rsidRPr="00410192">
              <w:rPr>
                <w:sz w:val="22"/>
                <w:szCs w:val="22"/>
                <w:highlight w:val="yellow"/>
                <w:lang w:val="sq-AL" w:eastAsia="it-IT"/>
              </w:rPr>
              <w:t xml:space="preserve"> dhënave në mbarë qeverinë</w:t>
            </w:r>
            <w:r w:rsidRPr="00410192">
              <w:rPr>
                <w:sz w:val="22"/>
                <w:szCs w:val="22"/>
                <w:lang w:val="sq-AL" w:eastAsia="it-IT"/>
              </w:rPr>
              <w:t xml:space="preserve"> dhe</w:t>
            </w:r>
            <w:r w:rsidRPr="00410192">
              <w:rPr>
                <w:sz w:val="22"/>
                <w:szCs w:val="22"/>
                <w:lang w:val="sq-AL"/>
              </w:rPr>
              <w:t xml:space="preserve"> </w:t>
            </w:r>
            <w:r w:rsidRPr="00410192">
              <w:rPr>
                <w:sz w:val="22"/>
                <w:szCs w:val="22"/>
                <w:lang w:val="sq-AL" w:eastAsia="it-IT"/>
              </w:rPr>
              <w:t xml:space="preserve">qeverisjes </w:t>
            </w:r>
            <w:r w:rsidRPr="00410192">
              <w:rPr>
                <w:sz w:val="22"/>
                <w:szCs w:val="22"/>
                <w:lang w:val="sq-AL" w:eastAsia="it-IT"/>
              </w:rPr>
              <w:lastRenderedPageBreak/>
              <w:t xml:space="preserve">ekonomike në Kosovë, me qëllim të rritjes së të hyrave tatimore dhe </w:t>
            </w:r>
            <w:proofErr w:type="spellStart"/>
            <w:r w:rsidRPr="00410192">
              <w:rPr>
                <w:sz w:val="22"/>
                <w:szCs w:val="22"/>
                <w:lang w:val="sq-AL" w:eastAsia="it-IT"/>
              </w:rPr>
              <w:t>formalizimit</w:t>
            </w:r>
            <w:proofErr w:type="spellEnd"/>
            <w:r w:rsidRPr="00410192">
              <w:rPr>
                <w:sz w:val="22"/>
                <w:szCs w:val="22"/>
                <w:lang w:val="sq-AL" w:eastAsia="it-IT"/>
              </w:rPr>
              <w:t xml:space="preserve"> të punësimit.</w:t>
            </w:r>
          </w:p>
        </w:tc>
        <w:tc>
          <w:tcPr>
            <w:tcW w:w="1170" w:type="dxa"/>
            <w:shd w:val="clear" w:color="auto" w:fill="DEEAF6"/>
          </w:tcPr>
          <w:p w:rsidR="00D10601" w:rsidRPr="00D10601" w:rsidRDefault="00D10601" w:rsidP="00A63A67">
            <w:pPr>
              <w:pStyle w:val="TableParagraph"/>
              <w:spacing w:line="238" w:lineRule="exact"/>
              <w:jc w:val="center"/>
              <w:rPr>
                <w:b/>
              </w:rPr>
            </w:pPr>
            <w:r w:rsidRPr="00D10601">
              <w:rPr>
                <w:b/>
              </w:rPr>
              <w:lastRenderedPageBreak/>
              <w:t>Ambasada G</w:t>
            </w:r>
            <w:r w:rsidRPr="00D10601">
              <w:rPr>
                <w:b/>
              </w:rPr>
              <w:t>jermane</w:t>
            </w:r>
          </w:p>
          <w:p w:rsidR="00D10601" w:rsidRPr="00D10601" w:rsidRDefault="00D10601" w:rsidP="00A63A67">
            <w:pPr>
              <w:jc w:val="center"/>
              <w:rPr>
                <w:b/>
                <w:lang w:eastAsia="de-DE"/>
              </w:rPr>
            </w:pP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Pranohet</w:t>
            </w:r>
          </w:p>
        </w:tc>
        <w:tc>
          <w:tcPr>
            <w:tcW w:w="4950" w:type="dxa"/>
            <w:shd w:val="clear" w:color="auto" w:fill="DEEAF6"/>
          </w:tcPr>
          <w:p w:rsidR="00D10601" w:rsidRPr="00410192" w:rsidRDefault="00D10601" w:rsidP="00A63A67">
            <w:pPr>
              <w:pStyle w:val="TableParagraph"/>
              <w:ind w:left="111" w:right="191"/>
            </w:pP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38" w:lineRule="exact"/>
            </w:pPr>
            <w:r w:rsidRPr="00410192">
              <w:lastRenderedPageBreak/>
              <w:t xml:space="preserve">Masa # 11 Zvogëlimi i ekonomisë joformale </w:t>
            </w:r>
          </w:p>
          <w:p w:rsidR="00D10601" w:rsidRPr="00410192" w:rsidRDefault="00D10601" w:rsidP="00A63A67">
            <w:pPr>
              <w:pStyle w:val="TableParagraph"/>
              <w:spacing w:line="246" w:lineRule="exact"/>
              <w:ind w:left="50"/>
            </w:pPr>
          </w:p>
        </w:tc>
        <w:tc>
          <w:tcPr>
            <w:tcW w:w="4500" w:type="dxa"/>
            <w:shd w:val="clear" w:color="auto" w:fill="DEEAF6"/>
          </w:tcPr>
          <w:p w:rsidR="00D10601" w:rsidRPr="00410192" w:rsidRDefault="00D10601" w:rsidP="00A63A67">
            <w:pPr>
              <w:pStyle w:val="NormalWeb"/>
              <w:rPr>
                <w:b/>
                <w:bCs/>
                <w:sz w:val="22"/>
                <w:szCs w:val="22"/>
                <w:lang w:val="sq-AL"/>
              </w:rPr>
            </w:pPr>
            <w:r w:rsidRPr="00410192">
              <w:rPr>
                <w:bCs/>
                <w:sz w:val="22"/>
                <w:szCs w:val="22"/>
                <w:lang w:val="sq-AL"/>
              </w:rPr>
              <w:t xml:space="preserve">Nuk ka seri të </w:t>
            </w:r>
            <w:proofErr w:type="spellStart"/>
            <w:r w:rsidRPr="00410192">
              <w:rPr>
                <w:bCs/>
                <w:sz w:val="22"/>
                <w:szCs w:val="22"/>
                <w:lang w:val="sq-AL"/>
              </w:rPr>
              <w:t>të</w:t>
            </w:r>
            <w:proofErr w:type="spellEnd"/>
            <w:r w:rsidRPr="00410192">
              <w:rPr>
                <w:bCs/>
                <w:sz w:val="22"/>
                <w:szCs w:val="22"/>
                <w:lang w:val="sq-AL"/>
              </w:rPr>
              <w:t xml:space="preserve"> dhënave kohore për përmasën e sektorit joformal, dhe si rezultat mund të sqarohen disa nga IKP-të që synojnë zvogëlimin e </w:t>
            </w:r>
            <w:proofErr w:type="spellStart"/>
            <w:r w:rsidRPr="00410192">
              <w:rPr>
                <w:bCs/>
                <w:sz w:val="22"/>
                <w:szCs w:val="22"/>
                <w:lang w:val="sq-AL"/>
              </w:rPr>
              <w:t>informalitetit</w:t>
            </w:r>
            <w:proofErr w:type="spellEnd"/>
            <w:r w:rsidRPr="00410192">
              <w:rPr>
                <w:bCs/>
                <w:sz w:val="22"/>
                <w:szCs w:val="22"/>
                <w:lang w:val="sq-AL"/>
              </w:rPr>
              <w:t xml:space="preserve">. Prandaj, një aktivitet kryesor në kontekstin e politikave për të zvogëluar </w:t>
            </w:r>
            <w:proofErr w:type="spellStart"/>
            <w:r w:rsidRPr="00410192">
              <w:rPr>
                <w:bCs/>
                <w:sz w:val="22"/>
                <w:szCs w:val="22"/>
                <w:lang w:val="sq-AL"/>
              </w:rPr>
              <w:t>informalitetin</w:t>
            </w:r>
            <w:proofErr w:type="spellEnd"/>
            <w:r w:rsidRPr="00410192">
              <w:rPr>
                <w:bCs/>
                <w:sz w:val="22"/>
                <w:szCs w:val="22"/>
                <w:lang w:val="sq-AL"/>
              </w:rPr>
              <w:t xml:space="preserve"> është planifikimi i veprimeve (duke përfshirë integrimin e atyre që tashmë janë në proces) për të matur më mirë aktivitetet e nën-raportuara nga subjektet e sektorëve zyrtar dhe aktivitetet plotësisht joformale. Kjo gjithashtu duhet të rezultojë në përhapjen pozitive në kuptimin dhe vënien në fokus të problemeve të matjes në të dhënat e tregut të punës. Sa i përket IKP-ve, përkufizimi për "shkallën e punësimit joformal" mund të përcaktohet në lidhje me të dhënat ekzistuese dhe publikisht të </w:t>
            </w:r>
            <w:proofErr w:type="spellStart"/>
            <w:r w:rsidRPr="00410192">
              <w:rPr>
                <w:bCs/>
                <w:sz w:val="22"/>
                <w:szCs w:val="22"/>
                <w:lang w:val="sq-AL"/>
              </w:rPr>
              <w:t>disponueshme</w:t>
            </w:r>
            <w:proofErr w:type="spellEnd"/>
            <w:r w:rsidRPr="00410192">
              <w:rPr>
                <w:sz w:val="22"/>
                <w:szCs w:val="22"/>
                <w:lang w:val="sq-AL"/>
              </w:rPr>
              <w:t>.</w:t>
            </w:r>
          </w:p>
        </w:tc>
        <w:tc>
          <w:tcPr>
            <w:tcW w:w="1170" w:type="dxa"/>
            <w:shd w:val="clear" w:color="auto" w:fill="DEEAF6"/>
          </w:tcPr>
          <w:p w:rsidR="00D10601" w:rsidRPr="00D10601" w:rsidRDefault="00D10601" w:rsidP="00A63A67">
            <w:pPr>
              <w:jc w:val="center"/>
              <w:rPr>
                <w:b/>
                <w:lang w:eastAsia="de-DE"/>
              </w:rPr>
            </w:pPr>
            <w:r w:rsidRPr="00D10601">
              <w:rPr>
                <w:b/>
                <w:bCs/>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left="111" w:right="191"/>
            </w:pPr>
            <w:r w:rsidRPr="00410192">
              <w:t>IKP është përcaktuar tashmë bazuar në përkufizimin e anketës së fuqisë punëtore.</w:t>
            </w:r>
          </w:p>
        </w:tc>
      </w:tr>
      <w:tr w:rsidR="00D10601" w:rsidRPr="00410192" w:rsidTr="00A63A67">
        <w:trPr>
          <w:trHeight w:val="251"/>
        </w:trPr>
        <w:tc>
          <w:tcPr>
            <w:tcW w:w="2400" w:type="dxa"/>
            <w:shd w:val="clear" w:color="auto" w:fill="DEEAF6"/>
          </w:tcPr>
          <w:p w:rsidR="00D10601" w:rsidRPr="00410192" w:rsidRDefault="00D10601" w:rsidP="00A63A67">
            <w:pPr>
              <w:pStyle w:val="TableParagraph"/>
              <w:spacing w:line="238" w:lineRule="exact"/>
              <w:ind w:left="107"/>
            </w:pPr>
            <w:r w:rsidRPr="00410192">
              <w:t xml:space="preserve">Masa # 11 Zvogëlimi i ekonomisë joformale </w:t>
            </w:r>
          </w:p>
          <w:p w:rsidR="00D10601" w:rsidRPr="00410192" w:rsidRDefault="00D10601" w:rsidP="00A63A67">
            <w:pPr>
              <w:pStyle w:val="TableParagraph"/>
              <w:spacing w:line="246" w:lineRule="exact"/>
              <w:ind w:left="50"/>
            </w:pPr>
          </w:p>
        </w:tc>
        <w:tc>
          <w:tcPr>
            <w:tcW w:w="4500" w:type="dxa"/>
            <w:shd w:val="clear" w:color="auto" w:fill="DEEAF6"/>
          </w:tcPr>
          <w:p w:rsidR="00D10601" w:rsidRPr="00410192" w:rsidRDefault="00D10601" w:rsidP="00A63A67">
            <w:pPr>
              <w:pStyle w:val="NormalWeb"/>
              <w:rPr>
                <w:b/>
                <w:bCs/>
                <w:sz w:val="22"/>
                <w:szCs w:val="22"/>
                <w:lang w:val="sq-AL"/>
              </w:rPr>
            </w:pPr>
            <w:r w:rsidRPr="00410192">
              <w:rPr>
                <w:bCs/>
                <w:sz w:val="22"/>
                <w:szCs w:val="22"/>
                <w:lang w:val="sq-AL"/>
              </w:rPr>
              <w:t xml:space="preserve">Për zvogëlimin e </w:t>
            </w:r>
            <w:proofErr w:type="spellStart"/>
            <w:r w:rsidRPr="00410192">
              <w:rPr>
                <w:bCs/>
                <w:sz w:val="22"/>
                <w:szCs w:val="22"/>
                <w:lang w:val="sq-AL"/>
              </w:rPr>
              <w:t>informalitetit</w:t>
            </w:r>
            <w:proofErr w:type="spellEnd"/>
            <w:r w:rsidRPr="00410192">
              <w:rPr>
                <w:bCs/>
                <w:sz w:val="22"/>
                <w:szCs w:val="22"/>
                <w:lang w:val="sq-AL"/>
              </w:rPr>
              <w:t xml:space="preserve"> të pasurive të patundshme, stafi i FMN-së ka rekomanduar krijimin e një sistem </w:t>
            </w:r>
            <w:proofErr w:type="spellStart"/>
            <w:r w:rsidRPr="00410192">
              <w:rPr>
                <w:bCs/>
                <w:sz w:val="22"/>
                <w:szCs w:val="22"/>
                <w:lang w:val="sq-AL"/>
              </w:rPr>
              <w:t>kadastral</w:t>
            </w:r>
            <w:proofErr w:type="spellEnd"/>
            <w:r w:rsidRPr="00410192">
              <w:rPr>
                <w:bCs/>
                <w:sz w:val="22"/>
                <w:szCs w:val="22"/>
                <w:lang w:val="sq-AL"/>
              </w:rPr>
              <w:t xml:space="preserve"> që mbulon të gjithë vendin. Stafi gjithashtu rekomandoi të ndërmerren reforma për të forcuar kornizën institucionale të Agjencisë </w:t>
            </w:r>
            <w:proofErr w:type="spellStart"/>
            <w:r w:rsidRPr="00410192">
              <w:rPr>
                <w:bCs/>
                <w:sz w:val="22"/>
                <w:szCs w:val="22"/>
                <w:lang w:val="sq-AL"/>
              </w:rPr>
              <w:t>Kadastrale</w:t>
            </w:r>
            <w:proofErr w:type="spellEnd"/>
            <w:r w:rsidRPr="00410192">
              <w:rPr>
                <w:bCs/>
                <w:sz w:val="22"/>
                <w:szCs w:val="22"/>
                <w:lang w:val="sq-AL"/>
              </w:rPr>
              <w:t xml:space="preserve"> të Kosovës, të avancoj infrastrukturën e saj teknike, të përfundojë privatizimin e shtëpive publike dhe t’iu sigurojë tituj të duhur pronarëve të shtëpive. Ndërsa të dhënat nuk janë të </w:t>
            </w:r>
            <w:proofErr w:type="spellStart"/>
            <w:r w:rsidRPr="00410192">
              <w:rPr>
                <w:bCs/>
                <w:sz w:val="22"/>
                <w:szCs w:val="22"/>
                <w:lang w:val="sq-AL"/>
              </w:rPr>
              <w:t>disponueshme</w:t>
            </w:r>
            <w:proofErr w:type="spellEnd"/>
            <w:r w:rsidRPr="00410192">
              <w:rPr>
                <w:bCs/>
                <w:sz w:val="22"/>
                <w:szCs w:val="22"/>
                <w:lang w:val="sq-AL"/>
              </w:rPr>
              <w:t xml:space="preserve">, provat </w:t>
            </w:r>
            <w:proofErr w:type="spellStart"/>
            <w:r w:rsidRPr="00410192">
              <w:rPr>
                <w:bCs/>
                <w:sz w:val="22"/>
                <w:szCs w:val="22"/>
                <w:lang w:val="sq-AL"/>
              </w:rPr>
              <w:t>anekdotale</w:t>
            </w:r>
            <w:proofErr w:type="spellEnd"/>
            <w:r w:rsidRPr="00410192">
              <w:rPr>
                <w:bCs/>
                <w:sz w:val="22"/>
                <w:szCs w:val="22"/>
                <w:lang w:val="sq-AL"/>
              </w:rPr>
              <w:t xml:space="preserve"> sugjerojnë se një shumë e konsiderueshme e kredive të pasiguruara të konsumatorëve përdoren për të blerë prona, duke pasur parasysh pamundësinë për të siguruar një hipotekë. PRE-ja mund ta diskutojë këtë çështje</w:t>
            </w:r>
            <w:r w:rsidRPr="00410192">
              <w:rPr>
                <w:sz w:val="22"/>
                <w:szCs w:val="22"/>
                <w:lang w:val="sq-AL"/>
              </w:rPr>
              <w:t>.</w:t>
            </w:r>
          </w:p>
        </w:tc>
        <w:tc>
          <w:tcPr>
            <w:tcW w:w="1170" w:type="dxa"/>
            <w:shd w:val="clear" w:color="auto" w:fill="DEEAF6"/>
          </w:tcPr>
          <w:p w:rsidR="00D10601" w:rsidRPr="00D10601" w:rsidRDefault="00D10601" w:rsidP="00A63A67">
            <w:pPr>
              <w:jc w:val="center"/>
              <w:rPr>
                <w:b/>
                <w:lang w:eastAsia="de-DE"/>
              </w:rPr>
            </w:pPr>
            <w:r w:rsidRPr="00D10601">
              <w:rPr>
                <w:b/>
                <w:bCs/>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jc w:val="both"/>
            </w:pPr>
            <w:r w:rsidRPr="00410192">
              <w:t xml:space="preserve">Në masë të madhe, masa 10 trajton çështjen e </w:t>
            </w:r>
            <w:proofErr w:type="spellStart"/>
            <w:r w:rsidRPr="00410192">
              <w:t>informalitetit</w:t>
            </w:r>
            <w:proofErr w:type="spellEnd"/>
            <w:r w:rsidRPr="00410192">
              <w:t xml:space="preserve"> të pasurive të patundshme. Reforma parashikon mandatin e AKKVP-së të shërbejë si një organ shqyrtues për të krijuar dhe siguruar njohje ligjore të </w:t>
            </w:r>
            <w:proofErr w:type="spellStart"/>
            <w:r w:rsidRPr="00410192">
              <w:t>të</w:t>
            </w:r>
            <w:proofErr w:type="spellEnd"/>
            <w:r w:rsidRPr="00410192">
              <w:t xml:space="preserve"> drejtave të </w:t>
            </w:r>
            <w:proofErr w:type="spellStart"/>
            <w:r w:rsidRPr="00410192">
              <w:t>pakontestuara</w:t>
            </w:r>
            <w:proofErr w:type="spellEnd"/>
            <w:r w:rsidRPr="00410192">
              <w:t xml:space="preserve"> jo formale. Kjo reformë kontribuon në heqjen e gjykatave nga </w:t>
            </w:r>
            <w:proofErr w:type="spellStart"/>
            <w:r w:rsidRPr="00410192">
              <w:t>formalizimi</w:t>
            </w:r>
            <w:proofErr w:type="spellEnd"/>
            <w:r w:rsidRPr="00410192">
              <w:t xml:space="preserve"> i kërkesave, dhe u siguron qytetarëve një zgjidhje të shpejtë të kërkesave të tyre për </w:t>
            </w:r>
            <w:proofErr w:type="spellStart"/>
            <w:r w:rsidRPr="00410192">
              <w:t>formalizim</w:t>
            </w:r>
            <w:proofErr w:type="spellEnd"/>
            <w:r w:rsidRPr="00410192">
              <w:t xml:space="preserve"> të drejtave të pronës. </w:t>
            </w:r>
            <w:proofErr w:type="spellStart"/>
            <w:r w:rsidRPr="00410192">
              <w:t>Kadastri</w:t>
            </w:r>
            <w:proofErr w:type="spellEnd"/>
            <w:r w:rsidRPr="00410192">
              <w:t xml:space="preserve"> është i legjitim kur të dhënat </w:t>
            </w:r>
            <w:proofErr w:type="spellStart"/>
            <w:r w:rsidRPr="00410192">
              <w:t>kadastrale</w:t>
            </w:r>
            <w:proofErr w:type="spellEnd"/>
            <w:r w:rsidRPr="00410192">
              <w:t xml:space="preserve"> janë në përputhje me situatën aktuale dhe i shërbejnë dinamikës së ekonomisë së tregut. Qëllimi i përgjithshëm i kësaj mase është shndërrimi i </w:t>
            </w:r>
            <w:proofErr w:type="spellStart"/>
            <w:r w:rsidRPr="00410192">
              <w:t>kadastrit</w:t>
            </w:r>
            <w:proofErr w:type="spellEnd"/>
            <w:r w:rsidRPr="00410192">
              <w:t xml:space="preserve"> në një bazë të dhënash të besueshme të pronave dhe bartësve të </w:t>
            </w:r>
            <w:proofErr w:type="spellStart"/>
            <w:r w:rsidRPr="00410192">
              <w:t>të</w:t>
            </w:r>
            <w:proofErr w:type="spellEnd"/>
            <w:r w:rsidRPr="00410192">
              <w:t xml:space="preserve"> drejtave të pronave në Kosovë.</w:t>
            </w:r>
          </w:p>
        </w:tc>
      </w:tr>
      <w:tr w:rsidR="00D10601" w:rsidRPr="00410192" w:rsidTr="00A63A67">
        <w:trPr>
          <w:trHeight w:val="818"/>
        </w:trPr>
        <w:tc>
          <w:tcPr>
            <w:tcW w:w="2400" w:type="dxa"/>
            <w:shd w:val="clear" w:color="auto" w:fill="DEEAF6"/>
          </w:tcPr>
          <w:p w:rsidR="00D10601" w:rsidRPr="00410192" w:rsidRDefault="00D10601" w:rsidP="00A63A67">
            <w:pPr>
              <w:pStyle w:val="TableParagraph"/>
              <w:ind w:right="95"/>
            </w:pPr>
            <w:r w:rsidRPr="00410192">
              <w:t xml:space="preserve"> Masa #9: Themelimi dhe funksionimi i Gjykatës Komerciale </w:t>
            </w:r>
          </w:p>
          <w:p w:rsidR="00D10601" w:rsidRPr="00410192" w:rsidRDefault="00D10601" w:rsidP="00A63A67">
            <w:pPr>
              <w:pStyle w:val="TableParagraph"/>
              <w:spacing w:line="246" w:lineRule="exact"/>
              <w:ind w:left="50"/>
            </w:pPr>
          </w:p>
        </w:tc>
        <w:tc>
          <w:tcPr>
            <w:tcW w:w="4500" w:type="dxa"/>
            <w:shd w:val="clear" w:color="auto" w:fill="DEEAF6"/>
          </w:tcPr>
          <w:p w:rsidR="00D10601" w:rsidRPr="00410192" w:rsidRDefault="00D10601" w:rsidP="00A63A67">
            <w:pPr>
              <w:pStyle w:val="NormalWeb"/>
              <w:rPr>
                <w:b/>
                <w:bCs/>
                <w:sz w:val="22"/>
                <w:szCs w:val="22"/>
                <w:lang w:val="sq-AL"/>
              </w:rPr>
            </w:pPr>
            <w:r w:rsidRPr="00410192">
              <w:rPr>
                <w:bCs/>
                <w:sz w:val="22"/>
                <w:szCs w:val="22"/>
                <w:lang w:val="sq-AL"/>
              </w:rPr>
              <w:t xml:space="preserve">PRE-ja do të mund të përshkruaj se si do të trajtohet </w:t>
            </w:r>
            <w:proofErr w:type="spellStart"/>
            <w:r w:rsidRPr="00410192">
              <w:rPr>
                <w:bCs/>
                <w:sz w:val="22"/>
                <w:szCs w:val="22"/>
                <w:lang w:val="sq-AL"/>
              </w:rPr>
              <w:t>tranzicioni</w:t>
            </w:r>
            <w:proofErr w:type="spellEnd"/>
            <w:r w:rsidRPr="00410192">
              <w:rPr>
                <w:bCs/>
                <w:sz w:val="22"/>
                <w:szCs w:val="22"/>
                <w:lang w:val="sq-AL"/>
              </w:rPr>
              <w:t xml:space="preserve"> nga Departamenti për çështje komerciale në Gjykatën e re komerciale.</w:t>
            </w:r>
          </w:p>
        </w:tc>
        <w:tc>
          <w:tcPr>
            <w:tcW w:w="1170" w:type="dxa"/>
            <w:shd w:val="clear" w:color="auto" w:fill="DEEAF6"/>
          </w:tcPr>
          <w:p w:rsidR="00D10601" w:rsidRPr="00D10601" w:rsidRDefault="00D10601" w:rsidP="00A63A67">
            <w:pPr>
              <w:jc w:val="center"/>
              <w:rPr>
                <w:b/>
                <w:lang w:eastAsia="de-DE"/>
              </w:rPr>
            </w:pPr>
            <w:r w:rsidRPr="00D10601">
              <w:rPr>
                <w:b/>
                <w:bCs/>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pPr>
            <w:r w:rsidRPr="00410192">
              <w:t xml:space="preserve">Aktiviteti i masës së propozuar paraqet hapat e këtij </w:t>
            </w:r>
            <w:proofErr w:type="spellStart"/>
            <w:r w:rsidRPr="00410192">
              <w:t>tranzicioni</w:t>
            </w:r>
            <w:proofErr w:type="spellEnd"/>
            <w:r w:rsidRPr="00410192">
              <w:t>, më konkretisht aktiviteti 4 për vitin 2020 adreson çështjen e kalimit të DÇK-së në GJK të re. Rishikimi i Rregullores për organizimin e brendshëm të Gjykatave do të rregullojë funksionimin e Gjykatës së re komerciale.</w:t>
            </w:r>
          </w:p>
        </w:tc>
      </w:tr>
      <w:tr w:rsidR="00D10601" w:rsidRPr="00410192" w:rsidTr="00A63A67">
        <w:trPr>
          <w:trHeight w:val="620"/>
        </w:trPr>
        <w:tc>
          <w:tcPr>
            <w:tcW w:w="2400" w:type="dxa"/>
            <w:shd w:val="clear" w:color="auto" w:fill="DEEAF6"/>
          </w:tcPr>
          <w:p w:rsidR="00D10601" w:rsidRPr="00410192" w:rsidRDefault="00D10601" w:rsidP="00A63A67">
            <w:pPr>
              <w:pStyle w:val="TableParagraph"/>
              <w:spacing w:line="246" w:lineRule="exact"/>
              <w:ind w:left="50"/>
            </w:pPr>
            <w:r w:rsidRPr="00410192">
              <w:lastRenderedPageBreak/>
              <w:t>Masa #8: Reforma e përgjithshme e inspektimeve</w:t>
            </w:r>
          </w:p>
        </w:tc>
        <w:tc>
          <w:tcPr>
            <w:tcW w:w="4500" w:type="dxa"/>
            <w:shd w:val="clear" w:color="auto" w:fill="DEEAF6"/>
          </w:tcPr>
          <w:p w:rsidR="00D10601" w:rsidRPr="00410192" w:rsidRDefault="00D10601" w:rsidP="00A63A67">
            <w:pPr>
              <w:pStyle w:val="NormalWeb"/>
              <w:rPr>
                <w:b/>
                <w:bCs/>
                <w:sz w:val="22"/>
                <w:szCs w:val="22"/>
                <w:lang w:val="sq-AL"/>
              </w:rPr>
            </w:pPr>
            <w:r w:rsidRPr="00410192">
              <w:rPr>
                <w:bCs/>
                <w:sz w:val="22"/>
                <w:szCs w:val="22"/>
                <w:lang w:val="sq-AL"/>
              </w:rPr>
              <w:t xml:space="preserve">Për reformën e përgjithshme të inspektimit, aktivitetet e planifikuara mund të konsiderojnë të punojnë me subjekte të tjera publike përkatëse. Stafi i FMN-së ka rekomanduar fuqizimin e inspektoratit për të marrë, rishikuar dhe ndarë me subjektet e tjera publike (veçanërisht ATK dhe MI) të gjitha dokumentet që kanë të bëjnë me kontratat e punës, shpërblimet dhe pagesën e tyre, detyrimet tatimore dhe kontributet dhe pagesat, dhe vendosjen e gjobave. Një rekomandim tjetër është që të </w:t>
            </w:r>
            <w:proofErr w:type="spellStart"/>
            <w:r w:rsidRPr="00410192">
              <w:rPr>
                <w:bCs/>
                <w:sz w:val="22"/>
                <w:szCs w:val="22"/>
                <w:lang w:val="sq-AL"/>
              </w:rPr>
              <w:t>mandatohet</w:t>
            </w:r>
            <w:proofErr w:type="spellEnd"/>
            <w:r w:rsidRPr="00410192">
              <w:rPr>
                <w:bCs/>
                <w:sz w:val="22"/>
                <w:szCs w:val="22"/>
                <w:lang w:val="sq-AL"/>
              </w:rPr>
              <w:t xml:space="preserve"> inspektorati që të ftojë dhe, nëse është e nevojshme, të kërkojë pjesëmarrjen e organit tatimor, policisë, doganave dhe kontrolleve kufitare në procesin e inspektimit. Sa i përket IKP-ve, theksi nuk duhet të vihet në numrin e vizitave, por më shumë se sa kosto-efektive dhe efikase janë këto vizita në arritjen e objektivave të tyre të deklaruara</w:t>
            </w:r>
            <w:r w:rsidRPr="00410192">
              <w:rPr>
                <w:sz w:val="22"/>
                <w:szCs w:val="22"/>
                <w:lang w:val="sq-AL"/>
              </w:rPr>
              <w:t>.</w:t>
            </w:r>
          </w:p>
        </w:tc>
        <w:tc>
          <w:tcPr>
            <w:tcW w:w="1170" w:type="dxa"/>
            <w:shd w:val="clear" w:color="auto" w:fill="DEEAF6"/>
          </w:tcPr>
          <w:p w:rsidR="00D10601" w:rsidRPr="00D10601" w:rsidRDefault="00D10601" w:rsidP="00A63A67">
            <w:pPr>
              <w:jc w:val="center"/>
              <w:rPr>
                <w:b/>
                <w:lang w:eastAsia="de-DE"/>
              </w:rPr>
            </w:pPr>
            <w:r w:rsidRPr="00D10601">
              <w:rPr>
                <w:b/>
                <w:bCs/>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Pranohet pjesërisht</w:t>
            </w:r>
          </w:p>
        </w:tc>
        <w:tc>
          <w:tcPr>
            <w:tcW w:w="4950" w:type="dxa"/>
            <w:shd w:val="clear" w:color="auto" w:fill="DEEAF6"/>
          </w:tcPr>
          <w:p w:rsidR="00D10601" w:rsidRPr="00410192" w:rsidRDefault="00D10601" w:rsidP="00A63A67">
            <w:pPr>
              <w:pStyle w:val="TableParagraph"/>
              <w:spacing w:before="1"/>
              <w:jc w:val="both"/>
            </w:pPr>
            <w:r w:rsidRPr="00410192">
              <w:t>Çështja e bashkëpunimit ndërmjet ATK-së dhe subjekteve të tjera publike në lidhje me dokumentet që kanë të bëjnë me kontratat e punës, shpërblimet dhe pagesat, detyrimet tatimore dhe kontributet dhe pagesat, dhe shqiptimin e dënimeve, është trajtuar tashmë në kuadër të masës 11. Ulja e ekonomisë joformale, aktivitetet 3-6 për vitin 2020. Për më tepër, projektligji për inspektime, neni. 12, par. 1.2 dhe 1.3 trajtojnë çështjen e bashkëpunimit të ATK-së dhe subjekteve të tjera publike gjatë procesit të inspektimit. Sa për IKP-të, numri i vizitave do të largohet si tregues.</w:t>
            </w:r>
          </w:p>
          <w:p w:rsidR="00D10601" w:rsidRPr="00410192" w:rsidRDefault="00D10601" w:rsidP="00A63A67">
            <w:pPr>
              <w:pStyle w:val="TableParagraph"/>
              <w:ind w:right="191"/>
              <w:jc w:val="both"/>
            </w:pPr>
            <w:r w:rsidRPr="00410192">
              <w:t xml:space="preserve">Sa i përket IKP-ve, për momentin nuk mund të shtohet një tregues që thekson se sa kosto-efektive dhe efikase janë këto vizita në arritjen e objektivave të tyre të deklaruara. Sidoqoftë, shtohet një tregues që tregon një mjedis më të mirë të </w:t>
            </w:r>
            <w:proofErr w:type="spellStart"/>
            <w:r w:rsidRPr="00410192">
              <w:t>të</w:t>
            </w:r>
            <w:proofErr w:type="spellEnd"/>
            <w:r w:rsidRPr="00410192">
              <w:t xml:space="preserve"> bërit biznes përmes uljes së numrit të vizitave në firma çdo vit. </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t xml:space="preserve">Fusha </w:t>
            </w:r>
            <w:proofErr w:type="spellStart"/>
            <w:r w:rsidRPr="00410192">
              <w:t>prioritare</w:t>
            </w:r>
            <w:proofErr w:type="spellEnd"/>
            <w:r w:rsidRPr="00410192">
              <w:rPr>
                <w:lang w:eastAsia="it-IT"/>
              </w:rPr>
              <w:t xml:space="preserve"> IV. Hulumtimi, zhvillimi dhe inovacioni (HZHI) dhe Ekonomia digjitale - Masa #13: Shtrirja e infrastrukturës përkatëse të rrjeteve dhe shërbimeve të TIK-ut për zhvillim socio-ekonomik</w:t>
            </w:r>
          </w:p>
        </w:tc>
        <w:tc>
          <w:tcPr>
            <w:tcW w:w="4500" w:type="dxa"/>
            <w:shd w:val="clear" w:color="auto" w:fill="DEEAF6"/>
          </w:tcPr>
          <w:p w:rsidR="00D10601" w:rsidRPr="00410192" w:rsidRDefault="00D10601" w:rsidP="00D10601">
            <w:pPr>
              <w:pStyle w:val="NormalWeb"/>
              <w:numPr>
                <w:ilvl w:val="0"/>
                <w:numId w:val="3"/>
              </w:numPr>
              <w:ind w:left="360"/>
              <w:rPr>
                <w:sz w:val="22"/>
                <w:szCs w:val="22"/>
                <w:lang w:val="sq-AL" w:eastAsia="it-IT"/>
              </w:rPr>
            </w:pPr>
            <w:r w:rsidRPr="00410192">
              <w:rPr>
                <w:bCs/>
                <w:sz w:val="22"/>
                <w:szCs w:val="22"/>
                <w:lang w:val="sq-AL" w:eastAsia="it-IT"/>
              </w:rPr>
              <w:t>Të hartohet Strategjia për Zhvillimin Industrial</w:t>
            </w:r>
            <w:r w:rsidRPr="00410192">
              <w:rPr>
                <w:sz w:val="22"/>
                <w:szCs w:val="22"/>
                <w:lang w:val="sq-AL" w:eastAsia="it-IT"/>
              </w:rPr>
              <w:t xml:space="preserve"> </w:t>
            </w:r>
          </w:p>
          <w:p w:rsidR="00D10601" w:rsidRPr="00410192" w:rsidRDefault="00D10601" w:rsidP="00A63A67">
            <w:pPr>
              <w:pStyle w:val="NormalWeb"/>
              <w:ind w:left="360"/>
              <w:rPr>
                <w:sz w:val="22"/>
                <w:szCs w:val="22"/>
                <w:lang w:val="sq-AL" w:eastAsia="it-IT"/>
              </w:rPr>
            </w:pPr>
          </w:p>
          <w:p w:rsidR="00D10601" w:rsidRPr="00410192" w:rsidRDefault="00D10601" w:rsidP="00A63A67">
            <w:pPr>
              <w:pStyle w:val="NormalWeb"/>
              <w:ind w:left="360"/>
              <w:rPr>
                <w:sz w:val="22"/>
                <w:szCs w:val="22"/>
                <w:lang w:val="sq-AL" w:eastAsia="it-IT"/>
              </w:rPr>
            </w:pPr>
          </w:p>
          <w:p w:rsidR="00D10601" w:rsidRPr="00410192" w:rsidRDefault="00D10601" w:rsidP="00D10601">
            <w:pPr>
              <w:pStyle w:val="NormalWeb"/>
              <w:numPr>
                <w:ilvl w:val="0"/>
                <w:numId w:val="3"/>
              </w:numPr>
              <w:ind w:left="360"/>
              <w:rPr>
                <w:sz w:val="22"/>
                <w:szCs w:val="22"/>
                <w:lang w:val="sq-AL" w:eastAsia="it-IT"/>
              </w:rPr>
            </w:pPr>
            <w:r w:rsidRPr="00410192">
              <w:rPr>
                <w:bCs/>
                <w:sz w:val="22"/>
                <w:szCs w:val="22"/>
                <w:lang w:val="sq-AL" w:eastAsia="it-IT"/>
              </w:rPr>
              <w:t xml:space="preserve">Të mbështetet </w:t>
            </w:r>
            <w:r w:rsidRPr="00410192">
              <w:rPr>
                <w:sz w:val="22"/>
                <w:szCs w:val="22"/>
                <w:lang w:val="sq-AL" w:eastAsia="it-IT"/>
              </w:rPr>
              <w:t xml:space="preserve">digjitalizimi i sektorit privat dhe NMV-ve </w:t>
            </w:r>
          </w:p>
          <w:p w:rsidR="00D10601" w:rsidRPr="00410192" w:rsidRDefault="00D10601" w:rsidP="00A63A67">
            <w:pPr>
              <w:pStyle w:val="ListParagraph"/>
              <w:rPr>
                <w:lang w:eastAsia="it-IT"/>
              </w:rPr>
            </w:pPr>
          </w:p>
          <w:p w:rsidR="00D10601" w:rsidRPr="00410192" w:rsidRDefault="00D10601" w:rsidP="00A63A67">
            <w:pPr>
              <w:pStyle w:val="NormalWeb"/>
              <w:rPr>
                <w:sz w:val="22"/>
                <w:szCs w:val="22"/>
                <w:lang w:val="sq-AL" w:eastAsia="it-IT"/>
              </w:rPr>
            </w:pPr>
          </w:p>
          <w:p w:rsidR="00D10601" w:rsidRPr="00410192" w:rsidRDefault="00D10601" w:rsidP="00D10601">
            <w:pPr>
              <w:pStyle w:val="NormalWeb"/>
              <w:numPr>
                <w:ilvl w:val="0"/>
                <w:numId w:val="3"/>
              </w:numPr>
              <w:ind w:left="360"/>
              <w:rPr>
                <w:sz w:val="22"/>
                <w:szCs w:val="22"/>
                <w:lang w:val="sq-AL" w:eastAsia="it-IT"/>
              </w:rPr>
            </w:pPr>
            <w:r w:rsidRPr="00410192">
              <w:rPr>
                <w:bCs/>
                <w:sz w:val="22"/>
                <w:szCs w:val="22"/>
                <w:lang w:val="sq-AL" w:eastAsia="it-IT"/>
              </w:rPr>
              <w:t>Të mbështetet</w:t>
            </w:r>
            <w:r w:rsidRPr="00410192">
              <w:rPr>
                <w:sz w:val="22"/>
                <w:szCs w:val="22"/>
                <w:lang w:val="sq-AL" w:eastAsia="it-IT"/>
              </w:rPr>
              <w:t xml:space="preserve"> themelimi i programeve përshpejtues dhe k</w:t>
            </w:r>
            <w:r w:rsidRPr="00410192">
              <w:rPr>
                <w:bCs/>
                <w:sz w:val="22"/>
                <w:szCs w:val="22"/>
                <w:lang w:val="sq-AL" w:eastAsia="it-IT"/>
              </w:rPr>
              <w:t>apitali sipërmarrës</w:t>
            </w:r>
            <w:r w:rsidRPr="00410192">
              <w:rPr>
                <w:sz w:val="22"/>
                <w:szCs w:val="22"/>
                <w:lang w:val="sq-AL" w:eastAsia="it-IT"/>
              </w:rPr>
              <w:t xml:space="preserve"> tjetër për mundësitë e rritjes së mëtejshme të b</w:t>
            </w:r>
            <w:r w:rsidRPr="00410192">
              <w:rPr>
                <w:bCs/>
                <w:sz w:val="22"/>
                <w:szCs w:val="22"/>
                <w:lang w:val="sq-AL" w:eastAsia="it-IT"/>
              </w:rPr>
              <w:t>izneseve</w:t>
            </w:r>
            <w:r w:rsidRPr="00410192">
              <w:rPr>
                <w:sz w:val="22"/>
                <w:szCs w:val="22"/>
                <w:lang w:val="sq-AL" w:eastAsia="it-IT"/>
              </w:rPr>
              <w:t> fillestare (start-</w:t>
            </w:r>
            <w:proofErr w:type="spellStart"/>
            <w:r w:rsidRPr="00410192">
              <w:rPr>
                <w:sz w:val="22"/>
                <w:szCs w:val="22"/>
                <w:lang w:val="sq-AL" w:eastAsia="it-IT"/>
              </w:rPr>
              <w:t>up</w:t>
            </w:r>
            <w:proofErr w:type="spellEnd"/>
            <w:r w:rsidRPr="00410192">
              <w:rPr>
                <w:sz w:val="22"/>
                <w:szCs w:val="22"/>
                <w:lang w:val="sq-AL" w:eastAsia="it-IT"/>
              </w:rPr>
              <w:t>), që do të zhvillojë efektin e përhapjes në sektorin e TIK-ut</w:t>
            </w:r>
          </w:p>
          <w:p w:rsidR="00D10601" w:rsidRPr="00410192" w:rsidRDefault="00D10601" w:rsidP="00A63A67">
            <w:pPr>
              <w:pStyle w:val="NormalWeb"/>
              <w:rPr>
                <w:sz w:val="22"/>
                <w:szCs w:val="22"/>
                <w:lang w:val="sq-AL" w:eastAsia="it-IT"/>
              </w:rPr>
            </w:pPr>
          </w:p>
          <w:p w:rsidR="00D10601" w:rsidRPr="00410192" w:rsidRDefault="00D10601" w:rsidP="00D10601">
            <w:pPr>
              <w:pStyle w:val="ListParagraph"/>
              <w:widowControl/>
              <w:numPr>
                <w:ilvl w:val="0"/>
                <w:numId w:val="3"/>
              </w:numPr>
              <w:autoSpaceDE/>
              <w:autoSpaceDN/>
              <w:spacing w:after="200"/>
              <w:ind w:left="360"/>
              <w:contextualSpacing/>
              <w:jc w:val="left"/>
              <w:rPr>
                <w:rFonts w:eastAsia="Calibri"/>
                <w:b/>
                <w:bCs/>
              </w:rPr>
            </w:pPr>
            <w:r w:rsidRPr="00410192">
              <w:t xml:space="preserve">Të përfshihen pjesët me ngjyrë të verdhë: kjo masë ka për qëllim të zgjerojë qasjen dhe përdorimin e TIK-ut, përmes zgjerimit të infrastrukturës </w:t>
            </w:r>
            <w:proofErr w:type="spellStart"/>
            <w:r w:rsidRPr="00410192">
              <w:t>brezgjerë</w:t>
            </w:r>
            <w:proofErr w:type="spellEnd"/>
            <w:r w:rsidRPr="00410192">
              <w:t xml:space="preserve"> në zonat e pambuluara, </w:t>
            </w:r>
            <w:r w:rsidRPr="00410192">
              <w:rPr>
                <w:highlight w:val="yellow"/>
              </w:rPr>
              <w:t>mbështetjes së qasjes “Një raport – shumë përdorues” me përfshirjen e grupeve të interesit</w:t>
            </w:r>
            <w:r w:rsidRPr="00410192">
              <w:t xml:space="preserve">, forcimit të kapitalit njerëzor dhe </w:t>
            </w:r>
            <w:r w:rsidRPr="00410192">
              <w:lastRenderedPageBreak/>
              <w:t xml:space="preserve">mbështetjes së bizneseve digjitale, si dhe digjitalizimin e bizneseve tjera. </w:t>
            </w:r>
          </w:p>
          <w:p w:rsidR="00D10601" w:rsidRPr="00410192" w:rsidRDefault="00D10601" w:rsidP="00D10601">
            <w:pPr>
              <w:pStyle w:val="NormalWeb"/>
              <w:numPr>
                <w:ilvl w:val="0"/>
                <w:numId w:val="3"/>
              </w:numPr>
              <w:ind w:left="360"/>
              <w:rPr>
                <w:b/>
                <w:bCs/>
                <w:sz w:val="22"/>
                <w:szCs w:val="22"/>
                <w:lang w:val="sq-AL"/>
              </w:rPr>
            </w:pPr>
            <w:r w:rsidRPr="00410192">
              <w:rPr>
                <w:sz w:val="22"/>
                <w:szCs w:val="22"/>
                <w:highlight w:val="yellow"/>
                <w:lang w:val="sq-AL"/>
              </w:rPr>
              <w:t>Të fuqizohen  kapacitetet e sektorit publik në mënyrë që të ofrojë shërbime të TI-së për agjencitë qeveritare dhe zhvillimin e e-shërbimeve elektronike miqësore për qytetarët.</w:t>
            </w:r>
          </w:p>
        </w:tc>
        <w:tc>
          <w:tcPr>
            <w:tcW w:w="1170" w:type="dxa"/>
            <w:shd w:val="clear" w:color="auto" w:fill="DEEAF6"/>
          </w:tcPr>
          <w:p w:rsidR="00D10601" w:rsidRPr="00D10601" w:rsidRDefault="00D10601" w:rsidP="00A63A67">
            <w:pPr>
              <w:jc w:val="center"/>
              <w:rPr>
                <w:b/>
                <w:lang w:eastAsia="de-DE"/>
              </w:rPr>
            </w:pPr>
            <w:r w:rsidRPr="00D10601">
              <w:rPr>
                <w:b/>
              </w:rPr>
              <w:lastRenderedPageBreak/>
              <w:t>Ambasada G</w:t>
            </w:r>
            <w:r w:rsidRPr="00D10601">
              <w:rPr>
                <w:b/>
              </w:rPr>
              <w:t>jermane</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 xml:space="preserve">Nuk pranohet </w:t>
            </w:r>
          </w:p>
          <w:p w:rsidR="00D10601" w:rsidRPr="00410192" w:rsidRDefault="00D10601" w:rsidP="00A63A67">
            <w:pPr>
              <w:pStyle w:val="TableParagraph"/>
              <w:spacing w:line="247" w:lineRule="exact"/>
              <w:ind w:left="110"/>
              <w:rPr>
                <w:b/>
              </w:rPr>
            </w:pPr>
          </w:p>
        </w:tc>
        <w:tc>
          <w:tcPr>
            <w:tcW w:w="4950" w:type="dxa"/>
            <w:shd w:val="clear" w:color="auto" w:fill="DEEAF6"/>
          </w:tcPr>
          <w:p w:rsidR="00D10601" w:rsidRPr="00410192" w:rsidRDefault="00D10601" w:rsidP="00D10601">
            <w:pPr>
              <w:pStyle w:val="TableParagraph"/>
              <w:numPr>
                <w:ilvl w:val="0"/>
                <w:numId w:val="4"/>
              </w:numPr>
              <w:ind w:right="191"/>
            </w:pPr>
            <w:r w:rsidRPr="00410192">
              <w:t xml:space="preserve">Kjo adresohet në kuadër të Masës  4, aktiviteti 2: </w:t>
            </w:r>
            <w:r w:rsidRPr="00410192">
              <w:rPr>
                <w:bCs/>
              </w:rPr>
              <w:t>Hartimi i Strategjisë për Zhvillimin Industrial</w:t>
            </w:r>
            <w:r w:rsidRPr="00410192">
              <w:t xml:space="preserve"> </w:t>
            </w:r>
          </w:p>
          <w:p w:rsidR="00D10601" w:rsidRPr="00410192" w:rsidRDefault="00D10601" w:rsidP="00A63A67">
            <w:pPr>
              <w:pStyle w:val="TableParagraph"/>
              <w:ind w:right="191"/>
            </w:pPr>
          </w:p>
          <w:p w:rsidR="00D10601" w:rsidRPr="00410192" w:rsidRDefault="00D10601" w:rsidP="00D10601">
            <w:pPr>
              <w:pStyle w:val="TableParagraph"/>
              <w:numPr>
                <w:ilvl w:val="0"/>
                <w:numId w:val="4"/>
              </w:numPr>
              <w:ind w:right="191"/>
            </w:pPr>
            <w:r w:rsidRPr="00410192">
              <w:t>Kjo adresohet në kuadër Masës 13, aktiviteti 4  (2021): ‘</w:t>
            </w:r>
            <w:proofErr w:type="spellStart"/>
            <w:r w:rsidRPr="00410192">
              <w:t>Dixhitalizimi</w:t>
            </w:r>
            <w:proofErr w:type="spellEnd"/>
            <w:r w:rsidRPr="00410192">
              <w:t xml:space="preserve"> i bizneseve  tradicionale dhe rritja e përdorimit të teknologjive TIK në sektorin privat’</w:t>
            </w:r>
          </w:p>
          <w:p w:rsidR="00D10601" w:rsidRPr="00410192" w:rsidRDefault="00D10601" w:rsidP="00A63A67">
            <w:pPr>
              <w:pStyle w:val="TableParagraph"/>
              <w:ind w:right="191"/>
            </w:pPr>
          </w:p>
          <w:p w:rsidR="00D10601" w:rsidRPr="00410192" w:rsidRDefault="00D10601" w:rsidP="00D10601">
            <w:pPr>
              <w:pStyle w:val="TableParagraph"/>
              <w:numPr>
                <w:ilvl w:val="0"/>
                <w:numId w:val="4"/>
              </w:numPr>
              <w:ind w:right="191"/>
            </w:pPr>
            <w:r w:rsidRPr="00410192">
              <w:t xml:space="preserve">Ideja është relevante, por për shkak të mungesës së mjeteve, përfshirja e këtij aktiviteti nuk është e reale për këtë cikël të PRE-së. </w:t>
            </w:r>
          </w:p>
          <w:p w:rsidR="00D10601" w:rsidRPr="00410192" w:rsidRDefault="00D10601" w:rsidP="00A63A67">
            <w:pPr>
              <w:pStyle w:val="TableParagraph"/>
              <w:ind w:right="191"/>
            </w:pPr>
          </w:p>
          <w:p w:rsidR="00D10601" w:rsidRPr="00410192" w:rsidRDefault="00D10601" w:rsidP="00D10601">
            <w:pPr>
              <w:pStyle w:val="TableParagraph"/>
              <w:numPr>
                <w:ilvl w:val="0"/>
                <w:numId w:val="4"/>
              </w:numPr>
              <w:ind w:right="191"/>
              <w:jc w:val="both"/>
            </w:pPr>
            <w:r w:rsidRPr="00410192">
              <w:t xml:space="preserve">Mendojmë se pjesa me ngjyrë të verdhë adresohet mjaftueshëm në Masën 13, aktiviteti 8, për vitin 2021. </w:t>
            </w:r>
          </w:p>
          <w:p w:rsidR="00D10601" w:rsidRPr="00410192" w:rsidRDefault="00D10601" w:rsidP="00A63A67">
            <w:pPr>
              <w:pStyle w:val="TableParagraph"/>
              <w:ind w:right="191"/>
            </w:pPr>
          </w:p>
          <w:p w:rsidR="00D10601" w:rsidRPr="00410192" w:rsidRDefault="00D10601" w:rsidP="00A63A67">
            <w:pPr>
              <w:pStyle w:val="TableParagraph"/>
              <w:ind w:right="191"/>
            </w:pPr>
          </w:p>
          <w:p w:rsidR="00D10601" w:rsidRPr="00410192" w:rsidRDefault="00D10601" w:rsidP="00A63A67">
            <w:pPr>
              <w:pStyle w:val="TableParagraph"/>
              <w:ind w:right="191"/>
            </w:pPr>
          </w:p>
          <w:p w:rsidR="00D10601" w:rsidRPr="00410192" w:rsidRDefault="00D10601" w:rsidP="00A63A67">
            <w:pPr>
              <w:pStyle w:val="TableParagraph"/>
              <w:ind w:right="191"/>
            </w:pPr>
          </w:p>
          <w:p w:rsidR="00D10601" w:rsidRPr="00410192" w:rsidRDefault="00D10601" w:rsidP="00A63A67">
            <w:pPr>
              <w:pStyle w:val="TableParagraph"/>
              <w:ind w:right="191"/>
            </w:pPr>
          </w:p>
          <w:p w:rsidR="00D10601" w:rsidRPr="00410192" w:rsidRDefault="00D10601" w:rsidP="00D10601">
            <w:pPr>
              <w:pStyle w:val="TableParagraph"/>
              <w:numPr>
                <w:ilvl w:val="0"/>
                <w:numId w:val="4"/>
              </w:numPr>
              <w:ind w:right="191"/>
            </w:pPr>
            <w:r w:rsidRPr="00410192">
              <w:lastRenderedPageBreak/>
              <w:t xml:space="preserve">Ideja është relevante, por për shkak të mungesës së koordinimit të mëparshëm  me </w:t>
            </w:r>
            <w:proofErr w:type="spellStart"/>
            <w:r w:rsidRPr="00410192">
              <w:t>akterë</w:t>
            </w:r>
            <w:proofErr w:type="spellEnd"/>
            <w:r w:rsidRPr="00410192">
              <w:t xml:space="preserve"> të tjerë, posaçërisht Agjencinë e Shoqërisë Informative, ky aktivitet nuk mund të përfshihet në këtë fazë.</w:t>
            </w:r>
          </w:p>
        </w:tc>
      </w:tr>
      <w:tr w:rsidR="00D10601" w:rsidRPr="00410192" w:rsidTr="00A63A67">
        <w:trPr>
          <w:trHeight w:val="530"/>
        </w:trPr>
        <w:tc>
          <w:tcPr>
            <w:tcW w:w="2400" w:type="dxa"/>
            <w:shd w:val="clear" w:color="auto" w:fill="DEEAF6"/>
          </w:tcPr>
          <w:p w:rsidR="00D10601" w:rsidRPr="00410192" w:rsidRDefault="00D10601" w:rsidP="00A63A67">
            <w:pPr>
              <w:pStyle w:val="TableParagraph"/>
              <w:spacing w:line="246" w:lineRule="exact"/>
              <w:ind w:left="50"/>
              <w:rPr>
                <w:lang w:eastAsia="it-IT"/>
              </w:rPr>
            </w:pPr>
            <w:r w:rsidRPr="00410192">
              <w:lastRenderedPageBreak/>
              <w:t xml:space="preserve">Fusha </w:t>
            </w:r>
            <w:proofErr w:type="spellStart"/>
            <w:r w:rsidRPr="00410192">
              <w:t>prioritare</w:t>
            </w:r>
            <w:proofErr w:type="spellEnd"/>
            <w:r w:rsidRPr="00410192">
              <w:rPr>
                <w:lang w:eastAsia="it-IT"/>
              </w:rPr>
              <w:t xml:space="preserve"> IV. Hulumtimi, zhvillimi dhe inovacioni (HZHI) dhe Ekonomia digjitale</w:t>
            </w:r>
          </w:p>
        </w:tc>
        <w:tc>
          <w:tcPr>
            <w:tcW w:w="4500" w:type="dxa"/>
            <w:shd w:val="clear" w:color="auto" w:fill="DEEAF6"/>
          </w:tcPr>
          <w:p w:rsidR="00D10601" w:rsidRPr="00410192" w:rsidRDefault="00D10601" w:rsidP="00A63A67">
            <w:pPr>
              <w:pStyle w:val="NormalWeb"/>
              <w:rPr>
                <w:sz w:val="22"/>
                <w:szCs w:val="22"/>
                <w:lang w:val="sq-AL" w:eastAsia="it-IT"/>
              </w:rPr>
            </w:pPr>
            <w:r w:rsidRPr="00410192">
              <w:rPr>
                <w:rFonts w:eastAsia="Calibri"/>
                <w:b/>
                <w:bCs/>
                <w:color w:val="000000"/>
                <w:sz w:val="22"/>
                <w:szCs w:val="22"/>
                <w:lang w:val="sq-AL"/>
              </w:rPr>
              <w:t xml:space="preserve">Për të forcuar rrjetet TIK dhe infrastrukturën e shërbimeve, PRE-ja mund të diskutojë se si të avancojë rregullimin dhe gatishmërinë teknike për pagesa digjitale dhe nënshkrim elektronik. </w:t>
            </w:r>
            <w:r w:rsidRPr="00410192">
              <w:rPr>
                <w:rFonts w:eastAsia="Calibri"/>
                <w:color w:val="000000"/>
                <w:sz w:val="22"/>
                <w:szCs w:val="22"/>
                <w:lang w:val="sq-AL"/>
              </w:rPr>
              <w:t>Përdorimi i pagesave dhe kartelave elektronike nuk janë të përhapura dhe pagesa me telefon mobil pothuajse nuk ekzistojnë. Pagesa me telefon mobil dhe shërbimet e kuletës digjitale nuk janë në dispozicion në Kosovë, dhe përdorimi i nënshkrimit elektronik end nuk lejohet.</w:t>
            </w:r>
          </w:p>
        </w:tc>
        <w:tc>
          <w:tcPr>
            <w:tcW w:w="1170" w:type="dxa"/>
            <w:shd w:val="clear" w:color="auto" w:fill="DEEAF6"/>
          </w:tcPr>
          <w:p w:rsidR="00D10601" w:rsidRPr="00D10601" w:rsidRDefault="00D10601" w:rsidP="00A63A67">
            <w:pPr>
              <w:jc w:val="center"/>
              <w:rPr>
                <w:b/>
              </w:rPr>
            </w:pPr>
            <w:r w:rsidRPr="00D10601">
              <w:rPr>
                <w:b/>
                <w:bCs/>
              </w:rPr>
              <w:t>FMN</w:t>
            </w:r>
          </w:p>
        </w:tc>
        <w:tc>
          <w:tcPr>
            <w:tcW w:w="2150" w:type="dxa"/>
            <w:shd w:val="clear" w:color="auto" w:fill="DEEAF6"/>
          </w:tcPr>
          <w:p w:rsidR="00D10601" w:rsidRPr="00410192" w:rsidRDefault="00D10601" w:rsidP="00A63A67">
            <w:pPr>
              <w:pStyle w:val="TableParagraph"/>
              <w:spacing w:line="247" w:lineRule="exact"/>
              <w:rPr>
                <w:b/>
              </w:rPr>
            </w:pPr>
            <w:r w:rsidRPr="00410192">
              <w:rPr>
                <w:b/>
              </w:rPr>
              <w:t xml:space="preserve">Pranohet </w:t>
            </w:r>
          </w:p>
        </w:tc>
        <w:tc>
          <w:tcPr>
            <w:tcW w:w="4950" w:type="dxa"/>
            <w:shd w:val="clear" w:color="auto" w:fill="DEEAF6"/>
          </w:tcPr>
          <w:p w:rsidR="00D10601" w:rsidRPr="00410192" w:rsidRDefault="00D10601" w:rsidP="00A63A67">
            <w:pPr>
              <w:pStyle w:val="TableParagraph"/>
              <w:ind w:right="191"/>
            </w:pPr>
            <w:r w:rsidRPr="00410192">
              <w:t>Ky koment përfshihet në masën 13 si një aktivitet i ri: ‘</w:t>
            </w:r>
            <w:r w:rsidRPr="00410192">
              <w:rPr>
                <w:bCs/>
              </w:rPr>
              <w:t xml:space="preserve">Ngritja institucionale dhe e kapaciteteve për zbatimin e dispozitave të Rregullores së </w:t>
            </w:r>
            <w:proofErr w:type="spellStart"/>
            <w:r w:rsidRPr="00410192">
              <w:rPr>
                <w:bCs/>
              </w:rPr>
              <w:t>eIDAS</w:t>
            </w:r>
            <w:proofErr w:type="spellEnd"/>
            <w:r w:rsidRPr="00410192">
              <w:rPr>
                <w:bCs/>
              </w:rPr>
              <w:t>’</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rPr>
                <w:lang w:eastAsia="it-IT"/>
              </w:rPr>
            </w:pPr>
            <w:r w:rsidRPr="00410192">
              <w:t xml:space="preserve">Fusha </w:t>
            </w:r>
            <w:proofErr w:type="spellStart"/>
            <w:r w:rsidRPr="00410192">
              <w:t>prioritare</w:t>
            </w:r>
            <w:proofErr w:type="spellEnd"/>
            <w:r w:rsidRPr="00410192">
              <w:rPr>
                <w:bCs/>
              </w:rPr>
              <w:t xml:space="preserve"> VI. Arsimi dhe shkathtësitë</w:t>
            </w:r>
          </w:p>
        </w:tc>
        <w:tc>
          <w:tcPr>
            <w:tcW w:w="4500" w:type="dxa"/>
            <w:shd w:val="clear" w:color="auto" w:fill="DEEAF6"/>
          </w:tcPr>
          <w:p w:rsidR="00D10601" w:rsidRPr="00410192" w:rsidRDefault="00D10601" w:rsidP="00D10601">
            <w:pPr>
              <w:pStyle w:val="Default"/>
              <w:numPr>
                <w:ilvl w:val="0"/>
                <w:numId w:val="5"/>
              </w:numPr>
              <w:spacing w:after="240"/>
              <w:ind w:left="370"/>
              <w:rPr>
                <w:sz w:val="22"/>
                <w:szCs w:val="22"/>
                <w:lang w:val="sq-AL"/>
              </w:rPr>
            </w:pPr>
            <w:r w:rsidRPr="00410192">
              <w:rPr>
                <w:b/>
                <w:bCs/>
                <w:sz w:val="22"/>
                <w:szCs w:val="22"/>
                <w:lang w:val="sq-AL" w:eastAsia="en-US"/>
              </w:rPr>
              <w:t xml:space="preserve">Si një mënyrë e mundshme për të matur ndërhyrjet e përzgjedhura (duke përfshirë  arsimin e lartë) një IKP mund të prezantohet për të monitoruar </w:t>
            </w:r>
            <w:proofErr w:type="spellStart"/>
            <w:r w:rsidRPr="00410192">
              <w:rPr>
                <w:b/>
                <w:bCs/>
                <w:sz w:val="22"/>
                <w:szCs w:val="22"/>
                <w:lang w:val="sq-AL" w:eastAsia="en-US"/>
              </w:rPr>
              <w:t>performancën</w:t>
            </w:r>
            <w:proofErr w:type="spellEnd"/>
            <w:r w:rsidRPr="00410192">
              <w:rPr>
                <w:b/>
                <w:bCs/>
                <w:sz w:val="22"/>
                <w:szCs w:val="22"/>
                <w:lang w:val="sq-AL" w:eastAsia="en-US"/>
              </w:rPr>
              <w:t xml:space="preserve"> e studentëve dhe mësuesve. </w:t>
            </w:r>
            <w:r w:rsidRPr="00410192">
              <w:rPr>
                <w:sz w:val="22"/>
                <w:szCs w:val="22"/>
                <w:lang w:val="sq-AL" w:eastAsia="en-US"/>
              </w:rPr>
              <w:t xml:space="preserve">Rekomandimet e mëparshme të stafit të FMN-së kanë sugjeruar futjen e vlerësimit të </w:t>
            </w:r>
            <w:proofErr w:type="spellStart"/>
            <w:r w:rsidRPr="00410192">
              <w:rPr>
                <w:sz w:val="22"/>
                <w:szCs w:val="22"/>
                <w:lang w:val="sq-AL" w:eastAsia="en-US"/>
              </w:rPr>
              <w:t>performancës</w:t>
            </w:r>
            <w:proofErr w:type="spellEnd"/>
            <w:r w:rsidRPr="00410192">
              <w:rPr>
                <w:sz w:val="22"/>
                <w:szCs w:val="22"/>
                <w:lang w:val="sq-AL" w:eastAsia="en-US"/>
              </w:rPr>
              <w:t xml:space="preserve"> së mësuesve në kombinim me trajnime dhe kualifikime për të përmirësuar rezultatet arsimore</w:t>
            </w:r>
            <w:r w:rsidRPr="00410192">
              <w:rPr>
                <w:sz w:val="22"/>
                <w:szCs w:val="22"/>
                <w:lang w:val="sq-AL"/>
              </w:rPr>
              <w:t xml:space="preserve">. </w:t>
            </w:r>
          </w:p>
          <w:p w:rsidR="00D10601" w:rsidRPr="00410192" w:rsidRDefault="00D10601" w:rsidP="00D10601">
            <w:pPr>
              <w:pStyle w:val="NormalWeb"/>
              <w:numPr>
                <w:ilvl w:val="0"/>
                <w:numId w:val="5"/>
              </w:numPr>
              <w:ind w:left="370"/>
              <w:rPr>
                <w:rFonts w:eastAsia="Calibri"/>
                <w:b/>
                <w:bCs/>
                <w:color w:val="000000"/>
                <w:sz w:val="22"/>
                <w:szCs w:val="22"/>
                <w:lang w:val="sq-AL"/>
              </w:rPr>
            </w:pPr>
            <w:r w:rsidRPr="00410192">
              <w:rPr>
                <w:rFonts w:eastAsia="Calibri"/>
                <w:b/>
                <w:bCs/>
                <w:color w:val="000000"/>
                <w:sz w:val="22"/>
                <w:szCs w:val="22"/>
                <w:lang w:val="sq-AL"/>
              </w:rPr>
              <w:t xml:space="preserve">Ne mbështesim përpjekjet e autoriteteve për përmirësimin e sistemit të arsimit dhe aftësimit profesional (AAP). </w:t>
            </w:r>
            <w:r w:rsidRPr="00410192">
              <w:rPr>
                <w:rFonts w:eastAsia="Calibri"/>
                <w:color w:val="000000"/>
                <w:sz w:val="22"/>
                <w:szCs w:val="22"/>
                <w:lang w:val="sq-AL"/>
              </w:rPr>
              <w:t xml:space="preserve">Narrativi  përgjithësisht i pranuar lidh papunësinë e madhe me mospërputhjen e aftësive, dhe forcimi i AAP-së mund të jetë një mënyrë efektive për të adresuar këtë sfidë. Megjithatë  ne do të inkurajonim përpjekje më të forta për të matur mospërputhjet e aftësive, në veçanti për grupin 15-24-vjeçar. Kjo mund të bëhet duke shtuar një modul specifik në anketën e </w:t>
            </w:r>
            <w:r w:rsidRPr="00410192">
              <w:rPr>
                <w:rFonts w:eastAsia="Calibri"/>
                <w:color w:val="000000"/>
                <w:sz w:val="22"/>
                <w:szCs w:val="22"/>
                <w:lang w:val="sq-AL"/>
              </w:rPr>
              <w:lastRenderedPageBreak/>
              <w:t>punës, duke prezantuar një anketë specifike të firmës, ose të dyja. Duke pasur dëshmi të qartë të mospërputhjeve të aftësive është thelbësore për të kuptuar shkaqet e tyre dhe për të hartuar ndërhyrje efektive.</w:t>
            </w:r>
          </w:p>
        </w:tc>
        <w:tc>
          <w:tcPr>
            <w:tcW w:w="1170" w:type="dxa"/>
            <w:shd w:val="clear" w:color="auto" w:fill="DEEAF6"/>
          </w:tcPr>
          <w:p w:rsidR="00D10601" w:rsidRPr="00D10601" w:rsidRDefault="00D10601" w:rsidP="00A63A67">
            <w:pPr>
              <w:jc w:val="center"/>
              <w:rPr>
                <w:b/>
              </w:rPr>
            </w:pPr>
            <w:r w:rsidRPr="00D10601">
              <w:rPr>
                <w:b/>
                <w:bCs/>
              </w:rPr>
              <w:lastRenderedPageBreak/>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 xml:space="preserve">Nuk pranohet </w:t>
            </w:r>
          </w:p>
          <w:p w:rsidR="00D10601" w:rsidRPr="00410192" w:rsidRDefault="00D10601" w:rsidP="00A63A67">
            <w:pPr>
              <w:pStyle w:val="TableParagraph"/>
              <w:spacing w:line="247" w:lineRule="exact"/>
              <w:rPr>
                <w:b/>
              </w:rPr>
            </w:pPr>
          </w:p>
        </w:tc>
        <w:tc>
          <w:tcPr>
            <w:tcW w:w="4950" w:type="dxa"/>
            <w:shd w:val="clear" w:color="auto" w:fill="DEEAF6"/>
          </w:tcPr>
          <w:p w:rsidR="00D10601" w:rsidRPr="00410192" w:rsidRDefault="00D10601" w:rsidP="00D10601">
            <w:pPr>
              <w:pStyle w:val="TableParagraph"/>
              <w:numPr>
                <w:ilvl w:val="0"/>
                <w:numId w:val="6"/>
              </w:numPr>
              <w:ind w:left="370" w:right="191"/>
              <w:jc w:val="both"/>
            </w:pPr>
            <w:r w:rsidRPr="00410192">
              <w:t xml:space="preserve">Ky koment nuk mund të pranohet për këtë cikël, pasi që nuk kemi masa për arsimin </w:t>
            </w:r>
            <w:proofErr w:type="spellStart"/>
            <w:r w:rsidRPr="00410192">
              <w:t>parauniversitar</w:t>
            </w:r>
            <w:proofErr w:type="spellEnd"/>
            <w:r w:rsidRPr="00410192">
              <w:t xml:space="preserve">. Meqenëse kemi vetëm masën për arsimin parashkollor, treguesi për këtë nuk mund të japë pasqyrën e plotë për </w:t>
            </w:r>
            <w:proofErr w:type="spellStart"/>
            <w:r w:rsidRPr="00410192">
              <w:t>performancën</w:t>
            </w:r>
            <w:proofErr w:type="spellEnd"/>
            <w:r w:rsidRPr="00410192">
              <w:t xml:space="preserve"> e studentëve dhe mësuesve. Siç u sugjerua gjatë procesit për këtë cikël të PRE-së, masa për Arsimin </w:t>
            </w:r>
            <w:proofErr w:type="spellStart"/>
            <w:r w:rsidRPr="00410192">
              <w:t>Parauniversitar</w:t>
            </w:r>
            <w:proofErr w:type="spellEnd"/>
            <w:r w:rsidRPr="00410192">
              <w:t xml:space="preserve"> do të ri-prezantohet përsëri vitin e ardhshëm dhe pastaj mund ta prezantojmë edhe këtë IKP. </w:t>
            </w:r>
          </w:p>
          <w:p w:rsidR="00D10601" w:rsidRPr="00410192" w:rsidRDefault="00D10601" w:rsidP="00A63A67">
            <w:pPr>
              <w:pStyle w:val="TableParagraph"/>
              <w:ind w:right="191"/>
            </w:pPr>
          </w:p>
          <w:p w:rsidR="00D10601" w:rsidRPr="00410192" w:rsidRDefault="00D10601" w:rsidP="00D10601">
            <w:pPr>
              <w:pStyle w:val="TableParagraph"/>
              <w:numPr>
                <w:ilvl w:val="0"/>
                <w:numId w:val="6"/>
              </w:numPr>
              <w:ind w:left="360" w:right="191"/>
            </w:pPr>
            <w:r w:rsidRPr="00410192">
              <w:t>Ky koment trajtohet nga masa 17, aktiviteti 8.</w:t>
            </w:r>
          </w:p>
          <w:p w:rsidR="00D10601" w:rsidRPr="00410192" w:rsidRDefault="00D10601" w:rsidP="00A63A67">
            <w:pPr>
              <w:pStyle w:val="TableParagraph"/>
              <w:ind w:right="191"/>
            </w:pPr>
          </w:p>
        </w:tc>
      </w:tr>
      <w:tr w:rsidR="00D10601" w:rsidRPr="00410192" w:rsidTr="00A63A67">
        <w:trPr>
          <w:trHeight w:val="818"/>
        </w:trPr>
        <w:tc>
          <w:tcPr>
            <w:tcW w:w="2400" w:type="dxa"/>
            <w:shd w:val="clear" w:color="auto" w:fill="DEEAF6"/>
          </w:tcPr>
          <w:p w:rsidR="00D10601" w:rsidRPr="00410192" w:rsidRDefault="00D10601" w:rsidP="00A63A67">
            <w:pPr>
              <w:rPr>
                <w:bCs/>
              </w:rPr>
            </w:pPr>
            <w:r w:rsidRPr="00410192">
              <w:rPr>
                <w:bCs/>
              </w:rPr>
              <w:lastRenderedPageBreak/>
              <w:t xml:space="preserve">Fusha </w:t>
            </w:r>
            <w:proofErr w:type="spellStart"/>
            <w:r w:rsidRPr="00410192">
              <w:rPr>
                <w:bCs/>
              </w:rPr>
              <w:t>prioritare</w:t>
            </w:r>
            <w:proofErr w:type="spellEnd"/>
          </w:p>
          <w:p w:rsidR="00D10601" w:rsidRPr="00410192" w:rsidRDefault="00D10601" w:rsidP="00A63A67">
            <w:pPr>
              <w:rPr>
                <w:bCs/>
              </w:rPr>
            </w:pPr>
            <w:r w:rsidRPr="00410192">
              <w:rPr>
                <w:bCs/>
              </w:rPr>
              <w:t>VI. Arsimi dhe shkathtësitë, Masa #17:  Krijimi  bazës për arsim cilësor dhe aftësimin profesional në përputhje me tregun e punës</w:t>
            </w:r>
          </w:p>
        </w:tc>
        <w:tc>
          <w:tcPr>
            <w:tcW w:w="4500" w:type="dxa"/>
            <w:shd w:val="clear" w:color="auto" w:fill="DEEAF6"/>
          </w:tcPr>
          <w:p w:rsidR="00D10601" w:rsidRPr="00410192" w:rsidRDefault="00D10601" w:rsidP="00D10601">
            <w:pPr>
              <w:pStyle w:val="Default"/>
              <w:numPr>
                <w:ilvl w:val="0"/>
                <w:numId w:val="7"/>
              </w:numPr>
              <w:ind w:left="370"/>
              <w:rPr>
                <w:iCs/>
                <w:color w:val="auto"/>
                <w:sz w:val="22"/>
                <w:szCs w:val="22"/>
                <w:lang w:val="sq-AL"/>
              </w:rPr>
            </w:pPr>
            <w:r w:rsidRPr="00410192">
              <w:rPr>
                <w:iCs/>
                <w:color w:val="auto"/>
                <w:sz w:val="22"/>
                <w:szCs w:val="22"/>
                <w:lang w:val="sq-AL"/>
              </w:rPr>
              <w:t xml:space="preserve">Për zhvillimin e një përfshirjeje sistematike, të strukturuar dhe të dokumentuar të industrive përkatëse të sektorit, është i nevojshëm </w:t>
            </w:r>
            <w:r w:rsidRPr="00410192">
              <w:rPr>
                <w:b/>
                <w:iCs/>
                <w:color w:val="auto"/>
                <w:sz w:val="22"/>
                <w:szCs w:val="22"/>
                <w:lang w:val="sq-AL"/>
              </w:rPr>
              <w:t xml:space="preserve">sigurimi i përputhjes së </w:t>
            </w:r>
            <w:proofErr w:type="spellStart"/>
            <w:r w:rsidRPr="00410192">
              <w:rPr>
                <w:b/>
                <w:iCs/>
                <w:color w:val="auto"/>
                <w:sz w:val="22"/>
                <w:szCs w:val="22"/>
                <w:lang w:val="sq-AL"/>
              </w:rPr>
              <w:t>kurrikulave</w:t>
            </w:r>
            <w:proofErr w:type="spellEnd"/>
            <w:r w:rsidRPr="00410192">
              <w:rPr>
                <w:b/>
                <w:iCs/>
                <w:color w:val="auto"/>
                <w:sz w:val="22"/>
                <w:szCs w:val="22"/>
                <w:lang w:val="sq-AL"/>
              </w:rPr>
              <w:t xml:space="preserve"> me kërkesat e tregut të punës</w:t>
            </w:r>
            <w:r w:rsidRPr="00410192">
              <w:rPr>
                <w:iCs/>
                <w:color w:val="auto"/>
                <w:sz w:val="22"/>
                <w:szCs w:val="22"/>
                <w:lang w:val="sq-AL"/>
              </w:rPr>
              <w:t xml:space="preserve">. Për harmonizimin e </w:t>
            </w:r>
            <w:proofErr w:type="spellStart"/>
            <w:r w:rsidRPr="00410192">
              <w:rPr>
                <w:iCs/>
                <w:color w:val="auto"/>
                <w:sz w:val="22"/>
                <w:szCs w:val="22"/>
                <w:lang w:val="sq-AL"/>
              </w:rPr>
              <w:t>kurrikulave</w:t>
            </w:r>
            <w:proofErr w:type="spellEnd"/>
            <w:r w:rsidRPr="00410192">
              <w:rPr>
                <w:iCs/>
                <w:color w:val="auto"/>
                <w:sz w:val="22"/>
                <w:szCs w:val="22"/>
                <w:lang w:val="sq-AL"/>
              </w:rPr>
              <w:t xml:space="preserve"> të shkollave publike të AAP-së me standardet e profesionit të akredituara nga AKK, duhet të përcaktohen marrëveshje të posaçme të cilat marrin parasysh </w:t>
            </w:r>
            <w:r w:rsidRPr="00410192">
              <w:rPr>
                <w:b/>
                <w:iCs/>
                <w:color w:val="auto"/>
                <w:sz w:val="22"/>
                <w:szCs w:val="22"/>
                <w:lang w:val="sq-AL"/>
              </w:rPr>
              <w:t>kapacitetet e kufizuara të shkollave të AAP-së</w:t>
            </w:r>
            <w:r w:rsidRPr="00410192">
              <w:rPr>
                <w:iCs/>
                <w:color w:val="auto"/>
                <w:sz w:val="22"/>
                <w:szCs w:val="22"/>
                <w:lang w:val="sq-AL"/>
              </w:rPr>
              <w:t xml:space="preserve"> dhe mundësojnë </w:t>
            </w:r>
            <w:proofErr w:type="spellStart"/>
            <w:r w:rsidRPr="00410192">
              <w:rPr>
                <w:iCs/>
                <w:color w:val="auto"/>
                <w:sz w:val="22"/>
                <w:szCs w:val="22"/>
                <w:lang w:val="sq-AL"/>
              </w:rPr>
              <w:t>tranzicionin</w:t>
            </w:r>
            <w:proofErr w:type="spellEnd"/>
            <w:r w:rsidRPr="00410192">
              <w:rPr>
                <w:iCs/>
                <w:color w:val="auto"/>
                <w:sz w:val="22"/>
                <w:szCs w:val="22"/>
                <w:lang w:val="sq-AL"/>
              </w:rPr>
              <w:t xml:space="preserve"> e tyre hap pas hapi. Për zbatimin e </w:t>
            </w:r>
            <w:proofErr w:type="spellStart"/>
            <w:r w:rsidRPr="00410192">
              <w:rPr>
                <w:iCs/>
                <w:color w:val="auto"/>
                <w:sz w:val="22"/>
                <w:szCs w:val="22"/>
                <w:lang w:val="sq-AL"/>
              </w:rPr>
              <w:t>kurrikulave</w:t>
            </w:r>
            <w:proofErr w:type="spellEnd"/>
            <w:r w:rsidRPr="00410192">
              <w:rPr>
                <w:iCs/>
                <w:color w:val="auto"/>
                <w:sz w:val="22"/>
                <w:szCs w:val="22"/>
                <w:lang w:val="sq-AL"/>
              </w:rPr>
              <w:t xml:space="preserve"> duhet të vendosen </w:t>
            </w:r>
            <w:r w:rsidRPr="00410192">
              <w:rPr>
                <w:b/>
                <w:iCs/>
                <w:color w:val="auto"/>
                <w:sz w:val="22"/>
                <w:szCs w:val="22"/>
                <w:lang w:val="sq-AL"/>
              </w:rPr>
              <w:t>kushtet e nevojshme kornizë për shkollat e AAP-së</w:t>
            </w:r>
            <w:r w:rsidRPr="00410192">
              <w:rPr>
                <w:iCs/>
                <w:color w:val="auto"/>
                <w:sz w:val="22"/>
                <w:szCs w:val="22"/>
                <w:lang w:val="sq-AL"/>
              </w:rPr>
              <w:t xml:space="preserve"> p.sh. miratimi i </w:t>
            </w:r>
            <w:r w:rsidRPr="00410192">
              <w:rPr>
                <w:b/>
                <w:iCs/>
                <w:color w:val="auto"/>
                <w:sz w:val="22"/>
                <w:szCs w:val="22"/>
                <w:lang w:val="sq-AL"/>
              </w:rPr>
              <w:t>udhëzimeve të përshtatshme administrative, financimi i duhur financiar</w:t>
            </w:r>
            <w:r w:rsidRPr="00410192">
              <w:rPr>
                <w:iCs/>
                <w:color w:val="auto"/>
                <w:sz w:val="22"/>
                <w:szCs w:val="22"/>
                <w:lang w:val="sq-AL"/>
              </w:rPr>
              <w:t xml:space="preserve"> i shkollave të AAP-së dhe sigurimi i </w:t>
            </w:r>
            <w:proofErr w:type="spellStart"/>
            <w:r w:rsidRPr="00410192">
              <w:rPr>
                <w:b/>
                <w:iCs/>
                <w:color w:val="auto"/>
                <w:sz w:val="22"/>
                <w:szCs w:val="22"/>
                <w:lang w:val="sq-AL"/>
              </w:rPr>
              <w:t>mbulueshmëria</w:t>
            </w:r>
            <w:proofErr w:type="spellEnd"/>
            <w:r w:rsidRPr="00410192">
              <w:rPr>
                <w:b/>
                <w:iCs/>
                <w:color w:val="auto"/>
                <w:sz w:val="22"/>
                <w:szCs w:val="22"/>
                <w:lang w:val="sq-AL"/>
              </w:rPr>
              <w:t xml:space="preserve"> e të siguruarit e</w:t>
            </w:r>
            <w:r w:rsidRPr="00410192">
              <w:rPr>
                <w:iCs/>
                <w:color w:val="auto"/>
                <w:sz w:val="22"/>
                <w:szCs w:val="22"/>
                <w:lang w:val="sq-AL"/>
              </w:rPr>
              <w:t xml:space="preserve"> studentëve në vendet e punës. </w:t>
            </w:r>
          </w:p>
          <w:p w:rsidR="00D10601" w:rsidRPr="00410192" w:rsidRDefault="00D10601" w:rsidP="00D10601">
            <w:pPr>
              <w:pStyle w:val="Default"/>
              <w:numPr>
                <w:ilvl w:val="0"/>
                <w:numId w:val="7"/>
              </w:numPr>
              <w:ind w:left="370"/>
              <w:rPr>
                <w:iCs/>
                <w:color w:val="auto"/>
                <w:sz w:val="22"/>
                <w:szCs w:val="22"/>
                <w:lang w:val="sq-AL"/>
              </w:rPr>
            </w:pPr>
            <w:r w:rsidRPr="00410192">
              <w:rPr>
                <w:iCs/>
                <w:color w:val="auto"/>
                <w:sz w:val="22"/>
                <w:szCs w:val="22"/>
                <w:lang w:val="sq-AL"/>
              </w:rPr>
              <w:t xml:space="preserve">Duhet të trajtohet vendosja e </w:t>
            </w:r>
            <w:r w:rsidRPr="00410192">
              <w:rPr>
                <w:b/>
                <w:iCs/>
                <w:color w:val="auto"/>
                <w:sz w:val="22"/>
                <w:szCs w:val="22"/>
                <w:lang w:val="sq-AL"/>
              </w:rPr>
              <w:t>mekanizmave stimulues</w:t>
            </w:r>
            <w:r w:rsidRPr="00410192">
              <w:rPr>
                <w:iCs/>
                <w:color w:val="auto"/>
                <w:sz w:val="22"/>
                <w:szCs w:val="22"/>
                <w:lang w:val="sq-AL"/>
              </w:rPr>
              <w:t xml:space="preserve"> për të përmirësuar bashkëpunimin ndërmjet kompanive private dhe ofruesve të AAP-së. </w:t>
            </w:r>
          </w:p>
        </w:tc>
        <w:tc>
          <w:tcPr>
            <w:tcW w:w="1170" w:type="dxa"/>
            <w:shd w:val="clear" w:color="auto" w:fill="DEEAF6"/>
          </w:tcPr>
          <w:p w:rsidR="00D10601" w:rsidRPr="00D10601" w:rsidRDefault="00D10601" w:rsidP="00A63A67">
            <w:pPr>
              <w:jc w:val="center"/>
              <w:rPr>
                <w:b/>
                <w:lang w:eastAsia="de-DE"/>
              </w:rPr>
            </w:pPr>
            <w:r w:rsidRPr="00D10601">
              <w:rPr>
                <w:b/>
              </w:rPr>
              <w:t>Ambasada G</w:t>
            </w:r>
            <w:r w:rsidRPr="00D10601">
              <w:rPr>
                <w:b/>
              </w:rPr>
              <w:t>jermane</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 xml:space="preserve">Nuk pranohet </w:t>
            </w:r>
          </w:p>
          <w:p w:rsidR="00D10601" w:rsidRPr="00410192" w:rsidRDefault="00D10601" w:rsidP="00A63A67">
            <w:pPr>
              <w:pStyle w:val="TableParagraph"/>
              <w:spacing w:line="247" w:lineRule="exact"/>
              <w:ind w:left="110"/>
              <w:rPr>
                <w:b/>
              </w:rPr>
            </w:pPr>
          </w:p>
        </w:tc>
        <w:tc>
          <w:tcPr>
            <w:tcW w:w="4950" w:type="dxa"/>
            <w:shd w:val="clear" w:color="auto" w:fill="DEEAF6"/>
          </w:tcPr>
          <w:p w:rsidR="00D10601" w:rsidRPr="00410192" w:rsidRDefault="00D10601" w:rsidP="00D10601">
            <w:pPr>
              <w:pStyle w:val="TableParagraph"/>
              <w:numPr>
                <w:ilvl w:val="0"/>
                <w:numId w:val="9"/>
              </w:numPr>
              <w:ind w:right="191"/>
            </w:pPr>
            <w:r w:rsidRPr="00410192">
              <w:t>Komenti trajtohet nga masa 17, aktiviteti 6 dhe 7 për tre vite (2020-2021-2022)</w:t>
            </w:r>
          </w:p>
          <w:p w:rsidR="00D10601" w:rsidRPr="00410192" w:rsidRDefault="00D10601" w:rsidP="00A63A67">
            <w:pPr>
              <w:pStyle w:val="TableParagraph"/>
              <w:ind w:left="720" w:right="191"/>
            </w:pPr>
          </w:p>
          <w:p w:rsidR="00D10601" w:rsidRPr="00410192" w:rsidRDefault="00D10601" w:rsidP="00A63A67">
            <w:pPr>
              <w:pStyle w:val="TableParagraph"/>
              <w:ind w:left="720" w:right="191"/>
            </w:pPr>
          </w:p>
          <w:p w:rsidR="00D10601" w:rsidRPr="00410192" w:rsidRDefault="00D10601" w:rsidP="00A63A67">
            <w:pPr>
              <w:pStyle w:val="TableParagraph"/>
              <w:ind w:left="720" w:right="191"/>
            </w:pPr>
          </w:p>
          <w:p w:rsidR="00D10601" w:rsidRPr="00410192" w:rsidRDefault="00D10601" w:rsidP="00A63A67">
            <w:pPr>
              <w:pStyle w:val="TableParagraph"/>
              <w:ind w:left="720" w:right="191"/>
            </w:pPr>
          </w:p>
          <w:p w:rsidR="00D10601" w:rsidRPr="00410192" w:rsidRDefault="00D10601" w:rsidP="00A63A67">
            <w:pPr>
              <w:pStyle w:val="TableParagraph"/>
              <w:ind w:left="720" w:right="191"/>
            </w:pPr>
          </w:p>
          <w:p w:rsidR="00D10601" w:rsidRPr="00410192" w:rsidRDefault="00D10601" w:rsidP="00A63A67">
            <w:pPr>
              <w:pStyle w:val="TableParagraph"/>
              <w:ind w:left="720" w:right="191"/>
            </w:pPr>
          </w:p>
          <w:p w:rsidR="00D10601" w:rsidRPr="00410192" w:rsidRDefault="00D10601" w:rsidP="00A63A67">
            <w:pPr>
              <w:pStyle w:val="TableParagraph"/>
              <w:ind w:left="720" w:right="191"/>
            </w:pPr>
          </w:p>
          <w:p w:rsidR="00D10601" w:rsidRPr="00410192" w:rsidRDefault="00D10601" w:rsidP="00A63A67">
            <w:pPr>
              <w:pStyle w:val="TableParagraph"/>
              <w:ind w:left="720" w:right="191"/>
            </w:pPr>
          </w:p>
          <w:p w:rsidR="00D10601" w:rsidRPr="00410192" w:rsidRDefault="00D10601" w:rsidP="00A63A67">
            <w:pPr>
              <w:pStyle w:val="TableParagraph"/>
              <w:ind w:left="720" w:right="191"/>
            </w:pPr>
          </w:p>
          <w:p w:rsidR="00D10601" w:rsidRPr="00410192" w:rsidRDefault="00D10601" w:rsidP="00D10601">
            <w:pPr>
              <w:pStyle w:val="TableParagraph"/>
              <w:numPr>
                <w:ilvl w:val="0"/>
                <w:numId w:val="8"/>
              </w:numPr>
              <w:ind w:left="111" w:right="191"/>
            </w:pPr>
            <w:r w:rsidRPr="00410192">
              <w:t xml:space="preserve">     </w:t>
            </w:r>
          </w:p>
          <w:p w:rsidR="00D10601" w:rsidRPr="00410192" w:rsidRDefault="00D10601" w:rsidP="00D10601">
            <w:pPr>
              <w:pStyle w:val="TableParagraph"/>
              <w:numPr>
                <w:ilvl w:val="0"/>
                <w:numId w:val="8"/>
              </w:numPr>
              <w:ind w:left="111" w:right="191"/>
            </w:pPr>
          </w:p>
          <w:p w:rsidR="00D10601" w:rsidRPr="00410192" w:rsidRDefault="00D10601" w:rsidP="00D10601">
            <w:pPr>
              <w:pStyle w:val="TableParagraph"/>
              <w:numPr>
                <w:ilvl w:val="0"/>
                <w:numId w:val="8"/>
              </w:numPr>
              <w:ind w:left="111" w:right="191"/>
            </w:pPr>
          </w:p>
          <w:p w:rsidR="00D10601" w:rsidRPr="00410192" w:rsidRDefault="00D10601" w:rsidP="00D10601">
            <w:pPr>
              <w:pStyle w:val="TableParagraph"/>
              <w:numPr>
                <w:ilvl w:val="0"/>
                <w:numId w:val="8"/>
              </w:numPr>
              <w:ind w:left="111" w:right="191"/>
            </w:pPr>
          </w:p>
          <w:p w:rsidR="00D10601" w:rsidRPr="00410192" w:rsidRDefault="00D10601" w:rsidP="00D10601">
            <w:pPr>
              <w:pStyle w:val="TableParagraph"/>
              <w:numPr>
                <w:ilvl w:val="0"/>
                <w:numId w:val="8"/>
              </w:numPr>
              <w:ind w:left="111" w:right="191"/>
            </w:pPr>
          </w:p>
          <w:p w:rsidR="00D10601" w:rsidRPr="00410192" w:rsidRDefault="00D10601" w:rsidP="00D10601">
            <w:pPr>
              <w:pStyle w:val="TableParagraph"/>
              <w:numPr>
                <w:ilvl w:val="0"/>
                <w:numId w:val="8"/>
              </w:numPr>
              <w:ind w:left="111" w:right="191"/>
            </w:pPr>
          </w:p>
          <w:p w:rsidR="00D10601" w:rsidRPr="00410192" w:rsidRDefault="00D10601" w:rsidP="00D10601">
            <w:pPr>
              <w:pStyle w:val="TableParagraph"/>
              <w:numPr>
                <w:ilvl w:val="0"/>
                <w:numId w:val="9"/>
              </w:numPr>
              <w:ind w:right="191"/>
            </w:pPr>
            <w:r w:rsidRPr="00410192">
              <w:t>Komenti trajtohet nga masa 17, aktiviteti 7.</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rPr>
                <w:bCs/>
              </w:rPr>
              <w:t xml:space="preserve">Fusha </w:t>
            </w:r>
            <w:proofErr w:type="spellStart"/>
            <w:r w:rsidRPr="00410192">
              <w:rPr>
                <w:bCs/>
              </w:rPr>
              <w:t>prioritare</w:t>
            </w:r>
            <w:proofErr w:type="spellEnd"/>
            <w:r w:rsidRPr="00410192">
              <w:rPr>
                <w:lang w:eastAsia="it-IT"/>
              </w:rPr>
              <w:t xml:space="preserve"> IV. Hulumtimi, zhvillimi dhe inovacioni (HZHI) dhe Ekonomia digjitale</w:t>
            </w:r>
          </w:p>
        </w:tc>
        <w:tc>
          <w:tcPr>
            <w:tcW w:w="4500" w:type="dxa"/>
            <w:shd w:val="clear" w:color="auto" w:fill="DEEAF6"/>
          </w:tcPr>
          <w:p w:rsidR="00D10601" w:rsidRPr="00410192" w:rsidRDefault="00D10601" w:rsidP="00A63A67">
            <w:pPr>
              <w:pStyle w:val="NormalWeb"/>
              <w:rPr>
                <w:b/>
                <w:bCs/>
                <w:sz w:val="22"/>
                <w:szCs w:val="22"/>
                <w:lang w:val="sq-AL"/>
              </w:rPr>
            </w:pPr>
            <w:r w:rsidRPr="00410192">
              <w:rPr>
                <w:sz w:val="22"/>
                <w:szCs w:val="22"/>
                <w:lang w:val="sq-AL"/>
              </w:rPr>
              <w:t>Seksioni në lidhje me HZHI duhet të përfshijë pika mbi zhvillimin e karbonit të ulët dhe ekonomisë qarkore</w:t>
            </w:r>
          </w:p>
        </w:tc>
        <w:tc>
          <w:tcPr>
            <w:tcW w:w="1170" w:type="dxa"/>
            <w:shd w:val="clear" w:color="auto" w:fill="DEEAF6"/>
          </w:tcPr>
          <w:p w:rsidR="00D10601" w:rsidRPr="00D10601" w:rsidRDefault="00D10601" w:rsidP="00A63A67">
            <w:pPr>
              <w:jc w:val="center"/>
              <w:rPr>
                <w:b/>
                <w:lang w:eastAsia="de-DE"/>
              </w:rPr>
            </w:pPr>
            <w:r w:rsidRPr="00D10601">
              <w:rPr>
                <w:b/>
              </w:rPr>
              <w:t>UNDP</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left="111" w:right="191"/>
            </w:pPr>
            <w:r w:rsidRPr="00410192">
              <w:t xml:space="preserve">Nëse komenti është sugjerim për të përfshirë këtë si një aktivitet në këtë cikël të PRE-së, atëherë nuk mund të prezantohet në këtë PRE sepse fillimisht kërkon koordinimin e analizës dhe informacionit në mesin e </w:t>
            </w:r>
            <w:proofErr w:type="spellStart"/>
            <w:r w:rsidRPr="00410192">
              <w:t>akerëve</w:t>
            </w:r>
            <w:proofErr w:type="spellEnd"/>
            <w:r w:rsidRPr="00410192">
              <w:t xml:space="preserve"> kyç.</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line="246" w:lineRule="exact"/>
              <w:ind w:left="50"/>
            </w:pPr>
            <w:r w:rsidRPr="00410192">
              <w:rPr>
                <w:bCs/>
              </w:rPr>
              <w:t xml:space="preserve">Fusha </w:t>
            </w:r>
            <w:proofErr w:type="spellStart"/>
            <w:r w:rsidRPr="00410192">
              <w:rPr>
                <w:bCs/>
              </w:rPr>
              <w:t>prioritare</w:t>
            </w:r>
            <w:proofErr w:type="spellEnd"/>
            <w:r w:rsidRPr="00410192">
              <w:rPr>
                <w:bCs/>
              </w:rPr>
              <w:t xml:space="preserve"> VI. Arsimi dhe shkathtësitë</w:t>
            </w:r>
          </w:p>
        </w:tc>
        <w:tc>
          <w:tcPr>
            <w:tcW w:w="4500" w:type="dxa"/>
            <w:shd w:val="clear" w:color="auto" w:fill="DEEAF6"/>
          </w:tcPr>
          <w:p w:rsidR="00D10601" w:rsidRPr="00410192" w:rsidRDefault="00D10601" w:rsidP="00A63A67">
            <w:pPr>
              <w:pStyle w:val="NormalWeb"/>
              <w:rPr>
                <w:b/>
                <w:bCs/>
                <w:sz w:val="22"/>
                <w:szCs w:val="22"/>
                <w:lang w:val="sq-AL"/>
              </w:rPr>
            </w:pPr>
            <w:r w:rsidRPr="00410192">
              <w:rPr>
                <w:sz w:val="22"/>
                <w:szCs w:val="22"/>
                <w:lang w:val="sq-AL"/>
              </w:rPr>
              <w:t xml:space="preserve">Seksioni i arsimit dhe aftësive gjithashtu duhet të përmendë nevojën për të zhvilluar mënyra më </w:t>
            </w:r>
            <w:proofErr w:type="spellStart"/>
            <w:r w:rsidRPr="00410192">
              <w:rPr>
                <w:sz w:val="22"/>
                <w:szCs w:val="22"/>
                <w:lang w:val="sq-AL"/>
              </w:rPr>
              <w:t>fleksibile</w:t>
            </w:r>
            <w:proofErr w:type="spellEnd"/>
            <w:r w:rsidRPr="00410192">
              <w:rPr>
                <w:sz w:val="22"/>
                <w:szCs w:val="22"/>
                <w:lang w:val="sq-AL"/>
              </w:rPr>
              <w:t xml:space="preserve"> (bazuar në TIK, mësim në distancë, trajnime të synuara afatshkurtra, etj.) për të plotësuar boshllëkun e aftësive - për të përmbushur nevojat e tregut të punës. Sektori privat duhet të angazhohet në këto përpjekje.</w:t>
            </w:r>
          </w:p>
        </w:tc>
        <w:tc>
          <w:tcPr>
            <w:tcW w:w="1170" w:type="dxa"/>
            <w:shd w:val="clear" w:color="auto" w:fill="DEEAF6"/>
          </w:tcPr>
          <w:p w:rsidR="00D10601" w:rsidRPr="00D10601" w:rsidRDefault="00D10601" w:rsidP="00A63A67">
            <w:pPr>
              <w:jc w:val="center"/>
              <w:rPr>
                <w:b/>
                <w:lang w:eastAsia="de-DE"/>
              </w:rPr>
            </w:pPr>
            <w:r w:rsidRPr="00D10601">
              <w:rPr>
                <w:b/>
              </w:rPr>
              <w:t>UNDP</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left="111" w:right="191"/>
            </w:pPr>
            <w:r w:rsidRPr="00410192">
              <w:t>Kjo adresohet nga masa 13, aktiviteti 4 dhe 5 në vitin 2020,  aktiviteti 3 në vitin 2021 dhe aktiviteti 2 në vitin 2022</w:t>
            </w:r>
          </w:p>
        </w:tc>
      </w:tr>
      <w:tr w:rsidR="00D10601" w:rsidRPr="00410192" w:rsidTr="00A63A67">
        <w:trPr>
          <w:trHeight w:val="818"/>
        </w:trPr>
        <w:tc>
          <w:tcPr>
            <w:tcW w:w="2400" w:type="dxa"/>
            <w:shd w:val="clear" w:color="auto" w:fill="DEEAF6"/>
          </w:tcPr>
          <w:p w:rsidR="00D10601" w:rsidRPr="00410192" w:rsidRDefault="00D10601" w:rsidP="00A63A67">
            <w:pPr>
              <w:pStyle w:val="TableParagraph"/>
              <w:tabs>
                <w:tab w:val="left" w:pos="527"/>
                <w:tab w:val="left" w:pos="726"/>
                <w:tab w:val="left" w:pos="1532"/>
                <w:tab w:val="left" w:pos="1592"/>
              </w:tabs>
              <w:ind w:right="94"/>
              <w:rPr>
                <w:highlight w:val="green"/>
              </w:rPr>
            </w:pPr>
            <w:r w:rsidRPr="00410192">
              <w:lastRenderedPageBreak/>
              <w:t>VII. Punësimi dhe tregu i punës</w:t>
            </w:r>
          </w:p>
        </w:tc>
        <w:tc>
          <w:tcPr>
            <w:tcW w:w="4500" w:type="dxa"/>
            <w:shd w:val="clear" w:color="auto" w:fill="DEEAF6"/>
          </w:tcPr>
          <w:p w:rsidR="00D10601" w:rsidRPr="00410192" w:rsidRDefault="00D10601" w:rsidP="00A63A67">
            <w:pPr>
              <w:pStyle w:val="TableParagraph"/>
              <w:ind w:right="98"/>
              <w:jc w:val="both"/>
            </w:pPr>
            <w:r w:rsidRPr="00410192">
              <w:t xml:space="preserve">Ne mbështesim synimin e autoriteteve për zbatimin e politikave aktive të tregut të punës. </w:t>
            </w:r>
            <w:r w:rsidRPr="00410192">
              <w:rPr>
                <w:b/>
                <w:highlight w:val="yellow"/>
              </w:rPr>
              <w:t xml:space="preserve">Këto politika në përgjithësi synojnë adresimin e </w:t>
            </w:r>
            <w:proofErr w:type="spellStart"/>
            <w:r w:rsidRPr="00410192">
              <w:rPr>
                <w:b/>
                <w:highlight w:val="yellow"/>
              </w:rPr>
              <w:t>histerezës</w:t>
            </w:r>
            <w:proofErr w:type="spellEnd"/>
            <w:r w:rsidRPr="00410192">
              <w:rPr>
                <w:b/>
                <w:highlight w:val="yellow"/>
              </w:rPr>
              <w:t xml:space="preserve"> së papunësisë.</w:t>
            </w:r>
            <w:r w:rsidRPr="00410192">
              <w:rPr>
                <w:b/>
              </w:rPr>
              <w:t xml:space="preserve"> </w:t>
            </w:r>
          </w:p>
          <w:p w:rsidR="00D10601" w:rsidRPr="00410192" w:rsidRDefault="00D10601" w:rsidP="00A63A67">
            <w:pPr>
              <w:pStyle w:val="TableParagraph"/>
              <w:ind w:left="720" w:right="98"/>
              <w:jc w:val="both"/>
            </w:pPr>
          </w:p>
          <w:p w:rsidR="00D10601" w:rsidRPr="00410192" w:rsidRDefault="00D10601" w:rsidP="00A63A67">
            <w:pPr>
              <w:pStyle w:val="TableParagraph"/>
              <w:ind w:right="98"/>
              <w:jc w:val="both"/>
              <w:rPr>
                <w:b/>
              </w:rPr>
            </w:pPr>
            <w:r w:rsidRPr="00410192">
              <w:t xml:space="preserve">Megjithatë, nuk e kemi të qartë nëse ka të dhëna të mjaftueshme në dispozicion që mbështesin idenë se </w:t>
            </w:r>
            <w:proofErr w:type="spellStart"/>
            <w:r w:rsidRPr="00410192">
              <w:t>histereza</w:t>
            </w:r>
            <w:proofErr w:type="spellEnd"/>
            <w:r w:rsidRPr="00410192">
              <w:t xml:space="preserve"> përbën një problem në Kosovë. Në këtë drejtim, veprimet e planifikuara mund të përfshijnë edhe </w:t>
            </w:r>
            <w:r w:rsidRPr="00410192">
              <w:rPr>
                <w:b/>
                <w:highlight w:val="yellow"/>
              </w:rPr>
              <w:t xml:space="preserve">një modul për matjen më të mirë të  faktorëve të papunësisë në </w:t>
            </w:r>
            <w:proofErr w:type="spellStart"/>
            <w:r w:rsidRPr="00410192">
              <w:rPr>
                <w:b/>
                <w:highlight w:val="yellow"/>
              </w:rPr>
              <w:t>grupmosha</w:t>
            </w:r>
            <w:proofErr w:type="spellEnd"/>
            <w:r w:rsidRPr="00410192">
              <w:rPr>
                <w:b/>
                <w:highlight w:val="yellow"/>
              </w:rPr>
              <w:t xml:space="preserve"> të ndryshme. </w:t>
            </w:r>
            <w:r w:rsidRPr="00410192">
              <w:rPr>
                <w:b/>
                <w:highlight w:val="yellow"/>
                <w:u w:val="single"/>
              </w:rPr>
              <w:t>Kjo mund të bëhet lehtë përmes prezantimit të pyetjeve të përshtatshme në anketat e rregullta të fuqisë punëtore.</w:t>
            </w:r>
            <w:r w:rsidRPr="00410192">
              <w:rPr>
                <w:b/>
              </w:rPr>
              <w:t xml:space="preserve"> </w:t>
            </w:r>
          </w:p>
        </w:tc>
        <w:tc>
          <w:tcPr>
            <w:tcW w:w="1170" w:type="dxa"/>
            <w:shd w:val="clear" w:color="auto" w:fill="DEEAF6"/>
          </w:tcPr>
          <w:p w:rsidR="00D10601" w:rsidRPr="00410192" w:rsidRDefault="00D10601" w:rsidP="00A63A67">
            <w:pPr>
              <w:pStyle w:val="TableParagraph"/>
              <w:spacing w:line="247" w:lineRule="exact"/>
              <w:ind w:left="106"/>
              <w:jc w:val="center"/>
              <w:rPr>
                <w:b/>
              </w:rPr>
            </w:pPr>
            <w:r w:rsidRPr="00410192">
              <w:rPr>
                <w:b/>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Default"/>
              <w:spacing w:after="60"/>
              <w:jc w:val="both"/>
              <w:rPr>
                <w:sz w:val="22"/>
                <w:szCs w:val="22"/>
                <w:lang w:val="sq-AL"/>
              </w:rPr>
            </w:pPr>
            <w:r w:rsidRPr="00410192">
              <w:rPr>
                <w:sz w:val="22"/>
                <w:szCs w:val="22"/>
                <w:lang w:val="sq-AL"/>
              </w:rPr>
              <w:t xml:space="preserve">Përfshirja e modulit të ri në AFP në lidhje me "Aksidentet në punë dhe problemet shëndetësore në vendin e punës" - do të zhvillohet nga ASK-ja në kuadër të AFP-së në TM4 2020. Ndërsa në modulin e parashikimit të papunësisë për </w:t>
            </w:r>
            <w:proofErr w:type="spellStart"/>
            <w:r w:rsidRPr="00410192">
              <w:rPr>
                <w:sz w:val="22"/>
                <w:szCs w:val="22"/>
                <w:lang w:val="sq-AL"/>
              </w:rPr>
              <w:t>grupmoshat</w:t>
            </w:r>
            <w:proofErr w:type="spellEnd"/>
            <w:r w:rsidRPr="00410192">
              <w:rPr>
                <w:sz w:val="22"/>
                <w:szCs w:val="22"/>
                <w:lang w:val="sq-AL"/>
              </w:rPr>
              <w:t xml:space="preserve"> e ndryshme, ASK-ja ende nuk ka përfshirë asnjërin prej moduleve të rregullta të AAP-së që zbatohen në vendet e BE-së. Pas Regjistrimit të Popullsisë 2021, ASK-ja ka planifikuar të përfshijë module të rregullta në AAP dhe gjithashtu do të rishikojë opsionet për përfshirjen e modulit të parashikimit të papunësisë për </w:t>
            </w:r>
            <w:proofErr w:type="spellStart"/>
            <w:r w:rsidRPr="00410192">
              <w:rPr>
                <w:sz w:val="22"/>
                <w:szCs w:val="22"/>
                <w:lang w:val="sq-AL"/>
              </w:rPr>
              <w:t>grupmoshat</w:t>
            </w:r>
            <w:proofErr w:type="spellEnd"/>
            <w:r w:rsidRPr="00410192">
              <w:rPr>
                <w:sz w:val="22"/>
                <w:szCs w:val="22"/>
                <w:lang w:val="sq-AL"/>
              </w:rPr>
              <w:t xml:space="preserve"> e ndryshme.</w:t>
            </w:r>
          </w:p>
          <w:p w:rsidR="00D10601" w:rsidRPr="00410192" w:rsidRDefault="00D10601" w:rsidP="00A63A67">
            <w:pPr>
              <w:pStyle w:val="Default"/>
              <w:spacing w:after="60"/>
              <w:jc w:val="both"/>
              <w:rPr>
                <w:sz w:val="22"/>
                <w:szCs w:val="22"/>
                <w:lang w:val="sq-AL"/>
              </w:rPr>
            </w:pPr>
            <w:r w:rsidRPr="00410192">
              <w:rPr>
                <w:sz w:val="22"/>
                <w:szCs w:val="22"/>
                <w:lang w:val="sq-AL"/>
              </w:rPr>
              <w:t>ASK-ja gjithashtu do të rishikojë mundësitë e përfshirjes së një moduli mbi diskriminimin në bazë gjinore në AFP pas Regjistrimit të Popullsisë së vitit 2021.</w:t>
            </w:r>
          </w:p>
        </w:tc>
      </w:tr>
      <w:tr w:rsidR="00D10601" w:rsidRPr="00410192" w:rsidTr="00A63A67">
        <w:trPr>
          <w:trHeight w:val="818"/>
        </w:trPr>
        <w:tc>
          <w:tcPr>
            <w:tcW w:w="2400" w:type="dxa"/>
            <w:shd w:val="clear" w:color="auto" w:fill="DEEAF6"/>
          </w:tcPr>
          <w:p w:rsidR="00D10601" w:rsidRPr="00410192" w:rsidRDefault="00D10601" w:rsidP="00A63A67">
            <w:pPr>
              <w:pStyle w:val="TableParagraph"/>
              <w:tabs>
                <w:tab w:val="left" w:pos="527"/>
                <w:tab w:val="left" w:pos="726"/>
                <w:tab w:val="left" w:pos="1532"/>
                <w:tab w:val="left" w:pos="1592"/>
              </w:tabs>
              <w:ind w:right="94"/>
            </w:pPr>
            <w:r w:rsidRPr="00410192">
              <w:t>VII. Punësimi dhe tregu i punës</w:t>
            </w:r>
          </w:p>
        </w:tc>
        <w:tc>
          <w:tcPr>
            <w:tcW w:w="4500" w:type="dxa"/>
            <w:shd w:val="clear" w:color="auto" w:fill="DEEAF6"/>
          </w:tcPr>
          <w:p w:rsidR="00D10601" w:rsidRPr="00410192" w:rsidRDefault="00D10601" w:rsidP="00A63A67">
            <w:pPr>
              <w:pStyle w:val="TableParagraph"/>
              <w:ind w:right="98"/>
              <w:jc w:val="both"/>
            </w:pPr>
            <w:r w:rsidRPr="00410192">
              <w:t xml:space="preserve">Si parim i përgjithshëm, ne ndajmë  mendimin që </w:t>
            </w:r>
            <w:r w:rsidRPr="00410192">
              <w:rPr>
                <w:b/>
              </w:rPr>
              <w:t>fuqizimi institucional i operacioneve dhe kapaciteteve të Agjencisë së Statistikave të Kosovës është i domosdoshëm për përmirësimin e cilësisë së të dhënave, duke përfshirë të dhënat rreth punës.</w:t>
            </w:r>
            <w:r w:rsidRPr="00410192">
              <w:t xml:space="preserve"> </w:t>
            </w:r>
            <w:r w:rsidRPr="00410192">
              <w:rPr>
                <w:u w:val="single"/>
              </w:rPr>
              <w:t xml:space="preserve">Një masë e veçantë duhet të përshkruajë </w:t>
            </w:r>
            <w:r w:rsidRPr="00410192">
              <w:rPr>
                <w:b/>
                <w:u w:val="single"/>
              </w:rPr>
              <w:t>se si përpjekjet në vazhdim e sipër ose të planifikuara për përmirësimin e operacioneve të ASK-së pritet të rezultojnë në të dhëna më cilësore dhe më të shpejta, duke përfshirë të dhënat për tregun e punës.</w:t>
            </w:r>
            <w:r w:rsidRPr="00410192">
              <w:rPr>
                <w:b/>
              </w:rPr>
              <w:t xml:space="preserve"> </w:t>
            </w:r>
            <w:r w:rsidRPr="00410192">
              <w:t>Ne besojmë që fuqizimi i kapaciteteve të ASK-së duhet të bëhet paralelisht me përmirësimet e planifikuara mostër dhe/ose me përfshirjen e moduleve të reja në Anketën e Fuqisë Punëtore.</w:t>
            </w:r>
          </w:p>
        </w:tc>
        <w:tc>
          <w:tcPr>
            <w:tcW w:w="1170" w:type="dxa"/>
            <w:shd w:val="clear" w:color="auto" w:fill="DEEAF6"/>
          </w:tcPr>
          <w:p w:rsidR="00D10601" w:rsidRPr="00410192" w:rsidRDefault="00D10601" w:rsidP="00A63A67">
            <w:pPr>
              <w:pStyle w:val="TableParagraph"/>
              <w:spacing w:line="247" w:lineRule="exact"/>
              <w:ind w:left="106"/>
              <w:jc w:val="center"/>
              <w:rPr>
                <w:b/>
              </w:rPr>
            </w:pPr>
            <w:r w:rsidRPr="00410192">
              <w:rPr>
                <w:b/>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Nuk pranohet</w:t>
            </w:r>
          </w:p>
        </w:tc>
        <w:tc>
          <w:tcPr>
            <w:tcW w:w="4950" w:type="dxa"/>
            <w:shd w:val="clear" w:color="auto" w:fill="DEEAF6"/>
          </w:tcPr>
          <w:p w:rsidR="00D10601" w:rsidRPr="00410192" w:rsidRDefault="00D10601" w:rsidP="00A63A67">
            <w:pPr>
              <w:pStyle w:val="TableParagraph"/>
              <w:ind w:right="191"/>
              <w:jc w:val="both"/>
            </w:pPr>
            <w:r w:rsidRPr="00410192">
              <w:rPr>
                <w:u w:val="single"/>
              </w:rPr>
              <w:t xml:space="preserve">Për këtë cikël, nuk ka ndonjë masë specifike të parashikuar që do të përmirësojë operacionet e ASK-së dhe rrjedhimisht </w:t>
            </w:r>
            <w:r w:rsidRPr="00410192">
              <w:rPr>
                <w:b/>
                <w:u w:val="single"/>
              </w:rPr>
              <w:t>të çojë në të dhëna më cilësore dhe më të shpejta, duke përfshirë të dhënat e tregut të punës, krahas</w:t>
            </w:r>
            <w:r w:rsidRPr="00410192">
              <w:t xml:space="preserve"> përmirësimeve të planifikuara dhe përfshirjes së moduleve të reja në Anketën e Fuqisë Punëtore.</w:t>
            </w:r>
          </w:p>
          <w:p w:rsidR="00D10601" w:rsidRPr="00410192" w:rsidRDefault="00D10601" w:rsidP="00A63A67">
            <w:pPr>
              <w:pStyle w:val="TableParagraph"/>
              <w:ind w:right="191"/>
              <w:jc w:val="both"/>
            </w:pPr>
          </w:p>
          <w:p w:rsidR="00D10601" w:rsidRPr="00410192" w:rsidRDefault="00D10601" w:rsidP="00A63A67">
            <w:pPr>
              <w:pStyle w:val="TableParagraph"/>
              <w:ind w:left="111" w:right="191"/>
              <w:jc w:val="both"/>
            </w:pPr>
          </w:p>
        </w:tc>
      </w:tr>
      <w:tr w:rsidR="00D10601" w:rsidRPr="00410192" w:rsidTr="00A63A67">
        <w:trPr>
          <w:trHeight w:val="818"/>
        </w:trPr>
        <w:tc>
          <w:tcPr>
            <w:tcW w:w="2400" w:type="dxa"/>
            <w:shd w:val="clear" w:color="auto" w:fill="DEEAF6"/>
          </w:tcPr>
          <w:p w:rsidR="00D10601" w:rsidRPr="00410192" w:rsidRDefault="00D10601" w:rsidP="00A63A67">
            <w:pPr>
              <w:pStyle w:val="TableParagraph"/>
              <w:tabs>
                <w:tab w:val="left" w:pos="527"/>
                <w:tab w:val="left" w:pos="726"/>
                <w:tab w:val="left" w:pos="1532"/>
                <w:tab w:val="left" w:pos="1592"/>
              </w:tabs>
              <w:ind w:right="94"/>
            </w:pPr>
            <w:r w:rsidRPr="00410192">
              <w:t>VIII. Përfshirja sociale, ulja e varfërisë dhe mundësitë e barabarta</w:t>
            </w:r>
          </w:p>
        </w:tc>
        <w:tc>
          <w:tcPr>
            <w:tcW w:w="4500" w:type="dxa"/>
            <w:shd w:val="clear" w:color="auto" w:fill="DEEAF6"/>
          </w:tcPr>
          <w:p w:rsidR="00D10601" w:rsidRPr="00410192" w:rsidRDefault="00D10601" w:rsidP="00A63A67">
            <w:pPr>
              <w:pStyle w:val="TableParagraph"/>
              <w:ind w:right="98"/>
              <w:jc w:val="both"/>
            </w:pPr>
            <w:r w:rsidRPr="00410192">
              <w:t xml:space="preserve">Shqyrtimi i masave të planifikuara në këtë fushë sugjeron se disa intervenime bëhen përmes OJQ-ve. Në qoftë se e kemi kuptuar drejt, </w:t>
            </w:r>
            <w:r w:rsidRPr="00410192">
              <w:rPr>
                <w:b/>
              </w:rPr>
              <w:t xml:space="preserve">do të ishte i mirëseardhur një përshkrim i procesit të përzgjedhjes së OJQ-ve të tilla dhe i masave në vazhdim e sipër ose të planifikuara për monitorimin e </w:t>
            </w:r>
            <w:proofErr w:type="spellStart"/>
            <w:r w:rsidRPr="00410192">
              <w:rPr>
                <w:b/>
              </w:rPr>
              <w:t>performancës</w:t>
            </w:r>
            <w:proofErr w:type="spellEnd"/>
            <w:r w:rsidRPr="00410192">
              <w:rPr>
                <w:b/>
              </w:rPr>
              <w:t xml:space="preserve"> së tyre në arritjen e objektivave të shtetit.</w:t>
            </w:r>
            <w:r w:rsidRPr="00410192">
              <w:t xml:space="preserve"> </w:t>
            </w:r>
          </w:p>
          <w:p w:rsidR="00D10601" w:rsidRPr="00410192" w:rsidRDefault="00D10601" w:rsidP="00A63A67">
            <w:pPr>
              <w:pStyle w:val="TableParagraph"/>
              <w:ind w:right="98"/>
              <w:jc w:val="both"/>
            </w:pPr>
          </w:p>
        </w:tc>
        <w:tc>
          <w:tcPr>
            <w:tcW w:w="1170" w:type="dxa"/>
            <w:shd w:val="clear" w:color="auto" w:fill="DEEAF6"/>
          </w:tcPr>
          <w:p w:rsidR="00D10601" w:rsidRPr="00410192" w:rsidRDefault="00D10601" w:rsidP="00A63A67">
            <w:pPr>
              <w:pStyle w:val="TableParagraph"/>
              <w:spacing w:line="247" w:lineRule="exact"/>
              <w:ind w:left="106"/>
              <w:jc w:val="center"/>
              <w:rPr>
                <w:b/>
              </w:rPr>
            </w:pPr>
            <w:r w:rsidRPr="00410192">
              <w:rPr>
                <w:b/>
              </w:rPr>
              <w:t>FMN</w:t>
            </w:r>
          </w:p>
        </w:tc>
        <w:tc>
          <w:tcPr>
            <w:tcW w:w="2150" w:type="dxa"/>
            <w:shd w:val="clear" w:color="auto" w:fill="DEEAF6"/>
          </w:tcPr>
          <w:p w:rsidR="00D10601" w:rsidRPr="00410192" w:rsidRDefault="00D10601" w:rsidP="00A63A67">
            <w:pPr>
              <w:pStyle w:val="TableParagraph"/>
              <w:spacing w:line="247" w:lineRule="exact"/>
              <w:ind w:left="110"/>
              <w:rPr>
                <w:b/>
              </w:rPr>
            </w:pPr>
            <w:r w:rsidRPr="00410192">
              <w:rPr>
                <w:b/>
              </w:rPr>
              <w:t xml:space="preserve">Nuk pranohet </w:t>
            </w:r>
          </w:p>
        </w:tc>
        <w:tc>
          <w:tcPr>
            <w:tcW w:w="4950" w:type="dxa"/>
            <w:shd w:val="clear" w:color="auto" w:fill="DEEAF6"/>
          </w:tcPr>
          <w:p w:rsidR="00D10601" w:rsidRPr="00410192" w:rsidRDefault="00D10601" w:rsidP="00A63A67">
            <w:pPr>
              <w:pStyle w:val="TableParagraph"/>
              <w:ind w:right="191"/>
              <w:jc w:val="both"/>
            </w:pPr>
            <w:r w:rsidRPr="00410192">
              <w:t>MPMS-ja është përgjegjëse për licencimin e ofruesve jo-qeveritarë të shërbimeve sociale dhe familjare, kështu që në mungesë ose paaftësi të sektorit publik për të ofruar shërbime sociale, MPMS-ja siguron mbështetje dhe kontrakton sektorin joqeveritar (OJQ) për ofrimin e shërbimeve të caktuara siç janë mbrojtja e viktimave të dhunës në familje ose trafikimit, ose shërbimet ditore dhe shtëpiake për fëmijë dhe të rritur me aftësi të kufizuara.</w:t>
            </w:r>
          </w:p>
          <w:p w:rsidR="00D10601" w:rsidRPr="00410192" w:rsidRDefault="00D10601" w:rsidP="00A63A67">
            <w:pPr>
              <w:pStyle w:val="TableParagraph"/>
              <w:ind w:right="191"/>
              <w:jc w:val="both"/>
              <w:rPr>
                <w:b/>
              </w:rPr>
            </w:pPr>
            <w:r w:rsidRPr="00410192">
              <w:t xml:space="preserve">Për të arritur rezultatet dhe për të zbatuar objektivat e </w:t>
            </w:r>
            <w:r w:rsidRPr="00410192">
              <w:lastRenderedPageBreak/>
              <w:t>mbështetjes që u ofrohen OJQ-ve nga fondet publike, ekzistojnë mekanizma për monitorimin dhe inspektimin e zbatimit të projekteve dhe standardeve për shërbimet sociale.</w:t>
            </w:r>
          </w:p>
        </w:tc>
      </w:tr>
      <w:tr w:rsidR="00D10601" w:rsidRPr="00410192" w:rsidTr="00A63A67">
        <w:trPr>
          <w:trHeight w:val="818"/>
        </w:trPr>
        <w:tc>
          <w:tcPr>
            <w:tcW w:w="2400" w:type="dxa"/>
            <w:shd w:val="clear" w:color="auto" w:fill="DEEAF6"/>
          </w:tcPr>
          <w:p w:rsidR="00D10601" w:rsidRPr="00410192" w:rsidRDefault="00D10601" w:rsidP="00A63A67">
            <w:pPr>
              <w:pStyle w:val="TableParagraph"/>
              <w:tabs>
                <w:tab w:val="left" w:pos="527"/>
                <w:tab w:val="left" w:pos="726"/>
                <w:tab w:val="left" w:pos="1532"/>
                <w:tab w:val="left" w:pos="1592"/>
              </w:tabs>
              <w:ind w:right="94"/>
            </w:pPr>
            <w:r w:rsidRPr="00410192">
              <w:lastRenderedPageBreak/>
              <w:t>VIII. Përfshirja sociale, ulja e varfërisë dhe mundësitë e barabarta</w:t>
            </w:r>
          </w:p>
        </w:tc>
        <w:tc>
          <w:tcPr>
            <w:tcW w:w="4500" w:type="dxa"/>
            <w:shd w:val="clear" w:color="auto" w:fill="DEEAF6"/>
          </w:tcPr>
          <w:p w:rsidR="00D10601" w:rsidRPr="00410192" w:rsidRDefault="00D10601" w:rsidP="00A63A67">
            <w:pPr>
              <w:pStyle w:val="TableParagraph"/>
              <w:ind w:right="98"/>
              <w:jc w:val="both"/>
              <w:rPr>
                <w:b/>
              </w:rPr>
            </w:pPr>
            <w:r w:rsidRPr="00410192">
              <w:t xml:space="preserve">Më përgjithësisht, kjo pjesë mund të përmbledhë ndikimin në përfshirjen sociale dhe uljen e varfërisë të veprimeve të PRE-së në gjithë spektrin e reformave. PRE-ja veçse diskuton dhe vlerëson ndikimin në varfëri dhe </w:t>
            </w:r>
            <w:proofErr w:type="spellStart"/>
            <w:r w:rsidRPr="00410192">
              <w:t>gjithëpërfshirje</w:t>
            </w:r>
            <w:proofErr w:type="spellEnd"/>
            <w:r w:rsidRPr="00410192">
              <w:t xml:space="preserve"> të secilës masë individuale. </w:t>
            </w:r>
            <w:r w:rsidRPr="00410192">
              <w:rPr>
                <w:b/>
              </w:rPr>
              <w:t xml:space="preserve">Prandaj, kjo pjesë mund të përmbledhë (p.sh. në një tabelë) ndikimin e përgjithshëm të pritur në përfshirjen sociale, uljen e varfërisë dhe </w:t>
            </w:r>
            <w:proofErr w:type="spellStart"/>
            <w:r w:rsidRPr="00410192">
              <w:rPr>
                <w:b/>
              </w:rPr>
              <w:t>gjithëpërfshirje</w:t>
            </w:r>
            <w:proofErr w:type="spellEnd"/>
            <w:r w:rsidRPr="00410192">
              <w:rPr>
                <w:b/>
              </w:rPr>
              <w:t xml:space="preserve"> në gjithë spektrin e reformave.</w:t>
            </w:r>
          </w:p>
        </w:tc>
        <w:tc>
          <w:tcPr>
            <w:tcW w:w="1170" w:type="dxa"/>
            <w:shd w:val="clear" w:color="auto" w:fill="DEEAF6"/>
          </w:tcPr>
          <w:p w:rsidR="00D10601" w:rsidRPr="00410192" w:rsidRDefault="00D10601" w:rsidP="00A63A67">
            <w:pPr>
              <w:pStyle w:val="TableParagraph"/>
              <w:spacing w:line="247" w:lineRule="exact"/>
              <w:ind w:left="106"/>
              <w:jc w:val="center"/>
              <w:rPr>
                <w:b/>
              </w:rPr>
            </w:pPr>
            <w:r w:rsidRPr="00410192">
              <w:rPr>
                <w:b/>
              </w:rPr>
              <w:t>FMN</w:t>
            </w:r>
          </w:p>
        </w:tc>
        <w:tc>
          <w:tcPr>
            <w:tcW w:w="2150" w:type="dxa"/>
            <w:shd w:val="clear" w:color="auto" w:fill="DEEAF6"/>
          </w:tcPr>
          <w:p w:rsidR="00D10601" w:rsidRPr="00410192" w:rsidRDefault="00D10601" w:rsidP="00A63A67">
            <w:pPr>
              <w:pStyle w:val="TableParagraph"/>
              <w:rPr>
                <w:b/>
              </w:rPr>
            </w:pPr>
            <w:r w:rsidRPr="00410192">
              <w:rPr>
                <w:b/>
              </w:rPr>
              <w:t>Pranohet</w:t>
            </w:r>
          </w:p>
          <w:p w:rsidR="00D10601" w:rsidRPr="00410192" w:rsidRDefault="00D10601" w:rsidP="00A63A67">
            <w:pPr>
              <w:pStyle w:val="TableParagraph"/>
              <w:spacing w:line="247" w:lineRule="exact"/>
              <w:ind w:left="110"/>
              <w:rPr>
                <w:b/>
              </w:rPr>
            </w:pPr>
          </w:p>
        </w:tc>
        <w:tc>
          <w:tcPr>
            <w:tcW w:w="4950" w:type="dxa"/>
            <w:shd w:val="clear" w:color="auto" w:fill="DEEAF6"/>
          </w:tcPr>
          <w:p w:rsidR="00D10601" w:rsidRPr="00410192" w:rsidRDefault="00D10601" w:rsidP="00A63A67">
            <w:pPr>
              <w:pStyle w:val="TableParagraph"/>
              <w:ind w:right="98"/>
              <w:jc w:val="both"/>
            </w:pPr>
            <w:r w:rsidRPr="00410192">
              <w:t xml:space="preserve">Në PRE-në e këtij viti nuk ka ende asnjë masë sasiore lidhur me ndikimin e secilës masë në varfëri dhe </w:t>
            </w:r>
            <w:proofErr w:type="spellStart"/>
            <w:r w:rsidRPr="00410192">
              <w:t>gjithëpërfshirje</w:t>
            </w:r>
            <w:proofErr w:type="spellEnd"/>
            <w:r w:rsidRPr="00410192">
              <w:t xml:space="preserve">. Megjithatë, autoritetet kanë përfshirë disa masa cilësore për ndikime të tilla dhe ato përfshihen në përshkrimin e secilës masë. Prandaj, </w:t>
            </w:r>
            <w:r w:rsidRPr="00410192">
              <w:rPr>
                <w:u w:val="single"/>
              </w:rPr>
              <w:t xml:space="preserve">në PRE 2020-22 do të përfshihet një tabelë e cila do të përmbledhë përshkrimet e ndikimit të secilës masë. </w:t>
            </w:r>
            <w:r w:rsidRPr="00410192">
              <w:t>Sidoqoftë, autoritetet janë në proces të ndërtimit të një matrice të kontabilitetit shoqëror e cila do të mundësojë një matje më të hollësishme dhe më të thellë të ndikimit të çdo reforme në përfshirjen sociale dhe uljen e varfërisë. Kjo do të shtohet potencialisht në PRE në të ardhmen. Megjithatë, në PRE-në e këtij viti do të përfshijmë një analizë më të hollësishme të ndikimit shoqëror të pesë masave kryesore për të cilat besohet se kanë ndikim më të rëndësishëm. Ky ndikim bazohet në matricën e kontabilitetit shoqëror të krijuar për ekonominë e Kosovës. Këto pesë masa janë ato për të cilat kemi përfshirë edhe ndikimin ekonomik. Për ta parë këtë përshkrim të hollësishëm, referojuni kutisë së informacionit numër 3: Vlerësimi i ndikimit ekonomik të reformave ekonomike.</w:t>
            </w:r>
          </w:p>
        </w:tc>
      </w:tr>
      <w:tr w:rsidR="00D10601" w:rsidRPr="00410192" w:rsidTr="00A63A67">
        <w:trPr>
          <w:trHeight w:val="2672"/>
        </w:trPr>
        <w:tc>
          <w:tcPr>
            <w:tcW w:w="2400" w:type="dxa"/>
            <w:shd w:val="clear" w:color="auto" w:fill="DEEAF6"/>
          </w:tcPr>
          <w:p w:rsidR="00D10601" w:rsidRPr="00410192" w:rsidRDefault="00D10601" w:rsidP="00A63A67">
            <w:r w:rsidRPr="00410192">
              <w:t>VII. Punësimi dhe tregu i punës</w:t>
            </w:r>
          </w:p>
          <w:p w:rsidR="00D10601" w:rsidRPr="00410192" w:rsidRDefault="00D10601" w:rsidP="00A63A67"/>
          <w:p w:rsidR="00D10601" w:rsidRPr="00410192" w:rsidRDefault="00D10601" w:rsidP="00A63A67"/>
          <w:p w:rsidR="00D10601" w:rsidRPr="00410192" w:rsidRDefault="00D10601" w:rsidP="00A63A67"/>
        </w:tc>
        <w:tc>
          <w:tcPr>
            <w:tcW w:w="4500" w:type="dxa"/>
            <w:shd w:val="clear" w:color="auto" w:fill="DEEAF6"/>
          </w:tcPr>
          <w:p w:rsidR="00D10601" w:rsidRPr="00410192" w:rsidRDefault="00D10601" w:rsidP="00A63A67">
            <w:pPr>
              <w:pStyle w:val="TableParagraph"/>
              <w:ind w:right="98"/>
              <w:jc w:val="both"/>
            </w:pPr>
            <w:r w:rsidRPr="00410192">
              <w:t xml:space="preserve">Përmirësimi i efikasitetit dhe efektivitetit të programeve të ndryshme aktive të tregut të punës. </w:t>
            </w:r>
            <w:r w:rsidRPr="00410192">
              <w:rPr>
                <w:b/>
                <w:highlight w:val="yellow"/>
                <w:u w:val="single"/>
              </w:rPr>
              <w:t xml:space="preserve">Pas vlerësimit të skemave të ndryshme, MPMS-ja/APRK-ja duhet të përshtatë shërbime të caktuara për nevojat e grupeve të caktuara të synuara dhe për t’i bërë më të përshtatshme për grupe të </w:t>
            </w:r>
            <w:proofErr w:type="spellStart"/>
            <w:r w:rsidRPr="00410192">
              <w:rPr>
                <w:b/>
                <w:highlight w:val="yellow"/>
                <w:u w:val="single"/>
              </w:rPr>
              <w:t>të</w:t>
            </w:r>
            <w:proofErr w:type="spellEnd"/>
            <w:r w:rsidRPr="00410192">
              <w:rPr>
                <w:b/>
                <w:highlight w:val="yellow"/>
                <w:u w:val="single"/>
              </w:rPr>
              <w:t xml:space="preserve"> papunëve afatgjatë dhe të cenueshëm.</w:t>
            </w:r>
            <w:r w:rsidRPr="00410192">
              <w:rPr>
                <w:b/>
                <w:u w:val="single"/>
              </w:rPr>
              <w:t xml:space="preserve"> </w:t>
            </w:r>
            <w:r w:rsidRPr="00410192">
              <w:t>Rekomandimet (të aspektit afatshkurtër, afatmesëm dhe afatgjatë) duhet të përfshihen dhe të zbatohen nga zyrat lokale të punësimit.</w:t>
            </w:r>
          </w:p>
        </w:tc>
        <w:tc>
          <w:tcPr>
            <w:tcW w:w="1170" w:type="dxa"/>
            <w:shd w:val="clear" w:color="auto" w:fill="DEEAF6"/>
          </w:tcPr>
          <w:p w:rsidR="00D10601" w:rsidRPr="00410192" w:rsidRDefault="00D10601" w:rsidP="00A63A67">
            <w:pPr>
              <w:pStyle w:val="TableParagraph"/>
              <w:spacing w:line="238" w:lineRule="exact"/>
              <w:ind w:left="106"/>
              <w:jc w:val="center"/>
              <w:rPr>
                <w:b/>
              </w:rPr>
            </w:pPr>
            <w:r w:rsidRPr="00410192">
              <w:rPr>
                <w:b/>
              </w:rPr>
              <w:t>Ambasada Gjermane</w:t>
            </w:r>
          </w:p>
          <w:p w:rsidR="00D10601" w:rsidRPr="00410192" w:rsidRDefault="00D10601" w:rsidP="00A63A67">
            <w:pPr>
              <w:jc w:val="center"/>
            </w:pPr>
          </w:p>
          <w:p w:rsidR="00D10601" w:rsidRPr="00410192" w:rsidRDefault="00D10601" w:rsidP="00A63A67">
            <w:pPr>
              <w:jc w:val="center"/>
            </w:pPr>
          </w:p>
          <w:p w:rsidR="00D10601" w:rsidRPr="00410192" w:rsidRDefault="00D10601" w:rsidP="00A63A67">
            <w:pPr>
              <w:jc w:val="center"/>
            </w:pPr>
          </w:p>
          <w:p w:rsidR="00D10601" w:rsidRPr="00410192" w:rsidRDefault="00D10601" w:rsidP="00A63A67">
            <w:pPr>
              <w:jc w:val="center"/>
            </w:pPr>
          </w:p>
          <w:p w:rsidR="00D10601" w:rsidRPr="00410192" w:rsidRDefault="00D10601" w:rsidP="00A63A67">
            <w:pPr>
              <w:jc w:val="center"/>
            </w:pPr>
          </w:p>
          <w:p w:rsidR="00D10601" w:rsidRPr="00410192" w:rsidRDefault="00D10601" w:rsidP="00A63A67">
            <w:pPr>
              <w:jc w:val="center"/>
            </w:pPr>
          </w:p>
          <w:p w:rsidR="00D10601" w:rsidRPr="00410192" w:rsidRDefault="00D10601" w:rsidP="00A63A67">
            <w:pPr>
              <w:jc w:val="center"/>
            </w:pPr>
          </w:p>
        </w:tc>
        <w:tc>
          <w:tcPr>
            <w:tcW w:w="2150" w:type="dxa"/>
            <w:shd w:val="clear" w:color="auto" w:fill="DEEAF6"/>
          </w:tcPr>
          <w:p w:rsidR="00D10601" w:rsidRPr="00410192" w:rsidRDefault="00D10601" w:rsidP="00A63A67">
            <w:pPr>
              <w:pStyle w:val="TableParagraph"/>
              <w:rPr>
                <w:b/>
              </w:rPr>
            </w:pPr>
            <w:r w:rsidRPr="00410192">
              <w:rPr>
                <w:b/>
              </w:rPr>
              <w:t>Pranohet</w:t>
            </w:r>
          </w:p>
          <w:p w:rsidR="00D10601" w:rsidRPr="00410192" w:rsidRDefault="00D10601" w:rsidP="00A63A67">
            <w:pPr>
              <w:rPr>
                <w:b/>
              </w:rPr>
            </w:pPr>
          </w:p>
          <w:p w:rsidR="00D10601" w:rsidRPr="00410192" w:rsidRDefault="00D10601" w:rsidP="00A63A67">
            <w:pPr>
              <w:rPr>
                <w:b/>
              </w:rPr>
            </w:pPr>
          </w:p>
          <w:p w:rsidR="00D10601" w:rsidRPr="00410192" w:rsidRDefault="00D10601" w:rsidP="00A63A67">
            <w:pPr>
              <w:rPr>
                <w:b/>
              </w:rPr>
            </w:pPr>
          </w:p>
          <w:p w:rsidR="00D10601" w:rsidRPr="00410192" w:rsidRDefault="00D10601" w:rsidP="00A63A67">
            <w:pPr>
              <w:rPr>
                <w:b/>
              </w:rPr>
            </w:pPr>
          </w:p>
          <w:p w:rsidR="00D10601" w:rsidRPr="00410192" w:rsidRDefault="00D10601" w:rsidP="00A63A67">
            <w:pPr>
              <w:rPr>
                <w:b/>
              </w:rPr>
            </w:pPr>
          </w:p>
        </w:tc>
        <w:tc>
          <w:tcPr>
            <w:tcW w:w="4950" w:type="dxa"/>
            <w:shd w:val="clear" w:color="auto" w:fill="DEEAF6"/>
          </w:tcPr>
          <w:p w:rsidR="00D10601" w:rsidRPr="00410192" w:rsidRDefault="00D10601" w:rsidP="00A63A67">
            <w:pPr>
              <w:jc w:val="both"/>
              <w:rPr>
                <w:u w:val="single"/>
              </w:rPr>
            </w:pPr>
            <w:r w:rsidRPr="00410192">
              <w:t>Përmirësimi i efikasitetit dhe efektivitetit të programeve të ndryshme aktive të tregut të punës sugjeron që APRK-ja duhet të zgjerojë gamën e shërbimeve të punësimit, veçanërisht për grupet e cenueshme. Në këtë drejtim, APRK-ja ka hartuar planin e punës për vitin 2020, dhe janë marrë masa për zgjerimin e shërbimeve duke hapur një paketë shërbimesh të ofruara për punëkërkuesit dhe për të rritur përfshirjen e grupeve të cenueshme (grupe të cenueshme: papunësia afatgjatë, gratë, të rinjtë, pakicat, etj.) në Masat Aktive të Tregut të Punës.</w:t>
            </w:r>
          </w:p>
        </w:tc>
      </w:tr>
      <w:tr w:rsidR="00D10601" w:rsidRPr="00410192" w:rsidTr="00A63A67">
        <w:trPr>
          <w:trHeight w:val="818"/>
        </w:trPr>
        <w:tc>
          <w:tcPr>
            <w:tcW w:w="2400" w:type="dxa"/>
            <w:shd w:val="clear" w:color="auto" w:fill="DEEAF6"/>
          </w:tcPr>
          <w:p w:rsidR="00D10601" w:rsidRPr="00410192" w:rsidRDefault="00D10601" w:rsidP="00A63A67">
            <w:pPr>
              <w:pStyle w:val="TableParagraph"/>
            </w:pPr>
            <w:r w:rsidRPr="00410192">
              <w:t>VII. Punësimi dhe tregu i punës</w:t>
            </w:r>
          </w:p>
        </w:tc>
        <w:tc>
          <w:tcPr>
            <w:tcW w:w="4500" w:type="dxa"/>
            <w:shd w:val="clear" w:color="auto" w:fill="DEEAF6"/>
          </w:tcPr>
          <w:p w:rsidR="00D10601" w:rsidRPr="00410192" w:rsidRDefault="00D10601" w:rsidP="00A63A67">
            <w:pPr>
              <w:pStyle w:val="TableParagraph"/>
              <w:ind w:right="98"/>
              <w:jc w:val="both"/>
            </w:pPr>
            <w:r w:rsidRPr="00410192">
              <w:rPr>
                <w:highlight w:val="yellow"/>
                <w:u w:val="single"/>
              </w:rPr>
              <w:t xml:space="preserve">Projekti YES i GIZ-it gjithashtu mbështet masa të ndryshme që synojnë grupet e cenueshme dhe adreson në veçanti gratë, pakicat etnike dhe </w:t>
            </w:r>
            <w:r w:rsidRPr="00410192">
              <w:rPr>
                <w:highlight w:val="yellow"/>
                <w:u w:val="single"/>
              </w:rPr>
              <w:lastRenderedPageBreak/>
              <w:t>personat me aftësi të kufizuara për të mbështetur integrimin e tyre në tregun e punës</w:t>
            </w:r>
            <w:r w:rsidRPr="00410192">
              <w:rPr>
                <w:highlight w:val="yellow"/>
              </w:rPr>
              <w:t>.</w:t>
            </w:r>
            <w:r w:rsidRPr="00410192">
              <w:t xml:space="preserve"> Qeveria duhet t’i japë përparësi më të lartë punësimit dhe aktivizimit të grave, pasi që pjesëmarrja e tyre në fuqinë punëtore është e ulët në mënyrë dramatike.</w:t>
            </w:r>
          </w:p>
        </w:tc>
        <w:tc>
          <w:tcPr>
            <w:tcW w:w="1170" w:type="dxa"/>
            <w:shd w:val="clear" w:color="auto" w:fill="DEEAF6"/>
          </w:tcPr>
          <w:p w:rsidR="00D10601" w:rsidRPr="00410192" w:rsidRDefault="00D10601" w:rsidP="00A63A67">
            <w:pPr>
              <w:pStyle w:val="TableParagraph"/>
              <w:spacing w:line="238" w:lineRule="exact"/>
              <w:ind w:left="106"/>
              <w:jc w:val="center"/>
              <w:rPr>
                <w:b/>
              </w:rPr>
            </w:pPr>
            <w:r w:rsidRPr="00410192">
              <w:rPr>
                <w:b/>
              </w:rPr>
              <w:lastRenderedPageBreak/>
              <w:t>Ambasada Gjermane</w:t>
            </w:r>
          </w:p>
          <w:p w:rsidR="00D10601" w:rsidRPr="00410192" w:rsidRDefault="00D10601" w:rsidP="00A63A67">
            <w:pPr>
              <w:pStyle w:val="TableParagraph"/>
              <w:spacing w:line="238" w:lineRule="exact"/>
              <w:ind w:left="106"/>
              <w:jc w:val="center"/>
            </w:pPr>
          </w:p>
        </w:tc>
        <w:tc>
          <w:tcPr>
            <w:tcW w:w="2150" w:type="dxa"/>
            <w:shd w:val="clear" w:color="auto" w:fill="DEEAF6"/>
          </w:tcPr>
          <w:p w:rsidR="00D10601" w:rsidRPr="00410192" w:rsidRDefault="00D10601" w:rsidP="00A63A67">
            <w:pPr>
              <w:pStyle w:val="TableParagraph"/>
              <w:spacing w:line="238" w:lineRule="exact"/>
              <w:rPr>
                <w:b/>
              </w:rPr>
            </w:pPr>
            <w:r w:rsidRPr="00410192">
              <w:rPr>
                <w:b/>
              </w:rPr>
              <w:t>Pranohet</w:t>
            </w:r>
          </w:p>
        </w:tc>
        <w:tc>
          <w:tcPr>
            <w:tcW w:w="4950" w:type="dxa"/>
            <w:shd w:val="clear" w:color="auto" w:fill="DEEAF6"/>
          </w:tcPr>
          <w:p w:rsidR="00D10601" w:rsidRPr="00410192" w:rsidRDefault="00D10601" w:rsidP="00A63A67">
            <w:pPr>
              <w:pStyle w:val="TableParagraph"/>
              <w:ind w:right="163"/>
              <w:jc w:val="both"/>
            </w:pPr>
            <w:r w:rsidRPr="00410192">
              <w:t xml:space="preserve">Përmes projektit YES të GIZ-it u ndërmjetësuan rreth 1,375 punëkërkues ose 29.8% të </w:t>
            </w:r>
            <w:proofErr w:type="spellStart"/>
            <w:r w:rsidRPr="00410192">
              <w:t>të</w:t>
            </w:r>
            <w:proofErr w:type="spellEnd"/>
            <w:r w:rsidRPr="00410192">
              <w:t xml:space="preserve"> gjithë atyre që janë ndërmjetësuar (gjithsej 4611). Nga këto 1,375 vende </w:t>
            </w:r>
            <w:r w:rsidRPr="00410192">
              <w:lastRenderedPageBreak/>
              <w:t>pune, të rinjtë marrin pjesë me 43.8%, ndërsa gratë marrin pjesë me 57.8%. Sipas përkatësisë etnike, të gjitha pakicat përbëjnë 10.9%. Gjithashtu, në kuadër të aktiviteteve të planifikuara në Masën 19. Aktiviteti 4. Zbatimi i masave aktive të punësimit për të paktën 3,000 persona të papunë afatgjatë, duke përfshirë por pa u kufizuar në rininë, gratë dhe personat e varfër në zonat rurale (APRK/MPMS) janë parashikuar aktivitete që do të zbatohen me mbështetjen e këtij projekti.</w:t>
            </w:r>
          </w:p>
        </w:tc>
      </w:tr>
      <w:tr w:rsidR="00D10601" w:rsidRPr="00410192" w:rsidTr="00A63A67">
        <w:trPr>
          <w:trHeight w:val="1520"/>
        </w:trPr>
        <w:tc>
          <w:tcPr>
            <w:tcW w:w="2400" w:type="dxa"/>
            <w:shd w:val="clear" w:color="auto" w:fill="DEEAF6"/>
          </w:tcPr>
          <w:p w:rsidR="00D10601" w:rsidRPr="00410192" w:rsidRDefault="00D10601" w:rsidP="00A63A67">
            <w:r w:rsidRPr="00410192">
              <w:lastRenderedPageBreak/>
              <w:t>VIII. Përfshirja sociale, ulja e varfërisë dhe mundësitë e barabarta</w:t>
            </w:r>
          </w:p>
        </w:tc>
        <w:tc>
          <w:tcPr>
            <w:tcW w:w="4500" w:type="dxa"/>
            <w:shd w:val="clear" w:color="auto" w:fill="DEEAF6"/>
          </w:tcPr>
          <w:p w:rsidR="00D10601" w:rsidRPr="00410192" w:rsidRDefault="00D10601" w:rsidP="00A63A67">
            <w:pPr>
              <w:pStyle w:val="TableParagraph"/>
              <w:ind w:right="98"/>
              <w:jc w:val="both"/>
            </w:pPr>
            <w:r w:rsidRPr="00410192">
              <w:t>Bazuar në miratimin e Ligjit për Ndërmarrjet Shoqërore, duhet të bëhen më shumë përpjekje për të lidhur strukturat e mirëqenies sociale me zyrat e punësimit në nivelin lokal dhe me mundësitë e punësimit në kuadër të ndërmarrjeve shoqërore.</w:t>
            </w:r>
          </w:p>
        </w:tc>
        <w:tc>
          <w:tcPr>
            <w:tcW w:w="1170" w:type="dxa"/>
            <w:shd w:val="clear" w:color="auto" w:fill="DEEAF6"/>
          </w:tcPr>
          <w:p w:rsidR="00D10601" w:rsidRPr="00410192" w:rsidRDefault="00D10601" w:rsidP="00A63A67">
            <w:pPr>
              <w:pStyle w:val="TableParagraph"/>
              <w:spacing w:line="238" w:lineRule="exact"/>
              <w:ind w:left="106"/>
              <w:jc w:val="center"/>
              <w:rPr>
                <w:b/>
              </w:rPr>
            </w:pPr>
            <w:r w:rsidRPr="00410192">
              <w:rPr>
                <w:b/>
              </w:rPr>
              <w:t>Ambasada Gjermane</w:t>
            </w:r>
          </w:p>
          <w:p w:rsidR="00D10601" w:rsidRPr="00410192" w:rsidRDefault="00D10601" w:rsidP="00A63A67">
            <w:pPr>
              <w:pStyle w:val="TableParagraph"/>
              <w:jc w:val="center"/>
            </w:pPr>
          </w:p>
        </w:tc>
        <w:tc>
          <w:tcPr>
            <w:tcW w:w="2150" w:type="dxa"/>
            <w:shd w:val="clear" w:color="auto" w:fill="DEEAF6"/>
          </w:tcPr>
          <w:p w:rsidR="00D10601" w:rsidRPr="00410192" w:rsidRDefault="00D10601" w:rsidP="00A63A67">
            <w:pPr>
              <w:pStyle w:val="TableParagraph"/>
              <w:rPr>
                <w:b/>
              </w:rPr>
            </w:pPr>
            <w:r w:rsidRPr="00410192">
              <w:rPr>
                <w:b/>
              </w:rPr>
              <w:t>Pranohet</w:t>
            </w:r>
          </w:p>
          <w:p w:rsidR="00D10601" w:rsidRPr="00410192" w:rsidRDefault="00D10601" w:rsidP="00A63A67">
            <w:pPr>
              <w:rPr>
                <w:b/>
              </w:rPr>
            </w:pPr>
          </w:p>
          <w:p w:rsidR="00D10601" w:rsidRPr="00410192" w:rsidRDefault="00D10601" w:rsidP="00A63A67">
            <w:pPr>
              <w:rPr>
                <w:b/>
              </w:rPr>
            </w:pPr>
          </w:p>
          <w:p w:rsidR="00D10601" w:rsidRPr="00410192" w:rsidRDefault="00D10601" w:rsidP="00A63A67">
            <w:pPr>
              <w:rPr>
                <w:b/>
              </w:rPr>
            </w:pPr>
          </w:p>
          <w:p w:rsidR="00D10601" w:rsidRPr="00410192" w:rsidRDefault="00D10601" w:rsidP="00A63A67">
            <w:pPr>
              <w:rPr>
                <w:b/>
              </w:rPr>
            </w:pPr>
          </w:p>
          <w:p w:rsidR="00D10601" w:rsidRPr="00410192" w:rsidRDefault="00D10601" w:rsidP="00A63A67">
            <w:pPr>
              <w:rPr>
                <w:b/>
              </w:rPr>
            </w:pPr>
          </w:p>
        </w:tc>
        <w:tc>
          <w:tcPr>
            <w:tcW w:w="4950" w:type="dxa"/>
            <w:shd w:val="clear" w:color="auto" w:fill="DEEAF6"/>
          </w:tcPr>
          <w:p w:rsidR="00D10601" w:rsidRPr="00410192" w:rsidRDefault="00D10601" w:rsidP="00A63A67">
            <w:pPr>
              <w:jc w:val="both"/>
            </w:pPr>
            <w:r w:rsidRPr="00410192">
              <w:t>MPMS-ja do të informohet rreth rekomandimeve të dhëna gjatë hartimit të legjislacionit dytësor për zbatimin e Ligjit për Ndërmarrjet Shoqërore, për të bërë më shumë përpjekje për të lidhur strukturat e mirëqenies sociale me zyrat e punësimit në nivelin komunal dhe mundësitë e punësimit në kuadër të ndërmarrjeve shoqërore.</w:t>
            </w:r>
          </w:p>
        </w:tc>
      </w:tr>
      <w:tr w:rsidR="00D10601" w:rsidRPr="00410192" w:rsidTr="00A63A67">
        <w:trPr>
          <w:trHeight w:val="818"/>
        </w:trPr>
        <w:tc>
          <w:tcPr>
            <w:tcW w:w="2400" w:type="dxa"/>
            <w:shd w:val="clear" w:color="auto" w:fill="DEEAF6"/>
          </w:tcPr>
          <w:p w:rsidR="00D10601" w:rsidRPr="00410192" w:rsidRDefault="00D10601" w:rsidP="00A63A67">
            <w:r w:rsidRPr="00410192">
              <w:t>VIII. Përfshirja sociale, ulja e varfërisë dhe mundësitë e barabarta</w:t>
            </w:r>
          </w:p>
        </w:tc>
        <w:tc>
          <w:tcPr>
            <w:tcW w:w="4500" w:type="dxa"/>
            <w:shd w:val="clear" w:color="auto" w:fill="DEEAF6"/>
          </w:tcPr>
          <w:p w:rsidR="00D10601" w:rsidRPr="00410192" w:rsidRDefault="00D10601" w:rsidP="00A63A67">
            <w:pPr>
              <w:pStyle w:val="TableParagraph"/>
              <w:spacing w:before="1"/>
              <w:ind w:right="95"/>
              <w:jc w:val="both"/>
            </w:pPr>
            <w:r w:rsidRPr="00410192">
              <w:t>Mbështetja për themelimin e ndërmarrjeve shoqërore të reja dhe për qëndrueshmërinë e atyre ekzistuese</w:t>
            </w:r>
          </w:p>
        </w:tc>
        <w:tc>
          <w:tcPr>
            <w:tcW w:w="1170" w:type="dxa"/>
            <w:shd w:val="clear" w:color="auto" w:fill="DEEAF6"/>
          </w:tcPr>
          <w:p w:rsidR="00D10601" w:rsidRPr="00410192" w:rsidRDefault="00D10601" w:rsidP="00A63A67">
            <w:pPr>
              <w:pStyle w:val="TableParagraph"/>
              <w:spacing w:line="238" w:lineRule="exact"/>
              <w:ind w:left="106"/>
              <w:jc w:val="center"/>
              <w:rPr>
                <w:b/>
              </w:rPr>
            </w:pPr>
            <w:r w:rsidRPr="00410192">
              <w:rPr>
                <w:b/>
              </w:rPr>
              <w:t>Ambasada Gjermane</w:t>
            </w:r>
          </w:p>
          <w:p w:rsidR="00D10601" w:rsidRPr="00410192" w:rsidRDefault="00D10601" w:rsidP="00A63A67">
            <w:pPr>
              <w:pStyle w:val="TableParagraph"/>
              <w:spacing w:line="238" w:lineRule="exact"/>
              <w:ind w:left="106"/>
              <w:jc w:val="center"/>
            </w:pPr>
          </w:p>
        </w:tc>
        <w:tc>
          <w:tcPr>
            <w:tcW w:w="2150" w:type="dxa"/>
            <w:shd w:val="clear" w:color="auto" w:fill="DEEAF6"/>
          </w:tcPr>
          <w:p w:rsidR="00D10601" w:rsidRPr="00410192" w:rsidRDefault="00D10601" w:rsidP="00A63A67">
            <w:pPr>
              <w:pStyle w:val="TableParagraph"/>
              <w:spacing w:line="238" w:lineRule="exact"/>
              <w:rPr>
                <w:b/>
              </w:rPr>
            </w:pPr>
          </w:p>
          <w:p w:rsidR="00D10601" w:rsidRPr="00410192" w:rsidRDefault="00D10601" w:rsidP="00A63A67">
            <w:pPr>
              <w:pStyle w:val="TableParagraph"/>
              <w:rPr>
                <w:b/>
              </w:rPr>
            </w:pPr>
            <w:r w:rsidRPr="00410192">
              <w:rPr>
                <w:b/>
              </w:rPr>
              <w:t>Pranohet</w:t>
            </w:r>
          </w:p>
          <w:p w:rsidR="00D10601" w:rsidRPr="00410192" w:rsidRDefault="00D10601" w:rsidP="00A63A67">
            <w:pPr>
              <w:rPr>
                <w:b/>
              </w:rPr>
            </w:pPr>
          </w:p>
        </w:tc>
        <w:tc>
          <w:tcPr>
            <w:tcW w:w="4950" w:type="dxa"/>
            <w:shd w:val="clear" w:color="auto" w:fill="DEEAF6"/>
          </w:tcPr>
          <w:p w:rsidR="00D10601" w:rsidRPr="00410192" w:rsidRDefault="00D10601" w:rsidP="00A63A67">
            <w:pPr>
              <w:tabs>
                <w:tab w:val="left" w:pos="1155"/>
              </w:tabs>
              <w:jc w:val="both"/>
            </w:pPr>
            <w:r w:rsidRPr="00410192">
              <w:t xml:space="preserve">Mbështetja për krijimin e ndërmarrjeve të reja dhe qëndrueshmërinë e ndërmarrjeve ekzistuese shoqërore do të sigurohet përmes aktiviteteve të parashikuara për hartimin e legjislacionit dytësor, në kuadër të masës 20. Përmirësimi i shërbimeve sociale dhe fuqizimi i grupeve të </w:t>
            </w:r>
            <w:proofErr w:type="spellStart"/>
            <w:r w:rsidRPr="00410192">
              <w:t>margjinalizuara</w:t>
            </w:r>
            <w:proofErr w:type="spellEnd"/>
            <w:r w:rsidRPr="00410192">
              <w:t xml:space="preserve"> të përjashtuara.</w:t>
            </w:r>
          </w:p>
        </w:tc>
      </w:tr>
      <w:tr w:rsidR="00D10601" w:rsidRPr="00410192" w:rsidTr="00A63A67">
        <w:trPr>
          <w:trHeight w:val="818"/>
        </w:trPr>
        <w:tc>
          <w:tcPr>
            <w:tcW w:w="2400" w:type="dxa"/>
            <w:shd w:val="clear" w:color="auto" w:fill="DEEAF6"/>
          </w:tcPr>
          <w:p w:rsidR="00D10601" w:rsidRPr="00410192" w:rsidRDefault="00D10601" w:rsidP="00A63A67">
            <w:pPr>
              <w:pStyle w:val="TableParagraph"/>
              <w:spacing w:before="158"/>
              <w:ind w:right="153"/>
            </w:pPr>
            <w:r w:rsidRPr="00410192">
              <w:t>VIII. Përfshirja sociale, ulja e varfërisë dhe mundësitë e barabarta</w:t>
            </w:r>
          </w:p>
        </w:tc>
        <w:tc>
          <w:tcPr>
            <w:tcW w:w="4500" w:type="dxa"/>
            <w:shd w:val="clear" w:color="auto" w:fill="DEEAF6"/>
          </w:tcPr>
          <w:p w:rsidR="00D10601" w:rsidRPr="00410192" w:rsidRDefault="00D10601" w:rsidP="00A63A67">
            <w:pPr>
              <w:pStyle w:val="TableParagraph"/>
              <w:spacing w:before="1"/>
              <w:ind w:right="95"/>
              <w:jc w:val="both"/>
            </w:pPr>
            <w:r w:rsidRPr="00410192">
              <w:t>Me rishikimin e Ligjit për Familjen dhe Shërbimet Sociale, kompetenca e strukturave të nivelit komunal për ofrimin e shërbimeve sociale duhet të rritet, konkretisht lidhur me skemat e mirëqenies/ndihmës sociale.</w:t>
            </w:r>
          </w:p>
        </w:tc>
        <w:tc>
          <w:tcPr>
            <w:tcW w:w="1170" w:type="dxa"/>
            <w:shd w:val="clear" w:color="auto" w:fill="DEEAF6"/>
          </w:tcPr>
          <w:p w:rsidR="00D10601" w:rsidRPr="00410192" w:rsidRDefault="00D10601" w:rsidP="00A63A67">
            <w:pPr>
              <w:pStyle w:val="TableParagraph"/>
              <w:spacing w:line="238" w:lineRule="exact"/>
              <w:ind w:left="106"/>
              <w:jc w:val="center"/>
              <w:rPr>
                <w:b/>
              </w:rPr>
            </w:pPr>
            <w:r w:rsidRPr="00410192">
              <w:rPr>
                <w:b/>
              </w:rPr>
              <w:t>Ambasada Gjermane</w:t>
            </w:r>
          </w:p>
          <w:p w:rsidR="00D10601" w:rsidRPr="00410192" w:rsidRDefault="00D10601" w:rsidP="00A63A67">
            <w:pPr>
              <w:pStyle w:val="TableParagraph"/>
              <w:spacing w:line="238" w:lineRule="exact"/>
              <w:ind w:left="106"/>
            </w:pPr>
          </w:p>
        </w:tc>
        <w:tc>
          <w:tcPr>
            <w:tcW w:w="2150" w:type="dxa"/>
            <w:shd w:val="clear" w:color="auto" w:fill="DEEAF6"/>
          </w:tcPr>
          <w:p w:rsidR="00D10601" w:rsidRPr="00410192" w:rsidRDefault="00D10601" w:rsidP="00A63A67">
            <w:pPr>
              <w:pStyle w:val="TableParagraph"/>
              <w:rPr>
                <w:b/>
              </w:rPr>
            </w:pPr>
            <w:r w:rsidRPr="00410192">
              <w:rPr>
                <w:b/>
              </w:rPr>
              <w:t>Pranohet</w:t>
            </w:r>
          </w:p>
          <w:p w:rsidR="00D10601" w:rsidRPr="00410192" w:rsidRDefault="00D10601" w:rsidP="00A63A67">
            <w:pPr>
              <w:pStyle w:val="TableParagraph"/>
              <w:spacing w:line="238" w:lineRule="exact"/>
              <w:rPr>
                <w:b/>
              </w:rPr>
            </w:pPr>
          </w:p>
        </w:tc>
        <w:tc>
          <w:tcPr>
            <w:tcW w:w="4950" w:type="dxa"/>
            <w:shd w:val="clear" w:color="auto" w:fill="DEEAF6"/>
          </w:tcPr>
          <w:p w:rsidR="00D10601" w:rsidRPr="00410192" w:rsidRDefault="00D10601" w:rsidP="00A63A67">
            <w:pPr>
              <w:pStyle w:val="TableParagraph"/>
              <w:spacing w:before="1"/>
              <w:jc w:val="both"/>
            </w:pPr>
            <w:r w:rsidRPr="00410192">
              <w:t>Në kuadër të rishikimit të Ligjit për Familjen dhe Shërbimet Sociale, kompetencat e strukturave të niveleve komunale për ofrimin e shërbimeve sociale do të rriteshin, duke përfshirë skemat e mirëqenies/ndihmës sociale, po ashtu edhe me miratimin e Ligjit për Financat e Pushtetit Lokal dhe Udhëzimin Administrativ për Formulën e Financimit për financimin e shërbimeve sociale dhe familjare.</w:t>
            </w:r>
          </w:p>
        </w:tc>
      </w:tr>
      <w:tr w:rsidR="00D10601" w:rsidRPr="00410192" w:rsidTr="00A63A67">
        <w:trPr>
          <w:trHeight w:val="4382"/>
        </w:trPr>
        <w:tc>
          <w:tcPr>
            <w:tcW w:w="2400" w:type="dxa"/>
            <w:shd w:val="clear" w:color="auto" w:fill="DEEAF6"/>
          </w:tcPr>
          <w:p w:rsidR="00D10601" w:rsidRPr="00410192" w:rsidRDefault="00D10601" w:rsidP="00A63A67">
            <w:pPr>
              <w:pStyle w:val="TableParagraph"/>
            </w:pPr>
            <w:r w:rsidRPr="00410192">
              <w:lastRenderedPageBreak/>
              <w:t xml:space="preserve">Fusha </w:t>
            </w:r>
            <w:proofErr w:type="spellStart"/>
            <w:r w:rsidRPr="00410192">
              <w:t>prioritare</w:t>
            </w:r>
            <w:proofErr w:type="spellEnd"/>
          </w:p>
          <w:p w:rsidR="00D10601" w:rsidRPr="00410192" w:rsidRDefault="00D10601" w:rsidP="00A63A67">
            <w:pPr>
              <w:pStyle w:val="TableParagraph"/>
            </w:pPr>
            <w:r w:rsidRPr="00410192">
              <w:t>V. Reformat lidhur me tregtinë</w:t>
            </w:r>
          </w:p>
          <w:p w:rsidR="00D10601" w:rsidRPr="00410192" w:rsidRDefault="00D10601" w:rsidP="00A63A67">
            <w:pPr>
              <w:pStyle w:val="TableParagraph"/>
            </w:pPr>
          </w:p>
          <w:p w:rsidR="00D10601" w:rsidRPr="00410192" w:rsidRDefault="00D10601" w:rsidP="00A63A67">
            <w:pPr>
              <w:pStyle w:val="TableParagraph"/>
            </w:pPr>
          </w:p>
          <w:p w:rsidR="00D10601" w:rsidRPr="00410192" w:rsidRDefault="00D10601" w:rsidP="00A63A67">
            <w:pPr>
              <w:pStyle w:val="TableParagraph"/>
              <w:spacing w:before="158"/>
              <w:ind w:right="153"/>
            </w:pPr>
            <w:r w:rsidRPr="00410192">
              <w:rPr>
                <w:i/>
              </w:rPr>
              <w:t>Analiza e pengesave kryesore 5</w:t>
            </w:r>
          </w:p>
        </w:tc>
        <w:tc>
          <w:tcPr>
            <w:tcW w:w="4500" w:type="dxa"/>
            <w:shd w:val="clear" w:color="auto" w:fill="DEEAF6"/>
          </w:tcPr>
          <w:p w:rsidR="00D10601" w:rsidRPr="00410192" w:rsidRDefault="00D10601" w:rsidP="00A63A67">
            <w:pPr>
              <w:pStyle w:val="TableParagraph"/>
              <w:spacing w:before="1"/>
              <w:ind w:right="95"/>
              <w:jc w:val="both"/>
            </w:pPr>
            <w:r w:rsidRPr="00410192">
              <w:t xml:space="preserve">Do të ishte mirë që të kontrollohen edhe një herë disa shifra. “Megjithatë, tregtia e mallrave në Kosovë mbetet e mbizotëruar nga importet që përbëjnë pothuajse 90% të tregtisë së përgjithshme, ndërsa eksportet e shërbimeve përbëjnë 68.9% të gjithsej eksportit. Aktivitetet e shërbimeve në vitin 2017 përbënin 71.9 </w:t>
            </w:r>
            <w:proofErr w:type="spellStart"/>
            <w:r w:rsidRPr="00410192">
              <w:t>përqind</w:t>
            </w:r>
            <w:proofErr w:type="spellEnd"/>
            <w:r w:rsidRPr="00410192">
              <w:t xml:space="preserve"> të BPV-së. “Ju lutemi kontrolloni numrat në fjalitë e mësipërme. Sipas të dhënave tona, eksportet e shërbimeve përbënin 78% të gjithsej eksporteve në vitin 2017 dhe 80% në vitin 2018. Përveç kësaj, ju lutemi deklaroni se “importet që përbëjnë gati 90% të tregtisë së përgjithshme” vlen ekskluzivisht për tregtinë e mallrave. Për më tepër, ndoshta do të ishte mirë të përkufizoni se çfarë përfshijnë “veprimtaritë e shërbimeve”. “71.9 </w:t>
            </w:r>
            <w:proofErr w:type="spellStart"/>
            <w:r w:rsidRPr="00410192">
              <w:t>përqind</w:t>
            </w:r>
            <w:proofErr w:type="spellEnd"/>
            <w:r w:rsidRPr="00410192">
              <w:t xml:space="preserve"> e BPV-së” duket të jetë shumë e lartë. Sipas të dhënave tona, eksportet dhe importet e shërbimeve përbënin 21.2 dhe 8.3 </w:t>
            </w:r>
            <w:proofErr w:type="spellStart"/>
            <w:r w:rsidRPr="00410192">
              <w:t>përqind</w:t>
            </w:r>
            <w:proofErr w:type="spellEnd"/>
            <w:r w:rsidRPr="00410192">
              <w:t xml:space="preserve"> të BPV-së, përkatësisht, në vitin 2017.</w:t>
            </w:r>
          </w:p>
        </w:tc>
        <w:tc>
          <w:tcPr>
            <w:tcW w:w="1170" w:type="dxa"/>
            <w:shd w:val="clear" w:color="auto" w:fill="DEEAF6"/>
          </w:tcPr>
          <w:p w:rsidR="00D10601" w:rsidRPr="00410192" w:rsidRDefault="00D10601" w:rsidP="00A63A67">
            <w:pPr>
              <w:pStyle w:val="TableParagraph"/>
              <w:spacing w:line="238" w:lineRule="exact"/>
              <w:ind w:left="106"/>
              <w:jc w:val="center"/>
              <w:rPr>
                <w:b/>
              </w:rPr>
            </w:pPr>
            <w:r w:rsidRPr="00410192">
              <w:rPr>
                <w:b/>
              </w:rPr>
              <w:t>FMN</w:t>
            </w:r>
          </w:p>
        </w:tc>
        <w:tc>
          <w:tcPr>
            <w:tcW w:w="2150" w:type="dxa"/>
            <w:shd w:val="clear" w:color="auto" w:fill="DEEAF6"/>
          </w:tcPr>
          <w:p w:rsidR="00D10601" w:rsidRPr="00410192" w:rsidRDefault="00D10601" w:rsidP="00A63A67">
            <w:pPr>
              <w:pStyle w:val="TableParagraph"/>
              <w:spacing w:line="238" w:lineRule="exact"/>
            </w:pPr>
            <w:r w:rsidRPr="00410192">
              <w:rPr>
                <w:b/>
              </w:rPr>
              <w:t xml:space="preserve">Pranohet </w:t>
            </w:r>
          </w:p>
        </w:tc>
        <w:tc>
          <w:tcPr>
            <w:tcW w:w="4950" w:type="dxa"/>
            <w:shd w:val="clear" w:color="auto" w:fill="DEEAF6"/>
          </w:tcPr>
          <w:p w:rsidR="00D10601" w:rsidRPr="00410192" w:rsidRDefault="00D10601" w:rsidP="00A63A67">
            <w:pPr>
              <w:pStyle w:val="TableParagraph"/>
              <w:spacing w:before="1"/>
              <w:ind w:left="111"/>
              <w:jc w:val="both"/>
            </w:pPr>
          </w:p>
        </w:tc>
      </w:tr>
      <w:tr w:rsidR="00D10601" w:rsidRPr="00410192" w:rsidTr="00A63A67">
        <w:trPr>
          <w:trHeight w:val="818"/>
        </w:trPr>
        <w:tc>
          <w:tcPr>
            <w:tcW w:w="2400" w:type="dxa"/>
            <w:shd w:val="clear" w:color="auto" w:fill="DEEAF6"/>
          </w:tcPr>
          <w:p w:rsidR="00D10601" w:rsidRPr="00410192" w:rsidRDefault="00D10601" w:rsidP="00A63A67">
            <w:pPr>
              <w:pStyle w:val="TableParagraph"/>
            </w:pPr>
            <w:r w:rsidRPr="00410192">
              <w:t xml:space="preserve">Fusha </w:t>
            </w:r>
            <w:proofErr w:type="spellStart"/>
            <w:r w:rsidRPr="00410192">
              <w:t>prioritare</w:t>
            </w:r>
            <w:proofErr w:type="spellEnd"/>
          </w:p>
          <w:p w:rsidR="00D10601" w:rsidRPr="00410192" w:rsidRDefault="00D10601" w:rsidP="00A63A67">
            <w:pPr>
              <w:pStyle w:val="TableParagraph"/>
            </w:pPr>
            <w:r w:rsidRPr="00410192">
              <w:t>V. Reformat lidhur me tregtinë</w:t>
            </w:r>
          </w:p>
          <w:p w:rsidR="00D10601" w:rsidRPr="00410192" w:rsidRDefault="00D10601" w:rsidP="00A63A67">
            <w:pPr>
              <w:pStyle w:val="TableParagraph"/>
              <w:spacing w:before="158"/>
              <w:ind w:right="153"/>
            </w:pPr>
            <w:r w:rsidRPr="00410192">
              <w:rPr>
                <w:i/>
              </w:rPr>
              <w:t>Analiza e pengesave kryesore 5</w:t>
            </w:r>
          </w:p>
        </w:tc>
        <w:tc>
          <w:tcPr>
            <w:tcW w:w="4500" w:type="dxa"/>
            <w:shd w:val="clear" w:color="auto" w:fill="DEEAF6"/>
          </w:tcPr>
          <w:p w:rsidR="00D10601" w:rsidRPr="00410192" w:rsidRDefault="00D10601" w:rsidP="00A63A67">
            <w:pPr>
              <w:pStyle w:val="TableParagraph"/>
              <w:spacing w:before="1"/>
              <w:ind w:right="95"/>
              <w:jc w:val="both"/>
            </w:pPr>
            <w:r w:rsidRPr="00410192">
              <w:t>Do të ishte mirë të ceket cili klasifikim i produkteve dhe sa shifra janë përdorur për ta llogaritur indeksin HH.</w:t>
            </w:r>
          </w:p>
        </w:tc>
        <w:tc>
          <w:tcPr>
            <w:tcW w:w="1170" w:type="dxa"/>
            <w:shd w:val="clear" w:color="auto" w:fill="DEEAF6"/>
          </w:tcPr>
          <w:p w:rsidR="00D10601" w:rsidRPr="00410192" w:rsidRDefault="00D10601" w:rsidP="00A63A67">
            <w:pPr>
              <w:pStyle w:val="TableParagraph"/>
              <w:spacing w:line="247" w:lineRule="exact"/>
              <w:ind w:left="106"/>
              <w:jc w:val="center"/>
            </w:pPr>
          </w:p>
          <w:p w:rsidR="00D10601" w:rsidRPr="00410192" w:rsidRDefault="00D10601" w:rsidP="00A63A67">
            <w:pPr>
              <w:pStyle w:val="TableParagraph"/>
              <w:spacing w:line="247" w:lineRule="exact"/>
              <w:ind w:left="106"/>
              <w:jc w:val="center"/>
              <w:rPr>
                <w:b/>
              </w:rPr>
            </w:pPr>
            <w:r w:rsidRPr="00410192">
              <w:rPr>
                <w:b/>
              </w:rPr>
              <w:t>FMN</w:t>
            </w:r>
          </w:p>
        </w:tc>
        <w:tc>
          <w:tcPr>
            <w:tcW w:w="2150" w:type="dxa"/>
            <w:shd w:val="clear" w:color="auto" w:fill="DEEAF6"/>
          </w:tcPr>
          <w:p w:rsidR="00D10601" w:rsidRPr="00410192" w:rsidRDefault="00D10601" w:rsidP="00A63A67">
            <w:pPr>
              <w:pStyle w:val="TableParagraph"/>
              <w:spacing w:line="247" w:lineRule="exact"/>
              <w:ind w:left="110"/>
            </w:pPr>
          </w:p>
          <w:p w:rsidR="00D10601" w:rsidRPr="00410192" w:rsidRDefault="00D10601" w:rsidP="00A63A67">
            <w:pPr>
              <w:pStyle w:val="TableParagraph"/>
              <w:spacing w:line="238" w:lineRule="exact"/>
            </w:pPr>
            <w:r w:rsidRPr="00410192">
              <w:rPr>
                <w:b/>
              </w:rPr>
              <w:t xml:space="preserve">Nuk pranohet </w:t>
            </w:r>
          </w:p>
        </w:tc>
        <w:tc>
          <w:tcPr>
            <w:tcW w:w="4950" w:type="dxa"/>
            <w:shd w:val="clear" w:color="auto" w:fill="DEEAF6"/>
          </w:tcPr>
          <w:p w:rsidR="00D10601" w:rsidRPr="00410192" w:rsidRDefault="00D10601" w:rsidP="00A63A67">
            <w:pPr>
              <w:pStyle w:val="TableParagraph"/>
              <w:spacing w:before="1"/>
              <w:jc w:val="both"/>
            </w:pPr>
            <w:r w:rsidRPr="00410192">
              <w:t>Llogaritjet janë bazuar në klasifikimin SITC të produkteve – 4 shifra</w:t>
            </w:r>
          </w:p>
        </w:tc>
      </w:tr>
      <w:tr w:rsidR="00D10601" w:rsidRPr="00410192" w:rsidTr="00A63A67">
        <w:trPr>
          <w:trHeight w:val="611"/>
        </w:trPr>
        <w:tc>
          <w:tcPr>
            <w:tcW w:w="2400" w:type="dxa"/>
            <w:shd w:val="clear" w:color="auto" w:fill="DEEAF6"/>
          </w:tcPr>
          <w:p w:rsidR="00D10601" w:rsidRPr="00410192" w:rsidRDefault="00D10601" w:rsidP="00A63A67">
            <w:pPr>
              <w:pStyle w:val="TableParagraph"/>
            </w:pPr>
            <w:r w:rsidRPr="00410192">
              <w:t xml:space="preserve">Fusha </w:t>
            </w:r>
            <w:proofErr w:type="spellStart"/>
            <w:r w:rsidRPr="00410192">
              <w:t>prioritare</w:t>
            </w:r>
            <w:proofErr w:type="spellEnd"/>
          </w:p>
          <w:p w:rsidR="00D10601" w:rsidRPr="00410192" w:rsidRDefault="00D10601" w:rsidP="00A63A67">
            <w:pPr>
              <w:pStyle w:val="TableParagraph"/>
            </w:pPr>
            <w:r w:rsidRPr="00410192">
              <w:t>V. Reformat lidhur me tregtinë</w:t>
            </w:r>
          </w:p>
          <w:p w:rsidR="00D10601" w:rsidRPr="00410192" w:rsidRDefault="00D10601" w:rsidP="00A63A67">
            <w:pPr>
              <w:pStyle w:val="TableParagraph"/>
              <w:rPr>
                <w:i/>
              </w:rPr>
            </w:pPr>
          </w:p>
          <w:p w:rsidR="00D10601" w:rsidRPr="00410192" w:rsidRDefault="00D10601" w:rsidP="00A63A67">
            <w:pPr>
              <w:pStyle w:val="TableParagraph"/>
              <w:rPr>
                <w:i/>
              </w:rPr>
            </w:pPr>
            <w:r w:rsidRPr="00410192">
              <w:rPr>
                <w:i/>
              </w:rPr>
              <w:t>Masa #15:</w:t>
            </w:r>
            <w:r w:rsidRPr="00410192">
              <w:t xml:space="preserve"> Zhvillimi i mëtejmë i infrastrukturës së cilësisë dhe fuqizimi i rolit të autoriteteve të mbikëqyrjes së tregut, me theks në produktet e ndërtimit</w:t>
            </w:r>
          </w:p>
        </w:tc>
        <w:tc>
          <w:tcPr>
            <w:tcW w:w="4500" w:type="dxa"/>
            <w:shd w:val="clear" w:color="auto" w:fill="DEEAF6"/>
          </w:tcPr>
          <w:p w:rsidR="00D10601" w:rsidRPr="00410192" w:rsidRDefault="00D10601" w:rsidP="00A63A67">
            <w:pPr>
              <w:pStyle w:val="TableParagraph"/>
              <w:spacing w:before="1"/>
              <w:ind w:right="95"/>
              <w:jc w:val="both"/>
            </w:pPr>
            <w:r w:rsidRPr="00410192">
              <w:t>Masa e reformës # 15 në lidhje me përmirësimin e cilësisë së materialeve të ndërtimit të prodhuara brenda vendit duhet të klasifikohet ashtu që të përfshijë produktet që synojnë përmirësimin e bujqësisë, industrisë dhe shërbimeve. Është gjithashtu e paqartë nëse IKP-të e identifikuara për këtë reformë do të tregojnë domosdoshmërish përmirësime në cilësinë e produkteve të ndërtimit.</w:t>
            </w:r>
          </w:p>
          <w:p w:rsidR="00D10601" w:rsidRPr="00410192" w:rsidRDefault="00D10601" w:rsidP="00A63A67">
            <w:pPr>
              <w:pStyle w:val="TableParagraph"/>
              <w:spacing w:before="1"/>
              <w:ind w:right="95"/>
              <w:jc w:val="both"/>
            </w:pPr>
          </w:p>
        </w:tc>
        <w:tc>
          <w:tcPr>
            <w:tcW w:w="1170" w:type="dxa"/>
            <w:shd w:val="clear" w:color="auto" w:fill="DEEAF6"/>
          </w:tcPr>
          <w:p w:rsidR="00D10601" w:rsidRPr="00410192" w:rsidRDefault="00D10601" w:rsidP="00A63A67">
            <w:pPr>
              <w:pStyle w:val="TableParagraph"/>
              <w:spacing w:line="247" w:lineRule="exact"/>
              <w:ind w:left="106"/>
              <w:jc w:val="center"/>
            </w:pPr>
          </w:p>
          <w:p w:rsidR="00D10601" w:rsidRPr="00410192" w:rsidRDefault="00D10601" w:rsidP="00A63A67">
            <w:pPr>
              <w:pStyle w:val="TableParagraph"/>
              <w:spacing w:line="238" w:lineRule="exact"/>
              <w:jc w:val="center"/>
              <w:rPr>
                <w:b/>
              </w:rPr>
            </w:pPr>
            <w:r w:rsidRPr="00410192">
              <w:rPr>
                <w:b/>
              </w:rPr>
              <w:t>FMN</w:t>
            </w:r>
          </w:p>
        </w:tc>
        <w:tc>
          <w:tcPr>
            <w:tcW w:w="2150" w:type="dxa"/>
            <w:shd w:val="clear" w:color="auto" w:fill="DEEAF6"/>
          </w:tcPr>
          <w:p w:rsidR="00D10601" w:rsidRPr="00410192" w:rsidRDefault="00D10601" w:rsidP="00A63A67">
            <w:pPr>
              <w:pStyle w:val="TableParagraph"/>
              <w:spacing w:line="247" w:lineRule="exact"/>
              <w:ind w:left="110"/>
            </w:pPr>
          </w:p>
          <w:p w:rsidR="00D10601" w:rsidRPr="00410192" w:rsidRDefault="00D10601" w:rsidP="00A63A67">
            <w:pPr>
              <w:pStyle w:val="TableParagraph"/>
              <w:spacing w:line="238" w:lineRule="exact"/>
            </w:pPr>
            <w:r w:rsidRPr="00410192">
              <w:rPr>
                <w:b/>
              </w:rPr>
              <w:t>Nuk pranohet</w:t>
            </w:r>
          </w:p>
        </w:tc>
        <w:tc>
          <w:tcPr>
            <w:tcW w:w="4950" w:type="dxa"/>
            <w:shd w:val="clear" w:color="auto" w:fill="DEEAF6"/>
          </w:tcPr>
          <w:p w:rsidR="00D10601" w:rsidRPr="00410192" w:rsidRDefault="00D10601" w:rsidP="00A63A67">
            <w:pPr>
              <w:pStyle w:val="TableParagraph"/>
              <w:spacing w:before="1"/>
              <w:jc w:val="both"/>
            </w:pPr>
            <w:r w:rsidRPr="00410192">
              <w:t xml:space="preserve">Pjesa e parë e komentit nuk është e qartë, masa synon përafrim dhe zbatim të mëtutjeshëm të legjislacionit të BE-së duke u përqendruar në: rritjen e sigurisë dhe cilësisë së produkteve të ndërtimit, shërbimeve të ofruara në tregun e brendshëm dhe integrimin në tregun e BE-së dhe tregje të tjera. Prioritetet për bujqësinë dhe shërbimet janë adresuar në kuadër të Fushës </w:t>
            </w:r>
            <w:proofErr w:type="spellStart"/>
            <w:r w:rsidRPr="00410192">
              <w:t>Prioritare</w:t>
            </w:r>
            <w:proofErr w:type="spellEnd"/>
            <w:r w:rsidRPr="00410192">
              <w:t xml:space="preserve"> 2. </w:t>
            </w:r>
          </w:p>
          <w:p w:rsidR="00D10601" w:rsidRPr="00410192" w:rsidRDefault="00D10601" w:rsidP="00A63A67">
            <w:pPr>
              <w:pStyle w:val="TableParagraph"/>
              <w:spacing w:before="1"/>
              <w:jc w:val="both"/>
            </w:pPr>
            <w:r w:rsidRPr="00410192">
              <w:t>IKP-të mbase nuk tregojnë domosdoshmërish përmirësime në cilësinë e produkteve të ndërtimit, megjithatë nëse shikojmë aktivitetet, ato tregojnë se do të ketë përmirësim, dhe me përmirësimin e cilësisë së produkteve të ndërtimit do të ketë rritje të eksporteve.</w:t>
            </w:r>
          </w:p>
        </w:tc>
      </w:tr>
      <w:tr w:rsidR="00D10601" w:rsidRPr="00410192" w:rsidTr="00A63A67">
        <w:trPr>
          <w:trHeight w:val="2870"/>
        </w:trPr>
        <w:tc>
          <w:tcPr>
            <w:tcW w:w="2400" w:type="dxa"/>
            <w:shd w:val="clear" w:color="auto" w:fill="DEEAF6"/>
          </w:tcPr>
          <w:p w:rsidR="00D10601" w:rsidRPr="00410192" w:rsidRDefault="00D10601" w:rsidP="00A63A67">
            <w:pPr>
              <w:pStyle w:val="TableParagraph"/>
            </w:pPr>
            <w:r w:rsidRPr="00410192">
              <w:lastRenderedPageBreak/>
              <w:t xml:space="preserve">Fusha </w:t>
            </w:r>
            <w:proofErr w:type="spellStart"/>
            <w:r w:rsidRPr="00410192">
              <w:t>prioritare</w:t>
            </w:r>
            <w:proofErr w:type="spellEnd"/>
          </w:p>
          <w:p w:rsidR="00D10601" w:rsidRPr="00410192" w:rsidRDefault="00D10601" w:rsidP="00A63A67">
            <w:pPr>
              <w:pStyle w:val="TableParagraph"/>
            </w:pPr>
            <w:r w:rsidRPr="00410192">
              <w:t>V. Reformat lidhur me tregtinë</w:t>
            </w:r>
          </w:p>
          <w:p w:rsidR="00D10601" w:rsidRPr="00410192" w:rsidRDefault="00D10601" w:rsidP="00A63A67">
            <w:pPr>
              <w:pStyle w:val="TableParagraph"/>
            </w:pPr>
          </w:p>
          <w:p w:rsidR="00D10601" w:rsidRPr="00410192" w:rsidRDefault="00D10601" w:rsidP="00A63A67">
            <w:pPr>
              <w:pStyle w:val="TableParagraph"/>
              <w:spacing w:line="246" w:lineRule="exact"/>
            </w:pPr>
            <w:r w:rsidRPr="00410192">
              <w:t xml:space="preserve">Analiza e fushës </w:t>
            </w:r>
            <w:proofErr w:type="spellStart"/>
            <w:r w:rsidRPr="00410192">
              <w:t>prioritare</w:t>
            </w:r>
            <w:proofErr w:type="spellEnd"/>
          </w:p>
          <w:p w:rsidR="00D10601" w:rsidRPr="00410192" w:rsidRDefault="00D10601" w:rsidP="00A63A67">
            <w:pPr>
              <w:pStyle w:val="TableParagraph"/>
              <w:spacing w:before="158"/>
              <w:ind w:right="153"/>
            </w:pPr>
          </w:p>
        </w:tc>
        <w:tc>
          <w:tcPr>
            <w:tcW w:w="4500" w:type="dxa"/>
            <w:shd w:val="clear" w:color="auto" w:fill="DEEAF6"/>
          </w:tcPr>
          <w:p w:rsidR="00D10601" w:rsidRPr="00410192" w:rsidRDefault="00D10601" w:rsidP="00A63A67">
            <w:pPr>
              <w:pStyle w:val="TableParagraph"/>
              <w:spacing w:before="1"/>
              <w:ind w:right="95"/>
              <w:jc w:val="both"/>
            </w:pPr>
            <w:r w:rsidRPr="00410192">
              <w:rPr>
                <w:b/>
              </w:rPr>
              <w:t xml:space="preserve">Pyesim nëse vendosja e taksës për Serbinë dhe Bosnjë dhe Hercegovinën do të ndikojë në aktivitetet e planifikuara për të rritur </w:t>
            </w:r>
            <w:proofErr w:type="spellStart"/>
            <w:r w:rsidRPr="00410192">
              <w:rPr>
                <w:b/>
              </w:rPr>
              <w:t>konkurrueshmërinë</w:t>
            </w:r>
            <w:proofErr w:type="spellEnd"/>
            <w:r w:rsidRPr="00410192">
              <w:rPr>
                <w:b/>
              </w:rPr>
              <w:t xml:space="preserve"> në tregtinë e shërbimeve.</w:t>
            </w:r>
            <w:r w:rsidRPr="00410192">
              <w:t xml:space="preserve"> Në këtë drejtim, disa aktivitete të planifikuara gjatë vitit 2020-22 kanë të bëjnë me negociatat dhe bashkëpunimin e CEFTA-s. Duke pasur parasysh që vendosja e taksës 100 </w:t>
            </w:r>
            <w:proofErr w:type="spellStart"/>
            <w:r w:rsidRPr="00410192">
              <w:t>përqind</w:t>
            </w:r>
            <w:proofErr w:type="spellEnd"/>
            <w:r w:rsidRPr="00410192">
              <w:t xml:space="preserve"> ndaj importeve serbe dhe boshnjake ka bërë </w:t>
            </w:r>
            <w:r w:rsidRPr="00410192">
              <w:rPr>
                <w:i/>
              </w:rPr>
              <w:t>de facto</w:t>
            </w:r>
            <w:r w:rsidRPr="00410192">
              <w:t xml:space="preserve"> që të ngecin negociatat dhe bashkëpunimi i CEFTA-s, raporti mund ta paraqesë këtë çështje si një rrezik të mundshëm.</w:t>
            </w:r>
          </w:p>
        </w:tc>
        <w:tc>
          <w:tcPr>
            <w:tcW w:w="1170" w:type="dxa"/>
            <w:shd w:val="clear" w:color="auto" w:fill="DEEAF6"/>
          </w:tcPr>
          <w:p w:rsidR="00D10601" w:rsidRPr="00410192" w:rsidRDefault="00D10601" w:rsidP="00A63A67">
            <w:pPr>
              <w:pStyle w:val="TableParagraph"/>
              <w:spacing w:line="247" w:lineRule="exact"/>
              <w:ind w:left="106"/>
              <w:jc w:val="center"/>
            </w:pPr>
          </w:p>
          <w:p w:rsidR="00D10601" w:rsidRPr="00410192" w:rsidRDefault="00D10601" w:rsidP="00A63A67">
            <w:pPr>
              <w:pStyle w:val="TableParagraph"/>
              <w:spacing w:line="238" w:lineRule="exact"/>
              <w:jc w:val="center"/>
              <w:rPr>
                <w:b/>
              </w:rPr>
            </w:pPr>
            <w:r w:rsidRPr="00410192">
              <w:rPr>
                <w:b/>
              </w:rPr>
              <w:t>FMN</w:t>
            </w:r>
          </w:p>
        </w:tc>
        <w:tc>
          <w:tcPr>
            <w:tcW w:w="2150" w:type="dxa"/>
            <w:shd w:val="clear" w:color="auto" w:fill="DEEAF6"/>
          </w:tcPr>
          <w:p w:rsidR="00D10601" w:rsidRPr="00410192" w:rsidRDefault="00D10601" w:rsidP="00A63A67">
            <w:pPr>
              <w:pStyle w:val="TableParagraph"/>
              <w:spacing w:line="247" w:lineRule="exact"/>
              <w:ind w:left="110"/>
            </w:pPr>
          </w:p>
          <w:p w:rsidR="00D10601" w:rsidRPr="00410192" w:rsidRDefault="00D10601" w:rsidP="00A63A67">
            <w:pPr>
              <w:pStyle w:val="TableParagraph"/>
              <w:spacing w:line="238" w:lineRule="exact"/>
            </w:pPr>
            <w:r w:rsidRPr="00410192">
              <w:rPr>
                <w:b/>
              </w:rPr>
              <w:t>Nuk pranohet</w:t>
            </w:r>
          </w:p>
        </w:tc>
        <w:tc>
          <w:tcPr>
            <w:tcW w:w="4950" w:type="dxa"/>
            <w:shd w:val="clear" w:color="auto" w:fill="DEEAF6"/>
          </w:tcPr>
          <w:p w:rsidR="00D10601" w:rsidRPr="00410192" w:rsidRDefault="00D10601" w:rsidP="00A63A67">
            <w:pPr>
              <w:pStyle w:val="TableParagraph"/>
              <w:spacing w:before="1"/>
              <w:jc w:val="both"/>
            </w:pPr>
            <w:r w:rsidRPr="00410192">
              <w:t>Në dhjetor të vitit 2019 në Tiranë Komiteti i Përbashkët i CEFTA-s miratoi Protokollin Shtesë 6 (tregtia e shërbimeve).</w:t>
            </w:r>
          </w:p>
          <w:p w:rsidR="00D10601" w:rsidRPr="00410192" w:rsidRDefault="00D10601" w:rsidP="00A63A67">
            <w:pPr>
              <w:pStyle w:val="TableParagraph"/>
              <w:spacing w:before="1"/>
              <w:jc w:val="both"/>
            </w:pPr>
          </w:p>
        </w:tc>
      </w:tr>
      <w:tr w:rsidR="00D10601" w:rsidRPr="00410192" w:rsidTr="00A63A67">
        <w:trPr>
          <w:trHeight w:val="1574"/>
        </w:trPr>
        <w:tc>
          <w:tcPr>
            <w:tcW w:w="2400" w:type="dxa"/>
            <w:shd w:val="clear" w:color="auto" w:fill="DEEAF6"/>
          </w:tcPr>
          <w:p w:rsidR="00D10601" w:rsidRPr="00410192" w:rsidRDefault="00D10601" w:rsidP="00A63A67">
            <w:pPr>
              <w:pStyle w:val="TableParagraph"/>
            </w:pPr>
            <w:r w:rsidRPr="00410192">
              <w:t xml:space="preserve">Fusha </w:t>
            </w:r>
            <w:proofErr w:type="spellStart"/>
            <w:r w:rsidRPr="00410192">
              <w:t>prioritare</w:t>
            </w:r>
            <w:proofErr w:type="spellEnd"/>
          </w:p>
          <w:p w:rsidR="00D10601" w:rsidRPr="00410192" w:rsidRDefault="00D10601" w:rsidP="00A63A67">
            <w:pPr>
              <w:pStyle w:val="TableParagraph"/>
            </w:pPr>
            <w:r w:rsidRPr="00410192">
              <w:t>V. Reformat lidhur me tregtinë</w:t>
            </w:r>
          </w:p>
          <w:p w:rsidR="00D10601" w:rsidRPr="00410192" w:rsidRDefault="00D10601" w:rsidP="00A63A67">
            <w:pPr>
              <w:pStyle w:val="TableParagraph"/>
            </w:pPr>
          </w:p>
          <w:p w:rsidR="00D10601" w:rsidRPr="00410192" w:rsidRDefault="00D10601" w:rsidP="00A63A67">
            <w:pPr>
              <w:pStyle w:val="TableParagraph"/>
              <w:spacing w:line="246" w:lineRule="exact"/>
            </w:pPr>
            <w:r w:rsidRPr="00410192">
              <w:t xml:space="preserve">Analiza e fushës </w:t>
            </w:r>
            <w:proofErr w:type="spellStart"/>
            <w:r w:rsidRPr="00410192">
              <w:t>prioritare</w:t>
            </w:r>
            <w:proofErr w:type="spellEnd"/>
          </w:p>
        </w:tc>
        <w:tc>
          <w:tcPr>
            <w:tcW w:w="4500" w:type="dxa"/>
            <w:shd w:val="clear" w:color="auto" w:fill="DEEAF6"/>
          </w:tcPr>
          <w:p w:rsidR="00D10601" w:rsidRPr="00410192" w:rsidRDefault="00D10601" w:rsidP="00A63A67">
            <w:pPr>
              <w:pStyle w:val="TableParagraph"/>
              <w:spacing w:before="1"/>
              <w:ind w:right="95"/>
              <w:jc w:val="both"/>
            </w:pPr>
            <w:r w:rsidRPr="00410192">
              <w:rPr>
                <w:b/>
              </w:rPr>
              <w:t>Kur përshkruhen pengesat strukturore, PRE-ja mund të përmendë që Kosova është i vetmi vend i CEFTA-s që nuk është as anëtar i OBT-së dhe as vëzhgues.</w:t>
            </w:r>
            <w:r w:rsidRPr="00410192">
              <w:t xml:space="preserve"> Prandaj, mund të jetë i </w:t>
            </w:r>
            <w:proofErr w:type="spellStart"/>
            <w:r w:rsidRPr="00410192">
              <w:t>pafavorizuar</w:t>
            </w:r>
            <w:proofErr w:type="spellEnd"/>
            <w:r w:rsidRPr="00410192">
              <w:t xml:space="preserve"> kur bëhet fjalë për praktikat diskriminuese të tregtisë.</w:t>
            </w:r>
          </w:p>
        </w:tc>
        <w:tc>
          <w:tcPr>
            <w:tcW w:w="1170" w:type="dxa"/>
            <w:shd w:val="clear" w:color="auto" w:fill="DEEAF6"/>
          </w:tcPr>
          <w:p w:rsidR="00D10601" w:rsidRPr="00410192" w:rsidRDefault="00D10601" w:rsidP="00A63A67">
            <w:pPr>
              <w:pStyle w:val="TableParagraph"/>
              <w:spacing w:line="238" w:lineRule="exact"/>
              <w:ind w:left="106"/>
              <w:jc w:val="center"/>
              <w:rPr>
                <w:b/>
              </w:rPr>
            </w:pPr>
            <w:r w:rsidRPr="00410192">
              <w:rPr>
                <w:b/>
              </w:rPr>
              <w:t>FMN</w:t>
            </w:r>
          </w:p>
        </w:tc>
        <w:tc>
          <w:tcPr>
            <w:tcW w:w="2150" w:type="dxa"/>
            <w:shd w:val="clear" w:color="auto" w:fill="DEEAF6"/>
          </w:tcPr>
          <w:p w:rsidR="00D10601" w:rsidRPr="00410192" w:rsidRDefault="00D10601" w:rsidP="00A63A67">
            <w:pPr>
              <w:pStyle w:val="TableParagraph"/>
              <w:spacing w:line="238" w:lineRule="exact"/>
              <w:rPr>
                <w:b/>
              </w:rPr>
            </w:pPr>
            <w:r w:rsidRPr="00410192">
              <w:rPr>
                <w:b/>
              </w:rPr>
              <w:t xml:space="preserve"> Pranohet</w:t>
            </w:r>
          </w:p>
        </w:tc>
        <w:tc>
          <w:tcPr>
            <w:tcW w:w="4950" w:type="dxa"/>
            <w:shd w:val="clear" w:color="auto" w:fill="DEEAF6"/>
          </w:tcPr>
          <w:p w:rsidR="00D10601" w:rsidRPr="00410192" w:rsidRDefault="00D10601" w:rsidP="00A63A67">
            <w:pPr>
              <w:pStyle w:val="TableParagraph"/>
              <w:spacing w:before="1"/>
              <w:ind w:left="111"/>
              <w:jc w:val="both"/>
            </w:pPr>
          </w:p>
        </w:tc>
      </w:tr>
      <w:tr w:rsidR="00D10601" w:rsidRPr="00410192" w:rsidTr="00A63A67">
        <w:trPr>
          <w:trHeight w:val="818"/>
        </w:trPr>
        <w:tc>
          <w:tcPr>
            <w:tcW w:w="2400" w:type="dxa"/>
            <w:shd w:val="clear" w:color="auto" w:fill="DEEAF6"/>
          </w:tcPr>
          <w:p w:rsidR="00D10601" w:rsidRPr="00410192" w:rsidRDefault="00D10601" w:rsidP="00A63A67">
            <w:pPr>
              <w:pStyle w:val="TableParagraph"/>
            </w:pPr>
            <w:r w:rsidRPr="00410192">
              <w:t xml:space="preserve">Fusha </w:t>
            </w:r>
            <w:proofErr w:type="spellStart"/>
            <w:r w:rsidRPr="00410192">
              <w:t>prioritare</w:t>
            </w:r>
            <w:proofErr w:type="spellEnd"/>
          </w:p>
          <w:p w:rsidR="00D10601" w:rsidRPr="00410192" w:rsidRDefault="00D10601" w:rsidP="00A63A67">
            <w:pPr>
              <w:pStyle w:val="TableParagraph"/>
            </w:pPr>
            <w:r w:rsidRPr="00410192">
              <w:t>V. Reformat lidhur me tregtinë</w:t>
            </w:r>
          </w:p>
          <w:p w:rsidR="00D10601" w:rsidRPr="00410192" w:rsidRDefault="00D10601" w:rsidP="00A63A67">
            <w:pPr>
              <w:pStyle w:val="TableParagraph"/>
              <w:spacing w:before="158"/>
              <w:ind w:right="153"/>
            </w:pPr>
          </w:p>
        </w:tc>
        <w:tc>
          <w:tcPr>
            <w:tcW w:w="4500" w:type="dxa"/>
            <w:shd w:val="clear" w:color="auto" w:fill="DEEAF6"/>
          </w:tcPr>
          <w:p w:rsidR="00D10601" w:rsidRPr="00410192" w:rsidRDefault="00D10601" w:rsidP="00A63A67">
            <w:pPr>
              <w:pStyle w:val="TableParagraph"/>
              <w:spacing w:before="1"/>
              <w:ind w:right="95"/>
              <w:jc w:val="both"/>
              <w:rPr>
                <w:b/>
                <w:bCs/>
              </w:rPr>
            </w:pPr>
            <w:r w:rsidRPr="00410192">
              <w:rPr>
                <w:b/>
              </w:rPr>
              <w:t>Duke pasur parasysh vonesën e gjatë ndërmjet nënshkrimit të MTL-së me Turqinë dhe hyrjes në fuqi të saj, duket se lista e mallrave që i nënshtrohen trajtimit pa taksa është e pa-përditësuar.</w:t>
            </w:r>
            <w:r w:rsidRPr="00410192">
              <w:t xml:space="preserve"> Vlen të përmendet se po përgatitet një listë e re e mallrave. Dhe mbase do të ishte e nevojshme që ta përfshijmë këtë si një nga aktivitetet e planifikuara për vitin 2020.</w:t>
            </w:r>
          </w:p>
        </w:tc>
        <w:tc>
          <w:tcPr>
            <w:tcW w:w="1170" w:type="dxa"/>
            <w:shd w:val="clear" w:color="auto" w:fill="DEEAF6"/>
          </w:tcPr>
          <w:p w:rsidR="00D10601" w:rsidRPr="00410192" w:rsidRDefault="00D10601" w:rsidP="00A63A67">
            <w:pPr>
              <w:pStyle w:val="TableParagraph"/>
              <w:spacing w:line="247" w:lineRule="exact"/>
              <w:ind w:left="106"/>
              <w:jc w:val="center"/>
            </w:pPr>
          </w:p>
          <w:p w:rsidR="00D10601" w:rsidRPr="00410192" w:rsidRDefault="00D10601" w:rsidP="00A63A67">
            <w:pPr>
              <w:pStyle w:val="TableParagraph"/>
              <w:spacing w:line="238" w:lineRule="exact"/>
              <w:jc w:val="center"/>
              <w:rPr>
                <w:b/>
              </w:rPr>
            </w:pPr>
            <w:r w:rsidRPr="00410192">
              <w:rPr>
                <w:b/>
              </w:rPr>
              <w:t>FMN</w:t>
            </w:r>
          </w:p>
        </w:tc>
        <w:tc>
          <w:tcPr>
            <w:tcW w:w="2150" w:type="dxa"/>
            <w:shd w:val="clear" w:color="auto" w:fill="DEEAF6"/>
          </w:tcPr>
          <w:p w:rsidR="00D10601" w:rsidRPr="00410192" w:rsidRDefault="00D10601" w:rsidP="00A63A67">
            <w:pPr>
              <w:pStyle w:val="TableParagraph"/>
              <w:spacing w:line="247" w:lineRule="exact"/>
              <w:ind w:left="110"/>
            </w:pPr>
          </w:p>
          <w:p w:rsidR="00D10601" w:rsidRPr="00410192" w:rsidRDefault="00D10601" w:rsidP="00A63A67">
            <w:pPr>
              <w:pStyle w:val="TableParagraph"/>
              <w:spacing w:line="238" w:lineRule="exact"/>
            </w:pPr>
            <w:r w:rsidRPr="00410192">
              <w:rPr>
                <w:b/>
              </w:rPr>
              <w:t>Nuk pranohet</w:t>
            </w:r>
          </w:p>
        </w:tc>
        <w:tc>
          <w:tcPr>
            <w:tcW w:w="4950" w:type="dxa"/>
            <w:shd w:val="clear" w:color="auto" w:fill="DEEAF6"/>
          </w:tcPr>
          <w:p w:rsidR="00D10601" w:rsidRPr="00410192" w:rsidRDefault="00D10601" w:rsidP="00A63A67">
            <w:pPr>
              <w:pStyle w:val="TableParagraph"/>
              <w:spacing w:before="1"/>
              <w:ind w:left="111"/>
              <w:jc w:val="both"/>
            </w:pPr>
            <w:r w:rsidRPr="00410192">
              <w:t>Asnjë listë nuk është duke u përgatitur, as nuk do të përgatitet në lidhje me MTL-në me Turqinë. Lista e produkteve në marrëveshje është lista që është diskutuar gjatë negociatave dhe tani pjesë e marrëveshjes së ratifikuar.</w:t>
            </w:r>
          </w:p>
          <w:p w:rsidR="00D10601" w:rsidRPr="00410192" w:rsidRDefault="00D10601" w:rsidP="00A63A67">
            <w:pPr>
              <w:pStyle w:val="TableParagraph"/>
              <w:spacing w:before="1"/>
              <w:ind w:left="111"/>
              <w:jc w:val="both"/>
            </w:pPr>
          </w:p>
        </w:tc>
      </w:tr>
    </w:tbl>
    <w:p w:rsidR="00D10601" w:rsidRPr="00410192" w:rsidRDefault="00D10601" w:rsidP="00D10601">
      <w:pPr>
        <w:sectPr w:rsidR="00D10601" w:rsidRPr="00410192">
          <w:footerReference w:type="default" r:id="rId9"/>
          <w:pgSz w:w="16840" w:h="11910" w:orient="landscape"/>
          <w:pgMar w:top="1080" w:right="1240" w:bottom="500" w:left="600" w:header="0" w:footer="303" w:gutter="0"/>
          <w:cols w:space="720"/>
        </w:sectPr>
      </w:pPr>
    </w:p>
    <w:p w:rsidR="00D10601" w:rsidRPr="00410192" w:rsidRDefault="00D10601" w:rsidP="00D10601"/>
    <w:p w:rsidR="006E4C58" w:rsidRDefault="006E4C58" w:rsidP="00732B0E">
      <w:pPr>
        <w:pStyle w:val="Heading3"/>
        <w:spacing w:before="68" w:after="4"/>
        <w:jc w:val="left"/>
      </w:pPr>
    </w:p>
    <w:sectPr w:rsidR="006E4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59" w:rsidRDefault="00643C59" w:rsidP="00BA6BF5">
      <w:r>
        <w:separator/>
      </w:r>
    </w:p>
  </w:endnote>
  <w:endnote w:type="continuationSeparator" w:id="0">
    <w:p w:rsidR="00643C59" w:rsidRDefault="00643C59" w:rsidP="00B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68" w:rsidRDefault="00855C68">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3752850</wp:posOffset>
              </wp:positionH>
              <wp:positionV relativeFrom="page">
                <wp:posOffset>9446260</wp:posOffset>
              </wp:positionV>
              <wp:extent cx="26860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C68" w:rsidRDefault="00855C68">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5.5pt;margin-top:743.8pt;width:21.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vn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" filled="f" stroked="f">
              <v:textbox inset="0,0,0,0">
                <w:txbxContent>
                  <w:p w:rsidR="00855C68" w:rsidRDefault="00855C68">
                    <w:pPr>
                      <w:spacing w:before="10"/>
                      <w:ind w:left="60"/>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01" w:rsidRDefault="00D10601">
    <w:pPr>
      <w:pStyle w:val="BodyText"/>
      <w:spacing w:line="14" w:lineRule="auto"/>
      <w:rPr>
        <w:sz w:val="14"/>
      </w:rPr>
    </w:pPr>
    <w:r>
      <w:rPr>
        <w:noProof/>
        <w:lang w:val="en-US"/>
      </w:rPr>
      <mc:AlternateContent>
        <mc:Choice Requires="wps">
          <w:drawing>
            <wp:anchor distT="0" distB="0" distL="114300" distR="114300" simplePos="0" relativeHeight="251662336" behindDoc="1" locked="0" layoutInCell="1" allowOverlap="1" wp14:anchorId="7FB737C5" wp14:editId="32E37DFF">
              <wp:simplePos x="0" y="0"/>
              <wp:positionH relativeFrom="page">
                <wp:posOffset>5211445</wp:posOffset>
              </wp:positionH>
              <wp:positionV relativeFrom="page">
                <wp:posOffset>7179310</wp:posOffset>
              </wp:positionV>
              <wp:extent cx="268605"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601" w:rsidRDefault="00D10601">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737C5" id="_x0000_t202" coordsize="21600,21600" o:spt="202" path="m,l,21600r21600,l21600,xe">
              <v:stroke joinstyle="miter"/>
              <v:path gradientshapeok="t" o:connecttype="rect"/>
            </v:shapetype>
            <v:shape id="Text Box 1" o:spid="_x0000_s1027" type="#_x0000_t202" style="position:absolute;margin-left:410.35pt;margin-top:565.3pt;width:21.1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SOrQ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" filled="f" stroked="f">
              <v:textbox inset="0,0,0,0">
                <w:txbxContent>
                  <w:p w:rsidR="00D10601" w:rsidRDefault="00D10601">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59" w:rsidRDefault="00643C59" w:rsidP="00BA6BF5">
      <w:r>
        <w:separator/>
      </w:r>
    </w:p>
  </w:footnote>
  <w:footnote w:type="continuationSeparator" w:id="0">
    <w:p w:rsidR="00643C59" w:rsidRDefault="00643C59" w:rsidP="00BA6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6867"/>
    <w:multiLevelType w:val="hybridMultilevel"/>
    <w:tmpl w:val="648E0C4E"/>
    <w:lvl w:ilvl="0" w:tplc="722A11A6">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nsid w:val="1B734F1D"/>
    <w:multiLevelType w:val="hybridMultilevel"/>
    <w:tmpl w:val="3AAA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1626B"/>
    <w:multiLevelType w:val="hybridMultilevel"/>
    <w:tmpl w:val="F3768F7C"/>
    <w:lvl w:ilvl="0" w:tplc="0D8ACB2C">
      <w:start w:val="3"/>
      <w:numFmt w:val="decimal"/>
      <w:lvlText w:val="%1."/>
      <w:lvlJc w:val="left"/>
      <w:pPr>
        <w:ind w:left="559" w:hanging="360"/>
        <w:jc w:val="left"/>
      </w:pPr>
      <w:rPr>
        <w:rFonts w:ascii="Times New Roman" w:eastAsia="Times New Roman" w:hAnsi="Times New Roman" w:cs="Times New Roman" w:hint="default"/>
        <w:w w:val="100"/>
        <w:sz w:val="22"/>
        <w:szCs w:val="22"/>
        <w:lang w:val="sq-AL" w:eastAsia="en-US" w:bidi="ar-SA"/>
      </w:rPr>
    </w:lvl>
    <w:lvl w:ilvl="1" w:tplc="DAF2295C">
      <w:numFmt w:val="bullet"/>
      <w:lvlText w:val=""/>
      <w:lvlJc w:val="left"/>
      <w:pPr>
        <w:ind w:left="1289" w:hanging="360"/>
      </w:pPr>
      <w:rPr>
        <w:rFonts w:ascii="Symbol" w:eastAsia="Symbol" w:hAnsi="Symbol" w:cs="Symbol" w:hint="default"/>
        <w:w w:val="100"/>
        <w:sz w:val="22"/>
        <w:szCs w:val="22"/>
        <w:lang w:val="sq-AL" w:eastAsia="en-US" w:bidi="ar-SA"/>
      </w:rPr>
    </w:lvl>
    <w:lvl w:ilvl="2" w:tplc="F9863E18">
      <w:numFmt w:val="bullet"/>
      <w:lvlText w:val="•"/>
      <w:lvlJc w:val="left"/>
      <w:pPr>
        <w:ind w:left="1666" w:hanging="360"/>
      </w:pPr>
      <w:rPr>
        <w:rFonts w:hint="default"/>
        <w:lang w:val="sq-AL" w:eastAsia="en-US" w:bidi="ar-SA"/>
      </w:rPr>
    </w:lvl>
    <w:lvl w:ilvl="3" w:tplc="91E0E572">
      <w:numFmt w:val="bullet"/>
      <w:lvlText w:val="•"/>
      <w:lvlJc w:val="left"/>
      <w:pPr>
        <w:ind w:left="2053" w:hanging="360"/>
      </w:pPr>
      <w:rPr>
        <w:rFonts w:hint="default"/>
        <w:lang w:val="sq-AL" w:eastAsia="en-US" w:bidi="ar-SA"/>
      </w:rPr>
    </w:lvl>
    <w:lvl w:ilvl="4" w:tplc="E94CD058">
      <w:numFmt w:val="bullet"/>
      <w:lvlText w:val="•"/>
      <w:lvlJc w:val="left"/>
      <w:pPr>
        <w:ind w:left="2440" w:hanging="360"/>
      </w:pPr>
      <w:rPr>
        <w:rFonts w:hint="default"/>
        <w:lang w:val="sq-AL" w:eastAsia="en-US" w:bidi="ar-SA"/>
      </w:rPr>
    </w:lvl>
    <w:lvl w:ilvl="5" w:tplc="5BF6859C">
      <w:numFmt w:val="bullet"/>
      <w:lvlText w:val="•"/>
      <w:lvlJc w:val="left"/>
      <w:pPr>
        <w:ind w:left="2826" w:hanging="360"/>
      </w:pPr>
      <w:rPr>
        <w:rFonts w:hint="default"/>
        <w:lang w:val="sq-AL" w:eastAsia="en-US" w:bidi="ar-SA"/>
      </w:rPr>
    </w:lvl>
    <w:lvl w:ilvl="6" w:tplc="1D9A17D0">
      <w:numFmt w:val="bullet"/>
      <w:lvlText w:val="•"/>
      <w:lvlJc w:val="left"/>
      <w:pPr>
        <w:ind w:left="3213" w:hanging="360"/>
      </w:pPr>
      <w:rPr>
        <w:rFonts w:hint="default"/>
        <w:lang w:val="sq-AL" w:eastAsia="en-US" w:bidi="ar-SA"/>
      </w:rPr>
    </w:lvl>
    <w:lvl w:ilvl="7" w:tplc="DFCE9D26">
      <w:numFmt w:val="bullet"/>
      <w:lvlText w:val="•"/>
      <w:lvlJc w:val="left"/>
      <w:pPr>
        <w:ind w:left="3600" w:hanging="360"/>
      </w:pPr>
      <w:rPr>
        <w:rFonts w:hint="default"/>
        <w:lang w:val="sq-AL" w:eastAsia="en-US" w:bidi="ar-SA"/>
      </w:rPr>
    </w:lvl>
    <w:lvl w:ilvl="8" w:tplc="57A4C314">
      <w:numFmt w:val="bullet"/>
      <w:lvlText w:val="•"/>
      <w:lvlJc w:val="left"/>
      <w:pPr>
        <w:ind w:left="3986" w:hanging="360"/>
      </w:pPr>
      <w:rPr>
        <w:rFonts w:hint="default"/>
        <w:lang w:val="sq-AL" w:eastAsia="en-US" w:bidi="ar-SA"/>
      </w:rPr>
    </w:lvl>
  </w:abstractNum>
  <w:abstractNum w:abstractNumId="3">
    <w:nsid w:val="27E06654"/>
    <w:multiLevelType w:val="hybridMultilevel"/>
    <w:tmpl w:val="2D92B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DD64A8"/>
    <w:multiLevelType w:val="hybridMultilevel"/>
    <w:tmpl w:val="525E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D69CB"/>
    <w:multiLevelType w:val="hybridMultilevel"/>
    <w:tmpl w:val="0D2C988C"/>
    <w:lvl w:ilvl="0" w:tplc="CCC438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629C7"/>
    <w:multiLevelType w:val="hybridMultilevel"/>
    <w:tmpl w:val="0F8EFF88"/>
    <w:lvl w:ilvl="0" w:tplc="9C1ECC78">
      <w:start w:val="5"/>
      <w:numFmt w:val="decimal"/>
      <w:lvlText w:val="%1"/>
      <w:lvlJc w:val="left"/>
      <w:pPr>
        <w:ind w:left="272" w:hanging="166"/>
        <w:jc w:val="left"/>
      </w:pPr>
      <w:rPr>
        <w:rFonts w:ascii="Times New Roman" w:eastAsia="Times New Roman" w:hAnsi="Times New Roman" w:cs="Times New Roman" w:hint="default"/>
        <w:color w:val="FF0000"/>
        <w:w w:val="100"/>
        <w:sz w:val="22"/>
        <w:szCs w:val="22"/>
        <w:lang w:val="sq-AL" w:eastAsia="en-US" w:bidi="ar-SA"/>
      </w:rPr>
    </w:lvl>
    <w:lvl w:ilvl="1" w:tplc="1592FCB8">
      <w:numFmt w:val="bullet"/>
      <w:lvlText w:val="•"/>
      <w:lvlJc w:val="left"/>
      <w:pPr>
        <w:ind w:left="557" w:hanging="166"/>
      </w:pPr>
      <w:rPr>
        <w:rFonts w:hint="default"/>
        <w:lang w:val="sq-AL" w:eastAsia="en-US" w:bidi="ar-SA"/>
      </w:rPr>
    </w:lvl>
    <w:lvl w:ilvl="2" w:tplc="CF14A7EC">
      <w:numFmt w:val="bullet"/>
      <w:lvlText w:val="•"/>
      <w:lvlJc w:val="left"/>
      <w:pPr>
        <w:ind w:left="834" w:hanging="166"/>
      </w:pPr>
      <w:rPr>
        <w:rFonts w:hint="default"/>
        <w:lang w:val="sq-AL" w:eastAsia="en-US" w:bidi="ar-SA"/>
      </w:rPr>
    </w:lvl>
    <w:lvl w:ilvl="3" w:tplc="912CDDF2">
      <w:numFmt w:val="bullet"/>
      <w:lvlText w:val="•"/>
      <w:lvlJc w:val="left"/>
      <w:pPr>
        <w:ind w:left="1111" w:hanging="166"/>
      </w:pPr>
      <w:rPr>
        <w:rFonts w:hint="default"/>
        <w:lang w:val="sq-AL" w:eastAsia="en-US" w:bidi="ar-SA"/>
      </w:rPr>
    </w:lvl>
    <w:lvl w:ilvl="4" w:tplc="22DA851C">
      <w:numFmt w:val="bullet"/>
      <w:lvlText w:val="•"/>
      <w:lvlJc w:val="left"/>
      <w:pPr>
        <w:ind w:left="1388" w:hanging="166"/>
      </w:pPr>
      <w:rPr>
        <w:rFonts w:hint="default"/>
        <w:lang w:val="sq-AL" w:eastAsia="en-US" w:bidi="ar-SA"/>
      </w:rPr>
    </w:lvl>
    <w:lvl w:ilvl="5" w:tplc="09462748">
      <w:numFmt w:val="bullet"/>
      <w:lvlText w:val="•"/>
      <w:lvlJc w:val="left"/>
      <w:pPr>
        <w:ind w:left="1665" w:hanging="166"/>
      </w:pPr>
      <w:rPr>
        <w:rFonts w:hint="default"/>
        <w:lang w:val="sq-AL" w:eastAsia="en-US" w:bidi="ar-SA"/>
      </w:rPr>
    </w:lvl>
    <w:lvl w:ilvl="6" w:tplc="77849C1E">
      <w:numFmt w:val="bullet"/>
      <w:lvlText w:val="•"/>
      <w:lvlJc w:val="left"/>
      <w:pPr>
        <w:ind w:left="1942" w:hanging="166"/>
      </w:pPr>
      <w:rPr>
        <w:rFonts w:hint="default"/>
        <w:lang w:val="sq-AL" w:eastAsia="en-US" w:bidi="ar-SA"/>
      </w:rPr>
    </w:lvl>
    <w:lvl w:ilvl="7" w:tplc="C630B2D0">
      <w:numFmt w:val="bullet"/>
      <w:lvlText w:val="•"/>
      <w:lvlJc w:val="left"/>
      <w:pPr>
        <w:ind w:left="2219" w:hanging="166"/>
      </w:pPr>
      <w:rPr>
        <w:rFonts w:hint="default"/>
        <w:lang w:val="sq-AL" w:eastAsia="en-US" w:bidi="ar-SA"/>
      </w:rPr>
    </w:lvl>
    <w:lvl w:ilvl="8" w:tplc="827061AA">
      <w:numFmt w:val="bullet"/>
      <w:lvlText w:val="•"/>
      <w:lvlJc w:val="left"/>
      <w:pPr>
        <w:ind w:left="2496" w:hanging="166"/>
      </w:pPr>
      <w:rPr>
        <w:rFonts w:hint="default"/>
        <w:lang w:val="sq-AL" w:eastAsia="en-US" w:bidi="ar-SA"/>
      </w:rPr>
    </w:lvl>
  </w:abstractNum>
  <w:abstractNum w:abstractNumId="7">
    <w:nsid w:val="5F8E0DE5"/>
    <w:multiLevelType w:val="hybridMultilevel"/>
    <w:tmpl w:val="4CA6D4E0"/>
    <w:lvl w:ilvl="0" w:tplc="422E6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06CBA"/>
    <w:multiLevelType w:val="hybridMultilevel"/>
    <w:tmpl w:val="0734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7"/>
  </w:num>
  <w:num w:numId="6">
    <w:abstractNumId w:val="1"/>
  </w:num>
  <w:num w:numId="7">
    <w:abstractNumId w:val="8"/>
  </w:num>
  <w:num w:numId="8">
    <w:abstractNumId w:val="3"/>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F5"/>
    <w:rsid w:val="0001619E"/>
    <w:rsid w:val="00037C70"/>
    <w:rsid w:val="000956CA"/>
    <w:rsid w:val="000A09C6"/>
    <w:rsid w:val="000C3483"/>
    <w:rsid w:val="000C4F6C"/>
    <w:rsid w:val="00101DDA"/>
    <w:rsid w:val="00125F40"/>
    <w:rsid w:val="001321E2"/>
    <w:rsid w:val="001A295E"/>
    <w:rsid w:val="001A3C0E"/>
    <w:rsid w:val="001F3D16"/>
    <w:rsid w:val="00244878"/>
    <w:rsid w:val="00292AE5"/>
    <w:rsid w:val="002A2E1A"/>
    <w:rsid w:val="002C7039"/>
    <w:rsid w:val="002F648D"/>
    <w:rsid w:val="00332014"/>
    <w:rsid w:val="00383485"/>
    <w:rsid w:val="003C546E"/>
    <w:rsid w:val="003E5CA9"/>
    <w:rsid w:val="00431E6F"/>
    <w:rsid w:val="00450C78"/>
    <w:rsid w:val="004D6F05"/>
    <w:rsid w:val="004E38F1"/>
    <w:rsid w:val="005157FA"/>
    <w:rsid w:val="00523378"/>
    <w:rsid w:val="00560B6A"/>
    <w:rsid w:val="00591F95"/>
    <w:rsid w:val="0059711F"/>
    <w:rsid w:val="005D3163"/>
    <w:rsid w:val="005F3F4C"/>
    <w:rsid w:val="00643C59"/>
    <w:rsid w:val="006A0D96"/>
    <w:rsid w:val="006E1A54"/>
    <w:rsid w:val="006E4C58"/>
    <w:rsid w:val="00720EF0"/>
    <w:rsid w:val="00732B0E"/>
    <w:rsid w:val="007629DC"/>
    <w:rsid w:val="00840677"/>
    <w:rsid w:val="00855C68"/>
    <w:rsid w:val="00864B03"/>
    <w:rsid w:val="0089169B"/>
    <w:rsid w:val="008B2C78"/>
    <w:rsid w:val="008E17B6"/>
    <w:rsid w:val="008F566E"/>
    <w:rsid w:val="00916E54"/>
    <w:rsid w:val="009C7AC9"/>
    <w:rsid w:val="009E68FD"/>
    <w:rsid w:val="00A82EA9"/>
    <w:rsid w:val="00AD341D"/>
    <w:rsid w:val="00B02405"/>
    <w:rsid w:val="00BA6BF5"/>
    <w:rsid w:val="00C15348"/>
    <w:rsid w:val="00C40ACE"/>
    <w:rsid w:val="00CB4E27"/>
    <w:rsid w:val="00D10601"/>
    <w:rsid w:val="00D24DA7"/>
    <w:rsid w:val="00D31370"/>
    <w:rsid w:val="00D661F6"/>
    <w:rsid w:val="00DC40A0"/>
    <w:rsid w:val="00E428AB"/>
    <w:rsid w:val="00EC72F5"/>
    <w:rsid w:val="00F41EFA"/>
    <w:rsid w:val="00F7144E"/>
    <w:rsid w:val="00F80BBD"/>
    <w:rsid w:val="00F910C9"/>
    <w:rsid w:val="00FE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07366-E633-4169-AEFC-871ACC52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6BF5"/>
    <w:pPr>
      <w:widowControl w:val="0"/>
      <w:autoSpaceDE w:val="0"/>
      <w:autoSpaceDN w:val="0"/>
      <w:spacing w:after="0" w:line="240" w:lineRule="auto"/>
    </w:pPr>
    <w:rPr>
      <w:rFonts w:ascii="Times New Roman" w:eastAsia="Times New Roman" w:hAnsi="Times New Roman" w:cs="Times New Roman"/>
      <w:lang w:val="sq-AL"/>
    </w:rPr>
  </w:style>
  <w:style w:type="paragraph" w:styleId="Heading1">
    <w:name w:val="heading 1"/>
    <w:basedOn w:val="Normal"/>
    <w:link w:val="Heading1Char"/>
    <w:uiPriority w:val="1"/>
    <w:qFormat/>
    <w:rsid w:val="00BA6BF5"/>
    <w:pPr>
      <w:spacing w:before="64"/>
      <w:ind w:left="1200"/>
      <w:outlineLvl w:val="0"/>
    </w:pPr>
    <w:rPr>
      <w:b/>
      <w:bCs/>
      <w:sz w:val="28"/>
      <w:szCs w:val="28"/>
    </w:rPr>
  </w:style>
  <w:style w:type="paragraph" w:styleId="Heading2">
    <w:name w:val="heading 2"/>
    <w:basedOn w:val="Normal"/>
    <w:link w:val="Heading2Char"/>
    <w:uiPriority w:val="1"/>
    <w:qFormat/>
    <w:rsid w:val="00BA6BF5"/>
    <w:pPr>
      <w:ind w:left="1548" w:hanging="721"/>
      <w:jc w:val="both"/>
      <w:outlineLvl w:val="1"/>
    </w:pPr>
    <w:rPr>
      <w:b/>
      <w:bCs/>
      <w:i/>
      <w:sz w:val="25"/>
      <w:szCs w:val="25"/>
    </w:rPr>
  </w:style>
  <w:style w:type="paragraph" w:styleId="Heading3">
    <w:name w:val="heading 3"/>
    <w:basedOn w:val="Normal"/>
    <w:link w:val="Heading3Char"/>
    <w:uiPriority w:val="1"/>
    <w:qFormat/>
    <w:rsid w:val="00BA6BF5"/>
    <w:pPr>
      <w:ind w:left="840"/>
      <w:jc w:val="both"/>
      <w:outlineLvl w:val="2"/>
    </w:pPr>
    <w:rPr>
      <w:b/>
      <w:bCs/>
      <w:sz w:val="24"/>
      <w:szCs w:val="24"/>
    </w:rPr>
  </w:style>
  <w:style w:type="paragraph" w:styleId="Heading4">
    <w:name w:val="heading 4"/>
    <w:basedOn w:val="Normal"/>
    <w:link w:val="Heading4Char"/>
    <w:uiPriority w:val="1"/>
    <w:qFormat/>
    <w:rsid w:val="00BA6BF5"/>
    <w:pPr>
      <w:spacing w:before="90"/>
      <w:ind w:left="1548" w:hanging="721"/>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6BF5"/>
    <w:rPr>
      <w:rFonts w:ascii="Times New Roman" w:eastAsia="Times New Roman" w:hAnsi="Times New Roman" w:cs="Times New Roman"/>
      <w:b/>
      <w:bCs/>
      <w:sz w:val="28"/>
      <w:szCs w:val="28"/>
      <w:lang w:val="sq-AL"/>
    </w:rPr>
  </w:style>
  <w:style w:type="character" w:customStyle="1" w:styleId="Heading2Char">
    <w:name w:val="Heading 2 Char"/>
    <w:basedOn w:val="DefaultParagraphFont"/>
    <w:link w:val="Heading2"/>
    <w:uiPriority w:val="1"/>
    <w:rsid w:val="00BA6BF5"/>
    <w:rPr>
      <w:rFonts w:ascii="Times New Roman" w:eastAsia="Times New Roman" w:hAnsi="Times New Roman" w:cs="Times New Roman"/>
      <w:b/>
      <w:bCs/>
      <w:i/>
      <w:sz w:val="25"/>
      <w:szCs w:val="25"/>
      <w:lang w:val="sq-AL"/>
    </w:rPr>
  </w:style>
  <w:style w:type="character" w:customStyle="1" w:styleId="Heading3Char">
    <w:name w:val="Heading 3 Char"/>
    <w:basedOn w:val="DefaultParagraphFont"/>
    <w:link w:val="Heading3"/>
    <w:uiPriority w:val="1"/>
    <w:rsid w:val="00BA6BF5"/>
    <w:rPr>
      <w:rFonts w:ascii="Times New Roman" w:eastAsia="Times New Roman" w:hAnsi="Times New Roman" w:cs="Times New Roman"/>
      <w:b/>
      <w:bCs/>
      <w:sz w:val="24"/>
      <w:szCs w:val="24"/>
      <w:lang w:val="sq-AL"/>
    </w:rPr>
  </w:style>
  <w:style w:type="character" w:customStyle="1" w:styleId="Heading4Char">
    <w:name w:val="Heading 4 Char"/>
    <w:basedOn w:val="DefaultParagraphFont"/>
    <w:link w:val="Heading4"/>
    <w:uiPriority w:val="1"/>
    <w:rsid w:val="00BA6BF5"/>
    <w:rPr>
      <w:rFonts w:ascii="Times New Roman" w:eastAsia="Times New Roman" w:hAnsi="Times New Roman" w:cs="Times New Roman"/>
      <w:b/>
      <w:bCs/>
      <w:i/>
      <w:sz w:val="24"/>
      <w:szCs w:val="24"/>
      <w:lang w:val="sq-AL"/>
    </w:rPr>
  </w:style>
  <w:style w:type="paragraph" w:styleId="TOC1">
    <w:name w:val="toc 1"/>
    <w:basedOn w:val="Normal"/>
    <w:uiPriority w:val="1"/>
    <w:qFormat/>
    <w:rsid w:val="00BA6BF5"/>
    <w:pPr>
      <w:spacing w:before="109"/>
      <w:ind w:left="1326"/>
    </w:pPr>
    <w:rPr>
      <w:sz w:val="21"/>
      <w:szCs w:val="21"/>
    </w:rPr>
  </w:style>
  <w:style w:type="paragraph" w:styleId="BodyText">
    <w:name w:val="Body Text"/>
    <w:basedOn w:val="Normal"/>
    <w:link w:val="BodyTextChar"/>
    <w:uiPriority w:val="1"/>
    <w:qFormat/>
    <w:rsid w:val="00BA6BF5"/>
    <w:rPr>
      <w:sz w:val="24"/>
      <w:szCs w:val="24"/>
    </w:rPr>
  </w:style>
  <w:style w:type="character" w:customStyle="1" w:styleId="BodyTextChar">
    <w:name w:val="Body Text Char"/>
    <w:basedOn w:val="DefaultParagraphFont"/>
    <w:link w:val="BodyText"/>
    <w:uiPriority w:val="1"/>
    <w:rsid w:val="00BA6BF5"/>
    <w:rPr>
      <w:rFonts w:ascii="Times New Roman" w:eastAsia="Times New Roman" w:hAnsi="Times New Roman" w:cs="Times New Roman"/>
      <w:sz w:val="24"/>
      <w:szCs w:val="24"/>
      <w:lang w:val="sq-AL"/>
    </w:rPr>
  </w:style>
  <w:style w:type="paragraph" w:styleId="Title">
    <w:name w:val="Title"/>
    <w:basedOn w:val="Normal"/>
    <w:link w:val="TitleChar"/>
    <w:uiPriority w:val="1"/>
    <w:qFormat/>
    <w:rsid w:val="00BA6BF5"/>
    <w:pPr>
      <w:ind w:right="3656"/>
      <w:jc w:val="right"/>
    </w:pPr>
    <w:rPr>
      <w:rFonts w:ascii="Trebuchet MS" w:eastAsia="Trebuchet MS" w:hAnsi="Trebuchet MS" w:cs="Trebuchet MS"/>
      <w:sz w:val="80"/>
      <w:szCs w:val="80"/>
    </w:rPr>
  </w:style>
  <w:style w:type="character" w:customStyle="1" w:styleId="TitleChar">
    <w:name w:val="Title Char"/>
    <w:basedOn w:val="DefaultParagraphFont"/>
    <w:link w:val="Title"/>
    <w:uiPriority w:val="1"/>
    <w:rsid w:val="00BA6BF5"/>
    <w:rPr>
      <w:rFonts w:ascii="Trebuchet MS" w:eastAsia="Trebuchet MS" w:hAnsi="Trebuchet MS" w:cs="Trebuchet MS"/>
      <w:sz w:val="80"/>
      <w:szCs w:val="80"/>
      <w:lang w:val="sq-AL"/>
    </w:rPr>
  </w:style>
  <w:style w:type="paragraph" w:styleId="ListParagraph">
    <w:name w:val="List Paragraph"/>
    <w:aliases w:val="Normal 1,List Paragraph 1,Akapit z listą BS,Bullet Styles para,Figure_name,Equipment,List Paragraph1,Numbered Indented Text,List Paragraph Char Char Char,List Paragraph Char Char,lp1,List Paragraph11,Paragraphe de liste1,Dot pt"/>
    <w:basedOn w:val="Normal"/>
    <w:link w:val="ListParagraphChar"/>
    <w:uiPriority w:val="34"/>
    <w:qFormat/>
    <w:rsid w:val="00BA6BF5"/>
    <w:pPr>
      <w:ind w:left="840"/>
      <w:jc w:val="both"/>
    </w:pPr>
  </w:style>
  <w:style w:type="paragraph" w:customStyle="1" w:styleId="TableParagraph">
    <w:name w:val="Table Paragraph"/>
    <w:basedOn w:val="Normal"/>
    <w:uiPriority w:val="1"/>
    <w:qFormat/>
    <w:rsid w:val="00BA6BF5"/>
  </w:style>
  <w:style w:type="paragraph" w:styleId="Header">
    <w:name w:val="header"/>
    <w:basedOn w:val="Normal"/>
    <w:link w:val="HeaderChar"/>
    <w:uiPriority w:val="99"/>
    <w:unhideWhenUsed/>
    <w:rsid w:val="00BA6BF5"/>
    <w:pPr>
      <w:tabs>
        <w:tab w:val="center" w:pos="4680"/>
        <w:tab w:val="right" w:pos="9360"/>
      </w:tabs>
    </w:pPr>
  </w:style>
  <w:style w:type="character" w:customStyle="1" w:styleId="HeaderChar">
    <w:name w:val="Header Char"/>
    <w:basedOn w:val="DefaultParagraphFont"/>
    <w:link w:val="Header"/>
    <w:uiPriority w:val="99"/>
    <w:rsid w:val="00BA6BF5"/>
    <w:rPr>
      <w:rFonts w:ascii="Times New Roman" w:eastAsia="Times New Roman" w:hAnsi="Times New Roman" w:cs="Times New Roman"/>
      <w:lang w:val="sq-AL"/>
    </w:rPr>
  </w:style>
  <w:style w:type="paragraph" w:styleId="Footer">
    <w:name w:val="footer"/>
    <w:basedOn w:val="Normal"/>
    <w:link w:val="FooterChar"/>
    <w:uiPriority w:val="99"/>
    <w:unhideWhenUsed/>
    <w:rsid w:val="00BA6BF5"/>
    <w:pPr>
      <w:tabs>
        <w:tab w:val="center" w:pos="4680"/>
        <w:tab w:val="right" w:pos="9360"/>
      </w:tabs>
    </w:pPr>
  </w:style>
  <w:style w:type="character" w:customStyle="1" w:styleId="FooterChar">
    <w:name w:val="Footer Char"/>
    <w:basedOn w:val="DefaultParagraphFont"/>
    <w:link w:val="Footer"/>
    <w:uiPriority w:val="99"/>
    <w:rsid w:val="00BA6BF5"/>
    <w:rPr>
      <w:rFonts w:ascii="Times New Roman" w:eastAsia="Times New Roman" w:hAnsi="Times New Roman" w:cs="Times New Roman"/>
      <w:lang w:val="sq-AL"/>
    </w:rPr>
  </w:style>
  <w:style w:type="paragraph" w:styleId="BalloonText">
    <w:name w:val="Balloon Text"/>
    <w:basedOn w:val="Normal"/>
    <w:link w:val="BalloonTextChar"/>
    <w:uiPriority w:val="99"/>
    <w:semiHidden/>
    <w:unhideWhenUsed/>
    <w:rsid w:val="004E3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F1"/>
    <w:rPr>
      <w:rFonts w:ascii="Segoe UI" w:eastAsia="Times New Roman" w:hAnsi="Segoe UI" w:cs="Segoe UI"/>
      <w:sz w:val="18"/>
      <w:szCs w:val="18"/>
      <w:lang w:val="sq-AL"/>
    </w:rPr>
  </w:style>
  <w:style w:type="paragraph" w:styleId="NormalWeb">
    <w:name w:val="Normal (Web)"/>
    <w:basedOn w:val="Normal"/>
    <w:uiPriority w:val="99"/>
    <w:unhideWhenUsed/>
    <w:rsid w:val="00D10601"/>
    <w:pPr>
      <w:widowControl/>
      <w:autoSpaceDE/>
      <w:autoSpaceDN/>
    </w:pPr>
    <w:rPr>
      <w:rFonts w:eastAsiaTheme="minorHAnsi"/>
      <w:sz w:val="24"/>
      <w:szCs w:val="24"/>
      <w:lang w:val="de-DE" w:eastAsia="de-DE"/>
    </w:rPr>
  </w:style>
  <w:style w:type="paragraph" w:customStyle="1" w:styleId="Default">
    <w:name w:val="Default"/>
    <w:basedOn w:val="Normal"/>
    <w:link w:val="DefaultChar"/>
    <w:rsid w:val="00D10601"/>
    <w:pPr>
      <w:widowControl/>
    </w:pPr>
    <w:rPr>
      <w:rFonts w:eastAsia="Calibri"/>
      <w:color w:val="000000"/>
      <w:sz w:val="24"/>
      <w:szCs w:val="24"/>
      <w:lang w:val="de-DE" w:eastAsia="de-DE"/>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D10601"/>
    <w:rPr>
      <w:rFonts w:ascii="Times New Roman" w:eastAsia="Times New Roman" w:hAnsi="Times New Roman" w:cs="Times New Roman"/>
      <w:lang w:val="sq-AL"/>
    </w:rPr>
  </w:style>
  <w:style w:type="character" w:customStyle="1" w:styleId="DefaultChar">
    <w:name w:val="Default Char"/>
    <w:link w:val="Default"/>
    <w:locked/>
    <w:rsid w:val="00D10601"/>
    <w:rPr>
      <w:rFonts w:ascii="Times New Roman" w:eastAsia="Calibri" w:hAnsi="Times New Roman" w:cs="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EEC1-E7C4-4310-8A27-F62570B7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Venhar Nushi</dc:creator>
  <cp:keywords/>
  <dc:description/>
  <cp:lastModifiedBy>Venhar Nushi</cp:lastModifiedBy>
  <cp:revision>8</cp:revision>
  <dcterms:created xsi:type="dcterms:W3CDTF">2020-01-24T07:47:00Z</dcterms:created>
  <dcterms:modified xsi:type="dcterms:W3CDTF">2020-01-29T08:44:00Z</dcterms:modified>
</cp:coreProperties>
</file>