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AC" w:rsidRDefault="00EC1A41" w:rsidP="004A2CAC">
      <w:pPr>
        <w:rPr>
          <w:lang w:val="hr-HR"/>
        </w:rPr>
      </w:pPr>
      <w:r w:rsidRPr="00EC1A41">
        <w:rPr>
          <w:b/>
          <w:bCs/>
          <w:smallCaps/>
          <w:sz w:val="32"/>
          <w:lang w:val="hr-HR"/>
        </w:rPr>
        <w:t xml:space="preserve">Raporti </w:t>
      </w:r>
      <w:r>
        <w:rPr>
          <w:b/>
          <w:bCs/>
          <w:smallCaps/>
          <w:sz w:val="32"/>
          <w:lang w:val="hr-HR"/>
        </w:rPr>
        <w:t>i</w:t>
      </w:r>
      <w:r w:rsidRPr="00EC1A41">
        <w:rPr>
          <w:b/>
          <w:bCs/>
          <w:smallCaps/>
          <w:sz w:val="32"/>
          <w:lang w:val="hr-HR"/>
        </w:rPr>
        <w:t xml:space="preserve"> komenteve per </w:t>
      </w:r>
      <w:r w:rsidR="00004E8D">
        <w:rPr>
          <w:b/>
          <w:bCs/>
          <w:smallCaps/>
          <w:sz w:val="32"/>
          <w:lang w:val="hr-HR"/>
        </w:rPr>
        <w:t xml:space="preserve">Projektligjin per </w:t>
      </w:r>
      <w:r w:rsidR="00004E8D" w:rsidRPr="00004E8D">
        <w:rPr>
          <w:b/>
          <w:bCs/>
          <w:smallCaps/>
          <w:sz w:val="32"/>
          <w:szCs w:val="32"/>
          <w:lang w:val="hr-HR"/>
        </w:rPr>
        <w:t>b</w:t>
      </w:r>
      <w:r w:rsidR="00004E8D">
        <w:rPr>
          <w:b/>
          <w:bCs/>
          <w:smallCaps/>
          <w:sz w:val="32"/>
          <w:lang w:val="hr-HR"/>
        </w:rPr>
        <w:t xml:space="preserve">anim social </w:t>
      </w:r>
    </w:p>
    <w:p w:rsidR="004A2CAC" w:rsidRDefault="004A2CAC" w:rsidP="004A2CAC">
      <w:pPr>
        <w:rPr>
          <w:lang w:val="hr-HR"/>
        </w:rPr>
      </w:pPr>
    </w:p>
    <w:p w:rsidR="00397BBA" w:rsidRDefault="00397BBA" w:rsidP="004A2CAC">
      <w:pPr>
        <w:jc w:val="center"/>
        <w:rPr>
          <w:b/>
          <w:lang w:val="hr-HR"/>
        </w:rPr>
      </w:pPr>
    </w:p>
    <w:p w:rsidR="004A2CAC" w:rsidRDefault="004A2CAC" w:rsidP="004A2CAC">
      <w:pPr>
        <w:jc w:val="center"/>
        <w:rPr>
          <w:b/>
          <w:lang w:val="da-DK"/>
        </w:rPr>
      </w:pPr>
      <w:r w:rsidRPr="009D3AC4">
        <w:rPr>
          <w:b/>
          <w:lang w:val="hr-HR"/>
        </w:rPr>
        <w:t>Hyrja/sfond</w:t>
      </w:r>
      <w:r w:rsidRPr="009D3AC4">
        <w:rPr>
          <w:b/>
          <w:lang w:val="da-DK"/>
        </w:rPr>
        <w:t>i</w:t>
      </w:r>
    </w:p>
    <w:p w:rsidR="004A2CAC" w:rsidRPr="009D3AC4" w:rsidRDefault="004A2CAC" w:rsidP="004A2CAC">
      <w:pPr>
        <w:jc w:val="center"/>
        <w:rPr>
          <w:b/>
          <w:lang w:val="da-DK"/>
        </w:rPr>
      </w:pPr>
    </w:p>
    <w:p w:rsidR="004A2CAC" w:rsidRDefault="00BB7889" w:rsidP="004A2CAC">
      <w:pPr>
        <w:jc w:val="both"/>
        <w:rPr>
          <w:i/>
        </w:rPr>
      </w:pPr>
      <w:r w:rsidRPr="00BB7889">
        <w:rPr>
          <w:i/>
        </w:rPr>
        <w:t>Paraqitet përmbledhje e informatave për propozim e projekligjit për Banim Social i cili është konsultuar, natyrën e tij, procesin e hartimit, metodologjinë, pjesëmarrjen në grupin/grupet punuese, rëndësinë e konsultimit publik, qëllimin e konsultimit.</w:t>
      </w:r>
    </w:p>
    <w:p w:rsidR="004A2CAC" w:rsidRDefault="004A2CAC" w:rsidP="004A2CAC">
      <w:pPr>
        <w:jc w:val="both"/>
        <w:rPr>
          <w:i/>
        </w:rPr>
      </w:pPr>
    </w:p>
    <w:p w:rsidR="00397BBA" w:rsidRPr="009E0D52" w:rsidRDefault="00397BBA" w:rsidP="004A2CAC">
      <w:pPr>
        <w:jc w:val="both"/>
        <w:rPr>
          <w:i/>
        </w:rPr>
      </w:pPr>
    </w:p>
    <w:p w:rsidR="004A2CAC" w:rsidRDefault="004A2CAC" w:rsidP="004A2CAC">
      <w:pPr>
        <w:jc w:val="center"/>
        <w:rPr>
          <w:b/>
          <w:lang w:val="hr-HR"/>
        </w:rPr>
      </w:pPr>
      <w:r w:rsidRPr="009D3AC4">
        <w:rPr>
          <w:b/>
          <w:lang w:val="hr-HR"/>
        </w:rPr>
        <w:t>Ecuria procesit t</w:t>
      </w:r>
      <w:r w:rsidRPr="009D3AC4">
        <w:rPr>
          <w:b/>
        </w:rPr>
        <w:t>ë</w:t>
      </w:r>
      <w:r w:rsidRPr="009D3AC4">
        <w:rPr>
          <w:b/>
          <w:lang w:val="hr-HR"/>
        </w:rPr>
        <w:t xml:space="preserve"> konsultimit</w:t>
      </w:r>
    </w:p>
    <w:p w:rsidR="004A2CAC" w:rsidRDefault="004A2CAC" w:rsidP="004A2CAC">
      <w:pPr>
        <w:jc w:val="center"/>
        <w:rPr>
          <w:b/>
          <w:lang w:val="hr-HR"/>
        </w:rPr>
      </w:pPr>
    </w:p>
    <w:p w:rsidR="00397BBA" w:rsidRPr="009D3AC4" w:rsidRDefault="00397BBA" w:rsidP="004A2CAC">
      <w:pPr>
        <w:jc w:val="center"/>
        <w:rPr>
          <w:b/>
          <w:lang w:val="hr-HR"/>
        </w:rPr>
      </w:pPr>
    </w:p>
    <w:p w:rsidR="004A2CAC" w:rsidRDefault="004A2CAC" w:rsidP="004A2CAC">
      <w:pPr>
        <w:jc w:val="both"/>
        <w:rPr>
          <w:i/>
          <w:lang w:val="hr-HR"/>
        </w:rPr>
      </w:pPr>
      <w:r>
        <w:rPr>
          <w:i/>
          <w:lang w:val="hr-HR"/>
        </w:rPr>
        <w:t>Në këtë pjesë paraqitet përmbledhja e procesit të konsultimit që nga faza e planifikimit, identifikimit të palëve të interesit, arsyeshmërisë së përzgjedhjes së palëve ta caktuara të interesit, metodat e përdorura në proces të konsultimit dhe arsyen për zgjedhjen e tyre, pjesmarrjen në proces ta paleve të interesit, numri i tyre. Pastaj paraqiten informata për kohëzgjatjen e procesit të konsultimit të dokumentit në fjalë.</w:t>
      </w:r>
    </w:p>
    <w:p w:rsidR="004A2CAC" w:rsidRDefault="004A2CAC" w:rsidP="004A2CAC">
      <w:pPr>
        <w:jc w:val="both"/>
        <w:rPr>
          <w:i/>
          <w:lang w:val="hr-HR"/>
        </w:rPr>
      </w:pPr>
    </w:p>
    <w:p w:rsidR="004A2CAC" w:rsidRDefault="004A2CAC" w:rsidP="004A2CAC">
      <w:pPr>
        <w:jc w:val="both"/>
        <w:rPr>
          <w:i/>
          <w:lang w:val="hr-HR"/>
        </w:rPr>
      </w:pPr>
      <w:r>
        <w:rPr>
          <w:i/>
          <w:lang w:val="hr-HR"/>
        </w:rPr>
        <w:t xml:space="preserve"> Nëse është e nevojshme informatat paraqiten në grafika dhe tabela. </w:t>
      </w:r>
    </w:p>
    <w:p w:rsidR="004A2CAC" w:rsidRPr="0052733D" w:rsidRDefault="004A2CAC" w:rsidP="004A2CAC">
      <w:pPr>
        <w:jc w:val="both"/>
        <w:rPr>
          <w:i/>
          <w:lang w:val="hr-HR"/>
        </w:rPr>
      </w:pPr>
      <w:bookmarkStart w:id="0" w:name="_GoBack"/>
    </w:p>
    <w:tbl>
      <w:tblPr>
        <w:tblStyle w:val="GridTable1Light-Accent51"/>
        <w:tblW w:w="0" w:type="auto"/>
        <w:tblLook w:val="04A0" w:firstRow="1" w:lastRow="0" w:firstColumn="1" w:lastColumn="0" w:noHBand="0" w:noVBand="1"/>
      </w:tblPr>
      <w:tblGrid>
        <w:gridCol w:w="3521"/>
        <w:gridCol w:w="2346"/>
        <w:gridCol w:w="2989"/>
      </w:tblGrid>
      <w:tr w:rsidR="0052733D" w:rsidRPr="0052733D" w:rsidTr="002B3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2B381A">
            <w:pPr>
              <w:pStyle w:val="Default"/>
              <w:rPr>
                <w:rFonts w:asciiTheme="minorHAnsi" w:hAnsiTheme="minorHAnsi"/>
                <w:color w:val="auto"/>
                <w:sz w:val="20"/>
              </w:rPr>
            </w:pPr>
            <w:proofErr w:type="spellStart"/>
            <w:r w:rsidRPr="0052733D">
              <w:rPr>
                <w:rFonts w:asciiTheme="minorHAnsi" w:hAnsiTheme="minorHAnsi"/>
                <w:color w:val="auto"/>
                <w:sz w:val="20"/>
              </w:rPr>
              <w:t>Metodat</w:t>
            </w:r>
            <w:proofErr w:type="spellEnd"/>
            <w:r w:rsidRPr="0052733D">
              <w:rPr>
                <w:rFonts w:asciiTheme="minorHAnsi" w:hAnsiTheme="minorHAnsi"/>
                <w:color w:val="auto"/>
                <w:sz w:val="20"/>
              </w:rPr>
              <w:t xml:space="preserve"> e </w:t>
            </w:r>
            <w:proofErr w:type="spellStart"/>
            <w:r w:rsidRPr="0052733D">
              <w:rPr>
                <w:rFonts w:asciiTheme="minorHAnsi" w:hAnsiTheme="minorHAnsi"/>
                <w:color w:val="auto"/>
                <w:sz w:val="20"/>
              </w:rPr>
              <w:t>Konsultimit</w:t>
            </w:r>
            <w:proofErr w:type="spellEnd"/>
          </w:p>
        </w:tc>
        <w:tc>
          <w:tcPr>
            <w:tcW w:w="2483" w:type="dxa"/>
            <w:shd w:val="clear" w:color="auto" w:fill="F2DBDB" w:themeFill="accent2" w:themeFillTint="33"/>
          </w:tcPr>
          <w:p w:rsidR="004A2CAC" w:rsidRPr="0052733D" w:rsidRDefault="004A2CAC" w:rsidP="002B381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proofErr w:type="spellStart"/>
            <w:r w:rsidRPr="0052733D">
              <w:rPr>
                <w:rFonts w:asciiTheme="minorHAnsi" w:hAnsiTheme="minorHAnsi"/>
                <w:color w:val="auto"/>
                <w:sz w:val="20"/>
              </w:rPr>
              <w:t>Datat</w:t>
            </w:r>
            <w:proofErr w:type="spellEnd"/>
            <w:r w:rsidRPr="0052733D">
              <w:rPr>
                <w:rFonts w:asciiTheme="minorHAnsi" w:hAnsiTheme="minorHAnsi"/>
                <w:color w:val="auto"/>
                <w:sz w:val="20"/>
              </w:rPr>
              <w:t>/</w:t>
            </w:r>
            <w:proofErr w:type="spellStart"/>
            <w:r w:rsidRPr="0052733D">
              <w:rPr>
                <w:rFonts w:asciiTheme="minorHAnsi" w:hAnsiTheme="minorHAnsi"/>
                <w:color w:val="auto"/>
                <w:sz w:val="20"/>
              </w:rPr>
              <w:t>kohëzgjatja</w:t>
            </w:r>
            <w:proofErr w:type="spellEnd"/>
          </w:p>
        </w:tc>
        <w:tc>
          <w:tcPr>
            <w:tcW w:w="3044" w:type="dxa"/>
            <w:shd w:val="clear" w:color="auto" w:fill="F2DBDB" w:themeFill="accent2" w:themeFillTint="33"/>
          </w:tcPr>
          <w:p w:rsidR="004A2CAC" w:rsidRPr="0052733D" w:rsidRDefault="004A2CAC" w:rsidP="002B381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proofErr w:type="spellStart"/>
            <w:r w:rsidRPr="0052733D">
              <w:rPr>
                <w:rFonts w:asciiTheme="minorHAnsi" w:hAnsiTheme="minorHAnsi"/>
                <w:color w:val="auto"/>
                <w:sz w:val="20"/>
              </w:rPr>
              <w:t>Numri</w:t>
            </w:r>
            <w:proofErr w:type="spellEnd"/>
            <w:r w:rsidRPr="0052733D">
              <w:rPr>
                <w:rFonts w:asciiTheme="minorHAnsi" w:hAnsiTheme="minorHAnsi"/>
                <w:color w:val="auto"/>
                <w:sz w:val="20"/>
              </w:rPr>
              <w:t xml:space="preserve"> i </w:t>
            </w:r>
            <w:proofErr w:type="spellStart"/>
            <w:r w:rsidRPr="0052733D">
              <w:rPr>
                <w:rFonts w:asciiTheme="minorHAnsi" w:hAnsiTheme="minorHAnsi"/>
                <w:color w:val="auto"/>
                <w:sz w:val="20"/>
              </w:rPr>
              <w:t>pjesmarrësve</w:t>
            </w:r>
            <w:proofErr w:type="spellEnd"/>
            <w:r w:rsidRPr="0052733D">
              <w:rPr>
                <w:rFonts w:asciiTheme="minorHAnsi" w:hAnsiTheme="minorHAnsi"/>
                <w:color w:val="auto"/>
                <w:sz w:val="20"/>
              </w:rPr>
              <w:t>/</w:t>
            </w:r>
            <w:proofErr w:type="spellStart"/>
            <w:r w:rsidRPr="0052733D">
              <w:rPr>
                <w:rFonts w:asciiTheme="minorHAnsi" w:hAnsiTheme="minorHAnsi"/>
                <w:color w:val="auto"/>
                <w:sz w:val="20"/>
              </w:rPr>
              <w:t>kontribuesve</w:t>
            </w:r>
            <w:proofErr w:type="spellEnd"/>
          </w:p>
        </w:tc>
      </w:tr>
      <w:tr w:rsidR="0052733D" w:rsidRPr="0052733D" w:rsidTr="008C64E7">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szCs w:val="23"/>
              </w:rPr>
            </w:pPr>
            <w:proofErr w:type="spellStart"/>
            <w:r w:rsidRPr="0052733D">
              <w:rPr>
                <w:rFonts w:asciiTheme="minorHAnsi" w:hAnsiTheme="minorHAnsi"/>
                <w:b w:val="0"/>
                <w:color w:val="auto"/>
                <w:sz w:val="21"/>
                <w:szCs w:val="23"/>
              </w:rPr>
              <w:t>Konsultimet</w:t>
            </w:r>
            <w:proofErr w:type="spellEnd"/>
            <w:r w:rsidRPr="0052733D">
              <w:rPr>
                <w:rFonts w:asciiTheme="minorHAnsi" w:hAnsiTheme="minorHAnsi"/>
                <w:b w:val="0"/>
                <w:color w:val="auto"/>
                <w:sz w:val="21"/>
                <w:szCs w:val="23"/>
              </w:rPr>
              <w:t xml:space="preserve"> me </w:t>
            </w:r>
            <w:proofErr w:type="spellStart"/>
            <w:r w:rsidRPr="0052733D">
              <w:rPr>
                <w:rFonts w:asciiTheme="minorHAnsi" w:hAnsiTheme="minorHAnsi"/>
                <w:b w:val="0"/>
                <w:color w:val="auto"/>
                <w:sz w:val="21"/>
                <w:szCs w:val="23"/>
              </w:rPr>
              <w:t>shkrim</w:t>
            </w:r>
            <w:proofErr w:type="spellEnd"/>
            <w:r w:rsidRPr="0052733D">
              <w:rPr>
                <w:rFonts w:asciiTheme="minorHAnsi" w:hAnsiTheme="minorHAnsi"/>
                <w:b w:val="0"/>
                <w:color w:val="auto"/>
                <w:sz w:val="21"/>
                <w:szCs w:val="23"/>
              </w:rPr>
              <w:t xml:space="preserve"> / </w:t>
            </w:r>
            <w:proofErr w:type="spellStart"/>
            <w:r w:rsidRPr="0052733D">
              <w:rPr>
                <w:rFonts w:asciiTheme="minorHAnsi" w:hAnsiTheme="minorHAnsi"/>
                <w:b w:val="0"/>
                <w:color w:val="auto"/>
                <w:sz w:val="21"/>
                <w:szCs w:val="23"/>
              </w:rPr>
              <w:t>në</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mënyrë</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elektronike</w:t>
            </w:r>
            <w:proofErr w:type="spellEnd"/>
            <w:r w:rsidRPr="0052733D">
              <w:rPr>
                <w:rFonts w:asciiTheme="minorHAnsi" w:hAnsiTheme="minorHAnsi"/>
                <w:b w:val="0"/>
                <w:color w:val="auto"/>
                <w:sz w:val="21"/>
                <w:szCs w:val="23"/>
              </w:rPr>
              <w:t>;</w:t>
            </w:r>
          </w:p>
        </w:tc>
        <w:tc>
          <w:tcPr>
            <w:tcW w:w="2483" w:type="dxa"/>
            <w:vAlign w:val="center"/>
          </w:tcPr>
          <w:p w:rsidR="004A2CAC" w:rsidRPr="0052733D" w:rsidRDefault="00004E8D" w:rsidP="00E52ED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2733D">
              <w:rPr>
                <w:rFonts w:asciiTheme="minorHAnsi" w:hAnsiTheme="minorHAnsi"/>
                <w:color w:val="auto"/>
                <w:sz w:val="20"/>
                <w:szCs w:val="20"/>
              </w:rPr>
              <w:t>06.09.2019 -27.09.2019</w:t>
            </w: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szCs w:val="23"/>
              </w:rPr>
              <w:t>Publikimi</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në</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ueb</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faqe</w:t>
            </w:r>
            <w:proofErr w:type="spellEnd"/>
            <w:r w:rsidRPr="0052733D">
              <w:rPr>
                <w:rFonts w:asciiTheme="minorHAnsi" w:hAnsiTheme="minorHAnsi"/>
                <w:b w:val="0"/>
                <w:color w:val="auto"/>
                <w:sz w:val="21"/>
                <w:szCs w:val="23"/>
              </w:rPr>
              <w:t>/</w:t>
            </w:r>
            <w:proofErr w:type="spellStart"/>
            <w:r w:rsidRPr="0052733D">
              <w:rPr>
                <w:rFonts w:asciiTheme="minorHAnsi" w:hAnsiTheme="minorHAnsi"/>
                <w:b w:val="0"/>
                <w:color w:val="auto"/>
                <w:sz w:val="21"/>
                <w:szCs w:val="23"/>
              </w:rPr>
              <w:t>Platforma</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elektronike</w:t>
            </w:r>
            <w:proofErr w:type="spellEnd"/>
          </w:p>
        </w:tc>
        <w:tc>
          <w:tcPr>
            <w:tcW w:w="2483" w:type="dxa"/>
          </w:tcPr>
          <w:p w:rsidR="004A2CAC" w:rsidRPr="0052733D" w:rsidRDefault="00004E8D" w:rsidP="00004E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2733D">
              <w:rPr>
                <w:rFonts w:asciiTheme="minorHAnsi" w:hAnsiTheme="minorHAnsi"/>
                <w:color w:val="auto"/>
                <w:sz w:val="20"/>
                <w:szCs w:val="20"/>
              </w:rPr>
              <w:t>06.09.2019 -27.09.2019</w:t>
            </w: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szCs w:val="23"/>
              </w:rPr>
              <w:t>Takimet</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publike</w:t>
            </w:r>
            <w:proofErr w:type="spellEnd"/>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szCs w:val="23"/>
              </w:rPr>
              <w:t>Konferencat</w:t>
            </w:r>
            <w:proofErr w:type="spellEnd"/>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52733D" w:rsidRPr="0052733D" w:rsidTr="002B381A">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szCs w:val="23"/>
              </w:rPr>
              <w:t>Takime</w:t>
            </w:r>
            <w:proofErr w:type="spellEnd"/>
            <w:r w:rsidRPr="0052733D">
              <w:rPr>
                <w:rFonts w:asciiTheme="minorHAnsi" w:hAnsiTheme="minorHAnsi"/>
                <w:b w:val="0"/>
                <w:color w:val="auto"/>
                <w:sz w:val="21"/>
                <w:szCs w:val="23"/>
              </w:rPr>
              <w:t xml:space="preserve"> me </w:t>
            </w:r>
            <w:proofErr w:type="spellStart"/>
            <w:r w:rsidRPr="0052733D">
              <w:rPr>
                <w:rFonts w:asciiTheme="minorHAnsi" w:hAnsiTheme="minorHAnsi"/>
                <w:b w:val="0"/>
                <w:color w:val="auto"/>
                <w:sz w:val="21"/>
                <w:szCs w:val="23"/>
              </w:rPr>
              <w:t>grupe</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të</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interesit</w:t>
            </w:r>
            <w:proofErr w:type="spellEnd"/>
          </w:p>
        </w:tc>
        <w:tc>
          <w:tcPr>
            <w:tcW w:w="2483" w:type="dxa"/>
          </w:tcPr>
          <w:p w:rsidR="004A2CAC" w:rsidRPr="0052733D" w:rsidRDefault="00004E8D" w:rsidP="00004E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2733D">
              <w:rPr>
                <w:rFonts w:asciiTheme="minorHAnsi" w:hAnsiTheme="minorHAnsi"/>
                <w:color w:val="auto"/>
                <w:sz w:val="20"/>
                <w:szCs w:val="20"/>
              </w:rPr>
              <w:t>12</w:t>
            </w:r>
            <w:r w:rsidR="008C64E7" w:rsidRPr="0052733D">
              <w:rPr>
                <w:rFonts w:asciiTheme="minorHAnsi" w:hAnsiTheme="minorHAnsi"/>
                <w:color w:val="auto"/>
                <w:sz w:val="20"/>
                <w:szCs w:val="20"/>
              </w:rPr>
              <w:t>.0</w:t>
            </w:r>
            <w:r w:rsidRPr="0052733D">
              <w:rPr>
                <w:rFonts w:asciiTheme="minorHAnsi" w:hAnsiTheme="minorHAnsi"/>
                <w:color w:val="auto"/>
                <w:sz w:val="20"/>
                <w:szCs w:val="20"/>
              </w:rPr>
              <w:t>3</w:t>
            </w:r>
            <w:r w:rsidR="008C64E7" w:rsidRPr="0052733D">
              <w:rPr>
                <w:rFonts w:asciiTheme="minorHAnsi" w:hAnsiTheme="minorHAnsi"/>
                <w:color w:val="auto"/>
                <w:sz w:val="20"/>
                <w:szCs w:val="20"/>
              </w:rPr>
              <w:t>.2019</w:t>
            </w:r>
            <w:r w:rsidRPr="0052733D">
              <w:rPr>
                <w:rFonts w:asciiTheme="minorHAnsi" w:hAnsiTheme="minorHAnsi"/>
                <w:color w:val="auto"/>
                <w:sz w:val="20"/>
                <w:szCs w:val="20"/>
              </w:rPr>
              <w:t>-18.09.2019</w:t>
            </w:r>
          </w:p>
          <w:p w:rsidR="00004E8D" w:rsidRPr="0052733D" w:rsidRDefault="00004E8D" w:rsidP="00004E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52733D">
              <w:rPr>
                <w:rFonts w:asciiTheme="minorHAnsi" w:hAnsiTheme="minorHAnsi"/>
                <w:color w:val="auto"/>
                <w:sz w:val="20"/>
                <w:szCs w:val="20"/>
              </w:rPr>
              <w:t>Gjithsejt</w:t>
            </w:r>
            <w:proofErr w:type="spellEnd"/>
            <w:r w:rsidRPr="0052733D">
              <w:rPr>
                <w:rFonts w:asciiTheme="minorHAnsi" w:hAnsiTheme="minorHAnsi"/>
                <w:color w:val="auto"/>
                <w:sz w:val="20"/>
                <w:szCs w:val="20"/>
              </w:rPr>
              <w:t xml:space="preserve"> 17 </w:t>
            </w:r>
            <w:proofErr w:type="spellStart"/>
            <w:r w:rsidRPr="0052733D">
              <w:rPr>
                <w:rFonts w:asciiTheme="minorHAnsi" w:hAnsiTheme="minorHAnsi"/>
                <w:color w:val="auto"/>
                <w:sz w:val="20"/>
                <w:szCs w:val="20"/>
              </w:rPr>
              <w:t>takime</w:t>
            </w:r>
            <w:proofErr w:type="spellEnd"/>
            <w:r w:rsidRPr="0052733D">
              <w:rPr>
                <w:rFonts w:asciiTheme="minorHAnsi" w:hAnsiTheme="minorHAnsi"/>
                <w:color w:val="auto"/>
                <w:sz w:val="20"/>
                <w:szCs w:val="20"/>
              </w:rPr>
              <w:t xml:space="preserve"> </w:t>
            </w:r>
            <w:proofErr w:type="spellStart"/>
            <w:r w:rsidRPr="0052733D">
              <w:rPr>
                <w:rFonts w:asciiTheme="minorHAnsi" w:hAnsiTheme="minorHAnsi"/>
                <w:color w:val="auto"/>
                <w:sz w:val="20"/>
                <w:szCs w:val="20"/>
              </w:rPr>
              <w:t>te</w:t>
            </w:r>
            <w:proofErr w:type="spellEnd"/>
            <w:r w:rsidRPr="0052733D">
              <w:rPr>
                <w:rFonts w:asciiTheme="minorHAnsi" w:hAnsiTheme="minorHAnsi"/>
                <w:color w:val="auto"/>
                <w:sz w:val="20"/>
                <w:szCs w:val="20"/>
              </w:rPr>
              <w:t xml:space="preserve"> </w:t>
            </w:r>
            <w:proofErr w:type="spellStart"/>
            <w:r w:rsidRPr="0052733D">
              <w:rPr>
                <w:rFonts w:asciiTheme="minorHAnsi" w:hAnsiTheme="minorHAnsi"/>
                <w:color w:val="auto"/>
                <w:sz w:val="20"/>
                <w:szCs w:val="20"/>
              </w:rPr>
              <w:t>Grupit</w:t>
            </w:r>
            <w:proofErr w:type="spellEnd"/>
            <w:r w:rsidRPr="0052733D">
              <w:rPr>
                <w:rFonts w:asciiTheme="minorHAnsi" w:hAnsiTheme="minorHAnsi"/>
                <w:color w:val="auto"/>
                <w:sz w:val="20"/>
                <w:szCs w:val="20"/>
              </w:rPr>
              <w:t xml:space="preserve"> </w:t>
            </w:r>
            <w:proofErr w:type="spellStart"/>
            <w:r w:rsidRPr="0052733D">
              <w:rPr>
                <w:rFonts w:asciiTheme="minorHAnsi" w:hAnsiTheme="minorHAnsi"/>
                <w:color w:val="auto"/>
                <w:sz w:val="20"/>
                <w:szCs w:val="20"/>
              </w:rPr>
              <w:t>Punues</w:t>
            </w:r>
            <w:proofErr w:type="spellEnd"/>
            <w:r w:rsidRPr="0052733D">
              <w:rPr>
                <w:rFonts w:asciiTheme="minorHAnsi" w:hAnsiTheme="minorHAnsi"/>
                <w:color w:val="auto"/>
                <w:sz w:val="20"/>
                <w:szCs w:val="20"/>
              </w:rPr>
              <w:t xml:space="preserve">. </w:t>
            </w:r>
          </w:p>
        </w:tc>
        <w:tc>
          <w:tcPr>
            <w:tcW w:w="3044" w:type="dxa"/>
          </w:tcPr>
          <w:p w:rsidR="004A2CAC" w:rsidRPr="0052733D" w:rsidRDefault="00004E8D"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lang w:val="sq-AL"/>
              </w:rPr>
            </w:pPr>
            <w:r w:rsidRPr="0052733D">
              <w:rPr>
                <w:rFonts w:asciiTheme="minorHAnsi" w:hAnsiTheme="minorHAnsi"/>
                <w:color w:val="auto"/>
                <w:sz w:val="20"/>
                <w:szCs w:val="20"/>
                <w:lang w:val="sq-AL"/>
              </w:rPr>
              <w:t>15</w:t>
            </w:r>
            <w:r w:rsidR="00E52ED7" w:rsidRPr="0052733D">
              <w:rPr>
                <w:rFonts w:asciiTheme="minorHAnsi" w:hAnsiTheme="minorHAnsi"/>
                <w:color w:val="auto"/>
                <w:sz w:val="20"/>
                <w:szCs w:val="20"/>
                <w:lang w:val="sq-AL"/>
              </w:rPr>
              <w:t xml:space="preserve"> pjesëmarrës</w:t>
            </w: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szCs w:val="23"/>
              </w:rPr>
              <w:t>Punëtoritë</w:t>
            </w:r>
            <w:proofErr w:type="spellEnd"/>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szCs w:val="23"/>
              </w:rPr>
              <w:t>Intervistat</w:t>
            </w:r>
            <w:proofErr w:type="spellEnd"/>
            <w:r w:rsidRPr="0052733D">
              <w:rPr>
                <w:rFonts w:asciiTheme="minorHAnsi" w:hAnsiTheme="minorHAnsi"/>
                <w:b w:val="0"/>
                <w:color w:val="auto"/>
                <w:sz w:val="21"/>
                <w:szCs w:val="23"/>
              </w:rPr>
              <w:t>/</w:t>
            </w:r>
            <w:proofErr w:type="spellStart"/>
            <w:r w:rsidRPr="0052733D">
              <w:rPr>
                <w:rFonts w:asciiTheme="minorHAnsi" w:hAnsiTheme="minorHAnsi"/>
                <w:b w:val="0"/>
                <w:color w:val="auto"/>
                <w:sz w:val="21"/>
                <w:szCs w:val="23"/>
              </w:rPr>
              <w:t>takimet</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sy</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në</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sy</w:t>
            </w:r>
            <w:proofErr w:type="spellEnd"/>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szCs w:val="23"/>
              </w:rPr>
              <w:t>Hulumtimet</w:t>
            </w:r>
            <w:proofErr w:type="spellEnd"/>
            <w:r w:rsidRPr="0052733D">
              <w:rPr>
                <w:rFonts w:asciiTheme="minorHAnsi" w:hAnsiTheme="minorHAnsi"/>
                <w:b w:val="0"/>
                <w:color w:val="auto"/>
                <w:sz w:val="21"/>
                <w:szCs w:val="23"/>
              </w:rPr>
              <w:t xml:space="preserve"> e </w:t>
            </w:r>
            <w:proofErr w:type="spellStart"/>
            <w:r w:rsidRPr="0052733D">
              <w:rPr>
                <w:rFonts w:asciiTheme="minorHAnsi" w:hAnsiTheme="minorHAnsi"/>
                <w:b w:val="0"/>
                <w:color w:val="auto"/>
                <w:sz w:val="21"/>
                <w:szCs w:val="23"/>
              </w:rPr>
              <w:t>opinionit</w:t>
            </w:r>
            <w:proofErr w:type="spellEnd"/>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szCs w:val="23"/>
              </w:rPr>
              <w:t>Votimi</w:t>
            </w:r>
            <w:proofErr w:type="spellEnd"/>
            <w:r w:rsidRPr="0052733D">
              <w:rPr>
                <w:rFonts w:asciiTheme="minorHAnsi" w:hAnsiTheme="minorHAnsi"/>
                <w:b w:val="0"/>
                <w:color w:val="auto"/>
                <w:sz w:val="21"/>
                <w:szCs w:val="23"/>
              </w:rPr>
              <w:t xml:space="preserve"> </w:t>
            </w:r>
            <w:proofErr w:type="spellStart"/>
            <w:r w:rsidRPr="0052733D">
              <w:rPr>
                <w:rFonts w:asciiTheme="minorHAnsi" w:hAnsiTheme="minorHAnsi"/>
                <w:b w:val="0"/>
                <w:color w:val="auto"/>
                <w:sz w:val="21"/>
                <w:szCs w:val="23"/>
              </w:rPr>
              <w:t>diskutues</w:t>
            </w:r>
            <w:proofErr w:type="spellEnd"/>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szCs w:val="23"/>
              </w:rPr>
            </w:pPr>
            <w:proofErr w:type="spellStart"/>
            <w:r w:rsidRPr="0052733D">
              <w:rPr>
                <w:rFonts w:asciiTheme="minorHAnsi" w:hAnsiTheme="minorHAnsi"/>
                <w:b w:val="0"/>
                <w:color w:val="auto"/>
                <w:sz w:val="21"/>
              </w:rPr>
              <w:t>Panelet</w:t>
            </w:r>
            <w:proofErr w:type="spellEnd"/>
            <w:r w:rsidRPr="0052733D">
              <w:rPr>
                <w:rFonts w:asciiTheme="minorHAnsi" w:hAnsiTheme="minorHAnsi"/>
                <w:b w:val="0"/>
                <w:color w:val="auto"/>
                <w:sz w:val="21"/>
              </w:rPr>
              <w:t xml:space="preserve"> me </w:t>
            </w:r>
            <w:proofErr w:type="spellStart"/>
            <w:r w:rsidRPr="0052733D">
              <w:rPr>
                <w:rFonts w:asciiTheme="minorHAnsi" w:hAnsiTheme="minorHAnsi"/>
                <w:b w:val="0"/>
                <w:color w:val="auto"/>
                <w:sz w:val="21"/>
              </w:rPr>
              <w:t>qytetarë</w:t>
            </w:r>
            <w:proofErr w:type="spellEnd"/>
            <w:r w:rsidRPr="0052733D">
              <w:rPr>
                <w:rFonts w:asciiTheme="minorHAnsi" w:hAnsiTheme="minorHAnsi"/>
                <w:b w:val="0"/>
                <w:color w:val="auto"/>
                <w:sz w:val="21"/>
              </w:rPr>
              <w:t xml:space="preserve"> </w:t>
            </w:r>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rPr>
              <w:t>Stendat</w:t>
            </w:r>
            <w:proofErr w:type="spellEnd"/>
            <w:r w:rsidRPr="0052733D">
              <w:rPr>
                <w:rFonts w:asciiTheme="minorHAnsi" w:hAnsiTheme="minorHAnsi"/>
                <w:b w:val="0"/>
                <w:color w:val="auto"/>
                <w:sz w:val="21"/>
              </w:rPr>
              <w:t xml:space="preserve"> </w:t>
            </w:r>
            <w:proofErr w:type="spellStart"/>
            <w:r w:rsidRPr="0052733D">
              <w:rPr>
                <w:rFonts w:asciiTheme="minorHAnsi" w:hAnsiTheme="minorHAnsi"/>
                <w:b w:val="0"/>
                <w:color w:val="auto"/>
                <w:sz w:val="21"/>
              </w:rPr>
              <w:t>në</w:t>
            </w:r>
            <w:proofErr w:type="spellEnd"/>
            <w:r w:rsidRPr="0052733D">
              <w:rPr>
                <w:rFonts w:asciiTheme="minorHAnsi" w:hAnsiTheme="minorHAnsi"/>
                <w:b w:val="0"/>
                <w:color w:val="auto"/>
                <w:sz w:val="21"/>
              </w:rPr>
              <w:t xml:space="preserve"> </w:t>
            </w:r>
            <w:proofErr w:type="spellStart"/>
            <w:r w:rsidRPr="0052733D">
              <w:rPr>
                <w:rFonts w:asciiTheme="minorHAnsi" w:hAnsiTheme="minorHAnsi"/>
                <w:b w:val="0"/>
                <w:color w:val="auto"/>
                <w:sz w:val="21"/>
              </w:rPr>
              <w:t>rrugë</w:t>
            </w:r>
            <w:proofErr w:type="spellEnd"/>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52733D" w:rsidRPr="0052733D" w:rsidTr="002B381A">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52733D" w:rsidRDefault="004A2CAC" w:rsidP="004A2CAC">
            <w:pPr>
              <w:pStyle w:val="Default"/>
              <w:numPr>
                <w:ilvl w:val="0"/>
                <w:numId w:val="1"/>
              </w:numPr>
              <w:ind w:left="454"/>
              <w:rPr>
                <w:rFonts w:asciiTheme="minorHAnsi" w:hAnsiTheme="minorHAnsi"/>
                <w:b w:val="0"/>
                <w:color w:val="auto"/>
                <w:sz w:val="21"/>
              </w:rPr>
            </w:pPr>
            <w:proofErr w:type="spellStart"/>
            <w:r w:rsidRPr="0052733D">
              <w:rPr>
                <w:rFonts w:asciiTheme="minorHAnsi" w:hAnsiTheme="minorHAnsi"/>
                <w:b w:val="0"/>
                <w:color w:val="auto"/>
                <w:sz w:val="21"/>
              </w:rPr>
              <w:t>tjetër</w:t>
            </w:r>
            <w:proofErr w:type="spellEnd"/>
          </w:p>
        </w:tc>
        <w:tc>
          <w:tcPr>
            <w:tcW w:w="2483"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52733D" w:rsidRDefault="004A2CAC" w:rsidP="002B381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bl>
    <w:p w:rsidR="004A2CAC" w:rsidRPr="0052733D" w:rsidRDefault="004A2CAC" w:rsidP="004A2CAC">
      <w:pPr>
        <w:jc w:val="both"/>
      </w:pPr>
    </w:p>
    <w:p w:rsidR="004A2CAC" w:rsidRPr="0052733D" w:rsidRDefault="004A2CAC" w:rsidP="004A2CAC">
      <w:pPr>
        <w:jc w:val="both"/>
      </w:pPr>
    </w:p>
    <w:p w:rsidR="004A2CAC" w:rsidRPr="0052733D" w:rsidRDefault="004A2CAC" w:rsidP="004A2CAC">
      <w:pPr>
        <w:jc w:val="both"/>
      </w:pPr>
    </w:p>
    <w:p w:rsidR="004A2CAC" w:rsidRPr="0052733D" w:rsidRDefault="004A2CAC" w:rsidP="004A2CAC">
      <w:pPr>
        <w:jc w:val="both"/>
      </w:pPr>
    </w:p>
    <w:p w:rsidR="0081799A" w:rsidRPr="0052733D" w:rsidRDefault="0081799A" w:rsidP="004A2CAC">
      <w:pPr>
        <w:jc w:val="both"/>
      </w:pPr>
    </w:p>
    <w:p w:rsidR="0081799A" w:rsidRPr="0052733D" w:rsidRDefault="0081799A" w:rsidP="004A2CAC">
      <w:pPr>
        <w:jc w:val="both"/>
      </w:pPr>
    </w:p>
    <w:p w:rsidR="004A2CAC" w:rsidRPr="0052733D" w:rsidRDefault="004A2CAC" w:rsidP="004A2CAC">
      <w:pPr>
        <w:jc w:val="both"/>
      </w:pPr>
    </w:p>
    <w:p w:rsidR="004A2CAC" w:rsidRPr="0052733D" w:rsidRDefault="004A2CAC" w:rsidP="004A2CAC">
      <w:pPr>
        <w:jc w:val="both"/>
      </w:pPr>
    </w:p>
    <w:p w:rsidR="004A2CAC" w:rsidRPr="0052733D" w:rsidRDefault="004A2CAC" w:rsidP="004A2CAC">
      <w:pPr>
        <w:jc w:val="center"/>
        <w:rPr>
          <w:b/>
          <w:lang w:val="hr-HR"/>
        </w:rPr>
      </w:pPr>
      <w:r w:rsidRPr="0052733D">
        <w:rPr>
          <w:b/>
          <w:lang w:val="hr-HR"/>
        </w:rPr>
        <w:lastRenderedPageBreak/>
        <w:t>P</w:t>
      </w:r>
      <w:r w:rsidRPr="0052733D">
        <w:rPr>
          <w:b/>
        </w:rPr>
        <w:t>ë</w:t>
      </w:r>
      <w:r w:rsidRPr="0052733D">
        <w:rPr>
          <w:b/>
          <w:lang w:val="hr-HR"/>
        </w:rPr>
        <w:t>rmbledhje e  kontributeve të pranuara gjatë procesit t</w:t>
      </w:r>
      <w:r w:rsidRPr="0052733D">
        <w:rPr>
          <w:b/>
        </w:rPr>
        <w:t>ë</w:t>
      </w:r>
      <w:r w:rsidRPr="0052733D">
        <w:rPr>
          <w:b/>
          <w:lang w:val="hr-HR"/>
        </w:rPr>
        <w:t xml:space="preserve"> konsultimit</w:t>
      </w:r>
    </w:p>
    <w:p w:rsidR="004A2CAC" w:rsidRPr="0052733D" w:rsidRDefault="004A2CAC" w:rsidP="004A2CAC">
      <w:pPr>
        <w:jc w:val="center"/>
        <w:rPr>
          <w:b/>
          <w:lang w:val="hr-HR"/>
        </w:rPr>
      </w:pPr>
    </w:p>
    <w:p w:rsidR="004A2CAC" w:rsidRPr="0052733D" w:rsidRDefault="004A2CAC" w:rsidP="004A2CAC">
      <w:pPr>
        <w:jc w:val="both"/>
        <w:rPr>
          <w:lang w:val="hr-HR"/>
        </w:rPr>
      </w:pPr>
      <w:r w:rsidRPr="0052733D">
        <w:rPr>
          <w:i/>
          <w:lang w:val="hr-HR"/>
        </w:rPr>
        <w:t xml:space="preserve">Paraqiten informata rreth kontributeve të dërguara nga ana e palëve te interesit, përfshirë numrin e tyre, mënyrën se si janë dhënë kontributet etj  </w:t>
      </w:r>
    </w:p>
    <w:p w:rsidR="004A2CAC" w:rsidRPr="0052733D" w:rsidRDefault="004A2CAC" w:rsidP="004A2CAC">
      <w:pPr>
        <w:jc w:val="both"/>
      </w:pPr>
    </w:p>
    <w:p w:rsidR="004A2CAC" w:rsidRPr="0052733D" w:rsidRDefault="004A2CAC" w:rsidP="004A2CAC">
      <w:pPr>
        <w:jc w:val="center"/>
        <w:rPr>
          <w:b/>
          <w:lang w:val="hr-HR"/>
        </w:rPr>
      </w:pPr>
      <w:r w:rsidRPr="0052733D">
        <w:rPr>
          <w:b/>
        </w:rPr>
        <w:t>Që</w:t>
      </w:r>
      <w:r w:rsidRPr="0052733D">
        <w:rPr>
          <w:b/>
          <w:lang w:val="hr-HR"/>
        </w:rPr>
        <w:t>shtje tjera</w:t>
      </w:r>
    </w:p>
    <w:p w:rsidR="004A2CAC" w:rsidRPr="0052733D" w:rsidRDefault="004A2CAC" w:rsidP="004A2CAC">
      <w:pPr>
        <w:jc w:val="both"/>
        <w:rPr>
          <w:i/>
          <w:lang w:val="hr-HR"/>
        </w:rPr>
      </w:pPr>
    </w:p>
    <w:p w:rsidR="004A2CAC" w:rsidRPr="0052733D" w:rsidRDefault="004A2CAC" w:rsidP="004A2CAC">
      <w:pPr>
        <w:jc w:val="both"/>
        <w:rPr>
          <w:i/>
        </w:rPr>
      </w:pPr>
      <w:r w:rsidRPr="0052733D">
        <w:rPr>
          <w:i/>
        </w:rPr>
        <w:t xml:space="preserve">Paraqiten inforamtat për çështjet tjera të cilat organi i cili ka udhëhequr procesin e konsultimit konsideron se janë të nevojshme.  </w:t>
      </w:r>
    </w:p>
    <w:p w:rsidR="004A2CAC" w:rsidRPr="0052733D" w:rsidRDefault="004A2CAC" w:rsidP="004A2CAC">
      <w:pPr>
        <w:jc w:val="both"/>
      </w:pPr>
    </w:p>
    <w:p w:rsidR="004A2CAC" w:rsidRPr="0052733D" w:rsidRDefault="004A2CAC" w:rsidP="004A2CAC">
      <w:pPr>
        <w:jc w:val="center"/>
        <w:rPr>
          <w:b/>
          <w:lang w:val="hr-HR"/>
        </w:rPr>
      </w:pPr>
      <w:r w:rsidRPr="0052733D">
        <w:rPr>
          <w:b/>
          <w:lang w:val="hr-HR"/>
        </w:rPr>
        <w:t>Hapat e ardhsh</w:t>
      </w:r>
      <w:r w:rsidRPr="0052733D">
        <w:rPr>
          <w:b/>
        </w:rPr>
        <w:t>ë</w:t>
      </w:r>
      <w:r w:rsidRPr="0052733D">
        <w:rPr>
          <w:b/>
          <w:lang w:val="hr-HR"/>
        </w:rPr>
        <w:t>m</w:t>
      </w:r>
    </w:p>
    <w:p w:rsidR="004A2CAC" w:rsidRPr="0052733D" w:rsidRDefault="004A2CAC" w:rsidP="004A2CAC">
      <w:pPr>
        <w:jc w:val="both"/>
        <w:rPr>
          <w:lang w:val="hr-HR"/>
        </w:rPr>
      </w:pPr>
    </w:p>
    <w:p w:rsidR="004A2CAC" w:rsidRPr="0052733D" w:rsidRDefault="004A2CAC" w:rsidP="004A2CAC">
      <w:pPr>
        <w:jc w:val="both"/>
        <w:rPr>
          <w:i/>
        </w:rPr>
      </w:pPr>
      <w:r w:rsidRPr="0052733D">
        <w:rPr>
          <w:i/>
        </w:rPr>
        <w:t xml:space="preserve">Pas përfundimit të procesit të konsultimit dhe finalizimit të dokumentit palët informohen për hapat të cilët do të ndërmerrën në finalizimin si dhe procedimin e dokumentit sipas procedurave të parapara të qeverisë. </w:t>
      </w:r>
    </w:p>
    <w:p w:rsidR="004A2CAC" w:rsidRPr="0052733D" w:rsidRDefault="004A2CAC" w:rsidP="004A2CAC"/>
    <w:p w:rsidR="004A2CAC" w:rsidRPr="0052733D" w:rsidRDefault="004A2CAC" w:rsidP="004A2CAC"/>
    <w:p w:rsidR="004A2CAC" w:rsidRPr="0052733D" w:rsidRDefault="004A2CAC" w:rsidP="004A2CAC">
      <w:pPr>
        <w:rPr>
          <w:lang w:val="hr-HR"/>
        </w:rPr>
      </w:pPr>
      <w:r w:rsidRPr="0052733D">
        <w:rPr>
          <w:lang w:val="hr-HR"/>
        </w:rPr>
        <w:t>Shtojca – tabela e detajuar me informatat per kontribuesit, arsyetimet p</w:t>
      </w:r>
      <w:r w:rsidRPr="0052733D">
        <w:t>ë</w:t>
      </w:r>
      <w:r w:rsidRPr="0052733D">
        <w:rPr>
          <w:lang w:val="hr-HR"/>
        </w:rPr>
        <w:t>r p</w:t>
      </w:r>
      <w:r w:rsidRPr="0052733D">
        <w:t>ë</w:t>
      </w:r>
      <w:r w:rsidRPr="0052733D">
        <w:rPr>
          <w:lang w:val="hr-HR"/>
        </w:rPr>
        <w:t>rgjigjet e pranuara dhe t</w:t>
      </w:r>
      <w:r w:rsidRPr="0052733D">
        <w:t>ë</w:t>
      </w:r>
      <w:r w:rsidRPr="0052733D">
        <w:rPr>
          <w:lang w:val="hr-HR"/>
        </w:rPr>
        <w:t xml:space="preserve"> refuzuara.  </w:t>
      </w:r>
    </w:p>
    <w:p w:rsidR="002B381A" w:rsidRPr="0052733D" w:rsidRDefault="002B381A" w:rsidP="004A2CAC">
      <w:pPr>
        <w:rPr>
          <w:lang w:val="hr-HR"/>
        </w:rPr>
      </w:pPr>
    </w:p>
    <w:p w:rsidR="002B381A" w:rsidRPr="0052733D" w:rsidRDefault="002B381A" w:rsidP="002B381A">
      <w:pPr>
        <w:jc w:val="both"/>
      </w:pPr>
      <w:r w:rsidRPr="0052733D">
        <w:t xml:space="preserve">Gjate kohës se konsulltimit publik i kemi pranuar komente gjithsej nga 10 Institucione e ato janë: </w:t>
      </w:r>
    </w:p>
    <w:p w:rsidR="002B381A" w:rsidRPr="0052733D" w:rsidRDefault="002B381A" w:rsidP="002B381A">
      <w:pPr>
        <w:pStyle w:val="ListParagraph"/>
        <w:numPr>
          <w:ilvl w:val="0"/>
          <w:numId w:val="5"/>
        </w:numPr>
        <w:jc w:val="both"/>
      </w:pPr>
      <w:r w:rsidRPr="0052733D">
        <w:t xml:space="preserve">Ministria e Punës dhe Mirëqenies Sociale, </w:t>
      </w:r>
    </w:p>
    <w:p w:rsidR="002B381A" w:rsidRPr="0052733D" w:rsidRDefault="002B381A" w:rsidP="002B381A">
      <w:pPr>
        <w:pStyle w:val="ListParagraph"/>
        <w:numPr>
          <w:ilvl w:val="0"/>
          <w:numId w:val="5"/>
        </w:numPr>
        <w:jc w:val="both"/>
      </w:pPr>
      <w:r w:rsidRPr="0052733D">
        <w:t>Zyra e Kryeministrit/Zyra e Komisionerit për Gjuhë,</w:t>
      </w:r>
    </w:p>
    <w:p w:rsidR="002B381A" w:rsidRPr="0052733D" w:rsidRDefault="002B381A" w:rsidP="002B381A">
      <w:pPr>
        <w:pStyle w:val="ListParagraph"/>
        <w:numPr>
          <w:ilvl w:val="0"/>
          <w:numId w:val="5"/>
        </w:numPr>
        <w:jc w:val="both"/>
      </w:pPr>
      <w:r w:rsidRPr="0052733D">
        <w:t>Zyra e Presidentit/Këshillit Konsultativ për Komunitete,</w:t>
      </w:r>
    </w:p>
    <w:p w:rsidR="002B381A" w:rsidRPr="0052733D" w:rsidRDefault="002B381A" w:rsidP="002B381A">
      <w:pPr>
        <w:pStyle w:val="ListParagraph"/>
        <w:numPr>
          <w:ilvl w:val="0"/>
          <w:numId w:val="5"/>
        </w:numPr>
        <w:jc w:val="both"/>
      </w:pPr>
      <w:r w:rsidRPr="0052733D">
        <w:t>Ministria e Administrimit të Pushtetit Lokal,</w:t>
      </w:r>
    </w:p>
    <w:p w:rsidR="002B381A" w:rsidRPr="0052733D" w:rsidRDefault="002B381A" w:rsidP="002B381A">
      <w:pPr>
        <w:pStyle w:val="ListParagraph"/>
        <w:numPr>
          <w:ilvl w:val="0"/>
          <w:numId w:val="5"/>
        </w:numPr>
        <w:jc w:val="both"/>
      </w:pPr>
      <w:r w:rsidRPr="0052733D">
        <w:t>Ministria e Drejtësisë,</w:t>
      </w:r>
    </w:p>
    <w:p w:rsidR="002B381A" w:rsidRPr="0052733D" w:rsidRDefault="002B381A" w:rsidP="002B381A">
      <w:pPr>
        <w:pStyle w:val="ListParagraph"/>
        <w:numPr>
          <w:ilvl w:val="0"/>
          <w:numId w:val="5"/>
        </w:numPr>
        <w:jc w:val="both"/>
      </w:pPr>
      <w:r w:rsidRPr="0052733D">
        <w:t>OJQ SHPRK (e angazhuar brenda DPHNB, MMPH),</w:t>
      </w:r>
    </w:p>
    <w:p w:rsidR="002B381A" w:rsidRPr="0052733D" w:rsidRDefault="002B381A" w:rsidP="002B381A">
      <w:pPr>
        <w:pStyle w:val="ListParagraph"/>
        <w:numPr>
          <w:ilvl w:val="0"/>
          <w:numId w:val="5"/>
        </w:numPr>
        <w:jc w:val="both"/>
      </w:pPr>
      <w:r w:rsidRPr="0052733D">
        <w:t>OSBE,</w:t>
      </w:r>
    </w:p>
    <w:p w:rsidR="002B381A" w:rsidRPr="0052733D" w:rsidRDefault="002B381A" w:rsidP="002B381A">
      <w:pPr>
        <w:pStyle w:val="ListParagraph"/>
        <w:numPr>
          <w:ilvl w:val="0"/>
          <w:numId w:val="5"/>
        </w:numPr>
        <w:jc w:val="both"/>
      </w:pPr>
      <w:r w:rsidRPr="0052733D">
        <w:t>UN-HABITAT,</w:t>
      </w:r>
    </w:p>
    <w:p w:rsidR="002B381A" w:rsidRPr="0052733D" w:rsidRDefault="002B381A" w:rsidP="002B381A">
      <w:pPr>
        <w:pStyle w:val="ListParagraph"/>
        <w:numPr>
          <w:ilvl w:val="0"/>
          <w:numId w:val="5"/>
        </w:numPr>
        <w:jc w:val="both"/>
      </w:pPr>
      <w:r w:rsidRPr="0052733D">
        <w:t>UNHCR Pristina,</w:t>
      </w:r>
    </w:p>
    <w:p w:rsidR="002B381A" w:rsidRPr="0052733D" w:rsidRDefault="002B381A" w:rsidP="004A2CAC">
      <w:pPr>
        <w:pStyle w:val="ListParagraph"/>
        <w:numPr>
          <w:ilvl w:val="0"/>
          <w:numId w:val="5"/>
        </w:numPr>
        <w:jc w:val="both"/>
      </w:pPr>
      <w:r w:rsidRPr="0052733D">
        <w:t>Zyra e Kryeministrit / Agjencia për Barazi Gjinore.</w:t>
      </w:r>
    </w:p>
    <w:bookmarkEnd w:id="0"/>
    <w:p w:rsidR="002B381A" w:rsidRDefault="002B381A" w:rsidP="004A2CAC"/>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90"/>
        <w:gridCol w:w="4072"/>
        <w:gridCol w:w="3308"/>
      </w:tblGrid>
      <w:tr w:rsidR="002B381A" w:rsidRPr="002B381A" w:rsidTr="002B381A">
        <w:trPr>
          <w:trHeight w:val="188"/>
        </w:trPr>
        <w:tc>
          <w:tcPr>
            <w:tcW w:w="8973" w:type="dxa"/>
            <w:gridSpan w:val="4"/>
            <w:shd w:val="clear" w:color="auto" w:fill="BDD6EE"/>
          </w:tcPr>
          <w:p w:rsidR="002B381A" w:rsidRPr="002B381A" w:rsidRDefault="002B381A" w:rsidP="002B381A">
            <w:pPr>
              <w:jc w:val="center"/>
              <w:rPr>
                <w:rFonts w:ascii="Book Antiqua" w:eastAsia="Times New Roman" w:hAnsi="Book Antiqua" w:cs="Times New Roman"/>
                <w:b/>
                <w:bCs/>
                <w:w w:val="98"/>
                <w:sz w:val="19"/>
                <w:szCs w:val="19"/>
              </w:rPr>
            </w:pPr>
            <w:r w:rsidRPr="002B381A">
              <w:rPr>
                <w:rFonts w:ascii="Book Antiqua" w:eastAsia="Times New Roman" w:hAnsi="Book Antiqua" w:cs="Times New Roman"/>
                <w:b/>
                <w:bCs/>
                <w:w w:val="98"/>
                <w:sz w:val="19"/>
                <w:szCs w:val="19"/>
              </w:rPr>
              <w:t>Projektligji për Banim Social</w:t>
            </w:r>
          </w:p>
        </w:tc>
      </w:tr>
      <w:tr w:rsidR="002B381A" w:rsidRPr="002B381A" w:rsidTr="002B381A">
        <w:trPr>
          <w:trHeight w:val="215"/>
        </w:trPr>
        <w:tc>
          <w:tcPr>
            <w:tcW w:w="1593" w:type="dxa"/>
            <w:gridSpan w:val="2"/>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072"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Ministria e Punës dhe Mirëqenies Sociale</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rPr>
          <w:trHeight w:val="845"/>
        </w:trPr>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072" w:type="dxa"/>
            <w:shd w:val="clear" w:color="auto" w:fill="auto"/>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Neni 3, Përkufizimet, Paragrafi 1.4.</w:t>
            </w:r>
          </w:p>
          <w:p w:rsidR="002B381A" w:rsidRPr="002B381A" w:rsidRDefault="002B381A" w:rsidP="002B381A">
            <w:pPr>
              <w:jc w:val="both"/>
              <w:rPr>
                <w:rFonts w:ascii="Book Antiqua" w:eastAsia="Times New Roman" w:hAnsi="Book Antiqua" w:cs="Times New Roman"/>
                <w:sz w:val="20"/>
                <w:szCs w:val="20"/>
              </w:rPr>
            </w:pPr>
          </w:p>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Në vend të Ndërtesë banimi të specifikohet në:</w:t>
            </w:r>
          </w:p>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Ndërtesë e banimit social- sipas këtij Ligji nënkupton dy e më shumë njësi banesore me hapësirat ndihmëse të cilat përbëjnë një tërësi dhe kanë hyrje të përbashkëta;</w:t>
            </w:r>
          </w:p>
          <w:p w:rsidR="002B381A" w:rsidRPr="002B381A" w:rsidRDefault="002B381A" w:rsidP="002B381A">
            <w:pPr>
              <w:jc w:val="both"/>
              <w:rPr>
                <w:rFonts w:ascii="Book Antiqua" w:eastAsia="Times New Roman" w:hAnsi="Book Antiqua" w:cs="Times New Roman"/>
                <w:sz w:val="20"/>
                <w:szCs w:val="20"/>
              </w:rPr>
            </w:pPr>
          </w:p>
        </w:tc>
        <w:tc>
          <w:tcPr>
            <w:tcW w:w="3308" w:type="dxa"/>
            <w:shd w:val="clear" w:color="auto" w:fill="auto"/>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 xml:space="preserve">Përkufizimi i dhënë në projektligj është në përputhje me qëllimin e këtij projektligji dhe synimin e sponsorizuesit. Komenti nuk përfshihet sepse në një ndërtesë banimi mund të ndodhë që të </w:t>
            </w:r>
            <w:r w:rsidRPr="002B381A">
              <w:rPr>
                <w:rFonts w:ascii="Book Antiqua" w:eastAsia="Times New Roman" w:hAnsi="Book Antiqua" w:cs="Times New Roman"/>
                <w:sz w:val="20"/>
                <w:szCs w:val="20"/>
              </w:rPr>
              <w:lastRenderedPageBreak/>
              <w:t>kemi edhe njësi tjera që nuk janë të destinuara për banim social (p.sh.banesa private, etj.).</w:t>
            </w:r>
          </w:p>
        </w:tc>
      </w:tr>
      <w:tr w:rsidR="002B381A" w:rsidRPr="002B381A" w:rsidTr="002B381A">
        <w:trPr>
          <w:trHeight w:val="845"/>
        </w:trPr>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2</w:t>
            </w:r>
          </w:p>
        </w:tc>
        <w:tc>
          <w:tcPr>
            <w:tcW w:w="4072" w:type="dxa"/>
            <w:shd w:val="clear" w:color="auto" w:fill="auto"/>
          </w:tcPr>
          <w:p w:rsidR="002B381A" w:rsidRPr="002B381A" w:rsidRDefault="002B381A" w:rsidP="002B381A">
            <w:pPr>
              <w:rPr>
                <w:rFonts w:ascii="Book Antiqua" w:eastAsia="Times New Roman" w:hAnsi="Book Antiqua" w:cs="Times New Roman"/>
                <w:sz w:val="20"/>
                <w:szCs w:val="20"/>
              </w:rPr>
            </w:pPr>
            <w:r w:rsidRPr="002B381A">
              <w:rPr>
                <w:rFonts w:ascii="Book Antiqua" w:eastAsia="Times New Roman" w:hAnsi="Book Antiqua" w:cs="Times New Roman"/>
                <w:sz w:val="20"/>
                <w:szCs w:val="20"/>
              </w:rPr>
              <w:t>Neni 3, Përkufizimet, Paragrafi 1.5.</w:t>
            </w:r>
          </w:p>
          <w:p w:rsidR="002B381A" w:rsidRPr="002B381A" w:rsidRDefault="002B381A" w:rsidP="002B381A">
            <w:pPr>
              <w:rPr>
                <w:rFonts w:ascii="Book Antiqua" w:eastAsia="Times New Roman" w:hAnsi="Book Antiqua" w:cs="Times New Roman"/>
                <w:sz w:val="20"/>
                <w:szCs w:val="20"/>
              </w:rPr>
            </w:pPr>
          </w:p>
          <w:p w:rsidR="002B381A" w:rsidRPr="002B381A" w:rsidRDefault="002B381A" w:rsidP="002B381A">
            <w:pPr>
              <w:rPr>
                <w:rFonts w:ascii="Book Antiqua" w:eastAsia="Times New Roman" w:hAnsi="Book Antiqua" w:cs="Times New Roman"/>
                <w:sz w:val="20"/>
                <w:szCs w:val="20"/>
              </w:rPr>
            </w:pPr>
            <w:r w:rsidRPr="002B381A">
              <w:rPr>
                <w:rFonts w:ascii="Book Antiqua" w:eastAsia="Times New Roman" w:hAnsi="Book Antiqua" w:cs="Times New Roman"/>
                <w:sz w:val="20"/>
                <w:szCs w:val="20"/>
              </w:rPr>
              <w:t>Në vend të Stoku i njësive të banimit të thuhët:</w:t>
            </w:r>
          </w:p>
          <w:p w:rsidR="002B381A" w:rsidRPr="002B381A" w:rsidRDefault="002B381A" w:rsidP="002B381A">
            <w:pPr>
              <w:rPr>
                <w:rFonts w:ascii="Book Antiqua" w:eastAsia="Times New Roman" w:hAnsi="Book Antiqua" w:cs="Times New Roman"/>
                <w:sz w:val="20"/>
                <w:szCs w:val="20"/>
              </w:rPr>
            </w:pPr>
            <w:r w:rsidRPr="002B381A">
              <w:rPr>
                <w:rFonts w:ascii="Book Antiqua" w:eastAsia="Times New Roman" w:hAnsi="Book Antiqua" w:cs="Times New Roman"/>
                <w:sz w:val="20"/>
                <w:szCs w:val="20"/>
              </w:rPr>
              <w:t>Stoku i njësive për banim social</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Përkufizimi i propozuar e plotëson dhe përforcon përkufizimin në fjalë. </w:t>
            </w:r>
          </w:p>
        </w:tc>
      </w:tr>
      <w:tr w:rsidR="002B381A" w:rsidRPr="002B381A" w:rsidTr="002B381A">
        <w:trPr>
          <w:trHeight w:val="260"/>
        </w:trPr>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3</w:t>
            </w:r>
          </w:p>
        </w:tc>
        <w:tc>
          <w:tcPr>
            <w:tcW w:w="4072" w:type="dxa"/>
            <w:shd w:val="clear" w:color="auto" w:fill="auto"/>
          </w:tcPr>
          <w:p w:rsidR="002B381A" w:rsidRPr="002B381A" w:rsidRDefault="002B381A" w:rsidP="002B381A">
            <w:pPr>
              <w:rPr>
                <w:rFonts w:ascii="Book Antiqua" w:eastAsia="Times New Roman" w:hAnsi="Book Antiqua" w:cs="Times New Roman"/>
                <w:sz w:val="20"/>
                <w:szCs w:val="20"/>
              </w:rPr>
            </w:pPr>
            <w:r w:rsidRPr="002B381A">
              <w:rPr>
                <w:rFonts w:ascii="Book Antiqua" w:eastAsia="Times New Roman" w:hAnsi="Book Antiqua" w:cs="Times New Roman"/>
                <w:sz w:val="20"/>
                <w:szCs w:val="20"/>
              </w:rPr>
              <w:t>Neni 3, Përkufizimet, Paragrafi 1.7.</w:t>
            </w:r>
          </w:p>
          <w:p w:rsidR="002B381A" w:rsidRPr="002B381A" w:rsidRDefault="002B381A" w:rsidP="002B381A">
            <w:pPr>
              <w:rPr>
                <w:rFonts w:ascii="Book Antiqua" w:eastAsia="Times New Roman" w:hAnsi="Book Antiqua" w:cs="Times New Roman"/>
                <w:sz w:val="20"/>
                <w:szCs w:val="20"/>
              </w:rPr>
            </w:pPr>
          </w:p>
          <w:p w:rsidR="002B381A" w:rsidRPr="002B381A" w:rsidRDefault="002B381A" w:rsidP="002B381A">
            <w:pPr>
              <w:rPr>
                <w:rFonts w:ascii="Book Antiqua" w:eastAsia="Times New Roman" w:hAnsi="Book Antiqua" w:cs="Times New Roman"/>
                <w:sz w:val="20"/>
                <w:szCs w:val="20"/>
              </w:rPr>
            </w:pPr>
            <w:r w:rsidRPr="002B381A">
              <w:rPr>
                <w:rFonts w:ascii="Book Antiqua" w:eastAsia="Times New Roman" w:hAnsi="Book Antiqua" w:cs="Times New Roman"/>
                <w:sz w:val="20"/>
                <w:szCs w:val="20"/>
              </w:rPr>
              <w:t>Te specifikohet cartë kush eshtë menaxhmenti e kush administrimi.</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 xml:space="preserve">Të gjitha kompetencat lidhur me këtë cështje janë në nivelin komunal, dhe cështjet e menaxhimit dhe administrimit janë cështje që rregullohen nga secila komunë përmes stafit të saj apo angazhimit të ndonjë administratori (ligji për ndërtesat e banimit në bashkëpronësi). </w:t>
            </w:r>
          </w:p>
        </w:tc>
      </w:tr>
      <w:tr w:rsidR="002B381A" w:rsidRPr="002B381A" w:rsidTr="002B381A">
        <w:trPr>
          <w:trHeight w:val="845"/>
        </w:trPr>
        <w:tc>
          <w:tcPr>
            <w:tcW w:w="1593" w:type="dxa"/>
            <w:gridSpan w:val="2"/>
            <w:shd w:val="clear" w:color="auto" w:fill="C5E0B3"/>
          </w:tcPr>
          <w:p w:rsidR="002B381A" w:rsidRPr="002B381A" w:rsidRDefault="002B381A" w:rsidP="002B381A">
            <w:pPr>
              <w:spacing w:after="240"/>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4</w:t>
            </w:r>
          </w:p>
        </w:tc>
        <w:tc>
          <w:tcPr>
            <w:tcW w:w="4072" w:type="dxa"/>
            <w:shd w:val="clear" w:color="auto" w:fill="auto"/>
          </w:tcPr>
          <w:p w:rsidR="002B381A" w:rsidRPr="002B381A" w:rsidRDefault="002B381A" w:rsidP="002B381A">
            <w:pPr>
              <w:rPr>
                <w:rFonts w:ascii="Book Antiqua" w:eastAsia="Times New Roman" w:hAnsi="Book Antiqua" w:cs="Times New Roman"/>
                <w:sz w:val="20"/>
                <w:szCs w:val="20"/>
              </w:rPr>
            </w:pPr>
            <w:r w:rsidRPr="002B381A">
              <w:rPr>
                <w:rFonts w:ascii="Book Antiqua" w:eastAsia="Times New Roman" w:hAnsi="Book Antiqua" w:cs="Times New Roman"/>
                <w:sz w:val="20"/>
                <w:szCs w:val="20"/>
              </w:rPr>
              <w:t>Neni 3, Përkufizimet, Paragrafi 1.9.</w:t>
            </w:r>
          </w:p>
          <w:p w:rsidR="002B381A" w:rsidRPr="002B381A" w:rsidRDefault="002B381A" w:rsidP="002B381A">
            <w:pPr>
              <w:rPr>
                <w:rFonts w:ascii="Book Antiqua" w:eastAsia="Times New Roman" w:hAnsi="Book Antiqua" w:cs="Times New Roman"/>
                <w:sz w:val="20"/>
                <w:szCs w:val="20"/>
              </w:rPr>
            </w:pPr>
          </w:p>
          <w:p w:rsidR="002B381A" w:rsidRPr="002B381A" w:rsidRDefault="002B381A" w:rsidP="002B381A">
            <w:pPr>
              <w:rPr>
                <w:rFonts w:ascii="Book Antiqua" w:eastAsia="Times New Roman" w:hAnsi="Book Antiqua" w:cs="Times New Roman"/>
                <w:sz w:val="20"/>
                <w:szCs w:val="20"/>
              </w:rPr>
            </w:pPr>
            <w:r w:rsidRPr="002B381A">
              <w:rPr>
                <w:rFonts w:ascii="Book Antiqua" w:eastAsia="Times New Roman" w:hAnsi="Book Antiqua" w:cs="Times New Roman"/>
                <w:sz w:val="20"/>
                <w:szCs w:val="20"/>
              </w:rPr>
              <w:t>Kush munden me qenë personat juridk?</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Sqarim: Personat juridik në këtë kontekst mund të jenë qiradhënësit.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5</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1.13.</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nënkupton numrin e anëtarëve të familjes, kryefamiljarin, moshën, anëtarët me nevoja të veçanta, invaliditetin dhe fëmijët me statusin e jetimit si dhe anëtarët tjere te cilet nuk jame pjestarte familjes por me vendim i eshte besuar perkujdesja;</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Përkufizimi i propozuar e plotëson dhe është profesional nga MPMS.</w:t>
            </w:r>
          </w:p>
        </w:tc>
      </w:tr>
      <w:tr w:rsidR="002B381A" w:rsidRPr="002B381A" w:rsidTr="002B381A">
        <w:trPr>
          <w:trHeight w:val="170"/>
        </w:trPr>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6</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1.17.</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te largohret kjo pjese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Verejtja juaj është me vend sepse është një gabim gjuhësor.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7</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9, Shkëputja e kontratës së qirasë jofitimprurëse, Paragrafi 1.6.</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Këtë pikë duhet ta largoni nga Ligji pasi që nuk e ka vendin këtu. Në këtë pjesë bëhët fjalë per shkëputjen e  kontratës e jo për kriteret….</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Pikërisht ky paragraf ka për qëllim shkëputjen e kontratës në rast se nuk janë respektuar kriteret ligjore për përzgjedhje. Pa marrë parasysh rrethanat se si përfituesi ka arritu të përfitoj  banim social në shkelje të dispozitave të nenit 5, domosdoshmërisht duhet t’i shkëputet kontrata menjëherë nga ana organi përgjegjës (komuna).</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8</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10, Kufizimi i të drejtës nga përfituesi i banesës sociale</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Duhet te jete: Kufizimi i të drejtës për përfituesin e banesës sociale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Verejtja juaj është me vend sepse është një gabim gjuhësor.</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9</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14, Shkëputja e kontratës për subvencionimin e qirasë, paragrafi 1.6.</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Kjo pike duhet të largohet nga ky nen pasi qe behet fjale per shkeputje te kontrates e jo per kriteret…</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Pikërisht ky paragraf ka për qëllim shkëputjen e kontratës në rast se nuk janë respektuar kriteret ligjore për përzgjedhje. Pa marrë parasysh rrethanat se si përfituesi ka arritu të përfitoj  banim social në shkelje të dispozitave të nenit 5, domosdoshmërisht duhet t’i shkëputet kontrata menjëherë nga ana organi përgjegjës (komuna).</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10</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15, Programi për banim social i Kosovës, paragrafi 1.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‘Programin’  dhe ‘nga’ </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Verejtja juaj është me vend sepse është një gabim gjuhësor.</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16, Programi për banim social i komunës, paragrafi 2.3.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Duhet te jete: numrin dhe kategoritë e familjeve që duhet të përfitojnë nga ky program;</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Verejtja juaj është me vend sepse është një gabim gjuhësor.</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12</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16, Programi për banim social i komunës, paragrafi 2.6.</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nëse flasim për mënyrat e ndërtimit të ndërtesave për banim social, ateherë duhet të ketë udhëzim administrative  të posaqem…</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Lidhur me komentin në fjalë nuk ka nevojë të nxjerret asnjë udhëzim administrativ, sepse Ligji Nr.04/L-045, për PPP, në nenin 2, paragrafin 1.14, mbulon strehimin publik, strehimin social dhe punët sociale, prandaj zbatimi i këtij ligji është i mjaftueshëm edhe për procedurat për partneritete publike-private nga fusha e banimit social.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13</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18, Përgjegjësitë e Komunës, paragrafi 1.5.</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te riformulohet fjalia</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Verejtja juaj është me vend sepse është një gabim gjuhësor.</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Riformulim i nenit 18, paragrafit 1.5; planifikon dhe menaxhon  projektin për ndërtimin e ndërtesës së banimit social;</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14</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21, Rritja e stokut të njësive të banimit social, paragrafi 1.7.</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OJQ nuk jane te mandatuara per ndertim. Ju </w:t>
            </w:r>
            <w:r w:rsidRPr="002B381A">
              <w:rPr>
                <w:rFonts w:ascii="Book Antiqua" w:eastAsia="Times New Roman" w:hAnsi="Book Antiqua" w:cs="Times New Roman"/>
                <w:bCs/>
                <w:w w:val="98"/>
                <w:sz w:val="20"/>
                <w:szCs w:val="20"/>
              </w:rPr>
              <w:lastRenderedPageBreak/>
              <w:t>lutem ta rishikoni kete pike.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Riformulim i nenit 21, paragrafit 1.7,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‘ndërtimit të banesave të reja për banim social përmes përkrahjes dhe implementimit të organizatave jo qeveritare për banim vendore dhe ndërkombëtare’</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93" w:type="dxa"/>
            <w:gridSpan w:val="2"/>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072"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 xml:space="preserve">Zyra e Kryeministrit / Zyra e Komisionerit për Gjuhë </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Perkufizimet, paragrafi 1.8 (verzioni ne gjuhën serbe)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Neprofitni ugovor o zakupu</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Verejtja juaj është me vend sepse është një gabim gjuhësor.</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2</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7, Qiraja jofitimprurëse (verzioni në gjuhën serbe)</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Neprofitne najmljivanje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Terminologjia e përdorur nga ligji duhet të jetë sa më e standardizuar në projektligj, andaj referimi i qirasë përgjatë gjithë ligjit duhet të jetë ‘zakup’.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3</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9, Shkëputja e kontratës së qirasë jofitimprurëse, paragrafi 1.1 (verzioni në gjuhën serbe).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Prijavu prihoda</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Verejtja juaj është me vend sepse është një gabim gjuhësor.</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4</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11, Transferimi i të drejtave nga përfituesi, paragrafi 2 (verzioni në gjuhën shqipe).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Individi përfitues</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Terminologjia e përdorur nga ligji është adekuate për qëllimin e normës në fjalë.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5</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25, Dispozitat ndëshkimore,</w:t>
            </w:r>
            <w:r w:rsidRPr="002B381A">
              <w:rPr>
                <w:rFonts w:ascii="Times New Roman" w:eastAsia="Times New Roman" w:hAnsi="Times New Roman" w:cs="Times New Roman"/>
                <w:lang w:val="en-US"/>
              </w:rPr>
              <w:t xml:space="preserve"> </w:t>
            </w:r>
            <w:r w:rsidRPr="002B381A">
              <w:rPr>
                <w:rFonts w:ascii="Book Antiqua" w:eastAsia="Times New Roman" w:hAnsi="Book Antiqua" w:cs="Times New Roman"/>
                <w:bCs/>
                <w:w w:val="98"/>
                <w:sz w:val="20"/>
                <w:szCs w:val="20"/>
              </w:rPr>
              <w:t>paragrafi 1 (verzioni në gjuhën shqipe).</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Për kundërvajtje shqiptohen sanksioni kundërvajtëse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Terminologjia e përdorur nga ligji është adekuate dhe në përputhje me Ligjin Nr. 05/L-087, për kundërvajtje.</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93" w:type="dxa"/>
            <w:gridSpan w:val="2"/>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072"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Zyra e Presidentit / Këshillit Konsultativ për Komunitete</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4, E drejta për banim social.</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Pas pikës 1.4. të paragrafit 1, të nenit 4 të projektligjit, të shtohet pika si në vijim:</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               1.5. prindi vetushqyes;</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Komenti i dhënë nuk përfshihet këtu sepse të gjitha kategoritë është parashikuar të përfshihen me udhëzim administrativ, përkatës në </w:t>
            </w:r>
            <w:r w:rsidRPr="002B381A">
              <w:rPr>
                <w:rFonts w:ascii="Book Antiqua" w:eastAsia="Times New Roman" w:hAnsi="Book Antiqua" w:cs="Times New Roman"/>
                <w:bCs/>
                <w:w w:val="98"/>
                <w:sz w:val="20"/>
                <w:szCs w:val="20"/>
              </w:rPr>
              <w:lastRenderedPageBreak/>
              <w:t xml:space="preserve">mbështetje të këtij projektligji. </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93" w:type="dxa"/>
            <w:gridSpan w:val="2"/>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072"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Ministria e Administrimit të Pushtetit Lokal</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Konfirmimi nga MAPL-ja për ligjshmërinë e Projekligjit për Banim Social me legjislacionin bazë për vetëqeverisjen lokale. </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Konfirmimi i tillë është shumë i rëndësishëm për këtë projektligj.</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93" w:type="dxa"/>
            <w:gridSpan w:val="2"/>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072"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Ministria e Drejtësisë</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25, Neni 25, Dispozitat ndëshkimore</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Sanksionet kundërvajtëse me gjobë për të përcaktuara në nenin 25 të këtij Projektligji janë në përputhje me nenin 29, (paragrafi 2) të Ligjit Nr. 05/L-087 për Kundërvajtje.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Në nenin 25, (paragrafi 5) të Projektligjit është përcaktuar kompetenca për zhvillimin dhe shqiptimin e sanksionit kundërvajtës me gjobë e cila kompetencë i është caktuar organit kundërvatjës (organit kompetent të komunës).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Në rrjedhë të kësaj, organi kundërvajtës mund të shqiptojë sanksione kundërvatjëse me gjobë për personat fizik dhe personat juridik vetëm deri në shumat e përcaktuara në nenin 56, (paragrafi 2, nën-paragrafi 2.2 dhe nën-paragrafi 2.3) i Ligjit për Kundërvajtje.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Me këtë rast, nëse qiramarrësi është person fizik, sanksioni kundërvajtës me gjobë i përcaktuar në nenin 25, (paragrafi 1, nën-paragrafi 1.3) të këtij Projektligji i cili përcakton: si në vijim: ‘’(…) gjobitet me të holla në shumë prej katërqind (400) deri në gjashtëqind (600) Euro (…)’’, duhet të përcaktohet si në vijim: ‘’(…) deri në pesëqind (500) Euro’’, në mënyrë që të jetë në përputhje të plotë me nenin 56, (paragrafi 2, nën-paragrafi 2.2) të Ligjit për Kundërvajtje.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Vërejtje dhe sqarim me vend. </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93" w:type="dxa"/>
            <w:gridSpan w:val="2"/>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072"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OJQ SHPRK (e angazhuar brenda DPHNB, MMPH)</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26, E drejta e ankesës, paragrafi 2 dhe 3.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Kjo nenkupton qe ankesa vetem pranohet nga Departamenti ligjor.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Ndersa shqyrtimin prap do ta beje Ministria dhe nuk eshte specifikuar se cili department, pra kjo le hapesire sikurse ligji paraprak te kete perzirje te kompetencave ose mund te nenkuptoj krijim te nje komisioni te mundshem me anëtar te dy departamenteve, me qellim te shqyrtimit te ankesave.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Te riformulohet:</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Departamenti Ligjor i Ministrise duhet ta shqyrtoj ankesën, jo më vonë se tridhjetë (30) ditë, pas pranimit të ankesës.</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Vërejtje dhe sqarim me vend.</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93" w:type="dxa"/>
            <w:gridSpan w:val="2"/>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072"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OSBE</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Komentet e Misionit të OSBE-së në Kosovë për Projektligjin për banim social.</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Projektligji për banim social (në tekstin e mëtutjeshëm: Projektligji) është vlerësuar në lidhje me standardet ndërkombëtare për të drejtat e njeriut dhe parimet e sundimit të ligjit. Gjatë vlerësimit janë identifikuar çështjet në vijim.</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Konfirmimi i tillë është shumë i rëndësishëm për këtë projektligj.</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2</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Të merret parasysh përfshirja e funksioneve të noterisë në Projektligj</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Projektligji parasheh dy lloje të kontratave, dhe atë “kontratën për qira jofitimprurëse (Neni 7)” dhe “kontratën për subvencionim të qirasë (Neni 13 [3])”. Të dyja llojet e kontratave janë të tipit të marrëveshjeve të qirasë për pronën e paluajtshme, që lidhen mes një autoriteti publik dhe përfituesve (persona fizikë). Ndërsa, funksioni i noterisë nuk është përfshirë fare në Projektligj. Përkundrazi, në Shtojcën 1, ku përvijohet forma e “kontratës për dhënie të banesës me qira jofitimprurëse (Neni 13), përcaktohet se: “Kjo kontratë ..., të gjitha të nënshkruara nga të dyja palët dhe të vërtetuara në Gjykatën kompetente[…]”. Me hyrjen në fuqi të Ligjit për noterinë në vitin 2008, dhe me Ligjin e ri për noterinë të miratuar rishtazi, gjykatat e Kosovës nuk vërtetojnë më kontrata. Ky funksion u është bartur </w:t>
            </w:r>
            <w:r w:rsidRPr="002B381A">
              <w:rPr>
                <w:rFonts w:ascii="Book Antiqua" w:eastAsia="Times New Roman" w:hAnsi="Book Antiqua" w:cs="Times New Roman"/>
                <w:bCs/>
                <w:w w:val="98"/>
                <w:sz w:val="20"/>
                <w:szCs w:val="20"/>
              </w:rPr>
              <w:lastRenderedPageBreak/>
              <w:t>noterëve.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Shtojca 1 – Neni 13</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Të merret parasysh ndryshimi i tekstit të këtij neni duke zëvendësuar shprehjen “gjykatë kompetente” me “noter”</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3. Ky nen përcakton që “Kjo kontratë është përpiluar në tre (3) kopje origjinale, të gjitha të nënshkruara nga të dyja palët dhe të vërtetuara në Gjykatën kompetente, ku secila palë merr nga një kopje origjinale”. Për të njëjtat arsye të cekura si më sipër te pjesa e komenteve të përgjithshme, sugjerojmë që shprehja “gjykatë kompetente” të zëvendësohet me “noter”.</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është përfshirë pjesërisht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Sa i përket pjesës së përfshirjes së Ligjit të Noterisë, një gjë e tillë nuk është e nevojshme sepse kontrata mbi qiranë nuk kërkohet të jetë e noterizuar sipas ligjit. Gjithashtu, Ligji nr. 04/l-077, për marrëdhëniet e detyrimeve, nuk kërkon formë të noterizuar apo vërtetuar, pra është lënë në vullentin e palëve nëse dëshirojnë ta noterizojnë kontratën e qirasë. Për arsye se këto kontrata kanë palë edhe komunën duhet të mjaftohemi me nënshkrimin nga personat përgjegjës dhe vulosja e tyre, duke mos e komplikuar mëtej cështjen e kontratës me noter dhe krijimin e shpenzimeve shtesë për përfituesin ose komunën.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 xml:space="preserve">Vërejtja: e dhënë tek kontrata e qirasë është me vend dhe e njëjta do të përfshihet gjatë punës me komente në grup punues.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3</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25, Dispozitat ndëshkimore, paragrafi 2.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Të merret parasysh ndryshim-plotësimi i paragrafit 2 dhe pas fjalës “falsifikim” të shtohet teksti si në vijim “dhe çfarëdo mashtrimi tjetër në lidhje me”.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2. Paragrafi 2 parasheh që “Falsifikimi i subvencionimit të qirasë së banimit dënohet sipas Kodit Penal në fuqi”. Megjithatë ekzistojnë veprime tjera kriminale të tilla si mashtrimi, e që mund të rezultojnë në përfitimin e paligjshëm të një subvencioni që jepet nga autoritetet komunale. Ndryshimi i sugjeruar më sipër siguron mbulim më të gjerë të situatave që mund të çojnë në përfitim të paligjshëm të subvencionit dhe mund të jenë objekt i procedurës penale. Prandaj, sugjerojmë shtimin e fjalës “mashtrim” si një nga mënyrat e mundshme të përfitimit të paligjshëm të subvencionit dhe përcaktimin e dënimit përkatës për të.</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93" w:type="dxa"/>
            <w:gridSpan w:val="2"/>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072"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UN-HABITAT</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3,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Nese pranohen sygjerimet e meposhtme (profilet e banimit etj) atehere duhet te vendoset edhe ketu definicioni mbi profilin…</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Propozohet paragraf i ri: ‘Profili (profilet) e banimit  – është një mjet diagnostifikues përmes së cilit i ofrohet Qeverisë dhe palëve tjera relevante një analizë sistematike mbi </w:t>
            </w:r>
            <w:r w:rsidRPr="002B381A">
              <w:rPr>
                <w:rFonts w:ascii="Book Antiqua" w:eastAsia="Times New Roman" w:hAnsi="Book Antiqua" w:cs="Times New Roman"/>
                <w:bCs/>
                <w:w w:val="98"/>
                <w:sz w:val="20"/>
                <w:szCs w:val="20"/>
              </w:rPr>
              <w:lastRenderedPageBreak/>
              <w:t>gjendjen e sektorit/sistemit të banimit në nivel të qytetit apo më gjërë në nivel vendi, në bazë të së cilës hartohen politikat, strategjia, programet e banimit. Përmes profilit identifikohen pengesat dhe zbrazëtirat kryesore që pengojnë sigurimin e mundësive për banim të formave të ndryshme. Poashtu profili identifikon edhe mundësitë që ekzistojnë në sektorin e banimit’.</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Sygjerimi për përfshirjen e profileve të banimit është shumë i mirë dhe do të punohet në grup punues për definicionin e duhur.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2</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5, Kriteret për përzgjedhjen e përfituesëve për banim social, paragrafi 1.</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Eshte mire te shtohet edhe kategoria e personave qe jane viktima te dhunes ne familje, sepse Strategjia Kombetare e RK per mbrojtje nga dhuna ne familje e parasheh nje gje te tille. Me konkretisht kjo strategji thote: “Të përmirësohet dhe përforcohet angazhimi për banim social për viktimat e dhunës në familje përfshirë amandamentimin e koncept dokumentit për banim social duke përfshirë kategorinë e viktimave të dhunës në familje dhe duke siguruar që çdo komunë të marrë një numër specifik të banesave, që janë të disponueshme, për një kohë specifike për secilin rast, brenda kuadrit të një programi më të qartë të rehabilitimit për personat që largohen nga strehimoret” (f. 35). Andaj harmonizimi i ketij draft-ligji me ligjet/strategjite tjera eshte me se i nevojshem.</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Komenti i dhënë nuk përfshihet këtu sepse të gjitha kategoritë është parashikuar të përfshihen me udhëzim administrativ përkatës në mbështetje të këtij projektligji. Prandaj, kjo dhe shumë cësthje tjera do të adresohen me udhëzim administrativ.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3</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5, Kriteret për përzgjedhjen e përfituesëve për banim social, paragrafi 1.4.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Eshte mire te shtohet fjala: ‘kushtet’ ne menyre qe ne kuader te ketyre kategorive te gjejne vend edhe viktimat e dhunes ne familje, ashtu qe te sherben si vegze per UA qe do te hartoj me vone ministria per kategorite perfituese (sepse tani per tani kjo kategori nuk ben pjese askund).</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Vërejtje me vend, kjo fjalë ‘kushtet’ do të shtohet sipas propozimit.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4</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12, Menaxhimi dhe Administrimi i banesave sociale, paragrafi 4.</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Eshte mire qe ne kuader te ketij neni (ose me vone me akt nenligjore) te definohet sakte se kush eshte organi kompetent i komunes per menaxhimin dhe administrimin e banesave (ne pajtim me </w:t>
            </w:r>
            <w:r w:rsidRPr="002B381A">
              <w:rPr>
                <w:rFonts w:ascii="Book Antiqua" w:eastAsia="Times New Roman" w:hAnsi="Book Antiqua" w:cs="Times New Roman"/>
                <w:bCs/>
                <w:w w:val="98"/>
                <w:sz w:val="20"/>
                <w:szCs w:val="20"/>
              </w:rPr>
              <w:lastRenderedPageBreak/>
              <w:t>Ligjin per bashkepronesi), cilat jane detyrat e ketij organi, kujt i raporton  e pastaj edhe ceshtjet qe nderlidhen me mbledhjen dhe shpenzimit e mjeteve te qirase etj.</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Të gjitha kompetencat lidhur me këtë cështje janë në nivelin komunal, dhe cështjet e menaxhimit dhe administrimit janë cështje që rregullohen nga secila </w:t>
            </w:r>
            <w:r w:rsidRPr="002B381A">
              <w:rPr>
                <w:rFonts w:ascii="Book Antiqua" w:eastAsia="Times New Roman" w:hAnsi="Book Antiqua" w:cs="Times New Roman"/>
                <w:bCs/>
                <w:w w:val="98"/>
                <w:sz w:val="20"/>
                <w:szCs w:val="20"/>
              </w:rPr>
              <w:lastRenderedPageBreak/>
              <w:t>komunë përmes stafit të saj apo angazhimit të ndonjë administratori (ligji për ndërtesat e banimit në bashkëpronësi).</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5</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13, Subvencionim i qirasë së banimit, paragrafi 7.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 rrethana normale, nuk kemi nevoje per thirrje publike sidomos nese lista e pritjes (sipas poentimit) do te ishte reale dhe ne dispozocion. Por duke marre parasysh situaten aktuale neper komuna, ky nen edhe mund te mbetet per hir te transparences por ne te ardhem sigurisht se nuk do te duhej te ze vend ne ligj, sepse perfituesit do te definoheshin ne baze te pikeve/poentimit.  E njejeta procedure do te vlente edhe per familjet me te ardhura te uleta. Nese komuna posedon listen e pitjes (sipas poentimit) atehere procedohet njejte sikurse edhe per rastet sociale. Familja me te ardhura te uleta e cila eshte ne liste te pritjes dhe ka me shume pike e merr banesen me qera qe eshte ne liste, respektivisht  banesen/shtepine qe eshte ne dispozicion per tu dhene me qira…</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Nuk është përfshirë komenti sepse është keqkuptuar neni nga ana e komentuesit. Këtu është fjala kur komuna dëshiron të marrë banesa me qira nga persona fizik dhe juridik, obligohet të bëjë thirrje publike, në mënyrë që të sigurohet respektimi i ligjit të prokurimit, në mënyrë që të gjithë përsonat që dëshirojnë të japin banesat me qira tek komuna të jenë ta barabartë në tender.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6</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Propozohen dy Nene të reja, pas Nenit 14: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X, Profili i banimit të Kosovës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1.  Me qëllim të krijimit të bazës së të dhënave për banim, ministria harton profilin e banimit (pjesa tekstuale dhe grafike) për Kosovë në bazë të së cilit hartohen politikat për banim respektivisht banim social.</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2.  Profili i banimit për Kosovën hartohet bazuar në profilin e banimit të të gjitha komunave të Kosovës.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3. Struktura, përmbajtja, afati i vlefshmërisë dhe formati i të dhënave në profil si dhe struktura e bazës së të dhënave përcaktohen me akt nënligjor nga Ministria.</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X,  Profili i banimit të komunës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1.  Organi kompetent i komunës harton profilin e banimit (pjesa tekstuale dhe grafike) me qëllim të identifikimit, regjistrimit dhe menaxhimit të të gjitha njësive të banimit.</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2. Struktura, përmbajtja, afati i vlefshmëirsë, formati i të dhënave në profil si dhe struktura e bazës së të dhënave përcaktohen </w:t>
            </w:r>
            <w:r w:rsidRPr="002B381A">
              <w:rPr>
                <w:rFonts w:ascii="Book Antiqua" w:eastAsia="Times New Roman" w:hAnsi="Book Antiqua" w:cs="Times New Roman"/>
                <w:bCs/>
                <w:w w:val="98"/>
                <w:sz w:val="20"/>
                <w:szCs w:val="20"/>
              </w:rPr>
              <w:lastRenderedPageBreak/>
              <w:t>me akt nënligjor nga Ministria.</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Duke marre parasysh se komunat nuk kane pasqyre te qarte mbi stokun/numrin e njesive te banimit por edhe gjendjen e tyre, do te ishte mire te shtohet nje nen ku kerkohet hartimi i profileve te banimit (me pjesen tekstuale dhe grafike-GIS) per te dyja nivelet qendror/lokal, te cila mepastaj do te sherbenin per hartimin e programeve te banimit por edhe hartimin e dokumenteve te ndryshme te planifikimit. Strategjia/programi per banim social mund te derivoj nga strategjia per banim, per kete arsye eshte e nevojshme te kemi nje kuptueshmeri te plote mbi sektorin e banimit, me konkretisht ti kemi profilet e banimit (gjendjen ekzistuese dhe te ardhme) si dhe cfare deshirojme te bejme ne pergjithesi per banim, dhe ne vecanit per komponenten e banimit social (strategjite dhe politikat).</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Perfshirja e neneve në projektligj do të bëhet pas diskutimeve në grup punues.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7</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15, Programi për banim social i Kosovës, paragrafi 1.</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Propozohet te shtohet fjalia: ‘bazuar në profilin e banimit të Kosovës’</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Komenti i dhënë është përfshirë nga ana e organit propozues. </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8</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15, Programi për banim social i Kosovës, paragrafi 2.</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Propozohet te shtohet fjalia: ‘politikat demografike’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Vërejtje me vend, do të shtohen sipas propozimit, sepse plotësojnë nenin.</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9</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15, Programi për banim social i Kosovës, paragrafi 4.</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Propozohet te shtohet fjalia: ‘dhe ligjeve dhe akteve nënligjore përkatëse’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Vërejtje me vend, do të shtohen sipas propozimit, sepse plotësojnë nenin.</w:t>
            </w:r>
            <w:r w:rsidRPr="002B381A">
              <w:rPr>
                <w:rFonts w:ascii="Times New Roman" w:eastAsia="Times New Roman" w:hAnsi="Times New Roman" w:cs="Times New Roman"/>
                <w:lang w:val="en-US"/>
              </w:rPr>
              <w:t xml:space="preserve"> </w:t>
            </w:r>
            <w:r w:rsidRPr="002B381A">
              <w:rPr>
                <w:rFonts w:ascii="Book Antiqua" w:eastAsia="Times New Roman" w:hAnsi="Book Antiqua" w:cs="Times New Roman"/>
                <w:bCs/>
                <w:w w:val="98"/>
                <w:sz w:val="20"/>
                <w:szCs w:val="20"/>
              </w:rPr>
              <w:t>ligjeve dhe akteve nënligjore përkatëse’</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10</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16, Programi për banim social i komunës, paragrafi 1.</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Propozohet te shtohet fjalia: ‘profilin e banimit të Komunës dhe’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11</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16, Programi për banim social i komunës, paragrafi 2.5.</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Nese mbetet propozimi i bere me larte per profilet e banimit, atehere keto te dhena (ky paragraph)  duhet te perfshihet ne kuader te profileve te propozuara per banim.</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12</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16, Programi për banim social i komunës, paragrafi 3.</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Propozohet te shtohet fjalia: ‘profilin e banimit të Komunës dhe’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13</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18, Përgjegjësitë e Komunës, paragrafi 1.4.</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Propozohet te shtohet fjalia: ‘banim respektivisht’</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Vërejtje me vend, do të shtohet sipas propozimit, sepse e plotëson normën.</w:t>
            </w:r>
          </w:p>
        </w:tc>
      </w:tr>
      <w:tr w:rsidR="002B381A" w:rsidRPr="002B381A" w:rsidTr="002B381A">
        <w:tc>
          <w:tcPr>
            <w:tcW w:w="1593" w:type="dxa"/>
            <w:gridSpan w:val="2"/>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14</w:t>
            </w:r>
          </w:p>
        </w:tc>
        <w:tc>
          <w:tcPr>
            <w:tcW w:w="4072"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18, Përgjegjësitë e Komunës, paragrafi 1.5.</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Ky nen ndoshta duhet te elaborohet me mire, nuk po e kuptoj sakte!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Verejtja juaj është me vend sepse është një gabim gjuhësor.</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Riformulim i nenit 18, paragrafit 1.5; planifikon dhe menaxhon  projektin për ndërtimin e ndërtesës së banimit social;</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03" w:type="dxa"/>
            <w:shd w:val="clear" w:color="auto" w:fill="BDD6EE"/>
          </w:tcPr>
          <w:p w:rsidR="002B381A" w:rsidRPr="002B381A" w:rsidRDefault="002B381A" w:rsidP="002B381A">
            <w:pPr>
              <w:ind w:right="-108"/>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Respondentët</w:t>
            </w:r>
          </w:p>
        </w:tc>
        <w:tc>
          <w:tcPr>
            <w:tcW w:w="4162" w:type="dxa"/>
            <w:gridSpan w:val="2"/>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UNHCR Pristina</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center"/>
              <w:rPr>
                <w:rFonts w:ascii="Book Antiqua" w:eastAsia="Times New Roman" w:hAnsi="Book Antiqua" w:cs="Times New Roman"/>
                <w:b/>
                <w:bCs/>
                <w:w w:val="98"/>
                <w:sz w:val="20"/>
                <w:szCs w:val="20"/>
              </w:rPr>
            </w:pPr>
          </w:p>
        </w:tc>
        <w:tc>
          <w:tcPr>
            <w:tcW w:w="3308" w:type="dxa"/>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 i përgjithshëm.</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Përkthimi i tekstit në gjuhen Serbe në përgjithesi ka shumë gabime dhe duhet tërësisht të korigjohet.</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 xml:space="preserve">Komenti i dhënë do të merret parasysh dhe do t’u komunikohet zyrës së përkthimit, edhe pse nga Zyra e Komisionerit për Gjuhë, nuk kemi pranuar vëretje lidhur me gjuhën serbe.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2</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2, Fushëveprimi</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Ligji duhet të përfshije refugjatet, përsonat pa shtetësi, përsonat e zhvendosur përbrenda dhe të kthyerit në kategorizimin e përfituseve. E drejta për banim ju është dhënë përmes ligjit mbi Azilin, Rregulloren e Qeverisë për Integrimin e të Huajve si dhe përmes Rregullores për Kthim Vullnetar dhe Zgjidhje të Qëndrueshme.</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Vec kesaj, ky ligj duhet të adresoj qështjen e banesave sociale nga donatorët e ndryshem dhe të dedikuara për Përsonat e Zhvendosur Përbrenda dhe të kthyerve (arsyet e zhvendosjes për shkaqe të konfliktit) me kushte të dobëta ekonomike dhe sociale, ndërtesat qe do të menaxhohen nga ana e autoriteteve relevante shtëtrore.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Komenti i dhënë nuk përfshihet këtu sepse të gjitha kategoritë është parashikuar të përfshihen me udhëzim administrativ përkatës në mbështetje të këtij projektligji. Prandaj, këto sygjerime dhe shumë cësthje tjera do të adresohen me udhëzime administrative përkatëse.</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3</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1.1.</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Të kosiderohet riformulimi i definicionit: Sygjerimi: Banimi Social-nënkupton banimin qe i’u sigurohet familjeve apo individëve qe </w:t>
            </w:r>
            <w:r w:rsidRPr="002B381A">
              <w:rPr>
                <w:rFonts w:ascii="Book Antiqua" w:eastAsia="Times New Roman" w:hAnsi="Book Antiqua" w:cs="Times New Roman"/>
                <w:bCs/>
                <w:w w:val="98"/>
                <w:sz w:val="20"/>
                <w:szCs w:val="20"/>
              </w:rPr>
              <w:lastRenderedPageBreak/>
              <w:t>për arsye ekonomike, sociale dhe shkaqeve të zhvendosjes për shkak të konfliktit, duke përfshirë kategorit e definuara me aktet ligjore specifike, te cilit nuk e kanë te zgjidhur cështjen e banimit;</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 xml:space="preserve">Ligji ka për qëllim të rregulloj cështjen e banimit për të gjithë ata </w:t>
            </w:r>
            <w:r w:rsidRPr="002B381A">
              <w:rPr>
                <w:rFonts w:ascii="Book Antiqua" w:eastAsia="Times New Roman" w:hAnsi="Book Antiqua" w:cs="Times New Roman"/>
                <w:bCs/>
                <w:w w:val="98"/>
                <w:sz w:val="20"/>
                <w:szCs w:val="20"/>
              </w:rPr>
              <w:lastRenderedPageBreak/>
              <w:t>që janë në nevojë pa dallim, andaj edhe përkufizimi i propozuar është ai adekuat. Këto kategori mund të përfshihen me udhëzime administrative përkatëse.</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4</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1.3.</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Të verifikohet përkthimi në Anglisht. Më poshtë ne Anex 1 “Kontrata” në gjuhen Angleze i referohet apartamentit. Termi për banesë dhe/apo apartament duhet të definohet qartazi dhe të radhitet në tërë draft ligjin.</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 xml:space="preserve">Vërejtje me vend, do të adresohet përshtashmërisht.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5</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1.6.</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Në kategorin e përfituesve duhet përfshirë refugjatet, përsonat pa shtetësi, Përsonat e Zhvendosur Përbrenda, dhe të kthyerit. E drejta për banim ju është dhënë përmes ligjit mbi Azilin, Rregulloren e Qeverisë për Integrimin e të Huajve si dhe përmes Rregullores për Kthim Vullnetare dhe Zgjidhje të Qëndrueshme.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Ligji duhet konsideruar poashtu shtimin e kategorive të cenueshme, p.sh. grupin me nevoja të posaqme te banimit, duke peëërfshire: familjet me gratë si kryefamiljare, viktimat e dhunës familjare, përsonat me aftësi të kufizuara, përsonat e moshuar, minoritetet, njerëzit indigjen, fëmijet e ndarë ose pa përcjedhës, të kthyerit e cënueshem, refugjatet dhe persona e zhvendosur përbrenda.</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përfshihet këtu sepse të gjitha kategoritë është parashikuar të përfshihen me udhëzim administrativ përkatës në mbështetje të këtij projektligji. Prandaj, këto sygjerime dhe shumë cësthje tjera do të adresohen me udhëzime administrative përkatëse.</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6</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1.13.</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Kjo fjali eshte shtuar ne ligj: ‘kategorit e mëposhtme por jo të limituara‘</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Po ceshtja e gjinisë? Ne vendë që të kemi definicion të mangët, kjo mund të përpunohet në mënyre më gjenerale në mënyrë që të ketë hapsirë për inkuadrimin e personave tjerë dhe në bazë të nevojes.  </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Përkufizimi këtu ka që për qëllim të përcaktojë përbërjen e familjes, e jo të përfshijë kategoritë tjera, andaj si i tillë është mirë i formuluar. Cështja e gjinisë nënkuptohet,si femra ashtu edhe mashkulli mund të jenë anëtar i familjes dhe kryefamiljar.</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7</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1.15.</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Duke marrë parasyshe se do të ketë editime dhe korigjime të këti Ligji si dhe Ligjit mbi Ndihmen Sociale në vitet e ardhshme, është e nevojshme që masat mbrojtëse janë të </w:t>
            </w:r>
            <w:r w:rsidRPr="002B381A">
              <w:rPr>
                <w:rFonts w:ascii="Book Antiqua" w:eastAsia="Times New Roman" w:hAnsi="Book Antiqua" w:cs="Times New Roman"/>
                <w:bCs/>
                <w:w w:val="98"/>
                <w:sz w:val="20"/>
                <w:szCs w:val="20"/>
              </w:rPr>
              <w:lastRenderedPageBreak/>
              <w:t xml:space="preserve">harmonizuara mes dy ligjeve dhe të përfshijnë të kthyerit, të zhvendosurit përbrenda, refugjatet, përsonat pa shtetësi etj.  </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Masat mbrojtëse nuk janë pjesë e këtij ligji në kuptimin të cilin propozohet nga komentuesi. Këtu </w:t>
            </w:r>
            <w:r w:rsidRPr="002B381A">
              <w:rPr>
                <w:rFonts w:ascii="Book Antiqua" w:eastAsia="Times New Roman" w:hAnsi="Book Antiqua" w:cs="Times New Roman"/>
                <w:bCs/>
                <w:w w:val="98"/>
                <w:sz w:val="20"/>
                <w:szCs w:val="20"/>
              </w:rPr>
              <w:lastRenderedPageBreak/>
              <w:t xml:space="preserve">kemi të bëjmë me një masë mbrojtëse e që është sigurimi i banimit, ndërsa masat tjera janë cështje që rregullohen me ligje dhe nga organe tjera.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8</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Propozohet paragraf i ri në mes të paragrafit 1.17 dhe 1.18.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Paragraf i ri: Zhvendosja në lidhje me konfliktin - nënkupton Personat e Zhvendosur Brenda dhe të kthyerit, siç përcaktohet në Rregulloren e Qeverisë Nr. 01/2018, që nuk posedojnë asnjë prone ndërtimore ose nuk kanë qasje në pronën e tyre dhe PZHBV ose të kthyer që nuk mund të kthehen në vendin e origjinës.</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Nuk përfshihet kjo cështje, sepse nuk kemi tëbëjmë me një kategori të vecantë, aq më tepër propozimi i tillë është edhe diskriminues, sepse nëse një person nuk bënë pjesë në këtë kategori të propozuar atëherë duhet lënë jashtë sigurimit të banimit social. Në këtë drejtim, ky ligj ka për qëllim sigurimin e banimit për të gjithë pa dallim.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9</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1.19.</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Sa është minimumi në m2 për përson në bazë të standardeve/ligjeve te Kosoves?</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color w:val="FF0000"/>
                <w:w w:val="98"/>
                <w:sz w:val="20"/>
                <w:szCs w:val="20"/>
              </w:rPr>
            </w:pPr>
            <w:r w:rsidRPr="002B381A">
              <w:rPr>
                <w:rFonts w:ascii="Book Antiqua" w:eastAsia="Times New Roman" w:hAnsi="Book Antiqua" w:cs="Times New Roman"/>
                <w:bCs/>
                <w:w w:val="98"/>
                <w:sz w:val="20"/>
                <w:szCs w:val="20"/>
              </w:rPr>
              <w:t>Vërejtje: Tabela mehapësirat minimale do t’i bashkangjitet projektligjit.</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10</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4, E drejta për banim social, paragrafi 1.2.</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Ky paragraph është shumë gjeneral dhe mund të interpretohet ndryshe nese nuk ka kategorizime apo sqarime shtesë në mënyrë qe të përfshihen përsonat e kthyer dhe pa pronë/plac, përsonat e zhvendosur përbrenda, refugjatët dhe personat pa shtetësi, të cilët kanë nevojë për banim dhe ndoshta nuk janë konsideruar për zgjidhje nga ana e komunës ku ata aplikojnë për banim social.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Sygjerohet të shtohet nji paragrafi 1.5 – te sygjerohen të Kthyerit dhe të Zhvendosurit përbrenda si kategori në vete. Definicioni i të kthyerve dhe përsonave të Zhvendosur Përbrenda është dhënë me Rregulloren e Qeverisë 01/2018 mbi Kthimin vullnetarë dhe Zgjidhjen e Qëndrueshme. (komenti me poshtë)</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Nuk përfshihet kjo cështje, sepse nuk kemi tëbëjmë me një kategori të vecantë, aq më tepër propozimi i tillë është edhe diskriminues, sepse nëse një person nuk bënë pjesë në këtë kategori të propozuar atëherë duhet lënë jashtë sigurimit të banimit social. Në këtë drejtim, ky ligj ka për qëllim sigurimin e banimit për të gjithë pa dallim.</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11</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4, E drejta për banim social, paragrafi 1.2.</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Përsoni i Zhvendosur – nënkupton personin i cili u detyrua të largohej ose u detyrua të </w:t>
            </w:r>
            <w:r w:rsidRPr="002B381A">
              <w:rPr>
                <w:rFonts w:ascii="Book Antiqua" w:eastAsia="Times New Roman" w:hAnsi="Book Antiqua" w:cs="Times New Roman"/>
                <w:bCs/>
                <w:w w:val="98"/>
                <w:sz w:val="20"/>
                <w:szCs w:val="20"/>
              </w:rPr>
              <w:lastRenderedPageBreak/>
              <w:t xml:space="preserve">braktisë vendbanimin e tij / saj ku jetonte para 28 Marsit 1998 deri me 31 mars 2004, posaqerisht si rezultat apo të evitoj efektet e konfliktit të armatosur, situaten e dhunës gjenerale, shkeljen e drejtave të njeriut.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Përsoni i Zhvendosur Përbrenda – nënkupton personin e zhvendosur Brenda teritorit të Kosoves.</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Në harmoni me Rregulloren për Kthim dhe Zgjidhje të qendrueshme qiraja është ndarë si masë e përkohshme e banimit për të kthyerit derisa të gjindet zgjidhje e qëndrueshme për banim. Komuna relevante duhët të siguroj strehim përmes programeve për banim social për personat që nuk kanë mundur të sigurojn zgjidhje të qëndrueshme.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Nuk përfshihen përkufizimet e tilla sepse nuk janë pjesë e trajtimit në </w:t>
            </w:r>
            <w:r w:rsidRPr="002B381A">
              <w:rPr>
                <w:rFonts w:ascii="Book Antiqua" w:eastAsia="Times New Roman" w:hAnsi="Book Antiqua" w:cs="Times New Roman"/>
                <w:bCs/>
                <w:w w:val="98"/>
                <w:sz w:val="20"/>
                <w:szCs w:val="20"/>
              </w:rPr>
              <w:lastRenderedPageBreak/>
              <w:t xml:space="preserve">këtë fazë, këto dhe cështje tjera mund të adresohen në të ardhmen me udhëzime administrative.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12</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4, E drejta për banim social, paragrafi 1.4.</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Do të ishte me vend nëse do të kishte klauzolë të përgjithshme të vendosur në fund dhe e cila merret me “shkaqet tjera natyrale apo nga individi qe rezulton qe personat nuk kanë vendstrehim si rezultat i faktorve përtej kontrollit te tyre”.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Vërejtje me vend, mund të riformulohet dhe plotësohet me fjalin e propozuar: ‘shkaqet tjera natyrale apo nga individi qe rezulton qe personat nuk kanë vendstrehim si rezultat i faktorve përtej kontrollit te tyre’</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Propozohet paragraf i ri; 1.5. Hyjnë në kategorinë e personave të cilëve iu është njohur statusi i refugjatit, i personit me mbrojtje plotësuese, i personit me mbrojtje të përkohshme dhe i personit të pa shtetësi.</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Komenti i paragrafit të ri: </w:t>
            </w:r>
          </w:p>
          <w:p w:rsidR="002B381A" w:rsidRPr="002B381A" w:rsidRDefault="002B381A" w:rsidP="002B381A">
            <w:pPr>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Sipas Ligjit nr.06/L- 026 për Azil, Ligjit nr.04/L-219 për të Huajt, Ligjit nr.04/L-215 për Shtetësinë e Kosovës dhe Rregullores nr.09/2019 për Integrimin e të Huajve, kategoritë si refugjatët, personat me mbrojtje plotësuese, personat me mbrojtje të përkohshme dhe personat pa shtetësi gëzojnë të drejtat deri në nivelin e mbrojtjes të cilën e gëzojnë shtetasit e Republikës së Kosovës. Prandaj, edhe këto kategori duhet të gëzojnë të drejtën në banim social sipas kritereve dhe kushteve të përcaktuar me këtë Ligj. Për më tepër, këtyre kategorive iu njihen këto statuse në bazë të procedurave të parapara ligjore nga autoritetet përkatëse të Kosovës (Ministria e Punëve të Brendshme/Departamenti për Shtetësi, Azil dhe Migracion).</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 xml:space="preserve">Ne me dëshirën më të madhe do t’i përfshinim edhe këto kategori në projektligj, mirëpo statusi i këtyre kategorive rregullohet me ligje përkatëse dhe si të tillë në këtë fazë nuk do të përfshihen në këtë projektligj. Sidoqoftë, përfshirja e këtyre kategorive do të rivlerësohet edhe një herë me rasitn e përgatitjes së udhëzimit administrativ.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13</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5, Kriteret për përzgjedhjen e përfituesëve për banim social, paragrafi 1.6.</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Të futet kriteri gjeneral përfundimtarë që mbulon rastet e cënueshme, senzitive gjinore por që nuk përfshihen në këte kriter por që janë senzitive në listë kritereve p.sh. LGBT plus përsonat që janë izoluar nga familjet e tyre.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Nuk përfshihet për arsye se kategoritë dhe kriteret shtesë do të përcaktohen me udhëzim administrativ përkatës në mbështetje të këtij projektligji.</w:t>
            </w:r>
            <w:r w:rsidRPr="002B381A">
              <w:rPr>
                <w:rFonts w:ascii="Book Antiqua" w:eastAsia="Times New Roman" w:hAnsi="Book Antiqua" w:cs="Times New Roman"/>
                <w:bCs/>
                <w:w w:val="98"/>
                <w:sz w:val="20"/>
                <w:szCs w:val="20"/>
                <w:highlight w:val="yellow"/>
              </w:rPr>
              <w:t xml:space="preserve">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14</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6, Ndarja e banesave në kuadër të</w:t>
            </w:r>
            <w:r w:rsidRPr="002B381A">
              <w:rPr>
                <w:rFonts w:ascii="Times New Roman" w:eastAsia="Times New Roman" w:hAnsi="Times New Roman" w:cs="Times New Roman"/>
                <w:lang w:val="en-US"/>
              </w:rPr>
              <w:t xml:space="preserve"> </w:t>
            </w:r>
            <w:r w:rsidRPr="002B381A">
              <w:rPr>
                <w:rFonts w:ascii="Book Antiqua" w:eastAsia="Times New Roman" w:hAnsi="Book Antiqua" w:cs="Times New Roman"/>
                <w:bCs/>
                <w:w w:val="98"/>
                <w:sz w:val="20"/>
                <w:szCs w:val="20"/>
              </w:rPr>
              <w:t>ndërtesës, paragrafi 1.1, 1.2 dhe 1.3.</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Të ardhurat si kriter i vetëm janë kritere shumë të ngushta që mund të injorojnë çështje të tjera që shpesh lindin në praktikë. Për më tepër, siç diskutohet në komentet në Koncept-Dokumentin për Ndihmën Sociale, i cili do të hyjë në fuqi më se afermi në 2021, metodologjia e parashikuar atje mund të krijojë boshllëqe ku njerëzit për të cilët ne kujdesemi mund të jenë në një pozitë të pafavorshme.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Konsideroni situatat e anëtarëve të komuniteteve Rom, Ashkali dhe Egjiptas që nuk përfitojnë nga ndihma sociale dhe të cilët nuk kanë asnjë lloj të ardhurash që do të përjashtohen automatikisht dhe nuk janë  të pranueshem/konsiderohen për ndihmë, duke rënë kështu në mes të çarjeve të sistemit dhe ligjeve në fuqi.</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 - Konsideroni të shtoni paragrafin 1.4 me përqindje specifike për kategori specifike si psh</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Familje pa pronësi në situatë shumë të keqe socio-ekonomike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Personat e zhvendosur brenda vendit dhe të kthyerit pa pronësi dhe ata që nuk kanë qasje në pronat e tyre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refugjatë dhe persona pa shtetësi</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highlight w:val="yellow"/>
              </w:rPr>
            </w:pPr>
            <w:r w:rsidRPr="002B381A">
              <w:rPr>
                <w:rFonts w:ascii="Book Antiqua" w:eastAsia="Times New Roman" w:hAnsi="Book Antiqua" w:cs="Times New Roman"/>
                <w:bCs/>
                <w:w w:val="98"/>
                <w:sz w:val="20"/>
                <w:szCs w:val="20"/>
              </w:rPr>
              <w:t>Nuk ka mundësi që një familje mos të përfitojë nga ndihma sociale në Kosovë, dhe e njëjta të mos ketë asnjë të ardhur, sepse kjo bie ndesh me qëllimin e skemës së ndihmës sociale (mund të ekzistojë ndonjë rast, që ndonjë familje të mos përfitojë ndihmë sociale por jo për arsyen se nuk i ofrohet e njëjta nga Qeveria e Kosovës, por për arsye subjektive që lidhen me familjen). Sidoqoftë, kjo pjesë është mirëmenduar nga sponsorizuesi se si do të zbatohet dhe kush mund të kualifikohet për banim.</w:t>
            </w:r>
            <w:r w:rsidRPr="002B381A">
              <w:rPr>
                <w:rFonts w:ascii="Book Antiqua" w:eastAsia="Times New Roman" w:hAnsi="Book Antiqua" w:cs="Times New Roman"/>
                <w:bCs/>
                <w:w w:val="98"/>
                <w:sz w:val="20"/>
                <w:szCs w:val="20"/>
                <w:highlight w:val="yellow"/>
              </w:rPr>
              <w:t xml:space="preserve">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15</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7, Qiraja jofitimprurëse, paragrafi 4.</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Në qoftë se këto nuk përcaktohen, mund të rezultojë në shfrytëzimin e personave të pafavorshëm dhe të cenueshëm nga pronari. Kostot e tjera duhet të renditen në mënyrë taksative.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Jo në asnjë mënyrë nuik duhet renditur në ligj në mënyrë taksative, ndoshta një gjë e tillë as në udhëzim administrativ nuk duhet përfshirë, për arsye se pagesa e shpenzimeve tjera nënkupton shërbimet që merren nga përfituesi, e që janë: energjia elektrike, ujësjellësi dhe kanalizimi, </w:t>
            </w:r>
            <w:r w:rsidRPr="002B381A">
              <w:rPr>
                <w:rFonts w:ascii="Book Antiqua" w:eastAsia="Times New Roman" w:hAnsi="Book Antiqua" w:cs="Times New Roman"/>
                <w:bCs/>
                <w:w w:val="98"/>
                <w:sz w:val="20"/>
                <w:szCs w:val="20"/>
              </w:rPr>
              <w:lastRenderedPageBreak/>
              <w:t xml:space="preserve">mirëmbajtja dhe pastrimi i objektit (janë të domosdoshme), ndërsa, interneti, TV kabllor, telefoni (janë shpenzime të nevojshme), ndërsa tatimi në pronë duhet paguar nga qiradhënësi.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16</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9, Shkëputja e kontratës së qirasë jofitimprurëse, paragrafi 1.5.</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Cështjet brenda ndërtesës që rezultojnë që individi / familja detyrohet të largohet? Eventualisht të shtohen masat mbrojtëse për situata të jashtëzakonshme për të cilat personi apo familja do të kishin arsye legjitime për të munguar për më shumë se 30 ditë, siç është p.sh. i shtruar në spital për më shumë se 3 muaj.</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Vërejtje me vend, dhe mund të riformulohet si në vijim: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‘në rastet kur individ ose familja nuk e shfrytëzon banesën në periudhën tre (3) mujore, pa arsye të justifikueshme’</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17</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12, Menaxhimi dhe Administrimi i banesave sociale</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12 të vendoset pas Nenit 14 për të përfshirë të gjithë punën e menaxhimit dhe administrimit të banesave sociale, pavarësisht faktit a është qiraja jofitimprurëse ose subvencionimi i qirasë së banesave.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Nuk pranohet komenti, për arsye se menaxhimi i ndërtesave nënkupton menaxhimin e një ndërtesë të tërë nga komuna, ndërsa neni 13 dhe 14, flasin për banesa sociale të marra me qira nga komuna e të cilat menaxhohen dhe mirëmbahen nga banorët e atyre ndërtesave (në një ndërtesë të tillë mund të ketë një banesë sociale me subvencionim).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18</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14, Shkëputja e kontratës për subvencionimin e qirasë, paragrafi 1.5.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Eventualisht, të shtohen masat mbrojtëse për situata të jashtëzakonshme për të cilat personi ose familja do të kishin arsye legjitime për të munguar për më shumë se 30 ditë.</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Vërejtje me vend, dhe mund të riformulohet si në vijim: </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‘në rastet kur individ ose familja nuk e shfrytëzon banesën në periudhën prej tridhjetë (30)  ditësh, pa arsye të justifikueshme’</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19</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16, Programi për banim social i komunës, paragrafi 2.6. </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Të shtohet paragrafi 2.7, ku do të sigurohej nga Programi për Strehimin Social të Komunave, mundësia e dhurimit, financimit nga Organizatat Ndërkombëtare për ndërtesat e banesave sociale për personat e zhvendosur dhe të kthyerit, me qëllim të zgjidhjes se çështjes të strehimit për këto kategori të qytetarëve.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pjesërisht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Cështja e financimit nga organizatat nderkombëtare do të shtohet.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 xml:space="preserve">Çështjet Kyçe </w:t>
            </w:r>
            <w:r w:rsidRPr="002B381A">
              <w:rPr>
                <w:rFonts w:ascii="Book Antiqua" w:eastAsia="Times New Roman" w:hAnsi="Book Antiqua" w:cs="Times New Roman"/>
                <w:sz w:val="20"/>
                <w:szCs w:val="20"/>
              </w:rPr>
              <w:lastRenderedPageBreak/>
              <w:t>20</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 xml:space="preserve">Neni 16, Programi për banim social i </w:t>
            </w:r>
            <w:r w:rsidRPr="002B381A">
              <w:rPr>
                <w:rFonts w:ascii="Book Antiqua" w:eastAsia="Times New Roman" w:hAnsi="Book Antiqua" w:cs="Times New Roman"/>
                <w:bCs/>
                <w:w w:val="98"/>
                <w:sz w:val="20"/>
                <w:szCs w:val="20"/>
              </w:rPr>
              <w:lastRenderedPageBreak/>
              <w:t>komunës, paragrafi 4.</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Ndoshta do të ishte mirë ta përfshijmë atë me ligjet e tjera përkatëse, siç është për ndarjen e tokës.</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lastRenderedPageBreak/>
              <w:t xml:space="preserve">Komenti i dhënë është përfshirë </w:t>
            </w:r>
            <w:r w:rsidRPr="002B381A">
              <w:rPr>
                <w:rFonts w:ascii="Book Antiqua" w:eastAsia="Times New Roman" w:hAnsi="Book Antiqua" w:cs="Times New Roman"/>
                <w:bCs/>
                <w:w w:val="98"/>
                <w:sz w:val="20"/>
                <w:szCs w:val="20"/>
              </w:rPr>
              <w:lastRenderedPageBreak/>
              <w:t>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Vërejtje me vend, do të riformulohet si në vijim: ‘Programi për banim social i komunës të harmonizohet me dispozitat ligjore të Ligjit për Planifikim Hapësinor, si dhe ligjeve dhe akteve nënligjore përkatëse’</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21</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20 mungon – si duket gabim teknik/shkrimit!</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22</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22, Kushtet e jetesës në banesa sociale.</w:t>
            </w:r>
          </w:p>
          <w:p w:rsidR="002B381A" w:rsidRPr="002B381A" w:rsidRDefault="002B381A" w:rsidP="002B381A">
            <w:pPr>
              <w:jc w:val="both"/>
              <w:rPr>
                <w:rFonts w:ascii="Book Antiqua" w:eastAsia="Times New Roman" w:hAnsi="Book Antiqua" w:cs="Times New Roman"/>
                <w:bCs/>
                <w:color w:val="FF0000"/>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Paragraf i ri: 3. Ndërtesat për banim social duhet të ndërtohen në mënyrë jodiskriminuese dhe në përputhje me nevojat e personave me aftësi të kufizuara</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Neni 22 i projektligjit parasheh këtë propozim, sepse është në përputhje edhe me ligjet e ndërtimit dhe me Direktivat relevante të BE-së.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23</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Kontrata për dhënien e banesës me qira joprofitabile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1, Objekti i Kontratës</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Do ishte mirë të shtoni pajisjet dhe mobilje tashmë të disponueshme në apartamentin me qira.</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24</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Kontrata për dhënien e banesës me qira joprofitabile.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2, Personat që jetojnë në banesë.</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Afërsia dhe marrëdhënia kanë të njëjtin kuptim. Luteni qe të  mbani fjalët marrëdhënie familjare dhe hiqni afërsinë.</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25</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Kontrata për dhënien e banesës me qira joprofitabile.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2, Personat që jetojnë në banesë</w:t>
            </w:r>
          </w:p>
          <w:p w:rsidR="002B381A" w:rsidRPr="002B381A" w:rsidRDefault="002B381A" w:rsidP="002B381A">
            <w:pPr>
              <w:jc w:val="both"/>
              <w:rPr>
                <w:rFonts w:ascii="Book Antiqua" w:eastAsia="Times New Roman" w:hAnsi="Book Antiqua" w:cs="Times New Roman"/>
                <w:bCs/>
                <w:w w:val="98"/>
                <w:sz w:val="20"/>
                <w:szCs w:val="20"/>
              </w:rPr>
            </w:pP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Përveç të gjitha të cekura më para, duhet të shenohet gjinia e anëtarëve të familjes, si dhe të sigurojë një pamje të vërtetë të familjes që banon në apartamentin e ndarë / marrë me qira / subvencionuar.</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tc>
      </w:tr>
      <w:tr w:rsidR="002B381A" w:rsidRPr="002B381A" w:rsidTr="002B381A">
        <w:tc>
          <w:tcPr>
            <w:tcW w:w="8973" w:type="dxa"/>
            <w:gridSpan w:val="4"/>
            <w:shd w:val="clear" w:color="auto" w:fill="C5E0B3"/>
          </w:tcPr>
          <w:p w:rsidR="002B381A" w:rsidRPr="002B381A" w:rsidRDefault="002B381A" w:rsidP="002B381A">
            <w:pPr>
              <w:jc w:val="both"/>
              <w:rPr>
                <w:rFonts w:ascii="Book Antiqua" w:eastAsia="Times New Roman" w:hAnsi="Book Antiqua" w:cs="Times New Roman"/>
                <w:bCs/>
                <w:w w:val="98"/>
                <w:sz w:val="20"/>
                <w:szCs w:val="20"/>
              </w:rPr>
            </w:pPr>
          </w:p>
        </w:tc>
      </w:tr>
      <w:tr w:rsidR="002B381A" w:rsidRPr="002B381A" w:rsidTr="002B381A">
        <w:tc>
          <w:tcPr>
            <w:tcW w:w="1503" w:type="dxa"/>
            <w:shd w:val="clear" w:color="auto" w:fill="BDD6EE"/>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b/>
                <w:bCs/>
                <w:w w:val="98"/>
                <w:sz w:val="20"/>
                <w:szCs w:val="20"/>
              </w:rPr>
              <w:t>Respondentët</w:t>
            </w:r>
          </w:p>
        </w:tc>
        <w:tc>
          <w:tcPr>
            <w:tcW w:w="4162" w:type="dxa"/>
            <w:gridSpan w:val="2"/>
            <w:shd w:val="clear" w:color="auto" w:fill="BDD6EE"/>
          </w:tcPr>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Zyra e Kryeministrit / Agjencia për Barazi Gjinore</w:t>
            </w:r>
          </w:p>
          <w:p w:rsidR="002B381A" w:rsidRPr="002B381A" w:rsidRDefault="002B381A" w:rsidP="002B381A">
            <w:pPr>
              <w:jc w:val="center"/>
              <w:rPr>
                <w:rFonts w:ascii="Book Antiqua" w:eastAsia="Times New Roman" w:hAnsi="Book Antiqua" w:cs="Times New Roman"/>
                <w:b/>
                <w:bCs/>
                <w:w w:val="98"/>
                <w:sz w:val="20"/>
                <w:szCs w:val="20"/>
              </w:rPr>
            </w:pPr>
            <w:r w:rsidRPr="002B381A">
              <w:rPr>
                <w:rFonts w:ascii="Book Antiqua" w:eastAsia="Times New Roman" w:hAnsi="Book Antiqua" w:cs="Times New Roman"/>
                <w:b/>
                <w:bCs/>
                <w:w w:val="98"/>
                <w:sz w:val="20"/>
                <w:szCs w:val="20"/>
              </w:rPr>
              <w:t>Koment/Sygjerim/Vërejtje</w:t>
            </w:r>
          </w:p>
          <w:p w:rsidR="002B381A" w:rsidRPr="002B381A" w:rsidRDefault="002B381A" w:rsidP="002B381A">
            <w:pPr>
              <w:jc w:val="both"/>
              <w:rPr>
                <w:rFonts w:ascii="Book Antiqua" w:eastAsia="Times New Roman" w:hAnsi="Book Antiqua" w:cs="Times New Roman"/>
                <w:bCs/>
                <w:w w:val="98"/>
                <w:sz w:val="20"/>
                <w:szCs w:val="20"/>
              </w:rPr>
            </w:pPr>
          </w:p>
        </w:tc>
        <w:tc>
          <w:tcPr>
            <w:tcW w:w="3308" w:type="dxa"/>
            <w:shd w:val="clear" w:color="auto" w:fill="BDD6EE"/>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
                <w:bCs/>
                <w:w w:val="98"/>
                <w:sz w:val="20"/>
                <w:szCs w:val="20"/>
              </w:rPr>
              <w:t>Arsyetimi lidhur me përfshirjen apo mospërfshirjen e komenteve/sygjerimeve/vërejtjeve nga sponsorizuesi i projektligjit</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1</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1.6.</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Perfituesja  dhe gjthkund vazhdoni me gjuhen sensitive gjinore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Grupi punues do të bëjë një formulim të përgjithshëm mbi përfshirjen e të dy gjinive barabarësisht në projektligj.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lastRenderedPageBreak/>
              <w:t>Çështjet Kyçe 2</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3, Përkufizimet, paragrafi 1.13.</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‘Kryefamiljaren’ dhe ‘Gjinine’</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Nenat vetushqyese duhet te hyne si perkufizim I vecante apo  do I vendosni ketu.</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Grupi punues do të bëjë një formulim të përgjithshëm mbi përfshirjen e të dy gjinive barabarësisht në projektligj.</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3</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5, Kriteret për përzgjedhjen e përfituesëve për banim social, paragrafi 1.5.</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Shto edhe gjinia kjo per faktin qe ka shume gra qe jane kryefamiljare dhe qe I plotesojne te gjitha keto kritere por per faktin qe eshte edhe e kesaj gjinie eshte me e diskriminuar ,por edhe per te matur progresin dhe per te pare sa sa gra e sa burra perfitojne nga banimi social e qe eshte kusht I parapare ne Ligjin per Barazi gjinore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Vërejtje me vend.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4</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5, Kriteret për përzgjedhjen e përfituesëve për banim social, paragrafi 1.5.</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Njeri nga kriteret qe duhet te jete por I cili mund te konsiderohet kriter me perparesi eshte grate viktima te dhunes ne familje te cilat pas perjetimit te dhunes dhe pas kalimit te kohes ne strehimore nuk kane shtepi te veten dhe nuk mund te kthehen tek burri  se paku kjo te jete perkohesisht deri sa ato te zgjedhin qeshtjen e banimit apo procesin gjyqesor</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përfshihet këtu sepse të gjitha kategoritë është parashikuar të përfshihen me udhëzim administrativ, përkatës në mbështetje të këtij projektligji.</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5</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7, Qiraja jofitimprurëse, paragrafi 1.</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Eshte ndonje organ I vecante I komunes apo vet komuna ceke se keshtu eshte e paqarte kush e bene kontraten</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Organi përgjegjës në komunë përcaktohet nga vetë komuna, kjo për arsye se rregullimi i drejtorateve, zyrave apo administratës nëpër komuna dallon. Mirë do ishte sikur të kishim drejtorate ose zyra të vecanta, por kjo tani është e pamundur.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6</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7, Qiraja jofitimprurëse, paragrafi 2.</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Kjo eshte shume e vogel marre parasysh pagen minimale ne  vend</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nuk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Si duket komentuesja e ka keqkuptuar normën, sepse fjala është për lartësinë e pagesës që një përfitues duhet të paguaj, e cila është përcaktuar me këtë nen. </w:t>
            </w:r>
          </w:p>
        </w:tc>
      </w:tr>
      <w:tr w:rsidR="002B381A" w:rsidRPr="002B381A" w:rsidTr="002B381A">
        <w:tc>
          <w:tcPr>
            <w:tcW w:w="1503" w:type="dxa"/>
            <w:shd w:val="clear" w:color="auto" w:fill="C5E0B3"/>
          </w:tcPr>
          <w:p w:rsidR="002B381A" w:rsidRPr="002B381A" w:rsidRDefault="002B381A" w:rsidP="002B381A">
            <w:pPr>
              <w:jc w:val="both"/>
              <w:rPr>
                <w:rFonts w:ascii="Book Antiqua" w:eastAsia="Times New Roman" w:hAnsi="Book Antiqua" w:cs="Times New Roman"/>
                <w:sz w:val="20"/>
                <w:szCs w:val="20"/>
              </w:rPr>
            </w:pPr>
            <w:r w:rsidRPr="002B381A">
              <w:rPr>
                <w:rFonts w:ascii="Book Antiqua" w:eastAsia="Times New Roman" w:hAnsi="Book Antiqua" w:cs="Times New Roman"/>
                <w:sz w:val="20"/>
                <w:szCs w:val="20"/>
              </w:rPr>
              <w:t>Çështjet Kyçe 7</w:t>
            </w:r>
          </w:p>
        </w:tc>
        <w:tc>
          <w:tcPr>
            <w:tcW w:w="4162" w:type="dxa"/>
            <w:gridSpan w:val="2"/>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Neni 9, Shkëputja e kontratës së qirasë jofitimprurëse, paragrafi 1.1.</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Gjuha sensitive gjinore</w:t>
            </w:r>
          </w:p>
        </w:tc>
        <w:tc>
          <w:tcPr>
            <w:tcW w:w="3308" w:type="dxa"/>
            <w:shd w:val="clear" w:color="auto" w:fill="auto"/>
          </w:tcPr>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Komenti i dhënë është përfshirë nga ana e organit propozues.</w:t>
            </w:r>
          </w:p>
          <w:p w:rsidR="002B381A" w:rsidRPr="002B381A" w:rsidRDefault="002B381A" w:rsidP="002B381A">
            <w:pPr>
              <w:jc w:val="both"/>
              <w:rPr>
                <w:rFonts w:ascii="Book Antiqua" w:eastAsia="Times New Roman" w:hAnsi="Book Antiqua" w:cs="Times New Roman"/>
                <w:bCs/>
                <w:w w:val="98"/>
                <w:sz w:val="20"/>
                <w:szCs w:val="20"/>
              </w:rPr>
            </w:pPr>
            <w:r w:rsidRPr="002B381A">
              <w:rPr>
                <w:rFonts w:ascii="Book Antiqua" w:eastAsia="Times New Roman" w:hAnsi="Book Antiqua" w:cs="Times New Roman"/>
                <w:bCs/>
                <w:w w:val="98"/>
                <w:sz w:val="20"/>
                <w:szCs w:val="20"/>
              </w:rPr>
              <w:t xml:space="preserve">Grupi punues do të bëjë një formulim të përgjithshëm mbi </w:t>
            </w:r>
            <w:r w:rsidRPr="002B381A">
              <w:rPr>
                <w:rFonts w:ascii="Book Antiqua" w:eastAsia="Times New Roman" w:hAnsi="Book Antiqua" w:cs="Times New Roman"/>
                <w:bCs/>
                <w:w w:val="98"/>
                <w:sz w:val="20"/>
                <w:szCs w:val="20"/>
              </w:rPr>
              <w:lastRenderedPageBreak/>
              <w:t>përfshirjen e të dy gjinive barabarësisht në projektligj.</w:t>
            </w:r>
          </w:p>
        </w:tc>
      </w:tr>
    </w:tbl>
    <w:p w:rsidR="002B381A" w:rsidRDefault="002B381A" w:rsidP="004A2CAC"/>
    <w:sectPr w:rsidR="002B381A" w:rsidSect="00D75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72C50"/>
    <w:multiLevelType w:val="hybridMultilevel"/>
    <w:tmpl w:val="72C6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F14C6"/>
    <w:multiLevelType w:val="hybridMultilevel"/>
    <w:tmpl w:val="B7F6DCA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728A5A05"/>
    <w:multiLevelType w:val="hybridMultilevel"/>
    <w:tmpl w:val="FE964ECA"/>
    <w:lvl w:ilvl="0" w:tplc="BE8A4316">
      <w:numFmt w:val="bullet"/>
      <w:lvlText w:val=""/>
      <w:lvlJc w:val="left"/>
      <w:pPr>
        <w:ind w:left="720" w:hanging="36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77857CD1"/>
    <w:multiLevelType w:val="hybridMultilevel"/>
    <w:tmpl w:val="F11C3EF6"/>
    <w:lvl w:ilvl="0" w:tplc="7E504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735E7"/>
    <w:multiLevelType w:val="hybridMultilevel"/>
    <w:tmpl w:val="79926150"/>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AC"/>
    <w:rsid w:val="00004E8D"/>
    <w:rsid w:val="002B381A"/>
    <w:rsid w:val="002D529A"/>
    <w:rsid w:val="00383566"/>
    <w:rsid w:val="00397BBA"/>
    <w:rsid w:val="004A2CAC"/>
    <w:rsid w:val="00500EF4"/>
    <w:rsid w:val="0052733D"/>
    <w:rsid w:val="00600F2B"/>
    <w:rsid w:val="006F1129"/>
    <w:rsid w:val="006F7FC6"/>
    <w:rsid w:val="0081799A"/>
    <w:rsid w:val="008C64E7"/>
    <w:rsid w:val="009408E4"/>
    <w:rsid w:val="00BB7889"/>
    <w:rsid w:val="00C41358"/>
    <w:rsid w:val="00D751C0"/>
    <w:rsid w:val="00E52ED7"/>
    <w:rsid w:val="00EC1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77A9435-1393-4704-B8FB-832C8D80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AC"/>
    <w:rPr>
      <w:rFonts w:eastAsiaTheme="minorHAns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4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898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Merita Dalipi</cp:lastModifiedBy>
  <cp:revision>10</cp:revision>
  <dcterms:created xsi:type="dcterms:W3CDTF">2019-03-08T12:28:00Z</dcterms:created>
  <dcterms:modified xsi:type="dcterms:W3CDTF">2019-10-25T09:52:00Z</dcterms:modified>
</cp:coreProperties>
</file>