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9D" w:rsidRPr="00C8349D" w:rsidRDefault="00C8349D" w:rsidP="00E4683C">
      <w:pPr>
        <w:spacing w:line="360" w:lineRule="auto"/>
        <w:jc w:val="center"/>
        <w:rPr>
          <w:rFonts w:ascii="Times New Roman" w:hAnsi="Times New Roman"/>
          <w:sz w:val="24"/>
          <w:szCs w:val="24"/>
        </w:rPr>
      </w:pPr>
      <w:r w:rsidRPr="00C8349D">
        <w:rPr>
          <w:rFonts w:ascii="Times New Roman" w:eastAsia="Calibri" w:hAnsi="Times New Roman"/>
          <w:b/>
          <w:bCs/>
          <w:smallCaps/>
          <w:sz w:val="24"/>
          <w:szCs w:val="24"/>
          <w:lang w:val="hr-HR"/>
        </w:rPr>
        <w:t xml:space="preserve">RAPORT NGA PROCESI I KONSULTIMIT </w:t>
      </w:r>
      <w:r w:rsidRPr="00C8349D">
        <w:rPr>
          <w:rFonts w:ascii="Times New Roman" w:hAnsi="Times New Roman"/>
          <w:b/>
          <w:sz w:val="24"/>
          <w:szCs w:val="24"/>
        </w:rPr>
        <w:t>DRAFT KONCEPT DOKUMENTI PËR FUSHËN E PUNIMEVE NGA METALET E ÇMUARA</w:t>
      </w:r>
    </w:p>
    <w:p w:rsidR="00C8349D" w:rsidRPr="00C8349D" w:rsidRDefault="00C8349D" w:rsidP="00E4683C">
      <w:pPr>
        <w:spacing w:after="0" w:line="240" w:lineRule="auto"/>
        <w:jc w:val="center"/>
        <w:rPr>
          <w:rFonts w:ascii="Sylfaen" w:eastAsia="Calibri" w:hAnsi="Sylfaen"/>
          <w:sz w:val="24"/>
          <w:szCs w:val="24"/>
          <w:lang w:val="hr-HR"/>
        </w:rPr>
      </w:pPr>
    </w:p>
    <w:p w:rsidR="00C8349D" w:rsidRPr="00C8349D" w:rsidRDefault="00C8349D" w:rsidP="00E4683C">
      <w:pPr>
        <w:spacing w:after="0" w:line="240" w:lineRule="auto"/>
        <w:jc w:val="center"/>
        <w:rPr>
          <w:rFonts w:ascii="Sylfaen" w:eastAsia="Calibri" w:hAnsi="Sylfaen"/>
          <w:b/>
          <w:sz w:val="24"/>
          <w:szCs w:val="24"/>
          <w:lang w:val="hr-HR"/>
        </w:rPr>
      </w:pPr>
    </w:p>
    <w:p w:rsidR="00C8349D" w:rsidRPr="00C8349D" w:rsidRDefault="00C8349D" w:rsidP="00E4683C">
      <w:pPr>
        <w:spacing w:after="0" w:line="240" w:lineRule="auto"/>
        <w:jc w:val="center"/>
        <w:rPr>
          <w:rFonts w:ascii="Sylfaen" w:eastAsia="Calibri" w:hAnsi="Sylfaen"/>
          <w:b/>
          <w:sz w:val="24"/>
          <w:szCs w:val="24"/>
          <w:lang w:val="da-DK"/>
        </w:rPr>
      </w:pPr>
      <w:r w:rsidRPr="00C8349D">
        <w:rPr>
          <w:rFonts w:ascii="Sylfaen" w:eastAsia="Calibri" w:hAnsi="Sylfaen"/>
          <w:b/>
          <w:sz w:val="24"/>
          <w:szCs w:val="24"/>
          <w:lang w:val="hr-HR"/>
        </w:rPr>
        <w:t>Hyrja/sfond</w:t>
      </w:r>
      <w:r w:rsidRPr="00C8349D">
        <w:rPr>
          <w:rFonts w:ascii="Sylfaen" w:eastAsia="Calibri" w:hAnsi="Sylfaen"/>
          <w:b/>
          <w:sz w:val="24"/>
          <w:szCs w:val="24"/>
          <w:lang w:val="da-DK"/>
        </w:rPr>
        <w:t>i</w:t>
      </w:r>
    </w:p>
    <w:p w:rsidR="00C8349D" w:rsidRPr="00C8349D" w:rsidRDefault="00C8349D" w:rsidP="00E4683C">
      <w:pPr>
        <w:spacing w:after="0" w:line="240" w:lineRule="auto"/>
        <w:jc w:val="both"/>
        <w:rPr>
          <w:rFonts w:ascii="Sylfaen" w:eastAsia="Calibri" w:hAnsi="Sylfaen"/>
          <w:i/>
          <w:sz w:val="24"/>
          <w:szCs w:val="24"/>
          <w:lang w:val="hr-HR"/>
        </w:rPr>
      </w:pPr>
    </w:p>
    <w:p w:rsidR="00C8349D" w:rsidRPr="007D00E7" w:rsidRDefault="00C8349D" w:rsidP="00E4683C">
      <w:pPr>
        <w:spacing w:after="0" w:line="240" w:lineRule="auto"/>
        <w:jc w:val="both"/>
        <w:rPr>
          <w:rFonts w:ascii="Sylfaen" w:eastAsia="Calibri" w:hAnsi="Sylfaen"/>
          <w:i/>
          <w:noProof w:val="0"/>
          <w:sz w:val="24"/>
          <w:szCs w:val="24"/>
          <w:lang w:val="hr-HR"/>
        </w:rPr>
      </w:pPr>
      <w:r w:rsidRPr="00C8349D">
        <w:rPr>
          <w:rFonts w:ascii="Sylfaen" w:eastAsia="Calibri" w:hAnsi="Sylfaen"/>
          <w:i/>
          <w:sz w:val="24"/>
          <w:szCs w:val="24"/>
        </w:rPr>
        <w:t xml:space="preserve">Ministria e Tregtisë dhe Industrisë respektivisht Departamenti i Industrisë  Agjencia e Metrologjiise te Kosoves  në cilësinë e Organit Propozues për hartimin e </w:t>
      </w:r>
      <w:r w:rsidRPr="007D00E7">
        <w:rPr>
          <w:rFonts w:ascii="Times New Roman" w:hAnsi="Times New Roman"/>
          <w:sz w:val="24"/>
          <w:szCs w:val="24"/>
        </w:rPr>
        <w:t>KONCEPT DOKUMENTI PËR FUSHËN E PUNIMEVE NGA METALET E ÇMUARA</w:t>
      </w:r>
      <w:r w:rsidRPr="00C8349D">
        <w:rPr>
          <w:rFonts w:ascii="Sylfaen" w:eastAsia="Calibri" w:hAnsi="Sylfaen"/>
          <w:i/>
          <w:sz w:val="24"/>
          <w:szCs w:val="24"/>
        </w:rPr>
        <w:t xml:space="preserve">, ka propozuar  hartimin e këtije  Koncepti ,  i cili do te mundesoi </w:t>
      </w:r>
      <w:r w:rsidRPr="00C8349D">
        <w:rPr>
          <w:rFonts w:ascii="Sylfaen" w:eastAsia="Calibri" w:hAnsi="Sylfaen"/>
          <w:i/>
          <w:noProof w:val="0"/>
          <w:sz w:val="24"/>
          <w:szCs w:val="24"/>
          <w:lang w:val="hr-HR"/>
        </w:rPr>
        <w:t xml:space="preserve"> </w:t>
      </w:r>
      <w:r w:rsidRPr="007D00E7">
        <w:rPr>
          <w:rFonts w:ascii="Times New Roman" w:hAnsi="Times New Roman"/>
          <w:sz w:val="24"/>
          <w:szCs w:val="24"/>
        </w:rPr>
        <w:t>Funksionimin e drejtë   te  tregut të punimeve nga metalet e çmuara</w:t>
      </w:r>
      <w:r w:rsidR="007D00E7">
        <w:rPr>
          <w:rFonts w:ascii="Times New Roman" w:hAnsi="Times New Roman"/>
          <w:sz w:val="24"/>
          <w:szCs w:val="24"/>
        </w:rPr>
        <w:t>.</w:t>
      </w:r>
    </w:p>
    <w:p w:rsidR="00C8349D" w:rsidRPr="00C8349D" w:rsidRDefault="00C8349D" w:rsidP="00E4683C">
      <w:pPr>
        <w:spacing w:after="0" w:line="240" w:lineRule="auto"/>
        <w:jc w:val="both"/>
        <w:rPr>
          <w:rFonts w:ascii="Sylfaen" w:eastAsia="Calibri" w:hAnsi="Sylfaen"/>
          <w:i/>
          <w:noProof w:val="0"/>
          <w:sz w:val="24"/>
          <w:szCs w:val="24"/>
          <w:lang w:val="hr-HR"/>
        </w:rPr>
      </w:pPr>
    </w:p>
    <w:p w:rsidR="00C8349D" w:rsidRPr="00C8349D" w:rsidRDefault="00C8349D" w:rsidP="00E4683C">
      <w:pPr>
        <w:spacing w:after="0" w:line="240" w:lineRule="auto"/>
        <w:jc w:val="both"/>
        <w:rPr>
          <w:rFonts w:ascii="Sylfaen" w:eastAsia="Calibri" w:hAnsi="Sylfaen"/>
          <w:i/>
          <w:noProof w:val="0"/>
          <w:sz w:val="24"/>
          <w:szCs w:val="24"/>
          <w:lang w:val="hr-HR"/>
        </w:rPr>
      </w:pPr>
      <w:r w:rsidRPr="00C8349D">
        <w:rPr>
          <w:rFonts w:ascii="Sylfaen" w:eastAsia="Calibri" w:hAnsi="Sylfaen"/>
          <w:i/>
          <w:noProof w:val="0"/>
          <w:sz w:val="24"/>
          <w:szCs w:val="24"/>
          <w:lang w:val="hr-HR"/>
        </w:rPr>
        <w:t>Bazuar në Rregulloren nr.09/2011 të Punës së Qeverisë, Rregulloren nr.13/2013 Për Shërbimin Ligjor Qeveritar, Ministria i ka kaluar hapat e mëposhtëm të procesit legjislativ si:  formimin e grupit punues, pjesëmarrjen n</w:t>
      </w:r>
      <w:r w:rsidRPr="00C8349D">
        <w:rPr>
          <w:rFonts w:ascii="Sylfaen" w:eastAsia="Calibri" w:hAnsi="Sylfaen"/>
          <w:i/>
          <w:noProof w:val="0"/>
          <w:sz w:val="24"/>
          <w:szCs w:val="24"/>
        </w:rPr>
        <w:t xml:space="preserve">ë disa takime me grupin punues për </w:t>
      </w:r>
      <w:r w:rsidRPr="00C8349D">
        <w:rPr>
          <w:rFonts w:ascii="Sylfaen" w:eastAsia="Calibri" w:hAnsi="Sylfaen"/>
          <w:i/>
          <w:noProof w:val="0"/>
          <w:sz w:val="24"/>
          <w:szCs w:val="24"/>
          <w:lang w:val="hr-HR"/>
        </w:rPr>
        <w:t>hartimin fillestar të draft koncept dokumentit në fushën e  punimeve nga metalet e çmuara pas përfundimit të draftit janë konsultuar palët e interesit.</w:t>
      </w:r>
    </w:p>
    <w:p w:rsidR="00C8349D" w:rsidRPr="00C8349D" w:rsidRDefault="00C8349D" w:rsidP="00E4683C">
      <w:pPr>
        <w:spacing w:after="0" w:line="240" w:lineRule="auto"/>
        <w:jc w:val="both"/>
        <w:rPr>
          <w:rFonts w:ascii="Sylfaen" w:eastAsia="Calibri" w:hAnsi="Sylfaen"/>
          <w:i/>
          <w:noProof w:val="0"/>
          <w:sz w:val="24"/>
          <w:szCs w:val="24"/>
          <w:lang w:val="hr-HR"/>
        </w:rPr>
      </w:pPr>
    </w:p>
    <w:p w:rsidR="00C8349D" w:rsidRPr="00C8349D" w:rsidRDefault="00C8349D" w:rsidP="00E4683C">
      <w:pPr>
        <w:spacing w:after="0" w:line="240" w:lineRule="auto"/>
        <w:jc w:val="both"/>
        <w:rPr>
          <w:rFonts w:ascii="Sylfaen" w:eastAsia="Calibri" w:hAnsi="Sylfaen"/>
          <w:i/>
          <w:noProof w:val="0"/>
          <w:sz w:val="24"/>
          <w:szCs w:val="24"/>
          <w:lang w:val="hr-HR"/>
        </w:rPr>
      </w:pPr>
      <w:r w:rsidRPr="00C8349D">
        <w:rPr>
          <w:rFonts w:ascii="Sylfaen" w:eastAsia="Calibri" w:hAnsi="Sylfaen"/>
          <w:i/>
          <w:noProof w:val="0"/>
          <w:sz w:val="24"/>
          <w:szCs w:val="24"/>
          <w:lang w:val="hr-HR"/>
        </w:rPr>
        <w:t>Qëllimi dhe fushëveprimi i konsultimit gjatë hartimit të politikave është me rëndësi që të gjithë ata që janë të përfshirë në procesin e konsultimit të jenë të njohur qysh prej fillimit me qëllimin dhe fushëveprimin e Koncept Dokumentit. Kjo do ti ndihmoi Ministrisë për të analizuar gjendjen, identifikimin e problemeve, opsioneve, përgatitjen e rekomandimeve dhe propozimeve nga palët, për ti përfshirë në Koncept Dokument.</w:t>
      </w:r>
    </w:p>
    <w:p w:rsidR="00C8349D" w:rsidRPr="00C8349D" w:rsidRDefault="00C8349D" w:rsidP="00E4683C">
      <w:pPr>
        <w:spacing w:after="0" w:line="240" w:lineRule="auto"/>
        <w:jc w:val="both"/>
        <w:rPr>
          <w:rFonts w:ascii="Sylfaen" w:eastAsia="Calibri" w:hAnsi="Sylfaen"/>
          <w:i/>
          <w:noProof w:val="0"/>
          <w:sz w:val="24"/>
          <w:szCs w:val="24"/>
          <w:lang w:val="hr-HR"/>
        </w:rPr>
      </w:pPr>
    </w:p>
    <w:p w:rsidR="00C8349D" w:rsidRPr="00C8349D" w:rsidRDefault="00C8349D" w:rsidP="00E4683C">
      <w:pPr>
        <w:spacing w:after="0" w:line="240" w:lineRule="auto"/>
        <w:jc w:val="both"/>
        <w:rPr>
          <w:rFonts w:ascii="Sylfaen" w:eastAsia="Calibri" w:hAnsi="Sylfaen"/>
          <w:i/>
          <w:sz w:val="24"/>
          <w:szCs w:val="24"/>
        </w:rPr>
      </w:pPr>
    </w:p>
    <w:p w:rsidR="00C8349D" w:rsidRPr="00C8349D" w:rsidRDefault="00C8349D" w:rsidP="00E4683C">
      <w:pPr>
        <w:spacing w:after="0" w:line="240" w:lineRule="auto"/>
        <w:jc w:val="center"/>
        <w:rPr>
          <w:rFonts w:ascii="Sylfaen" w:eastAsia="Calibri" w:hAnsi="Sylfaen"/>
          <w:b/>
          <w:sz w:val="24"/>
          <w:szCs w:val="24"/>
        </w:rPr>
      </w:pPr>
      <w:r w:rsidRPr="00C8349D">
        <w:rPr>
          <w:rFonts w:ascii="Sylfaen" w:eastAsia="Calibri" w:hAnsi="Sylfaen"/>
          <w:b/>
          <w:sz w:val="24"/>
          <w:szCs w:val="24"/>
        </w:rPr>
        <w:t>Ecuria e procesit të konsultimit</w:t>
      </w:r>
    </w:p>
    <w:p w:rsidR="00C8349D" w:rsidRPr="00C8349D" w:rsidRDefault="00C8349D" w:rsidP="00E4683C">
      <w:pPr>
        <w:spacing w:after="0" w:line="240" w:lineRule="auto"/>
        <w:jc w:val="both"/>
        <w:rPr>
          <w:rFonts w:ascii="Sylfaen" w:eastAsia="Calibri" w:hAnsi="Sylfaen"/>
          <w:i/>
          <w:sz w:val="24"/>
          <w:szCs w:val="24"/>
        </w:rPr>
      </w:pPr>
    </w:p>
    <w:p w:rsidR="00C8349D" w:rsidRPr="00FE1B7F" w:rsidRDefault="00C8349D" w:rsidP="00E4683C">
      <w:pPr>
        <w:spacing w:after="0" w:line="240" w:lineRule="auto"/>
        <w:jc w:val="both"/>
        <w:rPr>
          <w:rFonts w:ascii="Sylfaen" w:eastAsia="Calibri" w:hAnsi="Sylfaen"/>
          <w:i/>
          <w:sz w:val="24"/>
          <w:szCs w:val="24"/>
        </w:rPr>
      </w:pPr>
      <w:r w:rsidRPr="00C8349D">
        <w:rPr>
          <w:rFonts w:ascii="Sylfaen" w:eastAsia="Calibri" w:hAnsi="Sylfaen"/>
          <w:i/>
          <w:sz w:val="24"/>
          <w:szCs w:val="24"/>
        </w:rPr>
        <w:t>Duke pasur parasysh se procesi i konsultimeve është realizuar dhe është zhvilluar konform rregullave dhe procedurave të përcaktuara në Rregulloren për Punën e Qeverisë nr. 09/2011, Rregulloren Nr. 05/2016 Për standardet minimale për procesin e konsultimit publik, Udhëzuesin për procesin e konsultimeve Nr.062/2011 dt. 26.09.2011,</w:t>
      </w:r>
      <w:r w:rsidRPr="00C8349D">
        <w:t xml:space="preserve"> </w:t>
      </w:r>
      <w:r w:rsidRPr="00C8349D">
        <w:rPr>
          <w:rFonts w:ascii="Sylfaen" w:eastAsia="Calibri" w:hAnsi="Sylfaen"/>
          <w:i/>
          <w:sz w:val="24"/>
          <w:szCs w:val="24"/>
        </w:rPr>
        <w:t xml:space="preserve">Ministria e Tregtisë dhe Industrisë, si organ propozues i këtij koncept dokumnti ka zhvilluar procesin e konsultimeve paraprake dhe publike në të cilën periudhë e  ka dërguar në Konsultim të të gjitha institucionet përkatëse dhe shoqatat relevante, që t’ju ofrojë informata për publikun e në veçanti për grupet e interesit me qëllim të merret mendimi i publikut dhe grupeve të interesit rreth hartimit të </w:t>
      </w:r>
      <w:bookmarkStart w:id="0" w:name="_GoBack"/>
      <w:r w:rsidRPr="00FE1B7F">
        <w:rPr>
          <w:rFonts w:ascii="Times New Roman" w:hAnsi="Times New Roman"/>
          <w:sz w:val="24"/>
          <w:szCs w:val="24"/>
        </w:rPr>
        <w:t>koncept dokumentit për fushën e punimeve nga metalet e çmuara</w:t>
      </w:r>
      <w:r w:rsidRPr="00FE1B7F">
        <w:rPr>
          <w:rFonts w:ascii="Sylfaen" w:eastAsia="Calibri" w:hAnsi="Sylfaen"/>
          <w:i/>
          <w:sz w:val="24"/>
          <w:szCs w:val="24"/>
        </w:rPr>
        <w:t>.</w:t>
      </w:r>
    </w:p>
    <w:bookmarkEnd w:id="0"/>
    <w:p w:rsidR="00C8349D" w:rsidRPr="00C8349D" w:rsidRDefault="00C8349D" w:rsidP="00E4683C">
      <w:pPr>
        <w:spacing w:after="0" w:line="240" w:lineRule="auto"/>
        <w:jc w:val="both"/>
        <w:rPr>
          <w:rFonts w:ascii="Sylfaen" w:eastAsia="Calibri" w:hAnsi="Sylfaen"/>
          <w:i/>
          <w:sz w:val="24"/>
          <w:szCs w:val="24"/>
        </w:rPr>
      </w:pPr>
    </w:p>
    <w:p w:rsidR="00C8349D" w:rsidRPr="00C8349D" w:rsidRDefault="00C8349D" w:rsidP="00E4683C">
      <w:pPr>
        <w:spacing w:after="0" w:line="240" w:lineRule="auto"/>
        <w:jc w:val="both"/>
        <w:rPr>
          <w:rFonts w:ascii="Sylfaen" w:eastAsia="Calibri" w:hAnsi="Sylfaen"/>
          <w:i/>
          <w:noProof w:val="0"/>
          <w:sz w:val="24"/>
          <w:szCs w:val="24"/>
          <w:lang w:val="hr-HR"/>
        </w:rPr>
      </w:pPr>
      <w:r w:rsidRPr="00C8349D">
        <w:rPr>
          <w:rFonts w:ascii="Sylfaen" w:eastAsia="Calibri" w:hAnsi="Sylfaen"/>
          <w:i/>
          <w:noProof w:val="0"/>
          <w:sz w:val="24"/>
          <w:szCs w:val="24"/>
          <w:lang w:val="hr-HR"/>
        </w:rPr>
        <w:t xml:space="preserve">Duke pasur parasysh se procesi i konsultimeve është realizuar dhe është zhvilluar konform rregullave dhe procedurave të përcaktuara në Rregulloren për Punën e Qeverisë nr. 09/2011, Rregulloren NR. 05/2016 Për standardet minimale për procesin e konsultimit </w:t>
      </w:r>
      <w:r w:rsidRPr="00C8349D">
        <w:rPr>
          <w:rFonts w:ascii="Sylfaen" w:eastAsia="Calibri" w:hAnsi="Sylfaen"/>
          <w:i/>
          <w:noProof w:val="0"/>
          <w:sz w:val="24"/>
          <w:szCs w:val="24"/>
          <w:lang w:val="hr-HR"/>
        </w:rPr>
        <w:lastRenderedPageBreak/>
        <w:t>publik, Udhëzuesin për procesin e konsultimeve Nr.062/2011 dt. 26.09.2011,</w:t>
      </w:r>
      <w:r w:rsidRPr="00C8349D">
        <w:rPr>
          <w:noProof w:val="0"/>
          <w:lang w:val="en-US"/>
        </w:rPr>
        <w:t xml:space="preserve"> </w:t>
      </w:r>
      <w:r w:rsidRPr="00C8349D">
        <w:rPr>
          <w:rFonts w:ascii="Sylfaen" w:eastAsia="Calibri" w:hAnsi="Sylfaen"/>
          <w:i/>
          <w:noProof w:val="0"/>
          <w:sz w:val="24"/>
          <w:szCs w:val="24"/>
          <w:lang w:val="hr-HR"/>
        </w:rPr>
        <w:t>Ministria e Tregtisë dhe Industrisë, si organ propozues i këtij dokumenti ka zhvilluar procesin e konsultimeve paraprake dhe publike në të cilën Koncept Dokumentin e  ka dërguar në konsultim te të gjitha institucionet përkatëse dhe shoqatat relevante, që t’ju ofrojmë informata për publikun e në veçanti për grupet e interesit me qëllim të merret mendimi i publikut dhe grupeve të interesit rreth hartimit të Koncept Dokumenti në Fushën e punimerve  nga Metalet e Çmuara .</w:t>
      </w:r>
    </w:p>
    <w:p w:rsidR="00C8349D" w:rsidRPr="00C8349D" w:rsidRDefault="00C8349D" w:rsidP="00E4683C">
      <w:pPr>
        <w:spacing w:after="0" w:line="240" w:lineRule="auto"/>
        <w:jc w:val="both"/>
        <w:rPr>
          <w:rFonts w:ascii="Sylfaen" w:eastAsia="Calibri" w:hAnsi="Sylfaen"/>
          <w:i/>
          <w:noProof w:val="0"/>
          <w:sz w:val="24"/>
          <w:szCs w:val="24"/>
          <w:lang w:val="hr-HR"/>
        </w:rPr>
      </w:pPr>
    </w:p>
    <w:p w:rsidR="00C8349D" w:rsidRPr="00C8349D" w:rsidRDefault="00C8349D" w:rsidP="00E4683C">
      <w:pPr>
        <w:spacing w:after="0" w:line="240" w:lineRule="auto"/>
        <w:jc w:val="both"/>
        <w:rPr>
          <w:rFonts w:ascii="Sylfaen" w:eastAsia="Calibri" w:hAnsi="Sylfaen"/>
          <w:i/>
          <w:sz w:val="24"/>
          <w:szCs w:val="24"/>
        </w:rPr>
      </w:pPr>
    </w:p>
    <w:p w:rsidR="00C8349D" w:rsidRDefault="00C8349D" w:rsidP="00E4683C">
      <w:pPr>
        <w:spacing w:after="0" w:line="240" w:lineRule="auto"/>
        <w:jc w:val="both"/>
        <w:rPr>
          <w:rFonts w:ascii="Times New Roman" w:eastAsia="MS Mincho" w:hAnsi="Times New Roman"/>
          <w:sz w:val="24"/>
          <w:szCs w:val="24"/>
        </w:rPr>
      </w:pPr>
      <w:r w:rsidRPr="00C8349D">
        <w:rPr>
          <w:rFonts w:ascii="Sylfaen" w:eastAsia="Calibri" w:hAnsi="Sylfaen"/>
          <w:i/>
          <w:sz w:val="24"/>
          <w:szCs w:val="24"/>
        </w:rPr>
        <w:t xml:space="preserve">Gjatë kësaj periudhe lidhur me </w:t>
      </w:r>
      <w:r w:rsidRPr="00C8349D">
        <w:rPr>
          <w:rFonts w:ascii="Times New Roman" w:hAnsi="Times New Roman"/>
          <w:sz w:val="24"/>
          <w:szCs w:val="24"/>
        </w:rPr>
        <w:t>koncept dokumenti për fushën e punimeve nga metalet e çmuara</w:t>
      </w:r>
      <w:r w:rsidRPr="00C8349D">
        <w:rPr>
          <w:rFonts w:ascii="Sylfaen" w:eastAsia="Calibri" w:hAnsi="Sylfaen"/>
          <w:i/>
          <w:sz w:val="24"/>
          <w:szCs w:val="24"/>
        </w:rPr>
        <w:t xml:space="preserve">  kemi pranuar   </w:t>
      </w:r>
      <w:r w:rsidRPr="00C8349D">
        <w:rPr>
          <w:rFonts w:ascii="Times New Roman" w:eastAsia="MS Mincho" w:hAnsi="Times New Roman"/>
          <w:sz w:val="24"/>
          <w:szCs w:val="24"/>
        </w:rPr>
        <w:t>nga INDEP  dhe  Shoqata e argjenetarve</w:t>
      </w:r>
      <w:r>
        <w:rPr>
          <w:rFonts w:ascii="Times New Roman" w:eastAsia="MS Mincho" w:hAnsi="Times New Roman"/>
          <w:sz w:val="24"/>
          <w:szCs w:val="24"/>
        </w:rPr>
        <w:t xml:space="preserve"> </w:t>
      </w:r>
    </w:p>
    <w:p w:rsidR="00C8349D" w:rsidRDefault="00C8349D" w:rsidP="00C8349D"/>
    <w:tbl>
      <w:tblPr>
        <w:tblStyle w:val="GridTable1Light-Accent51"/>
        <w:tblpPr w:leftFromText="180" w:rightFromText="180" w:vertAnchor="text" w:horzAnchor="page" w:tblpX="356" w:tblpY="156"/>
        <w:tblW w:w="19791" w:type="dxa"/>
        <w:tblLayout w:type="fixed"/>
        <w:tblLook w:val="04A0" w:firstRow="1" w:lastRow="0" w:firstColumn="1" w:lastColumn="0" w:noHBand="0" w:noVBand="1"/>
      </w:tblPr>
      <w:tblGrid>
        <w:gridCol w:w="2448"/>
        <w:gridCol w:w="1260"/>
        <w:gridCol w:w="540"/>
        <w:gridCol w:w="1080"/>
        <w:gridCol w:w="1080"/>
        <w:gridCol w:w="6759"/>
        <w:gridCol w:w="1679"/>
        <w:gridCol w:w="1483"/>
        <w:gridCol w:w="1300"/>
        <w:gridCol w:w="2162"/>
      </w:tblGrid>
      <w:tr w:rsidR="0095056F" w:rsidRPr="00407A62" w:rsidTr="00950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autoSpaceDE w:val="0"/>
              <w:autoSpaceDN w:val="0"/>
              <w:adjustRightInd w:val="0"/>
              <w:spacing w:after="0" w:line="240" w:lineRule="auto"/>
              <w:rPr>
                <w:rFonts w:ascii="Sylfaen" w:hAnsi="Sylfaen"/>
                <w:sz w:val="20"/>
                <w:szCs w:val="24"/>
              </w:rPr>
            </w:pPr>
            <w:r w:rsidRPr="00407A62">
              <w:rPr>
                <w:rFonts w:ascii="Sylfaen" w:hAnsi="Sylfaen"/>
                <w:sz w:val="20"/>
                <w:szCs w:val="24"/>
              </w:rPr>
              <w:t>Metodat e Konsultimit</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Datat/kohëzgjatja</w:t>
            </w: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Numri i pjes</w:t>
            </w:r>
            <w:r>
              <w:rPr>
                <w:rFonts w:ascii="Sylfaen" w:hAnsi="Sylfaen"/>
                <w:sz w:val="20"/>
                <w:szCs w:val="24"/>
              </w:rPr>
              <w:t>ë</w:t>
            </w:r>
            <w:r w:rsidRPr="00407A62">
              <w:rPr>
                <w:rFonts w:ascii="Sylfaen" w:hAnsi="Sylfaen"/>
                <w:sz w:val="20"/>
                <w:szCs w:val="24"/>
              </w:rPr>
              <w:t>marr</w:t>
            </w:r>
            <w:r>
              <w:rPr>
                <w:rFonts w:ascii="Sylfaen" w:hAnsi="Sylfaen"/>
                <w:sz w:val="20"/>
                <w:szCs w:val="24"/>
              </w:rPr>
              <w:t>ë</w:t>
            </w:r>
            <w:r w:rsidRPr="00407A62">
              <w:rPr>
                <w:rFonts w:ascii="Sylfaen" w:hAnsi="Sylfaen"/>
                <w:sz w:val="20"/>
                <w:szCs w:val="24"/>
              </w:rPr>
              <w:t xml:space="preserve">sve </w:t>
            </w: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Numri i pjes</w:t>
            </w:r>
            <w:r>
              <w:rPr>
                <w:rFonts w:ascii="Sylfaen" w:hAnsi="Sylfaen"/>
                <w:sz w:val="20"/>
                <w:szCs w:val="24"/>
              </w:rPr>
              <w:t>ë</w:t>
            </w:r>
            <w:r w:rsidRPr="00407A62">
              <w:rPr>
                <w:rFonts w:ascii="Sylfaen" w:hAnsi="Sylfaen"/>
                <w:sz w:val="20"/>
                <w:szCs w:val="24"/>
              </w:rPr>
              <w:t>marr</w:t>
            </w:r>
            <w:r>
              <w:rPr>
                <w:rFonts w:ascii="Sylfaen" w:hAnsi="Sylfaen"/>
                <w:sz w:val="20"/>
                <w:szCs w:val="24"/>
              </w:rPr>
              <w:t>ë</w:t>
            </w:r>
            <w:r w:rsidRPr="00407A62">
              <w:rPr>
                <w:rFonts w:ascii="Sylfaen" w:hAnsi="Sylfaen"/>
                <w:sz w:val="20"/>
                <w:szCs w:val="24"/>
              </w:rPr>
              <w:t>sve t</w:t>
            </w:r>
            <w:r>
              <w:rPr>
                <w:rFonts w:ascii="Sylfaen" w:hAnsi="Sylfaen"/>
                <w:sz w:val="20"/>
                <w:szCs w:val="24"/>
              </w:rPr>
              <w:t>ë</w:t>
            </w:r>
            <w:r w:rsidRPr="00407A62">
              <w:rPr>
                <w:rFonts w:ascii="Sylfaen" w:hAnsi="Sylfaen"/>
                <w:sz w:val="20"/>
                <w:szCs w:val="24"/>
              </w:rPr>
              <w:t xml:space="preserve"> cilet kan</w:t>
            </w:r>
            <w:r>
              <w:rPr>
                <w:rFonts w:ascii="Sylfaen" w:hAnsi="Sylfaen"/>
                <w:sz w:val="20"/>
                <w:szCs w:val="24"/>
              </w:rPr>
              <w:t>ë</w:t>
            </w:r>
            <w:r w:rsidRPr="00407A62">
              <w:rPr>
                <w:rFonts w:ascii="Sylfaen" w:hAnsi="Sylfaen"/>
                <w:sz w:val="20"/>
                <w:szCs w:val="24"/>
              </w:rPr>
              <w:t xml:space="preserve"> kontribuar </w:t>
            </w: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ind w:left="252"/>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Numri i komenteve  te pranuara</w:t>
            </w:r>
          </w:p>
        </w:tc>
        <w:tc>
          <w:tcPr>
            <w:tcW w:w="6759" w:type="dxa"/>
            <w:shd w:val="clear" w:color="auto" w:fill="FBE4D5"/>
          </w:tcPr>
          <w:p w:rsidR="0095056F" w:rsidRPr="00407A62" w:rsidRDefault="0095056F" w:rsidP="0095056F">
            <w:pPr>
              <w:widowControl w:val="0"/>
              <w:autoSpaceDE w:val="0"/>
              <w:autoSpaceDN w:val="0"/>
              <w:adjustRightInd w:val="0"/>
              <w:spacing w:after="0" w:line="240" w:lineRule="auto"/>
              <w:ind w:left="72" w:right="2961"/>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Metodat e Konsultimit</w:t>
            </w:r>
          </w:p>
        </w:tc>
        <w:tc>
          <w:tcPr>
            <w:tcW w:w="1679"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Datat/kohëzgjatja</w:t>
            </w:r>
          </w:p>
        </w:tc>
        <w:tc>
          <w:tcPr>
            <w:tcW w:w="1483"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 xml:space="preserve">Numri i pjesmarresve </w:t>
            </w:r>
          </w:p>
        </w:tc>
        <w:tc>
          <w:tcPr>
            <w:tcW w:w="1300"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 xml:space="preserve">Numri i pjesmarresve te cilet kane kontribuar </w:t>
            </w:r>
          </w:p>
        </w:tc>
        <w:tc>
          <w:tcPr>
            <w:tcW w:w="2162" w:type="dxa"/>
            <w:shd w:val="clear" w:color="auto" w:fill="FBE4D5"/>
          </w:tcPr>
          <w:p w:rsidR="0095056F" w:rsidRPr="00407A62" w:rsidRDefault="0095056F" w:rsidP="0095056F">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sz w:val="20"/>
                <w:szCs w:val="24"/>
              </w:rPr>
            </w:pPr>
            <w:r w:rsidRPr="00407A62">
              <w:rPr>
                <w:rFonts w:ascii="Sylfaen" w:hAnsi="Sylfaen"/>
                <w:sz w:val="20"/>
                <w:szCs w:val="24"/>
              </w:rPr>
              <w:t>Numri i komenteve  te pranuara</w:t>
            </w: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color w:val="000000"/>
                <w:sz w:val="21"/>
                <w:szCs w:val="23"/>
              </w:rPr>
            </w:pPr>
            <w:r w:rsidRPr="00407A62">
              <w:rPr>
                <w:rFonts w:ascii="Sylfaen" w:hAnsi="Sylfaen"/>
                <w:color w:val="000000"/>
                <w:sz w:val="21"/>
                <w:szCs w:val="23"/>
              </w:rPr>
              <w:t>Konsultimet me shkrim / në mënyrë elektronike;</w:t>
            </w:r>
          </w:p>
        </w:tc>
        <w:tc>
          <w:tcPr>
            <w:tcW w:w="1260" w:type="dxa"/>
            <w:shd w:val="clear" w:color="auto" w:fill="FBE4D5"/>
          </w:tcPr>
          <w:p w:rsidR="0095056F" w:rsidRPr="00736431" w:rsidRDefault="00736431"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rPr>
            </w:pPr>
            <w:r w:rsidRPr="00736431">
              <w:rPr>
                <w:rFonts w:eastAsia="+mn-ea" w:cs="+mn-cs"/>
                <w:color w:val="000000"/>
                <w:kern w:val="24"/>
              </w:rPr>
              <w:t>28.06 – 19.07.2019</w:t>
            </w: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Pr>
                <w:rFonts w:ascii="Sylfaen" w:hAnsi="Sylfaen"/>
                <w:sz w:val="21"/>
                <w:szCs w:val="24"/>
              </w:rPr>
              <w:t>24</w:t>
            </w: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color w:val="000000"/>
                <w:sz w:val="21"/>
                <w:szCs w:val="23"/>
              </w:rPr>
            </w:pPr>
            <w:r w:rsidRPr="00407A62">
              <w:rPr>
                <w:rFonts w:ascii="Sylfaen" w:hAnsi="Sylfaen"/>
                <w:color w:val="000000"/>
                <w:sz w:val="21"/>
                <w:szCs w:val="23"/>
              </w:rPr>
              <w:t>Konsultimet me shkrim / në mënyrë elektronike;</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Publikimi në ueb faqe/Platforma elektronike</w:t>
            </w:r>
          </w:p>
        </w:tc>
        <w:tc>
          <w:tcPr>
            <w:tcW w:w="1260" w:type="dxa"/>
            <w:shd w:val="clear" w:color="auto" w:fill="FBE4D5"/>
          </w:tcPr>
          <w:p w:rsidR="0095056F" w:rsidRPr="001F6891" w:rsidRDefault="001F6891"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rPr>
            </w:pPr>
            <w:r w:rsidRPr="001F6891">
              <w:rPr>
                <w:rFonts w:eastAsia="+mn-ea" w:cs="+mn-cs"/>
                <w:color w:val="000000"/>
                <w:kern w:val="24"/>
              </w:rPr>
              <w:t>22.08-13.09.2019</w:t>
            </w: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C551C"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Pr>
                <w:rFonts w:ascii="Sylfaen" w:hAnsi="Sylfaen"/>
                <w:sz w:val="21"/>
                <w:szCs w:val="24"/>
              </w:rPr>
              <w:t>2</w:t>
            </w: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Publikimi në ueb faqe/Platforma elektronike</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Takimet publike</w:t>
            </w:r>
          </w:p>
        </w:tc>
        <w:tc>
          <w:tcPr>
            <w:tcW w:w="1260" w:type="dxa"/>
            <w:shd w:val="clear" w:color="auto" w:fill="FBE4D5"/>
          </w:tcPr>
          <w:p w:rsidR="0095056F" w:rsidRPr="0095056F"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5056F">
              <w:rPr>
                <w:rFonts w:ascii="Times New Roman" w:eastAsia="+mn-ea" w:hAnsi="Times New Roman"/>
                <w:color w:val="000000"/>
                <w:kern w:val="24"/>
              </w:rPr>
              <w:t>04.04.2019</w:t>
            </w: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Takimet publike</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Konferencat</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Konferencat</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rPr>
          <w:trHeight w:val="283"/>
        </w:trPr>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Takime me grupe të interesit</w:t>
            </w:r>
          </w:p>
        </w:tc>
        <w:tc>
          <w:tcPr>
            <w:tcW w:w="1260" w:type="dxa"/>
            <w:shd w:val="clear" w:color="auto" w:fill="FBE4D5"/>
          </w:tcPr>
          <w:p w:rsidR="0095056F" w:rsidRPr="00407A62" w:rsidRDefault="00736431"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Pr>
                <w:rFonts w:ascii="Sylfaen" w:hAnsi="Sylfaen"/>
                <w:sz w:val="21"/>
                <w:szCs w:val="24"/>
              </w:rPr>
              <w:t>29.03.2019</w:t>
            </w: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ind w:right="2529"/>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Takime me grupe të interesit</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Punëtoritë</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Punëtoritë</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Intervistat/takimet sy në sy</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Intervistat/takimet sy në sy</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Hulumtimet e opinionit</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Hulumtimet e opinionit</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sz w:val="21"/>
                <w:szCs w:val="24"/>
              </w:rPr>
            </w:pPr>
            <w:r w:rsidRPr="00407A62">
              <w:rPr>
                <w:rFonts w:ascii="Sylfaen" w:hAnsi="Sylfaen"/>
                <w:color w:val="000000"/>
                <w:sz w:val="21"/>
                <w:szCs w:val="23"/>
              </w:rPr>
              <w:t>Votimi diskutues</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r w:rsidRPr="00407A62">
              <w:rPr>
                <w:rFonts w:ascii="Sylfaen" w:hAnsi="Sylfaen"/>
                <w:color w:val="000000"/>
                <w:sz w:val="21"/>
                <w:szCs w:val="23"/>
              </w:rPr>
              <w:t>Votimi diskutues</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color w:val="000000"/>
                <w:sz w:val="21"/>
                <w:szCs w:val="23"/>
              </w:rPr>
            </w:pPr>
            <w:r w:rsidRPr="00407A62">
              <w:rPr>
                <w:rFonts w:ascii="Sylfaen" w:hAnsi="Sylfaen"/>
                <w:color w:val="000000"/>
                <w:sz w:val="21"/>
                <w:szCs w:val="24"/>
              </w:rPr>
              <w:t xml:space="preserve">Panelet me qytetarë </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ind w:right="4931"/>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color w:val="000000"/>
                <w:sz w:val="21"/>
                <w:szCs w:val="23"/>
              </w:rPr>
            </w:pPr>
            <w:r w:rsidRPr="00407A62">
              <w:rPr>
                <w:rFonts w:ascii="Sylfaen" w:hAnsi="Sylfaen"/>
                <w:color w:val="000000"/>
                <w:sz w:val="21"/>
                <w:szCs w:val="24"/>
              </w:rPr>
              <w:t xml:space="preserve">Panelet me qytetarë </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color w:val="000000"/>
                <w:sz w:val="21"/>
                <w:szCs w:val="24"/>
              </w:rPr>
            </w:pPr>
            <w:r w:rsidRPr="00407A62">
              <w:rPr>
                <w:rFonts w:ascii="Sylfaen" w:hAnsi="Sylfaen"/>
                <w:color w:val="000000"/>
                <w:sz w:val="21"/>
                <w:szCs w:val="24"/>
              </w:rPr>
              <w:t>Stendat në rrugë</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color w:val="000000"/>
                <w:sz w:val="21"/>
                <w:szCs w:val="24"/>
              </w:rPr>
            </w:pPr>
            <w:r w:rsidRPr="00407A62">
              <w:rPr>
                <w:rFonts w:ascii="Sylfaen" w:hAnsi="Sylfaen"/>
                <w:color w:val="000000"/>
                <w:sz w:val="21"/>
                <w:szCs w:val="24"/>
              </w:rPr>
              <w:t>Stendat në rrugë</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r w:rsidR="0095056F" w:rsidRPr="00407A62" w:rsidTr="0095056F">
        <w:tc>
          <w:tcPr>
            <w:cnfStyle w:val="001000000000" w:firstRow="0" w:lastRow="0" w:firstColumn="1" w:lastColumn="0" w:oddVBand="0" w:evenVBand="0" w:oddHBand="0" w:evenHBand="0" w:firstRowFirstColumn="0" w:firstRowLastColumn="0" w:lastRowFirstColumn="0" w:lastRowLastColumn="0"/>
            <w:tcW w:w="2448"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rPr>
                <w:rFonts w:ascii="Sylfaen" w:hAnsi="Sylfaen"/>
                <w:color w:val="000000"/>
                <w:sz w:val="21"/>
                <w:szCs w:val="24"/>
              </w:rPr>
            </w:pPr>
            <w:r w:rsidRPr="00407A62">
              <w:rPr>
                <w:rFonts w:ascii="Sylfaen" w:hAnsi="Sylfaen"/>
                <w:color w:val="000000"/>
                <w:sz w:val="21"/>
                <w:szCs w:val="24"/>
              </w:rPr>
              <w:t>tjetër</w:t>
            </w:r>
          </w:p>
        </w:tc>
        <w:tc>
          <w:tcPr>
            <w:tcW w:w="126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54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080" w:type="dxa"/>
            <w:shd w:val="clear" w:color="auto" w:fill="FBE4D5"/>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6759" w:type="dxa"/>
            <w:shd w:val="clear" w:color="auto" w:fill="FBE4D5"/>
          </w:tcPr>
          <w:p w:rsidR="0095056F" w:rsidRPr="00407A62" w:rsidRDefault="0095056F" w:rsidP="0095056F">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color w:val="000000"/>
                <w:sz w:val="21"/>
                <w:szCs w:val="24"/>
              </w:rPr>
            </w:pPr>
            <w:r w:rsidRPr="00407A62">
              <w:rPr>
                <w:rFonts w:ascii="Sylfaen" w:hAnsi="Sylfaen"/>
                <w:color w:val="000000"/>
                <w:sz w:val="21"/>
                <w:szCs w:val="24"/>
              </w:rPr>
              <w:t>tjetër</w:t>
            </w:r>
          </w:p>
        </w:tc>
        <w:tc>
          <w:tcPr>
            <w:tcW w:w="1679"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483"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1300"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c>
          <w:tcPr>
            <w:tcW w:w="2162" w:type="dxa"/>
          </w:tcPr>
          <w:p w:rsidR="0095056F" w:rsidRPr="00407A62" w:rsidRDefault="0095056F" w:rsidP="0095056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sz w:val="21"/>
                <w:szCs w:val="24"/>
              </w:rPr>
            </w:pPr>
          </w:p>
        </w:tc>
      </w:tr>
    </w:tbl>
    <w:p w:rsidR="005D65F8" w:rsidRPr="00407A62" w:rsidRDefault="005D65F8" w:rsidP="00DC4A9B">
      <w:pPr>
        <w:spacing w:after="0" w:line="240" w:lineRule="auto"/>
        <w:jc w:val="both"/>
        <w:rPr>
          <w:rFonts w:ascii="Sylfaen" w:eastAsia="Calibri" w:hAnsi="Sylfaen"/>
          <w:i/>
          <w:sz w:val="24"/>
          <w:szCs w:val="24"/>
        </w:rPr>
      </w:pPr>
    </w:p>
    <w:p w:rsidR="00DC4A9B" w:rsidRPr="00407A62" w:rsidRDefault="005D65F8" w:rsidP="00DC4A9B">
      <w:pPr>
        <w:spacing w:after="0" w:line="240" w:lineRule="auto"/>
        <w:jc w:val="both"/>
        <w:rPr>
          <w:rFonts w:ascii="Sylfaen" w:eastAsia="Calibri" w:hAnsi="Sylfaen"/>
          <w:i/>
          <w:sz w:val="24"/>
          <w:szCs w:val="24"/>
        </w:rPr>
      </w:pPr>
      <w:r w:rsidRPr="00407A62">
        <w:rPr>
          <w:rFonts w:ascii="Sylfaen" w:eastAsia="Calibri" w:hAnsi="Sylfaen"/>
          <w:i/>
          <w:sz w:val="24"/>
          <w:szCs w:val="24"/>
        </w:rPr>
        <w:t>Kohëzgjatja</w:t>
      </w:r>
      <w:r w:rsidR="00DC4A9B" w:rsidRPr="00407A62">
        <w:rPr>
          <w:rFonts w:ascii="Sylfaen" w:eastAsia="Calibri" w:hAnsi="Sylfaen"/>
          <w:i/>
          <w:sz w:val="24"/>
          <w:szCs w:val="24"/>
        </w:rPr>
        <w:t xml:space="preserve"> e procesit të kons</w:t>
      </w:r>
      <w:r w:rsidRPr="00407A62">
        <w:rPr>
          <w:rFonts w:ascii="Sylfaen" w:eastAsia="Calibri" w:hAnsi="Sylfaen"/>
          <w:i/>
          <w:sz w:val="24"/>
          <w:szCs w:val="24"/>
        </w:rPr>
        <w:t>ultimit të dokumentit në fjalë, është bërë konform Rregullores për Punën e Qeverisë nr. 09/2011.</w:t>
      </w:r>
    </w:p>
    <w:p w:rsidR="00DC4A9B" w:rsidRPr="00407A62" w:rsidRDefault="00DC4A9B" w:rsidP="00DC4A9B">
      <w:pPr>
        <w:spacing w:after="0" w:line="240" w:lineRule="auto"/>
        <w:jc w:val="both"/>
        <w:rPr>
          <w:rFonts w:ascii="Sylfaen" w:eastAsia="Calibri" w:hAnsi="Sylfaen"/>
          <w:i/>
          <w:sz w:val="24"/>
          <w:szCs w:val="24"/>
        </w:rPr>
      </w:pPr>
    </w:p>
    <w:p w:rsidR="00DC4A9B" w:rsidRPr="00407A62" w:rsidRDefault="00DC4A9B" w:rsidP="00DC4A9B">
      <w:pPr>
        <w:spacing w:after="0" w:line="240" w:lineRule="auto"/>
        <w:jc w:val="both"/>
        <w:rPr>
          <w:rFonts w:ascii="Sylfaen" w:eastAsia="Calibri" w:hAnsi="Sylfaen"/>
          <w:i/>
          <w:sz w:val="24"/>
          <w:szCs w:val="24"/>
        </w:rPr>
      </w:pPr>
    </w:p>
    <w:p w:rsidR="00DC4A9B" w:rsidRPr="00407A62" w:rsidRDefault="00DC4A9B" w:rsidP="00DC4A9B">
      <w:pPr>
        <w:spacing w:after="0" w:line="240" w:lineRule="auto"/>
        <w:jc w:val="both"/>
        <w:rPr>
          <w:rFonts w:ascii="Sylfaen" w:eastAsia="Calibri" w:hAnsi="Sylfaen"/>
          <w:sz w:val="24"/>
          <w:szCs w:val="24"/>
        </w:rPr>
      </w:pPr>
    </w:p>
    <w:p w:rsidR="00DC4A9B" w:rsidRPr="00407A62" w:rsidRDefault="00DC4A9B" w:rsidP="00DC4A9B">
      <w:pPr>
        <w:spacing w:after="0" w:line="240" w:lineRule="auto"/>
        <w:jc w:val="center"/>
        <w:rPr>
          <w:rFonts w:ascii="Sylfaen" w:eastAsia="Calibri" w:hAnsi="Sylfaen"/>
          <w:b/>
          <w:sz w:val="24"/>
          <w:szCs w:val="24"/>
        </w:rPr>
      </w:pPr>
      <w:r w:rsidRPr="00407A62">
        <w:rPr>
          <w:rFonts w:ascii="Sylfaen" w:eastAsia="Calibri" w:hAnsi="Sylfaen"/>
          <w:b/>
          <w:sz w:val="24"/>
          <w:szCs w:val="24"/>
        </w:rPr>
        <w:lastRenderedPageBreak/>
        <w:t xml:space="preserve">Përmbledhje e  kontributeve të pranuara gjatë procesit të konsultimit dhe kategoritë e kontribuesve </w:t>
      </w:r>
    </w:p>
    <w:p w:rsidR="00DC4A9B" w:rsidRPr="00407A62" w:rsidRDefault="00DC4A9B" w:rsidP="00DC4A9B">
      <w:pPr>
        <w:spacing w:after="0" w:line="240" w:lineRule="auto"/>
        <w:jc w:val="center"/>
        <w:rPr>
          <w:rFonts w:ascii="Sylfaen" w:eastAsia="Calibri" w:hAnsi="Sylfaen"/>
          <w:b/>
          <w:sz w:val="24"/>
          <w:szCs w:val="24"/>
        </w:rPr>
      </w:pPr>
    </w:p>
    <w:p w:rsidR="007C4FE1" w:rsidRDefault="007C4FE1" w:rsidP="00DC4A9B">
      <w:pPr>
        <w:spacing w:after="0" w:line="240" w:lineRule="auto"/>
        <w:jc w:val="center"/>
        <w:rPr>
          <w:rFonts w:ascii="Sylfaen" w:eastAsia="Calibri" w:hAnsi="Sylfaen"/>
          <w:i/>
          <w:sz w:val="24"/>
          <w:szCs w:val="24"/>
        </w:rPr>
      </w:pPr>
    </w:p>
    <w:p w:rsidR="007C4FE1" w:rsidRPr="00CE7634" w:rsidRDefault="00CE6A48" w:rsidP="007C4FE1">
      <w:pPr>
        <w:spacing w:after="240" w:line="240" w:lineRule="auto"/>
        <w:jc w:val="both"/>
        <w:rPr>
          <w:rFonts w:ascii="Times New Roman" w:eastAsia="Calibri" w:hAnsi="Times New Roman"/>
          <w:b/>
          <w:sz w:val="24"/>
          <w:szCs w:val="24"/>
          <w:lang w:eastAsia="sq-AL"/>
        </w:rPr>
      </w:pPr>
      <w:r w:rsidRPr="00CE7634">
        <w:rPr>
          <w:rFonts w:ascii="Times New Roman" w:eastAsia="Calibri" w:hAnsi="Times New Roman"/>
          <w:b/>
          <w:sz w:val="24"/>
          <w:szCs w:val="24"/>
          <w:lang w:eastAsia="sq-AL"/>
        </w:rPr>
        <w:t>Nuk ka pasur</w:t>
      </w:r>
      <w:r w:rsidR="007C4FE1" w:rsidRPr="00CE7634">
        <w:rPr>
          <w:rFonts w:ascii="Times New Roman" w:eastAsia="Calibri" w:hAnsi="Times New Roman"/>
          <w:b/>
          <w:sz w:val="24"/>
          <w:szCs w:val="24"/>
          <w:lang w:eastAsia="sq-AL"/>
        </w:rPr>
        <w:t>.</w:t>
      </w:r>
    </w:p>
    <w:p w:rsidR="007C4FE1" w:rsidRDefault="007C4FE1" w:rsidP="00DC4A9B">
      <w:pPr>
        <w:spacing w:after="0" w:line="240" w:lineRule="auto"/>
        <w:jc w:val="center"/>
        <w:rPr>
          <w:rFonts w:ascii="Sylfaen" w:eastAsia="Calibri" w:hAnsi="Sylfaen"/>
          <w:i/>
          <w:sz w:val="24"/>
          <w:szCs w:val="24"/>
        </w:rPr>
      </w:pPr>
    </w:p>
    <w:p w:rsidR="007C4FE1" w:rsidRDefault="007C4FE1" w:rsidP="00DC4A9B">
      <w:pPr>
        <w:spacing w:after="0" w:line="240" w:lineRule="auto"/>
        <w:jc w:val="center"/>
        <w:rPr>
          <w:rFonts w:ascii="Sylfaen" w:eastAsia="Calibri" w:hAnsi="Sylfaen"/>
          <w:i/>
          <w:sz w:val="24"/>
          <w:szCs w:val="24"/>
        </w:rPr>
      </w:pPr>
    </w:p>
    <w:p w:rsidR="00DC4A9B" w:rsidRPr="00407A62" w:rsidRDefault="00DC4A9B" w:rsidP="00DC4A9B">
      <w:pPr>
        <w:spacing w:after="0" w:line="240" w:lineRule="auto"/>
        <w:jc w:val="center"/>
        <w:rPr>
          <w:rFonts w:ascii="Sylfaen" w:eastAsia="Calibri" w:hAnsi="Sylfaen"/>
          <w:b/>
          <w:sz w:val="24"/>
          <w:szCs w:val="24"/>
        </w:rPr>
      </w:pPr>
      <w:r w:rsidRPr="00407A62">
        <w:rPr>
          <w:rFonts w:ascii="Sylfaen" w:eastAsia="Calibri" w:hAnsi="Sylfaen"/>
          <w:b/>
          <w:sz w:val="24"/>
          <w:szCs w:val="24"/>
        </w:rPr>
        <w:t>Hapat e ardhshëm</w:t>
      </w:r>
    </w:p>
    <w:p w:rsidR="008860B9" w:rsidRPr="00407A62" w:rsidRDefault="008860B9" w:rsidP="00DC4A9B">
      <w:pPr>
        <w:spacing w:after="0" w:line="240" w:lineRule="auto"/>
        <w:jc w:val="center"/>
        <w:rPr>
          <w:rFonts w:ascii="Sylfaen" w:eastAsia="Calibri" w:hAnsi="Sylfaen"/>
          <w:b/>
          <w:sz w:val="24"/>
          <w:szCs w:val="24"/>
        </w:rPr>
      </w:pPr>
    </w:p>
    <w:tbl>
      <w:tblPr>
        <w:tblStyle w:val="GridTable1Light-Accent51"/>
        <w:tblpPr w:leftFromText="180" w:rightFromText="180" w:vertAnchor="text" w:horzAnchor="margin" w:tblpXSpec="center" w:tblpY="657"/>
        <w:tblW w:w="10885" w:type="dxa"/>
        <w:tblLook w:val="0420" w:firstRow="1" w:lastRow="0" w:firstColumn="0" w:lastColumn="0" w:noHBand="0" w:noVBand="1"/>
      </w:tblPr>
      <w:tblGrid>
        <w:gridCol w:w="1615"/>
        <w:gridCol w:w="3505"/>
        <w:gridCol w:w="2435"/>
        <w:gridCol w:w="3330"/>
      </w:tblGrid>
      <w:tr w:rsidR="00755D77" w:rsidRPr="00407A62" w:rsidTr="00755D77">
        <w:trPr>
          <w:cnfStyle w:val="100000000000" w:firstRow="1" w:lastRow="0" w:firstColumn="0" w:lastColumn="0" w:oddVBand="0" w:evenVBand="0" w:oddHBand="0" w:evenHBand="0" w:firstRowFirstColumn="0" w:firstRowLastColumn="0" w:lastRowFirstColumn="0" w:lastRowLastColumn="0"/>
          <w:trHeight w:val="1582"/>
        </w:trPr>
        <w:tc>
          <w:tcPr>
            <w:tcW w:w="1615" w:type="dxa"/>
            <w:shd w:val="clear" w:color="auto" w:fill="FBE4D5"/>
            <w:hideMark/>
          </w:tcPr>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Emri   i organizatës /individit</w:t>
            </w:r>
          </w:p>
        </w:tc>
        <w:tc>
          <w:tcPr>
            <w:tcW w:w="3505" w:type="dxa"/>
            <w:shd w:val="clear" w:color="auto" w:fill="FBE4D5"/>
            <w:hideMark/>
          </w:tcPr>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Koment i organizatës /individit</w:t>
            </w:r>
          </w:p>
        </w:tc>
        <w:tc>
          <w:tcPr>
            <w:tcW w:w="2435" w:type="dxa"/>
            <w:shd w:val="clear" w:color="auto" w:fill="FBE4D5"/>
            <w:hideMark/>
          </w:tcPr>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Përgjigja nga Ministria</w:t>
            </w:r>
          </w:p>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E pranuar plotësisht</w:t>
            </w:r>
          </w:p>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 xml:space="preserve">E pranuar pjesërisht </w:t>
            </w:r>
          </w:p>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E refuzuar</w:t>
            </w:r>
          </w:p>
          <w:p w:rsidR="00755D77" w:rsidRPr="00407A62" w:rsidRDefault="00755D77" w:rsidP="00755D77">
            <w:pPr>
              <w:spacing w:after="0" w:line="240" w:lineRule="auto"/>
              <w:rPr>
                <w:rFonts w:ascii="Sylfaen" w:eastAsia="MS Mincho" w:hAnsi="Sylfaen"/>
                <w:b w:val="0"/>
                <w:bCs w:val="0"/>
                <w:sz w:val="24"/>
                <w:szCs w:val="24"/>
              </w:rPr>
            </w:pPr>
          </w:p>
        </w:tc>
        <w:tc>
          <w:tcPr>
            <w:tcW w:w="3330" w:type="dxa"/>
            <w:shd w:val="clear" w:color="auto" w:fill="FBE4D5"/>
            <w:hideMark/>
          </w:tcPr>
          <w:p w:rsidR="00755D77" w:rsidRPr="00407A62" w:rsidRDefault="00755D77" w:rsidP="00755D77">
            <w:pPr>
              <w:spacing w:after="0" w:line="240" w:lineRule="auto"/>
              <w:rPr>
                <w:rFonts w:ascii="Sylfaen" w:eastAsia="MS Mincho" w:hAnsi="Sylfaen"/>
                <w:b w:val="0"/>
                <w:bCs w:val="0"/>
                <w:sz w:val="24"/>
                <w:szCs w:val="24"/>
              </w:rPr>
            </w:pPr>
            <w:r w:rsidRPr="00407A62">
              <w:rPr>
                <w:rFonts w:ascii="Sylfaen" w:eastAsia="MS Mincho" w:hAnsi="Sylfaen"/>
                <w:b w:val="0"/>
                <w:bCs w:val="0"/>
                <w:sz w:val="24"/>
                <w:szCs w:val="24"/>
              </w:rPr>
              <w:t xml:space="preserve">Sqarim nga Ministria </w:t>
            </w:r>
          </w:p>
          <w:p w:rsidR="00755D77" w:rsidRPr="00407A62" w:rsidRDefault="00755D77" w:rsidP="00755D77">
            <w:pPr>
              <w:tabs>
                <w:tab w:val="left" w:pos="2556"/>
              </w:tabs>
              <w:spacing w:after="0" w:line="240" w:lineRule="auto"/>
              <w:ind w:right="541"/>
              <w:rPr>
                <w:rFonts w:ascii="Sylfaen" w:eastAsia="MS Mincho" w:hAnsi="Sylfaen"/>
                <w:b w:val="0"/>
                <w:bCs w:val="0"/>
                <w:sz w:val="24"/>
                <w:szCs w:val="24"/>
              </w:rPr>
            </w:pPr>
            <w:r w:rsidRPr="00407A62">
              <w:rPr>
                <w:rFonts w:ascii="Sylfaen" w:eastAsia="MS Mincho" w:hAnsi="Sylfaen"/>
                <w:b w:val="0"/>
                <w:bCs w:val="0"/>
                <w:sz w:val="24"/>
                <w:szCs w:val="24"/>
              </w:rPr>
              <w:t>(veçanërisht arsyet për të mos pranuar komente të caktuara)</w:t>
            </w:r>
          </w:p>
        </w:tc>
      </w:tr>
      <w:tr w:rsidR="00755D77" w:rsidRPr="00755D77" w:rsidTr="00755D77">
        <w:trPr>
          <w:trHeight w:val="510"/>
        </w:trPr>
        <w:tc>
          <w:tcPr>
            <w:tcW w:w="1615" w:type="dxa"/>
          </w:tcPr>
          <w:p w:rsidR="00755D77" w:rsidRPr="00755D77" w:rsidRDefault="00755D77" w:rsidP="00755D77">
            <w:pPr>
              <w:spacing w:after="0" w:line="240" w:lineRule="auto"/>
              <w:rPr>
                <w:rFonts w:ascii="Times New Roman" w:eastAsia="MS Mincho" w:hAnsi="Times New Roman"/>
                <w:sz w:val="24"/>
                <w:szCs w:val="24"/>
              </w:rPr>
            </w:pPr>
            <w:r w:rsidRPr="00755D77">
              <w:rPr>
                <w:rFonts w:ascii="Times New Roman" w:eastAsia="MS Mincho" w:hAnsi="Times New Roman"/>
                <w:sz w:val="24"/>
                <w:szCs w:val="24"/>
              </w:rPr>
              <w:t>INDEP</w:t>
            </w:r>
          </w:p>
        </w:tc>
        <w:tc>
          <w:tcPr>
            <w:tcW w:w="3505" w:type="dxa"/>
          </w:tcPr>
          <w:p w:rsidR="00755D77" w:rsidRPr="00755D77" w:rsidRDefault="00755D77" w:rsidP="00147A47">
            <w:pPr>
              <w:spacing w:before="200" w:after="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Opsioni i ndryshimit dhe plotësimit të Ligjit mungon</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INDEP vlerëson se rruga më e duhur që koncept-dokumenti do të duhej të ndiqte është plotësimi dhe ndryshimi i Ligjit Nr. 04/L-154 për Punimet nga Metalet e Çmuara. Të gjithë shkaqet e përmendura, qoftë si numër të neneve që parashikojnë të ndryshojnë, qoftë si materie të Ligjit, nuk prekin më shumë sesa 25-28% të përmbajtjes së Ligjit. Në këtë kuptim, e konsiderojmë të panevojshme hartimin e një ligji krejtësisht të ri për Punimet nga Metalet e Çmuara. Konsiderojmë që Opsionit të Ndryshim-Plotësimit të Ligjit do të duhej të ishte njëri nga opsionet. Tek Opsioni numër 2: Përmirësimi i zbatimit dhe ekzekutimit, koncept-dokumenti thotë:</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Ky opsion shikon në përmirësimin e mënyrave për arritjen e objektivave përmes zbatimit të duhur të detyrimeve ekzistuese ligjore. Në këtë kuadër, grupi punues mbas diskutimeve dhe analizave gjatë punëtorive të mbajtura ka propozuar që ekziston mundësia të arrihen objektivat e koncept dokumentit duke e përmirësuar zbatimin e duhur të detyrave ekzistuese ligjore përmes ndarjes së buxhetit shtesë në rast se dispozitat aktuale buxhetore nuk janë të përshtatshme për arritjen e objektivave.</w:t>
            </w:r>
            <w:hyperlink r:id="rId8" w:anchor="_ftn1&amp;quot;" w:history="1">
              <w:r w:rsidRPr="00755D77">
                <w:rPr>
                  <w:rFonts w:ascii="Times New Roman" w:eastAsia="Arial" w:hAnsi="Times New Roman"/>
                  <w:color w:val="0000FF"/>
                  <w:sz w:val="24"/>
                  <w:szCs w:val="24"/>
                  <w:u w:val="single"/>
                </w:rPr>
                <w:t>[1]</w:t>
              </w:r>
            </w:hyperlink>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Pra, në këtë opsion thuhet që është i mundshëm skenari që të ketë &amp;ldquo;...zbatim të duhur të detyrimeve ekzistuese ligjore&amp;rdquo; dhe se grupi punues kishte ardhë në përfundimin se ekziston mundësia që përmes rritjes së buxhetit të arrihen objektivat e koncept-dokumentit. Më tutje në të njejtin paragraf thuhet që megjithatë, &amp;ldquo;problemet që janë identifikuar në këtë Koncept Dokument janë kryesisht të ndërlidhura me bazën aktuale ligjore dhe si e tille mund të adresohen vetëm me ndërhyrje në dispozitat ligjore në fuqi&amp;rdquo;. Prandaj, i gjithë validiteti i opsionit vihet në pyetje dhe si i tillë, ne konsiderojmë që duhet të hiqet dhe të zëvendësohet me opsionin e ndryshimit dhe plotësimit të Ligjit aktual.</w:t>
            </w:r>
          </w:p>
          <w:p w:rsidR="00755D77" w:rsidRPr="00755D77" w:rsidRDefault="00755D77" w:rsidP="00147A47">
            <w:pPr>
              <w:spacing w:after="0" w:line="240" w:lineRule="auto"/>
              <w:jc w:val="both"/>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rPr>
                <w:rFonts w:ascii="Times New Roman" w:eastAsia="MS Mincho" w:hAnsi="Times New Roman"/>
                <w:sz w:val="24"/>
                <w:szCs w:val="24"/>
              </w:rPr>
            </w:pPr>
            <w:r w:rsidRPr="00755D77">
              <w:rPr>
                <w:rFonts w:ascii="Times New Roman" w:eastAsia="MS Mincho" w:hAnsi="Times New Roman"/>
                <w:sz w:val="24"/>
                <w:szCs w:val="24"/>
              </w:rPr>
              <w:lastRenderedPageBreak/>
              <w:t>E refuzuar</w:t>
            </w:r>
          </w:p>
        </w:tc>
        <w:tc>
          <w:tcPr>
            <w:tcW w:w="3330" w:type="dxa"/>
          </w:tcPr>
          <w:p w:rsid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MTI- e refuzon këtë koment nga INDEP me arsyetimin:</w:t>
            </w:r>
          </w:p>
          <w:p w:rsidR="00755D77" w:rsidRPr="00755D77" w:rsidRDefault="00755D77" w:rsidP="00147A47">
            <w:pPr>
              <w:spacing w:after="0" w:line="240" w:lineRule="auto"/>
              <w:ind w:right="667"/>
              <w:jc w:val="both"/>
              <w:rPr>
                <w:rFonts w:ascii="Times New Roman" w:eastAsia="MS Mincho" w:hAnsi="Times New Roman"/>
                <w:sz w:val="24"/>
                <w:szCs w:val="24"/>
              </w:rPr>
            </w:pPr>
            <w:r>
              <w:rPr>
                <w:rFonts w:ascii="Times New Roman" w:eastAsia="MS Mincho" w:hAnsi="Times New Roman"/>
                <w:sz w:val="24"/>
                <w:szCs w:val="24"/>
              </w:rPr>
              <w:t>U</w:t>
            </w:r>
            <w:r w:rsidRPr="00755D77">
              <w:rPr>
                <w:rFonts w:ascii="Times New Roman" w:eastAsia="MS Mincho" w:hAnsi="Times New Roman"/>
                <w:sz w:val="24"/>
                <w:szCs w:val="24"/>
              </w:rPr>
              <w:t>udhëzuesi p</w:t>
            </w:r>
            <w:r>
              <w:rPr>
                <w:rFonts w:ascii="Times New Roman" w:eastAsia="MS Mincho" w:hAnsi="Times New Roman"/>
                <w:sz w:val="24"/>
                <w:szCs w:val="24"/>
              </w:rPr>
              <w:t>ë</w:t>
            </w:r>
            <w:r w:rsidRPr="00755D77">
              <w:rPr>
                <w:rFonts w:ascii="Times New Roman" w:eastAsia="MS Mincho" w:hAnsi="Times New Roman"/>
                <w:sz w:val="24"/>
                <w:szCs w:val="24"/>
              </w:rPr>
              <w:t>r koncept dokumentin parasheh se paku 3 opsione te ndryshme që duhet te trajtohen ne koncept dokument:</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1.Status quo,</w:t>
            </w:r>
          </w:p>
          <w:p w:rsidR="00755D77" w:rsidRPr="00755D77" w:rsidRDefault="00755D77" w:rsidP="00147A47">
            <w:pPr>
              <w:spacing w:after="0" w:line="240" w:lineRule="auto"/>
              <w:ind w:right="667"/>
              <w:jc w:val="both"/>
              <w:rPr>
                <w:rFonts w:ascii="Times New Roman" w:eastAsia="MS Mincho" w:hAnsi="Times New Roman"/>
                <w:sz w:val="24"/>
                <w:szCs w:val="24"/>
              </w:rPr>
            </w:pPr>
            <w:r>
              <w:rPr>
                <w:rFonts w:ascii="Times New Roman" w:eastAsia="MS Mincho" w:hAnsi="Times New Roman"/>
                <w:sz w:val="24"/>
                <w:szCs w:val="24"/>
              </w:rPr>
              <w:t>2.Përmirsim</w:t>
            </w:r>
            <w:r w:rsidRPr="00755D77">
              <w:rPr>
                <w:rFonts w:ascii="Times New Roman" w:eastAsia="MS Mincho" w:hAnsi="Times New Roman"/>
                <w:sz w:val="24"/>
                <w:szCs w:val="24"/>
              </w:rPr>
              <w:t xml:space="preserve"> </w:t>
            </w:r>
            <w:r>
              <w:rPr>
                <w:rFonts w:ascii="Times New Roman" w:eastAsia="MS Mincho" w:hAnsi="Times New Roman"/>
                <w:sz w:val="24"/>
                <w:szCs w:val="24"/>
              </w:rPr>
              <w:t>i</w:t>
            </w:r>
            <w:r w:rsidRPr="00755D77">
              <w:rPr>
                <w:rFonts w:ascii="Times New Roman" w:eastAsia="MS Mincho" w:hAnsi="Times New Roman"/>
                <w:sz w:val="24"/>
                <w:szCs w:val="24"/>
              </w:rPr>
              <w:t xml:space="preserve"> zbatimit dhe ekzekutimit,</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3.Opsioni I pershtatshem per politiken që këtë rast ësht</w:t>
            </w:r>
            <w:r>
              <w:rPr>
                <w:rFonts w:ascii="Times New Roman" w:eastAsia="MS Mincho" w:hAnsi="Times New Roman"/>
                <w:sz w:val="24"/>
                <w:szCs w:val="24"/>
              </w:rPr>
              <w:t>ë</w:t>
            </w:r>
            <w:r w:rsidRPr="00755D77">
              <w:rPr>
                <w:rFonts w:ascii="Times New Roman" w:eastAsia="MS Mincho" w:hAnsi="Times New Roman"/>
                <w:sz w:val="24"/>
                <w:szCs w:val="24"/>
              </w:rPr>
              <w:t xml:space="preserve"> ndryshimi legjislativ.</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 xml:space="preserve"> Në këtë drejtim grupi punues ka vendosur  që opsioni</w:t>
            </w:r>
            <w:r>
              <w:rPr>
                <w:rFonts w:ascii="Times New Roman" w:eastAsia="MS Mincho" w:hAnsi="Times New Roman"/>
                <w:sz w:val="24"/>
                <w:szCs w:val="24"/>
              </w:rPr>
              <w:t>i</w:t>
            </w:r>
            <w:r w:rsidRPr="00755D77">
              <w:rPr>
                <w:rFonts w:ascii="Times New Roman" w:eastAsia="MS Mincho" w:hAnsi="Times New Roman"/>
                <w:sz w:val="24"/>
                <w:szCs w:val="24"/>
              </w:rPr>
              <w:t xml:space="preserve"> rekomanduar të jet</w:t>
            </w:r>
            <w:r>
              <w:rPr>
                <w:rFonts w:ascii="Times New Roman" w:eastAsia="MS Mincho" w:hAnsi="Times New Roman"/>
                <w:sz w:val="24"/>
                <w:szCs w:val="24"/>
              </w:rPr>
              <w:t>ë</w:t>
            </w:r>
            <w:r w:rsidRPr="00755D77">
              <w:rPr>
                <w:rFonts w:ascii="Times New Roman" w:eastAsia="MS Mincho" w:hAnsi="Times New Roman"/>
                <w:sz w:val="24"/>
                <w:szCs w:val="24"/>
              </w:rPr>
              <w:t xml:space="preserve"> projektligji I ri bazuar ne analizen e bërë në KD, veqanerisht duke marr parasysh faktin se duhet te ket</w:t>
            </w:r>
            <w:r>
              <w:rPr>
                <w:rFonts w:ascii="Times New Roman" w:eastAsia="MS Mincho" w:hAnsi="Times New Roman"/>
                <w:sz w:val="24"/>
                <w:szCs w:val="24"/>
              </w:rPr>
              <w:t>ë ndë</w:t>
            </w:r>
            <w:r w:rsidRPr="00755D77">
              <w:rPr>
                <w:rFonts w:ascii="Times New Roman" w:eastAsia="MS Mincho" w:hAnsi="Times New Roman"/>
                <w:sz w:val="24"/>
                <w:szCs w:val="24"/>
              </w:rPr>
              <w:t>rhyrje në pjes të ndryshme të ligjit, dhe nese vazhdohet me plotsimndryshim do të veshtirso</w:t>
            </w:r>
            <w:r>
              <w:rPr>
                <w:rFonts w:ascii="Times New Roman" w:eastAsia="MS Mincho" w:hAnsi="Times New Roman"/>
                <w:sz w:val="24"/>
                <w:szCs w:val="24"/>
              </w:rPr>
              <w:t>nte</w:t>
            </w:r>
            <w:r w:rsidRPr="00755D77">
              <w:rPr>
                <w:rFonts w:ascii="Times New Roman" w:eastAsia="MS Mincho" w:hAnsi="Times New Roman"/>
                <w:sz w:val="24"/>
                <w:szCs w:val="24"/>
              </w:rPr>
              <w:t xml:space="preserve"> zbatimin e </w:t>
            </w:r>
            <w:r w:rsidRPr="00755D77">
              <w:rPr>
                <w:rFonts w:ascii="Times New Roman" w:eastAsia="MS Mincho" w:hAnsi="Times New Roman"/>
                <w:sz w:val="24"/>
                <w:szCs w:val="24"/>
              </w:rPr>
              <w:lastRenderedPageBreak/>
              <w:t>tij, marr parasysh verzionet e kons</w:t>
            </w:r>
            <w:r>
              <w:rPr>
                <w:rFonts w:ascii="Times New Roman" w:eastAsia="MS Mincho" w:hAnsi="Times New Roman"/>
                <w:sz w:val="24"/>
                <w:szCs w:val="24"/>
              </w:rPr>
              <w:t>o</w:t>
            </w:r>
            <w:r w:rsidRPr="00755D77">
              <w:rPr>
                <w:rFonts w:ascii="Times New Roman" w:eastAsia="MS Mincho" w:hAnsi="Times New Roman"/>
                <w:sz w:val="24"/>
                <w:szCs w:val="24"/>
              </w:rPr>
              <w:t>liduar të ligjeve.</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Duhet të theksohet se përqindja e definimit per hartimin</w:t>
            </w:r>
            <w:r>
              <w:rPr>
                <w:rFonts w:ascii="Times New Roman" w:eastAsia="MS Mincho" w:hAnsi="Times New Roman"/>
                <w:sz w:val="24"/>
                <w:szCs w:val="24"/>
              </w:rPr>
              <w:t xml:space="preserve"> </w:t>
            </w:r>
            <w:r w:rsidRPr="00755D77">
              <w:rPr>
                <w:rFonts w:ascii="Times New Roman" w:eastAsia="MS Mincho" w:hAnsi="Times New Roman"/>
                <w:sz w:val="24"/>
                <w:szCs w:val="24"/>
              </w:rPr>
              <w:t>e ligjit te ri nuk ësht e percaktuara ne rregullat e qeveris.</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Eshtë e vertet se</w:t>
            </w:r>
            <w:r>
              <w:rPr>
                <w:rFonts w:ascii="Times New Roman" w:eastAsia="MS Mincho" w:hAnsi="Times New Roman"/>
                <w:sz w:val="24"/>
                <w:szCs w:val="24"/>
              </w:rPr>
              <w:t xml:space="preserve"> </w:t>
            </w:r>
            <w:r w:rsidRPr="00755D77">
              <w:rPr>
                <w:rFonts w:ascii="Times New Roman" w:eastAsia="MS Mincho" w:hAnsi="Times New Roman"/>
                <w:sz w:val="24"/>
                <w:szCs w:val="24"/>
              </w:rPr>
              <w:t>edhe me opsionin dy mund te arihen objektivat e KD por   MTI konsideron se mund te adresohen ne m</w:t>
            </w:r>
            <w:r>
              <w:rPr>
                <w:rFonts w:ascii="Times New Roman" w:eastAsia="MS Mincho" w:hAnsi="Times New Roman"/>
                <w:sz w:val="24"/>
                <w:szCs w:val="24"/>
              </w:rPr>
              <w:t>ë</w:t>
            </w:r>
            <w:r w:rsidRPr="00755D77">
              <w:rPr>
                <w:rFonts w:ascii="Times New Roman" w:eastAsia="MS Mincho" w:hAnsi="Times New Roman"/>
                <w:sz w:val="24"/>
                <w:szCs w:val="24"/>
              </w:rPr>
              <w:t>nyr me efektive objektivat e KD si dhe me procedur te hartimit të nje ligji te ri ritet me shum niveli I zbatimit te ligjit kundrejt pal</w:t>
            </w:r>
            <w:r>
              <w:rPr>
                <w:rFonts w:ascii="Times New Roman" w:eastAsia="MS Mincho" w:hAnsi="Times New Roman"/>
                <w:sz w:val="24"/>
                <w:szCs w:val="24"/>
              </w:rPr>
              <w:t>ë</w:t>
            </w:r>
            <w:r w:rsidRPr="00755D77">
              <w:rPr>
                <w:rFonts w:ascii="Times New Roman" w:eastAsia="MS Mincho" w:hAnsi="Times New Roman"/>
                <w:sz w:val="24"/>
                <w:szCs w:val="24"/>
              </w:rPr>
              <w:t>ve të interesit.</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 xml:space="preserve">Gjithashtu opsioni tre na rezulton me pak </w:t>
            </w:r>
            <w:r>
              <w:rPr>
                <w:rFonts w:ascii="Times New Roman" w:eastAsia="MS Mincho" w:hAnsi="Times New Roman"/>
                <w:sz w:val="24"/>
                <w:szCs w:val="24"/>
              </w:rPr>
              <w:t>i</w:t>
            </w:r>
            <w:r w:rsidRPr="00755D77">
              <w:rPr>
                <w:rFonts w:ascii="Times New Roman" w:eastAsia="MS Mincho" w:hAnsi="Times New Roman"/>
                <w:sz w:val="24"/>
                <w:szCs w:val="24"/>
              </w:rPr>
              <w:t xml:space="preserve"> kushtueshem se opsioni dy.</w:t>
            </w:r>
          </w:p>
          <w:p w:rsidR="00755D77" w:rsidRPr="00755D77" w:rsidRDefault="00755D77" w:rsidP="00147A47">
            <w:pPr>
              <w:spacing w:after="0" w:line="240" w:lineRule="auto"/>
              <w:ind w:right="667"/>
              <w:jc w:val="both"/>
              <w:rPr>
                <w:rFonts w:ascii="Times New Roman" w:eastAsia="MS Mincho" w:hAnsi="Times New Roman"/>
                <w:sz w:val="24"/>
                <w:szCs w:val="24"/>
              </w:rPr>
            </w:pPr>
            <w:r w:rsidRPr="00755D77">
              <w:rPr>
                <w:rFonts w:ascii="Times New Roman" w:eastAsia="MS Mincho" w:hAnsi="Times New Roman"/>
                <w:sz w:val="24"/>
                <w:szCs w:val="24"/>
              </w:rPr>
              <w:t xml:space="preserve">  </w:t>
            </w:r>
          </w:p>
          <w:p w:rsidR="00755D77" w:rsidRPr="00755D77" w:rsidRDefault="00755D77" w:rsidP="00147A47">
            <w:pPr>
              <w:spacing w:after="0" w:line="240" w:lineRule="auto"/>
              <w:ind w:right="667"/>
              <w:jc w:val="both"/>
              <w:rPr>
                <w:rFonts w:ascii="Times New Roman" w:eastAsia="MS Mincho" w:hAnsi="Times New Roman"/>
                <w:sz w:val="24"/>
                <w:szCs w:val="24"/>
              </w:rPr>
            </w:pPr>
          </w:p>
        </w:tc>
      </w:tr>
      <w:tr w:rsidR="00755D77" w:rsidRPr="00755D77" w:rsidTr="00755D77">
        <w:trPr>
          <w:trHeight w:val="440"/>
        </w:trPr>
        <w:tc>
          <w:tcPr>
            <w:tcW w:w="1615" w:type="dxa"/>
            <w:hideMark/>
          </w:tcPr>
          <w:p w:rsidR="00755D77" w:rsidRPr="00755D77" w:rsidRDefault="00755D77" w:rsidP="00755D77">
            <w:pPr>
              <w:spacing w:after="0" w:line="240" w:lineRule="auto"/>
              <w:rPr>
                <w:rFonts w:ascii="Times New Roman" w:eastAsia="MS Mincho" w:hAnsi="Times New Roman"/>
                <w:sz w:val="24"/>
                <w:szCs w:val="24"/>
              </w:rPr>
            </w:pPr>
            <w:r w:rsidRPr="00755D77">
              <w:rPr>
                <w:rFonts w:ascii="Times New Roman" w:eastAsia="MS Mincho" w:hAnsi="Times New Roman"/>
                <w:sz w:val="24"/>
                <w:szCs w:val="24"/>
              </w:rPr>
              <w:lastRenderedPageBreak/>
              <w:t>INDEP</w:t>
            </w:r>
          </w:p>
        </w:tc>
        <w:tc>
          <w:tcPr>
            <w:tcW w:w="3505" w:type="dxa"/>
          </w:tcPr>
          <w:p w:rsidR="00755D77" w:rsidRPr="00755D77" w:rsidRDefault="00755D77" w:rsidP="00147A47">
            <w:pPr>
              <w:spacing w:before="200" w:after="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Inspektimi statistikor </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Një nga elementet që është përmendur në koncept-dokument është kontrollimi statistikor i punimeve nga metalet e çmuara. Kjo ka qenë një çështje e diskutuar gjatë edhe me rastin e miratimit të Ligjit Nr. 04/L-154 për Punimet nga Metalet e Çmuara. Në koncept-dokument është trajtuar në faqe 3 kur është shtjelluar procesi i konsultimit me palët e interesuara. Gjithashtu, tek pjesa e komunikimit dhe konsultimit në faqe 27, prapë është paraqitur si e gjetur nga diskutimi. Megjithatë, ky element nuk është futur tek shkaqet e as tek efektet më tutje në koncept-dokument. Nëse kjo është njëra nga të gjeturat e vështirësive që ka sektori i punimeve nga metalet e çmuara, koncept-dokumenti do të duhej të jepte sqarime të mëtutjeshme në lidhje me atë se a është Ligji aktual pengesë për këtë apo moszbatimi i tij si dhe cilat janë opsionet e zgjidhjes dhe opsioni i rekomanduar. Nuk është përmendur tek shkaqet dhe është përmendur shkarazi tek efektet.</w:t>
            </w:r>
          </w:p>
          <w:p w:rsidR="00755D77" w:rsidRPr="00755D77" w:rsidRDefault="00755D77" w:rsidP="00147A47">
            <w:pPr>
              <w:spacing w:after="0" w:line="240" w:lineRule="auto"/>
              <w:jc w:val="both"/>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rPr>
                <w:rFonts w:ascii="Times New Roman" w:eastAsia="MS Mincho" w:hAnsi="Times New Roman"/>
                <w:sz w:val="24"/>
                <w:szCs w:val="24"/>
              </w:rPr>
            </w:pPr>
            <w:r w:rsidRPr="00755D77">
              <w:rPr>
                <w:rFonts w:ascii="Times New Roman" w:eastAsia="MS Mincho" w:hAnsi="Times New Roman"/>
                <w:sz w:val="24"/>
                <w:szCs w:val="24"/>
              </w:rPr>
              <w:t xml:space="preserve"> E pranuar pjesërisht</w:t>
            </w:r>
          </w:p>
        </w:tc>
        <w:tc>
          <w:tcPr>
            <w:tcW w:w="3330" w:type="dxa"/>
            <w:hideMark/>
          </w:tcPr>
          <w:p w:rsidR="00755D77" w:rsidRPr="00755D77" w:rsidRDefault="00755D77" w:rsidP="00147A47">
            <w:pPr>
              <w:spacing w:after="160" w:line="259" w:lineRule="auto"/>
              <w:jc w:val="both"/>
              <w:rPr>
                <w:rFonts w:ascii="Times New Roman" w:eastAsia="Arial" w:hAnsi="Times New Roman"/>
                <w:color w:val="FF0000"/>
                <w:sz w:val="24"/>
                <w:szCs w:val="24"/>
              </w:rPr>
            </w:pPr>
            <w:r w:rsidRPr="00755D77">
              <w:rPr>
                <w:rFonts w:ascii="Times New Roman" w:eastAsia="MS Mincho" w:hAnsi="Times New Roman"/>
                <w:sz w:val="24"/>
                <w:szCs w:val="24"/>
              </w:rPr>
              <w:t>MTI- e pranon pjeserisht këtë koment nga INDEP me arsyetimin:</w:t>
            </w: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Me ligjin ne fuqi metoda statistikore është shumë</w:t>
            </w:r>
            <w:r w:rsidR="008C0EAE">
              <w:rPr>
                <w:rFonts w:ascii="Times New Roman" w:eastAsia="Arial" w:hAnsi="Times New Roman"/>
                <w:sz w:val="24"/>
                <w:szCs w:val="24"/>
              </w:rPr>
              <w:t xml:space="preserve"> më</w:t>
            </w:r>
            <w:r w:rsidRPr="00755D77">
              <w:rPr>
                <w:rFonts w:ascii="Times New Roman" w:eastAsia="Arial" w:hAnsi="Times New Roman"/>
                <w:sz w:val="24"/>
                <w:szCs w:val="24"/>
              </w:rPr>
              <w:t xml:space="preserve"> mirë e </w:t>
            </w:r>
            <w:r>
              <w:rPr>
                <w:rFonts w:ascii="Times New Roman" w:eastAsia="Arial" w:hAnsi="Times New Roman"/>
                <w:sz w:val="24"/>
                <w:szCs w:val="24"/>
              </w:rPr>
              <w:t>qartës</w:t>
            </w:r>
            <w:r w:rsidRPr="00755D77">
              <w:rPr>
                <w:rFonts w:ascii="Times New Roman" w:eastAsia="Arial" w:hAnsi="Times New Roman"/>
                <w:sz w:val="24"/>
                <w:szCs w:val="24"/>
              </w:rPr>
              <w:t>uar.</w:t>
            </w: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 Grupi punues  I KD  nuk e  ka konsideruar </w:t>
            </w:r>
            <w:r w:rsidR="008C0EAE">
              <w:rPr>
                <w:rFonts w:ascii="Times New Roman" w:eastAsia="Arial" w:hAnsi="Times New Roman"/>
                <w:sz w:val="24"/>
                <w:szCs w:val="24"/>
              </w:rPr>
              <w:t xml:space="preserve"> të </w:t>
            </w:r>
            <w:r w:rsidR="008C0EAE" w:rsidRPr="00755D77">
              <w:rPr>
                <w:rFonts w:ascii="Times New Roman" w:eastAsia="Arial" w:hAnsi="Times New Roman"/>
                <w:sz w:val="24"/>
                <w:szCs w:val="24"/>
              </w:rPr>
              <w:t>arsyeshme</w:t>
            </w:r>
            <w:r w:rsidRPr="00755D77">
              <w:rPr>
                <w:rFonts w:ascii="Times New Roman" w:eastAsia="Arial" w:hAnsi="Times New Roman"/>
                <w:sz w:val="24"/>
                <w:szCs w:val="24"/>
              </w:rPr>
              <w:t xml:space="preserve"> te analizoj </w:t>
            </w:r>
            <w:r w:rsidR="008C0EAE" w:rsidRPr="00755D77">
              <w:rPr>
                <w:rFonts w:ascii="Times New Roman" w:eastAsia="Arial" w:hAnsi="Times New Roman"/>
                <w:sz w:val="24"/>
                <w:szCs w:val="24"/>
              </w:rPr>
              <w:t>këtë</w:t>
            </w:r>
            <w:r w:rsidR="008C0EAE">
              <w:rPr>
                <w:rFonts w:ascii="Times New Roman" w:eastAsia="Arial" w:hAnsi="Times New Roman"/>
                <w:sz w:val="24"/>
                <w:szCs w:val="24"/>
              </w:rPr>
              <w:t xml:space="preserve"> qeshti</w:t>
            </w:r>
            <w:r w:rsidRPr="00755D77">
              <w:rPr>
                <w:rFonts w:ascii="Times New Roman" w:eastAsia="Arial" w:hAnsi="Times New Roman"/>
                <w:sz w:val="24"/>
                <w:szCs w:val="24"/>
              </w:rPr>
              <w:t xml:space="preserve">e tek kapitulli 1 pasi qe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konsideruar  se kjo nuk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problem ne </w:t>
            </w:r>
            <w:r w:rsidR="008C0EAE" w:rsidRPr="00755D77">
              <w:rPr>
                <w:rFonts w:ascii="Times New Roman" w:eastAsia="Arial" w:hAnsi="Times New Roman"/>
                <w:sz w:val="24"/>
                <w:szCs w:val="24"/>
              </w:rPr>
              <w:t>pikëpamje</w:t>
            </w:r>
            <w:r w:rsidRPr="00755D77">
              <w:rPr>
                <w:rFonts w:ascii="Times New Roman" w:eastAsia="Arial" w:hAnsi="Times New Roman"/>
                <w:sz w:val="24"/>
                <w:szCs w:val="24"/>
              </w:rPr>
              <w:t xml:space="preserve"> te grupit punues .</w:t>
            </w:r>
          </w:p>
          <w:p w:rsidR="00755D77" w:rsidRPr="00755D77" w:rsidRDefault="008C0EAE"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Për</w:t>
            </w:r>
            <w:r w:rsidR="00755D77" w:rsidRPr="00755D77">
              <w:rPr>
                <w:rFonts w:ascii="Times New Roman" w:eastAsia="Arial" w:hAnsi="Times New Roman"/>
                <w:sz w:val="24"/>
                <w:szCs w:val="24"/>
              </w:rPr>
              <w:t xml:space="preserve"> ta </w:t>
            </w:r>
            <w:r w:rsidRPr="00755D77">
              <w:rPr>
                <w:rFonts w:ascii="Times New Roman" w:eastAsia="Arial" w:hAnsi="Times New Roman"/>
                <w:sz w:val="24"/>
                <w:szCs w:val="24"/>
              </w:rPr>
              <w:t>ri qartësuar</w:t>
            </w:r>
            <w:r w:rsidR="00755D77" w:rsidRPr="00755D77">
              <w:rPr>
                <w:rFonts w:ascii="Times New Roman" w:eastAsia="Arial" w:hAnsi="Times New Roman"/>
                <w:sz w:val="24"/>
                <w:szCs w:val="24"/>
              </w:rPr>
              <w:t xml:space="preserve"> pozicionin e MTI:</w:t>
            </w: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Inspektimi I punimeve nga metalet e çmuara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w:t>
            </w:r>
            <w:r w:rsidR="008C0EAE" w:rsidRPr="00755D77">
              <w:rPr>
                <w:rFonts w:ascii="Times New Roman" w:eastAsia="Arial" w:hAnsi="Times New Roman"/>
                <w:sz w:val="24"/>
                <w:szCs w:val="24"/>
              </w:rPr>
              <w:t>statistikor</w:t>
            </w:r>
            <w:r w:rsidRPr="00755D77">
              <w:rPr>
                <w:rFonts w:ascii="Times New Roman" w:eastAsia="Arial" w:hAnsi="Times New Roman"/>
                <w:sz w:val="24"/>
                <w:szCs w:val="24"/>
              </w:rPr>
              <w:t xml:space="preserve"> por vulosja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e </w:t>
            </w:r>
            <w:r w:rsidR="008C0EAE" w:rsidRPr="00755D77">
              <w:rPr>
                <w:rFonts w:ascii="Times New Roman" w:eastAsia="Arial" w:hAnsi="Times New Roman"/>
                <w:sz w:val="24"/>
                <w:szCs w:val="24"/>
              </w:rPr>
              <w:t>tërësishme</w:t>
            </w:r>
            <w:r w:rsidRPr="00755D77">
              <w:rPr>
                <w:rFonts w:ascii="Times New Roman" w:eastAsia="Arial" w:hAnsi="Times New Roman"/>
                <w:sz w:val="24"/>
                <w:szCs w:val="24"/>
              </w:rPr>
              <w:t xml:space="preserve"> sepse, marrja e mostrave ne </w:t>
            </w:r>
            <w:r w:rsidR="008C0EAE">
              <w:rPr>
                <w:rFonts w:ascii="Times New Roman" w:eastAsia="Arial" w:hAnsi="Times New Roman"/>
                <w:sz w:val="24"/>
                <w:szCs w:val="24"/>
              </w:rPr>
              <w:t>mënyrë</w:t>
            </w:r>
            <w:r w:rsidRPr="00755D77">
              <w:rPr>
                <w:rFonts w:ascii="Times New Roman" w:eastAsia="Arial" w:hAnsi="Times New Roman"/>
                <w:sz w:val="24"/>
                <w:szCs w:val="24"/>
              </w:rPr>
              <w:t xml:space="preserve"> </w:t>
            </w:r>
            <w:r w:rsidR="008C0EAE" w:rsidRPr="00755D77">
              <w:rPr>
                <w:rFonts w:ascii="Times New Roman" w:eastAsia="Arial" w:hAnsi="Times New Roman"/>
                <w:sz w:val="24"/>
                <w:szCs w:val="24"/>
              </w:rPr>
              <w:t>statistikore</w:t>
            </w:r>
            <w:r w:rsidRPr="00755D77">
              <w:rPr>
                <w:rFonts w:ascii="Times New Roman" w:eastAsia="Arial" w:hAnsi="Times New Roman"/>
                <w:sz w:val="24"/>
                <w:szCs w:val="24"/>
              </w:rPr>
              <w:t xml:space="preserve"> duhet te bahen ne </w:t>
            </w:r>
            <w:r w:rsidR="008C0EAE" w:rsidRPr="00755D77">
              <w:rPr>
                <w:rFonts w:ascii="Times New Roman" w:eastAsia="Arial" w:hAnsi="Times New Roman"/>
                <w:sz w:val="24"/>
                <w:szCs w:val="24"/>
              </w:rPr>
              <w:t>vendin</w:t>
            </w:r>
            <w:r w:rsidR="008C0EAE">
              <w:rPr>
                <w:rFonts w:ascii="Times New Roman" w:eastAsia="Arial" w:hAnsi="Times New Roman"/>
                <w:sz w:val="24"/>
                <w:szCs w:val="24"/>
              </w:rPr>
              <w:t xml:space="preserve"> e</w:t>
            </w:r>
            <w:r w:rsidRPr="00755D77">
              <w:rPr>
                <w:rFonts w:ascii="Times New Roman" w:eastAsia="Arial" w:hAnsi="Times New Roman"/>
                <w:sz w:val="24"/>
                <w:szCs w:val="24"/>
              </w:rPr>
              <w:t xml:space="preserve"> prodhimit por ne kemi edhe import te </w:t>
            </w:r>
            <w:r w:rsidR="008C0EAE" w:rsidRPr="00755D77">
              <w:rPr>
                <w:rFonts w:ascii="Times New Roman" w:eastAsia="Arial" w:hAnsi="Times New Roman"/>
                <w:sz w:val="24"/>
                <w:szCs w:val="24"/>
              </w:rPr>
              <w:t>produkteve</w:t>
            </w:r>
            <w:r w:rsidRPr="00755D77">
              <w:rPr>
                <w:rFonts w:ascii="Times New Roman" w:eastAsia="Arial" w:hAnsi="Times New Roman"/>
                <w:sz w:val="24"/>
                <w:szCs w:val="24"/>
              </w:rPr>
              <w:t xml:space="preserve"> pra nuk kemi seri por kemi punime te ndryshme e </w:t>
            </w:r>
            <w:r w:rsidR="008C0EAE" w:rsidRPr="00755D77">
              <w:rPr>
                <w:rFonts w:ascii="Times New Roman" w:eastAsia="Arial" w:hAnsi="Times New Roman"/>
                <w:sz w:val="24"/>
                <w:szCs w:val="24"/>
              </w:rPr>
              <w:t>për</w:t>
            </w:r>
            <w:r w:rsidRPr="00755D77">
              <w:rPr>
                <w:rFonts w:ascii="Times New Roman" w:eastAsia="Arial" w:hAnsi="Times New Roman"/>
                <w:sz w:val="24"/>
                <w:szCs w:val="24"/>
              </w:rPr>
              <w:t xml:space="preserve"> </w:t>
            </w:r>
            <w:r w:rsidR="008C0EAE" w:rsidRPr="00755D77">
              <w:rPr>
                <w:rFonts w:ascii="Times New Roman" w:eastAsia="Arial" w:hAnsi="Times New Roman"/>
                <w:sz w:val="24"/>
                <w:szCs w:val="24"/>
              </w:rPr>
              <w:t>ketë</w:t>
            </w:r>
            <w:r w:rsidRPr="00755D77">
              <w:rPr>
                <w:rFonts w:ascii="Times New Roman" w:eastAsia="Arial" w:hAnsi="Times New Roman"/>
                <w:sz w:val="24"/>
                <w:szCs w:val="24"/>
              </w:rPr>
              <w:t xml:space="preserve"> analiza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w:t>
            </w:r>
            <w:r w:rsidR="008C0EAE" w:rsidRPr="00755D77">
              <w:rPr>
                <w:rFonts w:ascii="Times New Roman" w:eastAsia="Arial" w:hAnsi="Times New Roman"/>
                <w:sz w:val="24"/>
                <w:szCs w:val="24"/>
              </w:rPr>
              <w:t>statistikore</w:t>
            </w:r>
            <w:r w:rsidRPr="00755D77">
              <w:rPr>
                <w:rFonts w:ascii="Times New Roman" w:eastAsia="Arial" w:hAnsi="Times New Roman"/>
                <w:sz w:val="24"/>
                <w:szCs w:val="24"/>
              </w:rPr>
              <w:t xml:space="preserve"> e vulosja </w:t>
            </w:r>
            <w:r w:rsidR="008C0EAE" w:rsidRPr="00755D77">
              <w:rPr>
                <w:rFonts w:ascii="Times New Roman" w:eastAsia="Arial" w:hAnsi="Times New Roman"/>
                <w:sz w:val="24"/>
                <w:szCs w:val="24"/>
              </w:rPr>
              <w:t>është</w:t>
            </w:r>
            <w:r w:rsidRPr="00755D77">
              <w:rPr>
                <w:rFonts w:ascii="Times New Roman" w:eastAsia="Arial" w:hAnsi="Times New Roman"/>
                <w:sz w:val="24"/>
                <w:szCs w:val="24"/>
              </w:rPr>
              <w:t xml:space="preserve"> e </w:t>
            </w:r>
            <w:r w:rsidR="008C0EAE" w:rsidRPr="00755D77">
              <w:rPr>
                <w:rFonts w:ascii="Times New Roman" w:eastAsia="Arial" w:hAnsi="Times New Roman"/>
                <w:sz w:val="24"/>
                <w:szCs w:val="24"/>
              </w:rPr>
              <w:t>tërësishme</w:t>
            </w:r>
            <w:r w:rsidRPr="00755D77">
              <w:rPr>
                <w:rFonts w:ascii="Times New Roman" w:eastAsia="Arial" w:hAnsi="Times New Roman"/>
                <w:sz w:val="24"/>
                <w:szCs w:val="24"/>
              </w:rPr>
              <w:t>.</w:t>
            </w: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 Në </w:t>
            </w:r>
            <w:r w:rsidR="008C0EAE" w:rsidRPr="00755D77">
              <w:rPr>
                <w:rFonts w:ascii="Times New Roman" w:eastAsia="Arial" w:hAnsi="Times New Roman"/>
                <w:sz w:val="24"/>
                <w:szCs w:val="24"/>
              </w:rPr>
              <w:t>këtë</w:t>
            </w:r>
            <w:r w:rsidRPr="00755D77">
              <w:rPr>
                <w:rFonts w:ascii="Times New Roman" w:eastAsia="Arial" w:hAnsi="Times New Roman"/>
                <w:sz w:val="24"/>
                <w:szCs w:val="24"/>
              </w:rPr>
              <w:t xml:space="preserve"> drejtim </w:t>
            </w:r>
            <w:r w:rsidR="008C0EAE" w:rsidRPr="00755D77">
              <w:rPr>
                <w:rFonts w:ascii="Times New Roman" w:eastAsia="Arial" w:hAnsi="Times New Roman"/>
                <w:sz w:val="24"/>
                <w:szCs w:val="24"/>
              </w:rPr>
              <w:t>përgjigja</w:t>
            </w:r>
            <w:r w:rsidRPr="00755D77">
              <w:rPr>
                <w:rFonts w:ascii="Times New Roman" w:eastAsia="Arial" w:hAnsi="Times New Roman"/>
                <w:sz w:val="24"/>
                <w:szCs w:val="24"/>
              </w:rPr>
              <w:t xml:space="preserve"> e nevojshme është dhënë ne kapitullin 5 të KD.</w:t>
            </w:r>
            <w:r w:rsidR="008C0EAE">
              <w:rPr>
                <w:rFonts w:ascii="Times New Roman" w:eastAsia="Arial" w:hAnsi="Times New Roman"/>
                <w:sz w:val="24"/>
                <w:szCs w:val="24"/>
              </w:rPr>
              <w:t xml:space="preserve"> </w:t>
            </w:r>
            <w:r w:rsidRPr="00755D77">
              <w:rPr>
                <w:rFonts w:ascii="Times New Roman" w:eastAsia="Arial" w:hAnsi="Times New Roman"/>
                <w:sz w:val="24"/>
                <w:szCs w:val="24"/>
              </w:rPr>
              <w:t xml:space="preserve">Si dhe gjat takimin me grupet e </w:t>
            </w:r>
            <w:r w:rsidR="008C0EAE" w:rsidRPr="00755D77">
              <w:rPr>
                <w:rFonts w:ascii="Times New Roman" w:eastAsia="Arial" w:hAnsi="Times New Roman"/>
                <w:sz w:val="24"/>
                <w:szCs w:val="24"/>
              </w:rPr>
              <w:t>interesit</w:t>
            </w:r>
            <w:r w:rsidRPr="00755D77">
              <w:rPr>
                <w:rFonts w:ascii="Times New Roman" w:eastAsia="Arial" w:hAnsi="Times New Roman"/>
                <w:sz w:val="24"/>
                <w:szCs w:val="24"/>
              </w:rPr>
              <w:t>.</w:t>
            </w:r>
          </w:p>
          <w:p w:rsidR="00755D77" w:rsidRPr="00755D77" w:rsidRDefault="00755D77" w:rsidP="00147A47">
            <w:pPr>
              <w:spacing w:after="0" w:line="240" w:lineRule="auto"/>
              <w:jc w:val="both"/>
              <w:rPr>
                <w:rFonts w:ascii="Times New Roman" w:eastAsia="MS Mincho" w:hAnsi="Times New Roman"/>
                <w:sz w:val="24"/>
                <w:szCs w:val="24"/>
              </w:rPr>
            </w:pPr>
          </w:p>
        </w:tc>
      </w:tr>
      <w:tr w:rsidR="00755D77" w:rsidRPr="00755D77" w:rsidTr="00755D77">
        <w:trPr>
          <w:trHeight w:val="530"/>
        </w:trPr>
        <w:tc>
          <w:tcPr>
            <w:tcW w:w="1615" w:type="dxa"/>
          </w:tcPr>
          <w:p w:rsidR="00755D77" w:rsidRPr="00755D77" w:rsidRDefault="00755D77" w:rsidP="00755D77">
            <w:pPr>
              <w:spacing w:after="0" w:line="240" w:lineRule="auto"/>
              <w:rPr>
                <w:rFonts w:ascii="Times New Roman" w:eastAsia="MS Mincho" w:hAnsi="Times New Roman"/>
                <w:sz w:val="24"/>
                <w:szCs w:val="24"/>
              </w:rPr>
            </w:pPr>
            <w:r w:rsidRPr="00755D77">
              <w:rPr>
                <w:rFonts w:ascii="Times New Roman" w:eastAsia="MS Mincho" w:hAnsi="Times New Roman"/>
                <w:sz w:val="24"/>
                <w:szCs w:val="24"/>
              </w:rPr>
              <w:t>INDEP</w:t>
            </w:r>
          </w:p>
        </w:tc>
        <w:tc>
          <w:tcPr>
            <w:tcW w:w="3505" w:type="dxa"/>
          </w:tcPr>
          <w:p w:rsidR="00755D77" w:rsidRPr="00755D77" w:rsidRDefault="00755D77" w:rsidP="00147A47">
            <w:pPr>
              <w:spacing w:before="200" w:after="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Kostot e opsioneve </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Koncept dokumenti, që në fillim, në faqe 4, ka dhënë vlerësimin se opsioni i propozuar ka ndikim buxhetor ndonëse nuk është dhënë një shifër. Në faqe 35 të dokumentit, janë dhënë shifra të kostove të tre opsioneve. </w:t>
            </w:r>
            <w:r w:rsidRPr="00755D77">
              <w:rPr>
                <w:rFonts w:ascii="Times New Roman" w:eastAsia="Arial" w:hAnsi="Times New Roman"/>
                <w:sz w:val="24"/>
                <w:szCs w:val="24"/>
              </w:rPr>
              <w:lastRenderedPageBreak/>
              <w:t>Megjithatë, nuk është sqaruar asgjë se me çfarë metodologjie është kalkuluar kostoja e këtyre opsioneve.</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  Opsioni 1: Asnjë ndryshim   Opsioni 2: Përmirësimi i zbatimit dhe ekzekutimit   Opsioni 3: Projektligji për Punimet nga Metalet e Çmuara   </w:t>
            </w: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 xml:space="preserve">  72,829 euro   247,610 euro   209,725 euro     </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b/>
                <w:sz w:val="24"/>
                <w:szCs w:val="24"/>
              </w:rPr>
              <w:t xml:space="preserve"> </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160" w:line="259" w:lineRule="auto"/>
              <w:jc w:val="both"/>
              <w:rPr>
                <w:rFonts w:ascii="Times New Roman" w:eastAsia="Arial" w:hAnsi="Times New Roman"/>
                <w:sz w:val="24"/>
                <w:szCs w:val="24"/>
              </w:rPr>
            </w:pPr>
            <w:r w:rsidRPr="00755D77">
              <w:rPr>
                <w:rFonts w:ascii="Times New Roman" w:eastAsia="Arial" w:hAnsi="Times New Roman"/>
                <w:sz w:val="24"/>
                <w:szCs w:val="24"/>
              </w:rPr>
              <w:t>Koncept-dokumenti sqaron se projeksioni është bërë për pesë vitet e ardhshme. Megjithatë, nuk jepen detaje se përse është përcaktuar që 7 zyrtar të rinjë të punësohen, ku do të sistemohen dhe në çfarë mase pritet rritja e kapacitetit mbikëqyrës.</w:t>
            </w:r>
          </w:p>
          <w:p w:rsidR="00755D77" w:rsidRPr="00755D77" w:rsidRDefault="00755D77" w:rsidP="00147A47">
            <w:pPr>
              <w:spacing w:after="160" w:line="259" w:lineRule="auto"/>
              <w:jc w:val="both"/>
              <w:rPr>
                <w:rFonts w:ascii="Times New Roman" w:eastAsia="Arial" w:hAnsi="Times New Roman"/>
                <w:sz w:val="24"/>
                <w:szCs w:val="24"/>
              </w:rPr>
            </w:pPr>
          </w:p>
          <w:p w:rsidR="00755D77" w:rsidRPr="00755D77" w:rsidRDefault="00755D77" w:rsidP="00147A47">
            <w:pPr>
              <w:spacing w:after="0" w:line="240" w:lineRule="auto"/>
              <w:jc w:val="both"/>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rPr>
                <w:rFonts w:ascii="Times New Roman" w:eastAsia="MS Mincho" w:hAnsi="Times New Roman"/>
                <w:sz w:val="24"/>
                <w:szCs w:val="24"/>
              </w:rPr>
            </w:pPr>
            <w:r w:rsidRPr="00755D77">
              <w:rPr>
                <w:rFonts w:ascii="Times New Roman" w:eastAsia="MS Mincho" w:hAnsi="Times New Roman"/>
                <w:sz w:val="24"/>
                <w:szCs w:val="24"/>
              </w:rPr>
              <w:lastRenderedPageBreak/>
              <w:t>Pranuar plotsisht</w:t>
            </w:r>
          </w:p>
        </w:tc>
        <w:tc>
          <w:tcPr>
            <w:tcW w:w="3330" w:type="dxa"/>
          </w:tcPr>
          <w:p w:rsidR="00755D77" w:rsidRPr="00755D77" w:rsidRDefault="00755D77" w:rsidP="00147A47">
            <w:pPr>
              <w:spacing w:after="0" w:line="240" w:lineRule="auto"/>
              <w:jc w:val="both"/>
              <w:rPr>
                <w:rFonts w:ascii="Times New Roman" w:eastAsia="MS Mincho" w:hAnsi="Times New Roman"/>
                <w:sz w:val="24"/>
                <w:szCs w:val="24"/>
              </w:rPr>
            </w:pPr>
            <w:r w:rsidRPr="00755D77">
              <w:rPr>
                <w:rFonts w:ascii="Times New Roman" w:eastAsia="MS Mincho" w:hAnsi="Times New Roman"/>
                <w:sz w:val="24"/>
                <w:szCs w:val="24"/>
              </w:rPr>
              <w:t>Kostimi I opsioneve është bërë sipas metodologjis se caktuar në udhëzimin admistrativ 2015/03 per VNB I integruar ne  doracakun per KD.</w:t>
            </w:r>
          </w:p>
          <w:p w:rsidR="00755D77" w:rsidRPr="00755D77" w:rsidRDefault="00755D77" w:rsidP="00147A47">
            <w:pPr>
              <w:spacing w:after="0" w:line="240" w:lineRule="auto"/>
              <w:jc w:val="both"/>
              <w:rPr>
                <w:rFonts w:ascii="Times New Roman" w:eastAsia="MS Mincho" w:hAnsi="Times New Roman"/>
                <w:sz w:val="24"/>
                <w:szCs w:val="24"/>
              </w:rPr>
            </w:pPr>
            <w:r w:rsidRPr="00755D77">
              <w:rPr>
                <w:rFonts w:ascii="Times New Roman" w:eastAsia="MS Mincho" w:hAnsi="Times New Roman"/>
                <w:sz w:val="24"/>
                <w:szCs w:val="24"/>
              </w:rPr>
              <w:t>Sa I perket pun</w:t>
            </w:r>
            <w:r w:rsidR="008C0EAE">
              <w:rPr>
                <w:rFonts w:ascii="Times New Roman" w:eastAsia="MS Mincho" w:hAnsi="Times New Roman"/>
                <w:sz w:val="24"/>
                <w:szCs w:val="24"/>
              </w:rPr>
              <w:t>ësimit te 7 zyrtarve te rinje të</w:t>
            </w:r>
            <w:r w:rsidRPr="00755D77">
              <w:rPr>
                <w:rFonts w:ascii="Times New Roman" w:eastAsia="MS Mincho" w:hAnsi="Times New Roman"/>
                <w:sz w:val="24"/>
                <w:szCs w:val="24"/>
              </w:rPr>
              <w:t xml:space="preserve"> cekur ne opsionin 2, ësht</w:t>
            </w:r>
            <w:r w:rsidR="008C0EAE">
              <w:rPr>
                <w:rFonts w:ascii="Times New Roman" w:eastAsia="MS Mincho" w:hAnsi="Times New Roman"/>
                <w:sz w:val="24"/>
                <w:szCs w:val="24"/>
              </w:rPr>
              <w:t>ë</w:t>
            </w:r>
            <w:r w:rsidRPr="00755D77">
              <w:rPr>
                <w:rFonts w:ascii="Times New Roman" w:eastAsia="MS Mincho" w:hAnsi="Times New Roman"/>
                <w:sz w:val="24"/>
                <w:szCs w:val="24"/>
              </w:rPr>
              <w:t xml:space="preserve"> menduar që ata te pun</w:t>
            </w:r>
            <w:r w:rsidR="008C0EAE">
              <w:rPr>
                <w:rFonts w:ascii="Times New Roman" w:eastAsia="MS Mincho" w:hAnsi="Times New Roman"/>
                <w:sz w:val="24"/>
                <w:szCs w:val="24"/>
              </w:rPr>
              <w:t>ë</w:t>
            </w:r>
            <w:r w:rsidRPr="00755D77">
              <w:rPr>
                <w:rFonts w:ascii="Times New Roman" w:eastAsia="MS Mincho" w:hAnsi="Times New Roman"/>
                <w:sz w:val="24"/>
                <w:szCs w:val="24"/>
              </w:rPr>
              <w:t xml:space="preserve">sohen  inspektor te  per mbikqyrjen e tregut. Kurse me ospionin 3 do te punsohen 4 </w:t>
            </w:r>
            <w:r w:rsidRPr="00755D77">
              <w:rPr>
                <w:rFonts w:ascii="Times New Roman" w:eastAsia="MS Mincho" w:hAnsi="Times New Roman"/>
                <w:sz w:val="24"/>
                <w:szCs w:val="24"/>
              </w:rPr>
              <w:lastRenderedPageBreak/>
              <w:t xml:space="preserve">zyrtar dy ne divizionin ne prishtinë dhe dy ne divizionin ne Prizren.  </w:t>
            </w:r>
          </w:p>
        </w:tc>
      </w:tr>
      <w:tr w:rsidR="00755D77" w:rsidRPr="00755D77" w:rsidTr="00755D77">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lastRenderedPageBreak/>
              <w:t>INDEP</w:t>
            </w:r>
          </w:p>
        </w:tc>
        <w:tc>
          <w:tcPr>
            <w:tcW w:w="3505" w:type="dxa"/>
          </w:tcPr>
          <w:p w:rsidR="00755D77" w:rsidRPr="00755D77" w:rsidRDefault="00755D77" w:rsidP="00147A47">
            <w:pPr>
              <w:spacing w:before="200"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Shenja e përpunuesit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Në koncept-dokument, një nga shkaqet e përmendura është edhe &amp;ldquo;Mos pajisja e Përpunuesit në Kosovë me shenjën e përpunuesit për punimet që i përpunojnë vetë ato (shenja e përpunuesit duhet te jetë e autorizuar nga AMK)!&amp;rdquo; Ky shkak, megjithatë, nuk është analizuar pothuaj fare dhe vetëm me një fjali është sqaruar se &amp;ldquo;Me ligjin në fuqi, çdo </w:t>
            </w:r>
            <w:r w:rsidRPr="00755D77">
              <w:rPr>
                <w:rFonts w:ascii="Times New Roman" w:eastAsia="Arial" w:hAnsi="Times New Roman"/>
                <w:sz w:val="24"/>
                <w:szCs w:val="24"/>
              </w:rPr>
              <w:lastRenderedPageBreak/>
              <w:t>produkt i cili importohet apo përpunohet në Republikën e Kosovës duhet ti nënshtrohet kontrollit të cilësisë dhe shënjimit me shenjën Shtetërore.&amp;rdquo;</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Në definimin dhe &amp;ldquo;analizën&amp;rdquo; aktuale është krejtësisht e paqartë se ku qëndron problemi dhe cilat kanë qenë efektet që ka shkakt</w:t>
            </w:r>
          </w:p>
          <w:p w:rsidR="00755D77" w:rsidRPr="00755D77" w:rsidRDefault="00755D77" w:rsidP="00147A47">
            <w:pPr>
              <w:spacing w:after="160" w:line="259" w:lineRule="auto"/>
              <w:ind w:left="-2" w:firstLine="2"/>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uar kjo. Ligji Nr. 04/L-154 për Punimet nga Metalet e Çmuara, autorizon Laboratorin që të përcaktoj shenjën e prodhuesit dhe të mbaj evidencën e tyre. Nëse përpunuesit vendor të metaleve të çmuara nuk po trajtohen si prodhues dhe kjo ka nevojë të ndryshohet në Ligj, kjo është dashur të bëhet e qartë në koncept-dokument. Gjithashtu, të sqarohen edhe pasojat që ka pasur dhe përfitimet që ka në rast të ndryshimit.</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lastRenderedPageBreak/>
              <w:t xml:space="preserve"> E pranuar pjesërisht</w:t>
            </w:r>
          </w:p>
        </w:tc>
        <w:tc>
          <w:tcPr>
            <w:tcW w:w="3330" w:type="dxa"/>
          </w:tcPr>
          <w:p w:rsidR="00755D77" w:rsidRPr="00345C3D" w:rsidRDefault="008C0EAE"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t xml:space="preserve"> Shkaku I cekur per kë</w:t>
            </w:r>
            <w:r w:rsidR="00755D77" w:rsidRPr="00345C3D">
              <w:rPr>
                <w:rFonts w:ascii="Times New Roman" w:eastAsia="MS Mincho" w:hAnsi="Times New Roman"/>
                <w:sz w:val="24"/>
                <w:szCs w:val="24"/>
              </w:rPr>
              <w:t>t</w:t>
            </w:r>
            <w:r w:rsidRPr="00345C3D">
              <w:rPr>
                <w:rFonts w:ascii="Times New Roman" w:eastAsia="MS Mincho" w:hAnsi="Times New Roman"/>
                <w:sz w:val="24"/>
                <w:szCs w:val="24"/>
              </w:rPr>
              <w:t>ë</w:t>
            </w:r>
            <w:r w:rsidR="00755D77" w:rsidRPr="00345C3D">
              <w:rPr>
                <w:rFonts w:ascii="Times New Roman" w:eastAsia="MS Mincho" w:hAnsi="Times New Roman"/>
                <w:sz w:val="24"/>
                <w:szCs w:val="24"/>
              </w:rPr>
              <w:t xml:space="preserve"> qeshtje është plotsuar me tutje ne analizen 2 të KD. Efekti ësht</w:t>
            </w:r>
            <w:r w:rsidRPr="00345C3D">
              <w:rPr>
                <w:rFonts w:ascii="Times New Roman" w:eastAsia="MS Mincho" w:hAnsi="Times New Roman"/>
                <w:sz w:val="24"/>
                <w:szCs w:val="24"/>
              </w:rPr>
              <w:t>ë</w:t>
            </w:r>
            <w:r w:rsidR="00755D77" w:rsidRPr="00345C3D">
              <w:rPr>
                <w:rFonts w:ascii="Times New Roman" w:eastAsia="MS Mincho" w:hAnsi="Times New Roman"/>
                <w:sz w:val="24"/>
                <w:szCs w:val="24"/>
              </w:rPr>
              <w:t xml:space="preserve"> demtimi I perpunuesve. Gjithashtu ësht</w:t>
            </w:r>
            <w:r w:rsidRPr="00345C3D">
              <w:rPr>
                <w:rFonts w:ascii="Times New Roman" w:eastAsia="MS Mincho" w:hAnsi="Times New Roman"/>
                <w:sz w:val="24"/>
                <w:szCs w:val="24"/>
              </w:rPr>
              <w:t>ë</w:t>
            </w:r>
            <w:r w:rsidR="00755D77" w:rsidRPr="00345C3D">
              <w:rPr>
                <w:rFonts w:ascii="Times New Roman" w:eastAsia="MS Mincho" w:hAnsi="Times New Roman"/>
                <w:sz w:val="24"/>
                <w:szCs w:val="24"/>
              </w:rPr>
              <w:t xml:space="preserve"> bër</w:t>
            </w:r>
            <w:r w:rsidRPr="00345C3D">
              <w:rPr>
                <w:rFonts w:ascii="Times New Roman" w:eastAsia="MS Mincho" w:hAnsi="Times New Roman"/>
                <w:sz w:val="24"/>
                <w:szCs w:val="24"/>
              </w:rPr>
              <w:t>ë</w:t>
            </w:r>
            <w:r w:rsidR="00755D77" w:rsidRPr="00345C3D">
              <w:rPr>
                <w:rFonts w:ascii="Times New Roman" w:eastAsia="MS Mincho" w:hAnsi="Times New Roman"/>
                <w:sz w:val="24"/>
                <w:szCs w:val="24"/>
              </w:rPr>
              <w:t xml:space="preserve"> e qart</w:t>
            </w:r>
            <w:r w:rsidRPr="00345C3D">
              <w:rPr>
                <w:rFonts w:ascii="Times New Roman" w:eastAsia="MS Mincho" w:hAnsi="Times New Roman"/>
                <w:sz w:val="24"/>
                <w:szCs w:val="24"/>
              </w:rPr>
              <w:t>ë</w:t>
            </w:r>
            <w:r w:rsidR="00755D77" w:rsidRPr="00345C3D">
              <w:rPr>
                <w:rFonts w:ascii="Times New Roman" w:eastAsia="MS Mincho" w:hAnsi="Times New Roman"/>
                <w:sz w:val="24"/>
                <w:szCs w:val="24"/>
              </w:rPr>
              <w:t xml:space="preserve"> në opsionin  rekomanduar se do te nxjeret akti nenligjor ku do te definohen kriteret:</w:t>
            </w:r>
          </w:p>
          <w:p w:rsidR="00147A47" w:rsidRPr="00345C3D" w:rsidRDefault="0025319E"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t>-</w:t>
            </w:r>
            <w:r w:rsidR="00147A47" w:rsidRPr="00345C3D">
              <w:rPr>
                <w:rFonts w:ascii="Times New Roman" w:eastAsia="MS Mincho" w:hAnsi="Times New Roman"/>
                <w:sz w:val="24"/>
                <w:szCs w:val="24"/>
              </w:rPr>
              <w:t>Të jet</w:t>
            </w:r>
            <w:r w:rsidR="00634292" w:rsidRPr="00345C3D">
              <w:rPr>
                <w:rFonts w:ascii="Times New Roman" w:eastAsia="MS Mincho" w:hAnsi="Times New Roman"/>
                <w:sz w:val="24"/>
                <w:szCs w:val="24"/>
              </w:rPr>
              <w:t>ë</w:t>
            </w:r>
            <w:r w:rsidR="00147A47" w:rsidRPr="00345C3D">
              <w:rPr>
                <w:rFonts w:ascii="Times New Roman" w:eastAsia="MS Mincho" w:hAnsi="Times New Roman"/>
                <w:sz w:val="24"/>
                <w:szCs w:val="24"/>
              </w:rPr>
              <w:t xml:space="preserve"> i rregjistruar si perpunues ne ARBK,</w:t>
            </w:r>
          </w:p>
          <w:p w:rsidR="00CE716D" w:rsidRPr="00345C3D" w:rsidRDefault="0025319E"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t>-</w:t>
            </w:r>
            <w:r w:rsidR="00CE716D" w:rsidRPr="00345C3D">
              <w:rPr>
                <w:rFonts w:ascii="Times New Roman" w:eastAsia="MS Mincho" w:hAnsi="Times New Roman"/>
                <w:sz w:val="24"/>
                <w:szCs w:val="24"/>
              </w:rPr>
              <w:t>Të ket</w:t>
            </w:r>
            <w:r w:rsidR="00634292" w:rsidRPr="00345C3D">
              <w:rPr>
                <w:rFonts w:ascii="Times New Roman" w:eastAsia="MS Mincho" w:hAnsi="Times New Roman"/>
                <w:sz w:val="24"/>
                <w:szCs w:val="24"/>
              </w:rPr>
              <w:t>ë</w:t>
            </w:r>
            <w:r w:rsidR="00CE716D" w:rsidRPr="00345C3D">
              <w:rPr>
                <w:rFonts w:ascii="Times New Roman" w:eastAsia="MS Mincho" w:hAnsi="Times New Roman"/>
                <w:sz w:val="24"/>
                <w:szCs w:val="24"/>
              </w:rPr>
              <w:t xml:space="preserve"> pasijve profesio</w:t>
            </w:r>
            <w:r w:rsidR="00634292" w:rsidRPr="00345C3D">
              <w:rPr>
                <w:rFonts w:ascii="Times New Roman" w:eastAsia="MS Mincho" w:hAnsi="Times New Roman"/>
                <w:sz w:val="24"/>
                <w:szCs w:val="24"/>
              </w:rPr>
              <w:t>nale, materjale r</w:t>
            </w:r>
            <w:r w:rsidR="00CE716D" w:rsidRPr="00345C3D">
              <w:rPr>
                <w:rFonts w:ascii="Times New Roman" w:eastAsia="MS Mincho" w:hAnsi="Times New Roman"/>
                <w:sz w:val="24"/>
                <w:szCs w:val="24"/>
              </w:rPr>
              <w:t>eferente te jen</w:t>
            </w:r>
            <w:r w:rsidR="00634292" w:rsidRPr="00345C3D">
              <w:rPr>
                <w:rFonts w:ascii="Times New Roman" w:eastAsia="MS Mincho" w:hAnsi="Times New Roman"/>
                <w:sz w:val="24"/>
                <w:szCs w:val="24"/>
              </w:rPr>
              <w:t>ë</w:t>
            </w:r>
            <w:r w:rsidR="00CE716D" w:rsidRPr="00345C3D">
              <w:rPr>
                <w:rFonts w:ascii="Times New Roman" w:eastAsia="MS Mincho" w:hAnsi="Times New Roman"/>
                <w:sz w:val="24"/>
                <w:szCs w:val="24"/>
              </w:rPr>
              <w:t xml:space="preserve"> te percjellura me certifikata valide te kalibrimit,</w:t>
            </w:r>
          </w:p>
          <w:p w:rsidR="003B5931" w:rsidRPr="00345C3D" w:rsidRDefault="00CE716D"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lastRenderedPageBreak/>
              <w:t xml:space="preserve">  </w:t>
            </w:r>
            <w:r w:rsidR="0025319E" w:rsidRPr="00345C3D">
              <w:rPr>
                <w:rFonts w:ascii="Times New Roman" w:eastAsia="MS Mincho" w:hAnsi="Times New Roman"/>
                <w:sz w:val="24"/>
                <w:szCs w:val="24"/>
              </w:rPr>
              <w:t>-Te ket</w:t>
            </w:r>
            <w:r w:rsidR="00634292" w:rsidRPr="00345C3D">
              <w:rPr>
                <w:rFonts w:ascii="Times New Roman" w:eastAsia="MS Mincho" w:hAnsi="Times New Roman"/>
                <w:sz w:val="24"/>
                <w:szCs w:val="24"/>
              </w:rPr>
              <w:t>ë</w:t>
            </w:r>
            <w:r w:rsidR="0025319E" w:rsidRPr="00345C3D">
              <w:rPr>
                <w:rFonts w:ascii="Times New Roman" w:eastAsia="MS Mincho" w:hAnsi="Times New Roman"/>
                <w:sz w:val="24"/>
                <w:szCs w:val="24"/>
              </w:rPr>
              <w:t xml:space="preserve"> staf te trajnuar dhe te shkolluar per fushen perkatse </w:t>
            </w:r>
          </w:p>
          <w:p w:rsidR="00245370" w:rsidRPr="00345C3D" w:rsidRDefault="007F2DBF"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t>- Te ket</w:t>
            </w:r>
            <w:r w:rsidR="00634292" w:rsidRPr="00345C3D">
              <w:rPr>
                <w:rFonts w:ascii="Times New Roman" w:eastAsia="MS Mincho" w:hAnsi="Times New Roman"/>
                <w:sz w:val="24"/>
                <w:szCs w:val="24"/>
              </w:rPr>
              <w:t>ë</w:t>
            </w:r>
            <w:r w:rsidR="0025319E" w:rsidRPr="00345C3D">
              <w:rPr>
                <w:rFonts w:ascii="Times New Roman" w:eastAsia="MS Mincho" w:hAnsi="Times New Roman"/>
                <w:sz w:val="24"/>
                <w:szCs w:val="24"/>
              </w:rPr>
              <w:t xml:space="preserve"> labo</w:t>
            </w:r>
            <w:r w:rsidR="00634292" w:rsidRPr="00345C3D">
              <w:rPr>
                <w:rFonts w:ascii="Times New Roman" w:eastAsia="MS Mincho" w:hAnsi="Times New Roman"/>
                <w:sz w:val="24"/>
                <w:szCs w:val="24"/>
              </w:rPr>
              <w:t>rator</w:t>
            </w:r>
            <w:r w:rsidRPr="00345C3D">
              <w:rPr>
                <w:rFonts w:ascii="Times New Roman" w:eastAsia="MS Mincho" w:hAnsi="Times New Roman"/>
                <w:sz w:val="24"/>
                <w:szCs w:val="24"/>
              </w:rPr>
              <w:t xml:space="preserve"> te akred</w:t>
            </w:r>
            <w:r w:rsidR="00634292" w:rsidRPr="00345C3D">
              <w:rPr>
                <w:rFonts w:ascii="Times New Roman" w:eastAsia="MS Mincho" w:hAnsi="Times New Roman"/>
                <w:sz w:val="24"/>
                <w:szCs w:val="24"/>
              </w:rPr>
              <w:t>ituar sipas standartit</w:t>
            </w:r>
            <w:r w:rsidRPr="00345C3D">
              <w:rPr>
                <w:rFonts w:ascii="Times New Roman" w:eastAsia="MS Mincho" w:hAnsi="Times New Roman"/>
                <w:sz w:val="24"/>
                <w:szCs w:val="24"/>
              </w:rPr>
              <w:t xml:space="preserve"> ISO17025:2017</w:t>
            </w:r>
            <w:r w:rsidR="0025319E" w:rsidRPr="00345C3D">
              <w:rPr>
                <w:rFonts w:ascii="Times New Roman" w:eastAsia="MS Mincho" w:hAnsi="Times New Roman"/>
                <w:sz w:val="24"/>
                <w:szCs w:val="24"/>
              </w:rPr>
              <w:t xml:space="preserve"> </w:t>
            </w:r>
            <w:r w:rsidR="002A30E6" w:rsidRPr="00345C3D">
              <w:rPr>
                <w:rFonts w:ascii="Times New Roman" w:eastAsia="MS Mincho" w:hAnsi="Times New Roman"/>
                <w:sz w:val="24"/>
                <w:szCs w:val="24"/>
              </w:rPr>
              <w:t xml:space="preserve">si dhe analizat kimke te bëra sipar  statdarteve teknike  </w:t>
            </w:r>
            <w:r w:rsidR="0025319E" w:rsidRPr="00345C3D">
              <w:rPr>
                <w:rFonts w:ascii="Times New Roman" w:eastAsia="MS Mincho" w:hAnsi="Times New Roman"/>
                <w:sz w:val="24"/>
                <w:szCs w:val="24"/>
              </w:rPr>
              <w:t xml:space="preserve"> ISO</w:t>
            </w:r>
            <w:r w:rsidR="00245370" w:rsidRPr="00345C3D">
              <w:rPr>
                <w:rFonts w:ascii="Times New Roman" w:eastAsia="MS Mincho" w:hAnsi="Times New Roman"/>
                <w:sz w:val="24"/>
                <w:szCs w:val="24"/>
              </w:rPr>
              <w:t>11426:2008</w:t>
            </w:r>
          </w:p>
          <w:p w:rsidR="00147A47" w:rsidRPr="00345C3D" w:rsidRDefault="00245370" w:rsidP="00147A47">
            <w:pPr>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345C3D">
              <w:rPr>
                <w:rFonts w:ascii="Times New Roman" w:eastAsia="MS Mincho" w:hAnsi="Times New Roman"/>
                <w:sz w:val="24"/>
                <w:szCs w:val="24"/>
              </w:rPr>
              <w:t xml:space="preserve">ISO 13756:2008  </w:t>
            </w:r>
          </w:p>
        </w:tc>
      </w:tr>
      <w:tr w:rsidR="00755D77" w:rsidRPr="00755D77" w:rsidTr="00755D77">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lastRenderedPageBreak/>
              <w:t>INDEP</w:t>
            </w:r>
          </w:p>
        </w:tc>
        <w:tc>
          <w:tcPr>
            <w:tcW w:w="3505" w:type="dxa"/>
          </w:tcPr>
          <w:p w:rsidR="00755D77" w:rsidRPr="00755D77" w:rsidRDefault="00755D77" w:rsidP="00147A47">
            <w:pPr>
              <w:spacing w:before="200"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Efektet nuk janë sqaruar sa duhet</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Ka një mungesë të vijës sqaruese në mes të asaj se ku qëndron problemi tek Ligji dhe ku tek kapacitetet njerëzore për ta zbatuar atë. Në pjesën e efekteve, në njërën anë janë sqaruar disa dispozita ligjore që kanë nevojë të ndryshohen, e në anën tjetër është thënë se &amp;ldquo;për arsye te kapaciteteve te limituara te stafit te sektorit dhe formës te mbikëqyrjes se tregut bazuar ne ligjin ne fuqi rezulton ne pa mundësinë e kontrollit te cilësisë te të gjitha punimeve te përpunuara qe hynë apo </w:t>
            </w:r>
            <w:r w:rsidRPr="00755D77">
              <w:rPr>
                <w:rFonts w:ascii="Times New Roman" w:eastAsia="Arial" w:hAnsi="Times New Roman"/>
                <w:sz w:val="24"/>
                <w:szCs w:val="24"/>
              </w:rPr>
              <w:lastRenderedPageBreak/>
              <w:t>përpunohen ne tregun e Republikës se Kosovës.&amp;rdquo;</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Nëse për të implementuar Ligjin pa plotësim ndryshim duhen staf shtesë sepse, le të themi ndër të tjera Ligji nuk lejon kontrollë statistikorë (me mostër), atëherë përse në kostot e opsionit 3 (Ligj i ri) është paraparë sësish shtim i numrit të punonjësve. A nuk do të duhej të ishte njëra: ose Ligj i ri me procedura më të lehta e punë më pak për stafin, ose rritje të numrit të stafit në kornizën aktuale ligjore?</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lastRenderedPageBreak/>
              <w:t>E refuzuar</w:t>
            </w:r>
          </w:p>
        </w:tc>
        <w:tc>
          <w:tcPr>
            <w:tcW w:w="3330"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MTI- e refuzon këtë koment nga INDEP me arsyetimin:</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Inspektimi statstikor  jo domesdoshmerisht esht</w:t>
            </w:r>
            <w:r w:rsidR="008C0EAE">
              <w:rPr>
                <w:rFonts w:ascii="Times New Roman" w:eastAsia="MS Mincho" w:hAnsi="Times New Roman"/>
                <w:sz w:val="24"/>
                <w:szCs w:val="24"/>
              </w:rPr>
              <w:t>ë</w:t>
            </w:r>
            <w:r w:rsidRPr="00755D77">
              <w:rPr>
                <w:rFonts w:ascii="Times New Roman" w:eastAsia="MS Mincho" w:hAnsi="Times New Roman"/>
                <w:sz w:val="24"/>
                <w:szCs w:val="24"/>
              </w:rPr>
              <w:t xml:space="preserve"> I lidhur me numrine  e stafit, me gjithate arsyetimi </w:t>
            </w:r>
            <w:r w:rsidR="008C0EAE">
              <w:rPr>
                <w:rFonts w:ascii="Times New Roman" w:eastAsia="MS Mincho" w:hAnsi="Times New Roman"/>
                <w:sz w:val="24"/>
                <w:szCs w:val="24"/>
              </w:rPr>
              <w:t>ynë</w:t>
            </w:r>
            <w:r w:rsidRPr="00755D77">
              <w:rPr>
                <w:rFonts w:ascii="Times New Roman" w:eastAsia="MS Mincho" w:hAnsi="Times New Roman"/>
                <w:sz w:val="24"/>
                <w:szCs w:val="24"/>
              </w:rPr>
              <w:t xml:space="preserve"> qendron ne faktin se rekrutimi I statfit te ri nuk esht</w:t>
            </w:r>
            <w:r w:rsidR="008C0EAE">
              <w:rPr>
                <w:rFonts w:ascii="Times New Roman" w:eastAsia="MS Mincho" w:hAnsi="Times New Roman"/>
                <w:sz w:val="24"/>
                <w:szCs w:val="24"/>
              </w:rPr>
              <w:t>ë</w:t>
            </w:r>
            <w:r w:rsidRPr="00755D77">
              <w:rPr>
                <w:rFonts w:ascii="Times New Roman" w:eastAsia="MS Mincho" w:hAnsi="Times New Roman"/>
                <w:sz w:val="24"/>
                <w:szCs w:val="24"/>
              </w:rPr>
              <w:t xml:space="preserve"> I lidhur domesdoshmerisht  me  vetem me  implemetinimin e ketij ligji, por edhe </w:t>
            </w:r>
            <w:r w:rsidR="008C0EAE">
              <w:rPr>
                <w:rFonts w:ascii="Times New Roman" w:eastAsia="MS Mincho" w:hAnsi="Times New Roman"/>
                <w:sz w:val="24"/>
                <w:szCs w:val="24"/>
              </w:rPr>
              <w:t>me</w:t>
            </w:r>
            <w:r w:rsidRPr="00755D77">
              <w:rPr>
                <w:rFonts w:ascii="Times New Roman" w:eastAsia="MS Mincho" w:hAnsi="Times New Roman"/>
                <w:sz w:val="24"/>
                <w:szCs w:val="24"/>
              </w:rPr>
              <w:t xml:space="preserve"> funksione tjer te agjencis te cilat </w:t>
            </w:r>
            <w:r w:rsidR="008C0EAE">
              <w:rPr>
                <w:rFonts w:ascii="Times New Roman" w:eastAsia="MS Mincho" w:hAnsi="Times New Roman"/>
                <w:sz w:val="24"/>
                <w:szCs w:val="24"/>
              </w:rPr>
              <w:t>janë të</w:t>
            </w:r>
            <w:r w:rsidRPr="00755D77">
              <w:rPr>
                <w:rFonts w:ascii="Times New Roman" w:eastAsia="MS Mincho" w:hAnsi="Times New Roman"/>
                <w:sz w:val="24"/>
                <w:szCs w:val="24"/>
              </w:rPr>
              <w:t xml:space="preserve"> parapara me planin e punes se AMK-s.</w:t>
            </w:r>
          </w:p>
        </w:tc>
      </w:tr>
      <w:tr w:rsidR="00755D77" w:rsidRPr="00755D77" w:rsidTr="00755D77">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t>INDEP</w:t>
            </w:r>
          </w:p>
        </w:tc>
        <w:tc>
          <w:tcPr>
            <w:tcW w:w="3505" w:type="dxa"/>
          </w:tcPr>
          <w:p w:rsidR="00755D77" w:rsidRPr="00755D77" w:rsidRDefault="00755D77" w:rsidP="00147A47">
            <w:pPr>
              <w:spacing w:before="200"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Studimi krahasues nuk sqaron kriteret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Në pjeën e studimit krahasues, nuk është dhënë asnjë sqarim se përse janë marrë përvojat e Kroacisë, Sllovenisë dhe Malit të Zi. Për më tepër, a ka pasur elemente specifike që është vendosur të shikohen paraktikat e vendeve të tjera apo janë trajtuar të gjitha çështjet nga perspektiva e përvojës dhe praktikës së vendeve të tjera. Ne konsiderojmë që çfarëdo analize krahasimore duhet të shoqërohet me një shpjegim mbi kriteret e përzgjedhjes së shteteve dhe çështjeve për krahasim.</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 xml:space="preserve"> Pranohet </w:t>
            </w:r>
          </w:p>
        </w:tc>
        <w:tc>
          <w:tcPr>
            <w:tcW w:w="3330" w:type="dxa"/>
          </w:tcPr>
          <w:p w:rsidR="00755D77" w:rsidRPr="00755D77" w:rsidRDefault="008C0EAE"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Pr>
                <w:rFonts w:ascii="Times New Roman" w:eastAsia="MS Mincho" w:hAnsi="Times New Roman"/>
                <w:sz w:val="24"/>
                <w:szCs w:val="24"/>
              </w:rPr>
              <w:t>Ë</w:t>
            </w:r>
            <w:r w:rsidR="00755D77" w:rsidRPr="00755D77">
              <w:rPr>
                <w:rFonts w:ascii="Times New Roman" w:eastAsia="MS Mincho" w:hAnsi="Times New Roman"/>
                <w:sz w:val="24"/>
                <w:szCs w:val="24"/>
              </w:rPr>
              <w:t>sht</w:t>
            </w:r>
            <w:r>
              <w:rPr>
                <w:rFonts w:ascii="Times New Roman" w:eastAsia="MS Mincho" w:hAnsi="Times New Roman"/>
                <w:sz w:val="24"/>
                <w:szCs w:val="24"/>
              </w:rPr>
              <w:t>ë</w:t>
            </w:r>
            <w:r w:rsidR="00755D77" w:rsidRPr="00755D77">
              <w:rPr>
                <w:rFonts w:ascii="Times New Roman" w:eastAsia="MS Mincho" w:hAnsi="Times New Roman"/>
                <w:sz w:val="24"/>
                <w:szCs w:val="24"/>
              </w:rPr>
              <w:t xml:space="preserve"> dhënë spjegimi I nevojshem ne KD</w:t>
            </w:r>
          </w:p>
        </w:tc>
      </w:tr>
      <w:tr w:rsidR="00755D77" w:rsidRPr="00755D77" w:rsidTr="00755D77">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t>INDEP</w:t>
            </w:r>
          </w:p>
        </w:tc>
        <w:tc>
          <w:tcPr>
            <w:tcW w:w="3505" w:type="dxa"/>
          </w:tcPr>
          <w:p w:rsidR="00755D77" w:rsidRPr="00755D77" w:rsidRDefault="00755D77" w:rsidP="00147A47">
            <w:pPr>
              <w:spacing w:before="200"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Kolizioni i ligjeve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i/>
                <w:iCs/>
                <w:sz w:val="24"/>
                <w:szCs w:val="24"/>
              </w:rPr>
            </w:pPr>
            <w:r w:rsidRPr="00755D77">
              <w:rPr>
                <w:rFonts w:ascii="Times New Roman" w:eastAsia="Arial" w:hAnsi="Times New Roman"/>
                <w:sz w:val="24"/>
                <w:szCs w:val="24"/>
              </w:rPr>
              <w:t xml:space="preserve">Në shkakun numër 3 në këtë koncept-dokument, &amp;ldquo;Raporti i Ekzaminimit të </w:t>
            </w:r>
            <w:r w:rsidRPr="00755D77">
              <w:rPr>
                <w:rFonts w:ascii="Times New Roman" w:eastAsia="Arial" w:hAnsi="Times New Roman"/>
                <w:sz w:val="24"/>
                <w:szCs w:val="24"/>
              </w:rPr>
              <w:lastRenderedPageBreak/>
              <w:t xml:space="preserve">Metaleve të Çmuara si dhe Vendimi për Shenjën e Prodhuesit, Importuesit ose Përfaqësuesit të Autorizuar të Punimeve nga Metalet e Çmuara, me shkrim që lëshohen nga Sektori i metaleve të çmuara, nuk është i janë të emërtuara si &amp;lsquo;leje&amp;rsquo;, është theksuar se Ligji aktual 04/L-154 për Punimet nga Metalet e Çmuara, bie ndesh me Ligjin Nr. 04/L-202 për Sistemin e Lejeve dhe Licencave. Ne konsiderojmë që raporti është plotësisht në përputhje me &amp;ldquo;lejimin&amp;rdquo; që përcakton neni 4 i Ligjit Nr. 04/L-202 për Sistemin e Lejeve dhe Licencave. Për më tepër, organi administrativ ka mundësi ta emërtoj Leje dokumentin e lëshuar duke marrë parasysh që Ligji Nr. 04/L-202 për Sistemin e Lejeve dhe Licencave është Ligj i veçantë dhe i atribuohet parimi </w:t>
            </w:r>
            <w:r w:rsidRPr="00755D77">
              <w:rPr>
                <w:rFonts w:ascii="Times New Roman" w:eastAsia="Arial" w:hAnsi="Times New Roman"/>
                <w:i/>
                <w:iCs/>
                <w:sz w:val="24"/>
                <w:szCs w:val="24"/>
              </w:rPr>
              <w:t>lex specialis derogat legi generali.</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lastRenderedPageBreak/>
              <w:t>Refuzohet</w:t>
            </w:r>
          </w:p>
        </w:tc>
        <w:tc>
          <w:tcPr>
            <w:tcW w:w="3330" w:type="dxa"/>
          </w:tcPr>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MS Mincho" w:hAnsi="Times New Roman"/>
                <w:sz w:val="24"/>
                <w:szCs w:val="24"/>
              </w:rPr>
              <w:t>MTI- e refuzon këtë koment nga INDEP me arsyetimin:</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Ligji Nr. 04/L-202 për Sistemin e Lejeve dhe Licencave ka për qëllim të vendos parimet dhe </w:t>
            </w:r>
            <w:r w:rsidRPr="00755D77">
              <w:rPr>
                <w:rFonts w:ascii="Times New Roman" w:eastAsia="Arial" w:hAnsi="Times New Roman"/>
                <w:sz w:val="24"/>
                <w:szCs w:val="24"/>
              </w:rPr>
              <w:lastRenderedPageBreak/>
              <w:t xml:space="preserve">rregullat për përmirësimin e mjedisit për të bërë biznes, nëpërmjet reduktimit të barrierave administrative, në kryerjen e veprimtarive ekonomike, tregtare apo profesionale, që është e domosdoshme për të mbrojtur shëndetin publik, sigurinë publike, mjedisin dhe përdorimin e resurseve natyrore në Republikën e Kosovës.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Pra, vetë natyra e këtij ligji është e vendosja/përcaktimi i standardeve në fushën e sistemit të lejeve dhe licencave. Sipas nenit 3 paragrafi 1.7 të këtij ligji, sistemi i lejeve dhe licencave profesionale është tërësia e parimeve ligjore dhe kërkesave të përcaktuara nga institucioni publik për të rregulluar veprimtarinë publike dhe private.</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Më specifikisht, neni 5 i këtij ligji përcakton llojet e lejimeve, </w:t>
            </w:r>
            <w:r w:rsidRPr="00755D77">
              <w:rPr>
                <w:rFonts w:ascii="Times New Roman" w:eastAsia="Arial" w:hAnsi="Times New Roman"/>
                <w:i/>
                <w:iCs/>
                <w:sz w:val="24"/>
                <w:szCs w:val="24"/>
              </w:rPr>
              <w:t>inter alia</w:t>
            </w:r>
            <w:r w:rsidRPr="00755D77">
              <w:rPr>
                <w:rFonts w:ascii="Times New Roman" w:eastAsia="Arial" w:hAnsi="Times New Roman"/>
                <w:sz w:val="24"/>
                <w:szCs w:val="24"/>
              </w:rPr>
              <w:t xml:space="preserve"> emërtimet, të cilat janë të listuara në renditje proporcionale me nivelin e rrezikut të cilin secili lloj është i projektuar të adresojë, nga rreziku më i ultë për shëndetin publik, sigurinë publike ose mjedisin ose ndikimin më të ultë në përdorimin e resurseve natyrore deri te rreziku apo ndikimi më i lartë, si në vijim: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1.1. njoftim;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lastRenderedPageBreak/>
              <w:t xml:space="preserve">1.2. regjistrim;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1.3. leje; dhe</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1.4. licencë profesionale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Po ashtu, ky nen në paragrafin 2 përcakton se </w:t>
            </w:r>
            <w:r w:rsidRPr="00755D77">
              <w:rPr>
                <w:rFonts w:ascii="Times New Roman" w:eastAsia="Arial" w:hAnsi="Times New Roman"/>
                <w:i/>
                <w:iCs/>
                <w:sz w:val="24"/>
                <w:szCs w:val="24"/>
              </w:rPr>
              <w:t>“asnjë lejim nuk do të ketë fuqi ligjore nëse nuk është në përputhje me kërkesat, si përshkruhet më poshtë, për një nga llojet e lejimeve të përcaktuara në paragrafin 1. të këtij neni</w:t>
            </w:r>
            <w:r w:rsidRPr="00755D77">
              <w:rPr>
                <w:rFonts w:ascii="Times New Roman" w:eastAsia="Arial" w:hAnsi="Times New Roman"/>
                <w:sz w:val="24"/>
                <w:szCs w:val="24"/>
              </w:rPr>
              <w:t xml:space="preserve">”. Kjo nënkupton se të gjitha lejet dhe licencat që përcaktohen me ligje të veçanta duhet t’i përmbushin standardet dhe kërkesat e përcaktuara me Ligjin Nr. 04/L-202 për Sistemin e Lejeve dhe Licencave, përfshirë kërkesën për emërtim adekuat.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Për më tepër, neni 33 i këtij ligji ka përcaktuar periudhën tranzitore brenda gjashtë (6) muajsh pas hyrjes në fuqi të tij që të gjitha institucionet qendrore që lëshojnë leje dhe licenca sipas nevojës propozojnë ndryshime të ligjeve përkatëse për të sjellë kërkesat e tyre për lejime në përputhje me këtë ligj. Rekomandimi në Koncept Dokumentin në Fushën e Punimeve të Metaleve të Çmuara është vendosur pikërisht për këtë qëllim.</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Prandaj, duke pasur parasysh natyrën dhe fushëveprimin e Ligjit Nr. 04/L-202 për Sistemin e Lejeve dhe Licencave, vijmë </w:t>
            </w:r>
            <w:r w:rsidRPr="00755D77">
              <w:rPr>
                <w:rFonts w:ascii="Times New Roman" w:eastAsia="Arial" w:hAnsi="Times New Roman"/>
                <w:sz w:val="24"/>
                <w:szCs w:val="24"/>
              </w:rPr>
              <w:lastRenderedPageBreak/>
              <w:t xml:space="preserve">në përfundim se në këtë rast, nuk vlen parimi i përgjithshëm i së drejtës: </w:t>
            </w:r>
            <w:r w:rsidRPr="00755D77">
              <w:rPr>
                <w:rFonts w:ascii="Times New Roman" w:eastAsia="Arial" w:hAnsi="Times New Roman"/>
                <w:i/>
                <w:iCs/>
                <w:sz w:val="24"/>
                <w:szCs w:val="24"/>
              </w:rPr>
              <w:t>lex specialis derogat legi gjenerali</w:t>
            </w:r>
            <w:r w:rsidRPr="00755D77">
              <w:rPr>
                <w:rFonts w:ascii="Times New Roman" w:eastAsia="Arial" w:hAnsi="Times New Roman"/>
                <w:sz w:val="24"/>
                <w:szCs w:val="24"/>
              </w:rPr>
              <w:t>.</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r>
      <w:tr w:rsidR="00755D77" w:rsidRPr="00755D77" w:rsidTr="00755D77">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lastRenderedPageBreak/>
              <w:t>INDEP</w:t>
            </w:r>
          </w:p>
        </w:tc>
        <w:tc>
          <w:tcPr>
            <w:tcW w:w="3505" w:type="dxa"/>
          </w:tcPr>
          <w:p w:rsidR="00755D77" w:rsidRPr="00755D77" w:rsidRDefault="00755D77" w:rsidP="00147A47">
            <w:pPr>
              <w:spacing w:before="200"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1. </w:t>
            </w:r>
            <w:r w:rsidRPr="00755D77">
              <w:rPr>
                <w:rFonts w:ascii="Times New Roman" w:eastAsia="Arial" w:hAnsi="Times New Roman"/>
                <w:b/>
                <w:sz w:val="24"/>
                <w:szCs w:val="24"/>
              </w:rPr>
              <w:t xml:space="preserve">Gjobat joefektive </w:t>
            </w: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Në pjesën e gjobave, është thënë se ato nuk kanë pasur efektin e tyre për shkak se janë shumë të ulta. Megjithatë, ne konsiderojmë që është dashur të sqarohet se sa gjoba janë dhënë që nga fillimi i implementimit të Ligjit në krahasim me numrin e inspektimeve të kryera, natyrës dhe numrit të shkeljeve. Në formën e tanishme, nuk është sqaruar në mënyrë kuantitative se gjobat nuk po ndalin shkeljet dhe se ato ka nevojë të rriten.</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E pranuar</w:t>
            </w:r>
          </w:p>
        </w:tc>
        <w:tc>
          <w:tcPr>
            <w:tcW w:w="3330"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Cs/>
                <w:sz w:val="24"/>
                <w:szCs w:val="24"/>
                <w:lang w:eastAsia="x-none"/>
              </w:rPr>
            </w:pPr>
            <w:r w:rsidRPr="00755D77">
              <w:rPr>
                <w:rFonts w:ascii="Times New Roman" w:eastAsia="MS Mincho" w:hAnsi="Times New Roman"/>
                <w:bCs/>
                <w:sz w:val="24"/>
                <w:szCs w:val="24"/>
                <w:lang w:eastAsia="x-none"/>
              </w:rPr>
              <w:t xml:space="preserve">Raporti  lidhur me kontrollin (inspektimin), e subjekteve afariste qe merren me përpunimin dhe tregtimin me produkte nga metalet te çmuara. Inspektorati i Tregut nga viti 2013 deri me 2019 i ka inspektuar 203 subjekte afariste dhe me proces verbal janë urdhërua qe ta bëjnë ekzaminimin dhe vulosjen e te gjitha produkteve nga metalet e çmuara. Gjatë inspektimit janë verifikuar edhe dokumentacioni tjeter për ushtrim te veprimtarisë si: Aktvendimi për ushtrim te veprimtarisë për punimet nga metalet e çmuara, Foto vulat, thjerraen </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bCs/>
                <w:sz w:val="24"/>
                <w:szCs w:val="24"/>
                <w:lang w:eastAsia="x-none"/>
              </w:rPr>
            </w:pPr>
            <w:r w:rsidRPr="00755D77">
              <w:rPr>
                <w:rFonts w:ascii="Times New Roman" w:eastAsia="MS Mincho" w:hAnsi="Times New Roman"/>
                <w:bCs/>
                <w:sz w:val="24"/>
                <w:szCs w:val="24"/>
                <w:lang w:eastAsia="x-none"/>
              </w:rPr>
              <w:t>zmadhuese, verifikimi i mjeteve matëse si dhe furnizimet me produkte nga metalet e çmuara. Nga 203 subjekte janë gjobitur 9 prej tyre. Keto te dhene jan integruar ne KD.</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r>
      <w:tr w:rsidR="00755D77" w:rsidRPr="00755D77" w:rsidTr="00755D77">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t>Shoqata e argjendarve dhe artarve te Kosovës</w:t>
            </w:r>
          </w:p>
          <w:p w:rsidR="00755D77" w:rsidRPr="00755D77" w:rsidRDefault="00755D77" w:rsidP="00755D77">
            <w:pPr>
              <w:spacing w:after="0" w:line="240" w:lineRule="auto"/>
              <w:rPr>
                <w:rFonts w:ascii="Times New Roman" w:eastAsia="MS Mincho" w:hAnsi="Times New Roman"/>
                <w:b w:val="0"/>
                <w:bCs w:val="0"/>
                <w:sz w:val="24"/>
                <w:szCs w:val="24"/>
              </w:rPr>
            </w:pPr>
          </w:p>
        </w:tc>
        <w:tc>
          <w:tcPr>
            <w:tcW w:w="350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hAnsi="Times New Roman"/>
                <w:sz w:val="24"/>
                <w:szCs w:val="24"/>
              </w:rPr>
              <w:t xml:space="preserve">Rekomandimi 9, I parashtruar në hartimin e draftit fillestar të koncept dokumentit në fushën e punimeve nga metalet e çmuara bjen ndesh me kërkesat tona, derisa rekomandimi 9 thotë se për punimet të cilat janë me masë nën 1 gram për ari dhe 3 gram për argjend, si dhe punimet e “ndjeshme” të shënjohen me njërën nga shenjat e pastërtisë të cilat nuk paraqesin rrezik për dëmtimin e tyre, ne </w:t>
            </w:r>
            <w:r w:rsidRPr="00755D77">
              <w:rPr>
                <w:rFonts w:ascii="Times New Roman" w:hAnsi="Times New Roman"/>
                <w:sz w:val="24"/>
                <w:szCs w:val="24"/>
              </w:rPr>
              <w:lastRenderedPageBreak/>
              <w:t>rekomandojmë që mos të anashkalohet asnjë punim i arit apo I argjendit dhe të bëhet inspektim në mënyrë statistikor</w:t>
            </w: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lastRenderedPageBreak/>
              <w:t xml:space="preserve">Refuzohet </w:t>
            </w:r>
          </w:p>
        </w:tc>
        <w:tc>
          <w:tcPr>
            <w:tcW w:w="3330" w:type="dxa"/>
          </w:tcPr>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p>
          <w:p w:rsidR="00755D77" w:rsidRPr="00755D77" w:rsidRDefault="00755D77" w:rsidP="00147A4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sz w:val="24"/>
                <w:szCs w:val="24"/>
              </w:rPr>
            </w:pPr>
            <w:r w:rsidRPr="00755D77">
              <w:rPr>
                <w:rFonts w:ascii="Times New Roman" w:eastAsia="Arial" w:hAnsi="Times New Roman"/>
                <w:sz w:val="24"/>
                <w:szCs w:val="24"/>
              </w:rPr>
              <w:t xml:space="preserve"> Punimet te cilat jan</w:t>
            </w:r>
            <w:r w:rsidR="008C0EAE">
              <w:rPr>
                <w:rFonts w:ascii="Times New Roman" w:eastAsia="Arial" w:hAnsi="Times New Roman"/>
                <w:sz w:val="24"/>
                <w:szCs w:val="24"/>
              </w:rPr>
              <w:t>ë</w:t>
            </w:r>
            <w:r w:rsidRPr="00755D77">
              <w:rPr>
                <w:rFonts w:ascii="Times New Roman" w:eastAsia="Arial" w:hAnsi="Times New Roman"/>
                <w:sz w:val="24"/>
                <w:szCs w:val="24"/>
              </w:rPr>
              <w:t xml:space="preserve"> n</w:t>
            </w:r>
            <w:r w:rsidR="008C0EAE">
              <w:rPr>
                <w:rFonts w:ascii="Times New Roman" w:eastAsia="Arial" w:hAnsi="Times New Roman"/>
                <w:sz w:val="24"/>
                <w:szCs w:val="24"/>
              </w:rPr>
              <w:t>ë</w:t>
            </w:r>
            <w:r w:rsidRPr="00755D77">
              <w:rPr>
                <w:rFonts w:ascii="Times New Roman" w:eastAsia="Arial" w:hAnsi="Times New Roman"/>
                <w:sz w:val="24"/>
                <w:szCs w:val="24"/>
              </w:rPr>
              <w:t>n</w:t>
            </w:r>
            <w:r w:rsidR="008C0EAE">
              <w:rPr>
                <w:rFonts w:ascii="Times New Roman" w:eastAsia="Arial" w:hAnsi="Times New Roman"/>
                <w:sz w:val="24"/>
                <w:szCs w:val="24"/>
              </w:rPr>
              <w:t xml:space="preserve">ë </w:t>
            </w:r>
            <w:r w:rsidRPr="00755D77">
              <w:rPr>
                <w:rFonts w:ascii="Times New Roman" w:eastAsia="Arial" w:hAnsi="Times New Roman"/>
                <w:sz w:val="24"/>
                <w:szCs w:val="24"/>
              </w:rPr>
              <w:t>1 gram per ari</w:t>
            </w:r>
            <w:r w:rsidR="008C0EAE">
              <w:rPr>
                <w:rFonts w:ascii="Times New Roman" w:eastAsia="Arial" w:hAnsi="Times New Roman"/>
                <w:sz w:val="24"/>
                <w:szCs w:val="24"/>
              </w:rPr>
              <w:t xml:space="preserve"> d</w:t>
            </w:r>
            <w:r w:rsidRPr="00755D77">
              <w:rPr>
                <w:rFonts w:ascii="Times New Roman" w:eastAsia="Arial" w:hAnsi="Times New Roman"/>
                <w:sz w:val="24"/>
                <w:szCs w:val="24"/>
              </w:rPr>
              <w:t>he 3 gram per argjen</w:t>
            </w:r>
            <w:r w:rsidR="008C0EAE">
              <w:rPr>
                <w:rFonts w:ascii="Times New Roman" w:eastAsia="Arial" w:hAnsi="Times New Roman"/>
                <w:sz w:val="24"/>
                <w:szCs w:val="24"/>
              </w:rPr>
              <w:t>d</w:t>
            </w:r>
            <w:r w:rsidRPr="00755D77">
              <w:rPr>
                <w:rFonts w:ascii="Times New Roman" w:eastAsia="Arial" w:hAnsi="Times New Roman"/>
                <w:sz w:val="24"/>
                <w:szCs w:val="24"/>
              </w:rPr>
              <w:t xml:space="preserve"> si dhe  disa punime të ndejshmeri</w:t>
            </w:r>
            <w:r w:rsidR="008C0EAE">
              <w:rPr>
                <w:rFonts w:ascii="Times New Roman" w:eastAsia="Arial" w:hAnsi="Times New Roman"/>
                <w:sz w:val="24"/>
                <w:szCs w:val="24"/>
              </w:rPr>
              <w:t>s</w:t>
            </w:r>
            <w:r w:rsidRPr="00755D77">
              <w:rPr>
                <w:rFonts w:ascii="Times New Roman" w:eastAsia="Arial" w:hAnsi="Times New Roman"/>
                <w:sz w:val="24"/>
                <w:szCs w:val="24"/>
              </w:rPr>
              <w:t xml:space="preserve"> </w:t>
            </w:r>
            <w:r w:rsidR="008C0EAE">
              <w:rPr>
                <w:rFonts w:ascii="Times New Roman" w:eastAsia="Arial" w:hAnsi="Times New Roman"/>
                <w:sz w:val="24"/>
                <w:szCs w:val="24"/>
              </w:rPr>
              <w:t>së</w:t>
            </w:r>
            <w:r w:rsidRPr="00755D77">
              <w:rPr>
                <w:rFonts w:ascii="Times New Roman" w:eastAsia="Arial" w:hAnsi="Times New Roman"/>
                <w:sz w:val="24"/>
                <w:szCs w:val="24"/>
              </w:rPr>
              <w:t xml:space="preserve"> lart I nenshktrohen kontrrollit te cilësisi  por  nuk I neshktorhen vulosjes, per shkak te egzistimit te demtimit te tyre. Inspektimi I punimeve nga metalet e çmuara esht</w:t>
            </w:r>
            <w:r w:rsidR="008C0EAE">
              <w:rPr>
                <w:rFonts w:ascii="Times New Roman" w:eastAsia="Arial" w:hAnsi="Times New Roman"/>
                <w:sz w:val="24"/>
                <w:szCs w:val="24"/>
              </w:rPr>
              <w:t>ë statestirok por vulosja ë</w:t>
            </w:r>
            <w:r w:rsidRPr="00755D77">
              <w:rPr>
                <w:rFonts w:ascii="Times New Roman" w:eastAsia="Arial" w:hAnsi="Times New Roman"/>
                <w:sz w:val="24"/>
                <w:szCs w:val="24"/>
              </w:rPr>
              <w:t>sht</w:t>
            </w:r>
            <w:r w:rsidR="008C0EAE">
              <w:rPr>
                <w:rFonts w:ascii="Times New Roman" w:eastAsia="Arial" w:hAnsi="Times New Roman"/>
                <w:sz w:val="24"/>
                <w:szCs w:val="24"/>
              </w:rPr>
              <w:t>ë</w:t>
            </w:r>
            <w:r w:rsidRPr="00755D77">
              <w:rPr>
                <w:rFonts w:ascii="Times New Roman" w:eastAsia="Arial" w:hAnsi="Times New Roman"/>
                <w:sz w:val="24"/>
                <w:szCs w:val="24"/>
              </w:rPr>
              <w:t xml:space="preserve"> e tersishme sepse, marrja e </w:t>
            </w:r>
            <w:r w:rsidRPr="00755D77">
              <w:rPr>
                <w:rFonts w:ascii="Times New Roman" w:eastAsia="Arial" w:hAnsi="Times New Roman"/>
                <w:sz w:val="24"/>
                <w:szCs w:val="24"/>
              </w:rPr>
              <w:lastRenderedPageBreak/>
              <w:t>mostrave ne menyr statestikore duhet te bahen ne vendin</w:t>
            </w:r>
            <w:r w:rsidR="008C0EAE">
              <w:rPr>
                <w:rFonts w:ascii="Times New Roman" w:eastAsia="Arial" w:hAnsi="Times New Roman"/>
                <w:sz w:val="24"/>
                <w:szCs w:val="24"/>
              </w:rPr>
              <w:t xml:space="preserve"> </w:t>
            </w:r>
            <w:r w:rsidRPr="00755D77">
              <w:rPr>
                <w:rFonts w:ascii="Times New Roman" w:eastAsia="Arial" w:hAnsi="Times New Roman"/>
                <w:sz w:val="24"/>
                <w:szCs w:val="24"/>
              </w:rPr>
              <w:t>e prodhimit por ne kemi edhe import te produketve pra nuk kemi seri por kemi punime te ndryshme e per ket analiza esht</w:t>
            </w:r>
            <w:r w:rsidR="008C0EAE">
              <w:rPr>
                <w:rFonts w:ascii="Times New Roman" w:eastAsia="Arial" w:hAnsi="Times New Roman"/>
                <w:sz w:val="24"/>
                <w:szCs w:val="24"/>
              </w:rPr>
              <w:t>ë statestikore e vulosja ë</w:t>
            </w:r>
            <w:r w:rsidRPr="00755D77">
              <w:rPr>
                <w:rFonts w:ascii="Times New Roman" w:eastAsia="Arial" w:hAnsi="Times New Roman"/>
                <w:sz w:val="24"/>
                <w:szCs w:val="24"/>
              </w:rPr>
              <w:t>sht</w:t>
            </w:r>
            <w:r w:rsidR="008C0EAE">
              <w:rPr>
                <w:rFonts w:ascii="Times New Roman" w:eastAsia="Arial" w:hAnsi="Times New Roman"/>
                <w:sz w:val="24"/>
                <w:szCs w:val="24"/>
              </w:rPr>
              <w:t>ë</w:t>
            </w:r>
            <w:r w:rsidRPr="00755D77">
              <w:rPr>
                <w:rFonts w:ascii="Times New Roman" w:eastAsia="Arial" w:hAnsi="Times New Roman"/>
                <w:sz w:val="24"/>
                <w:szCs w:val="24"/>
              </w:rPr>
              <w:t xml:space="preserve"> e t</w:t>
            </w:r>
            <w:r w:rsidR="008C0EAE">
              <w:rPr>
                <w:rFonts w:ascii="Times New Roman" w:eastAsia="Arial" w:hAnsi="Times New Roman"/>
                <w:sz w:val="24"/>
                <w:szCs w:val="24"/>
              </w:rPr>
              <w:t>ë</w:t>
            </w:r>
            <w:r w:rsidRPr="00755D77">
              <w:rPr>
                <w:rFonts w:ascii="Times New Roman" w:eastAsia="Arial" w:hAnsi="Times New Roman"/>
                <w:sz w:val="24"/>
                <w:szCs w:val="24"/>
              </w:rPr>
              <w:t>rsishme.</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r>
      <w:tr w:rsidR="00755D77" w:rsidRPr="00755D77" w:rsidTr="00755D77">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r w:rsidRPr="00755D77">
              <w:rPr>
                <w:rFonts w:ascii="Times New Roman" w:eastAsia="MS Mincho" w:hAnsi="Times New Roman"/>
                <w:b w:val="0"/>
                <w:bCs w:val="0"/>
                <w:sz w:val="24"/>
                <w:szCs w:val="24"/>
              </w:rPr>
              <w:lastRenderedPageBreak/>
              <w:t>Shoqata e argjendarve dhe artarve te Kosovës</w:t>
            </w:r>
          </w:p>
          <w:p w:rsidR="00755D77" w:rsidRPr="00755D77" w:rsidRDefault="00755D77" w:rsidP="00755D77">
            <w:pPr>
              <w:spacing w:after="0" w:line="240" w:lineRule="auto"/>
              <w:rPr>
                <w:rFonts w:ascii="Times New Roman" w:eastAsia="MS Mincho" w:hAnsi="Times New Roman"/>
                <w:b w:val="0"/>
                <w:bCs w:val="0"/>
                <w:sz w:val="24"/>
                <w:szCs w:val="24"/>
              </w:rPr>
            </w:pPr>
          </w:p>
        </w:tc>
        <w:tc>
          <w:tcPr>
            <w:tcW w:w="3505" w:type="dxa"/>
          </w:tcPr>
          <w:p w:rsidR="00755D77" w:rsidRPr="00755D77" w:rsidRDefault="00755D77" w:rsidP="00147A4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55D77">
              <w:rPr>
                <w:rFonts w:ascii="Times New Roman" w:eastAsia="Times New Roman" w:hAnsi="Times New Roman"/>
                <w:sz w:val="24"/>
                <w:szCs w:val="24"/>
              </w:rPr>
              <w:t xml:space="preserve">Gjithashtu në këtë draft fillestar të concept dokumentit është paraparë që çdo produkt I përpunuar dhe I importuar nga vende të cilat janë anëtare të “Hallmarking Convention” nuk I nënshtrohet kontrollit të cilëisë dhe shënjimit me shenjën shtetërore. Ne si shoqatë kemi kërkuar që mos të anashkalohen as metalet e çmuara nga vendet e “Hallmarking Convention” për kontrollë në Republikën e Kosovës ku kemi marrë edhe mbështetje nga drejtori i departamentit të metrologjisë </w:t>
            </w:r>
          </w:p>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 xml:space="preserve">Pranohet </w:t>
            </w:r>
          </w:p>
        </w:tc>
        <w:tc>
          <w:tcPr>
            <w:tcW w:w="3330"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r w:rsidRPr="00755D77">
              <w:rPr>
                <w:rFonts w:ascii="Times New Roman" w:eastAsia="MS Mincho" w:hAnsi="Times New Roman"/>
                <w:sz w:val="24"/>
                <w:szCs w:val="24"/>
              </w:rPr>
              <w:t>Te gjitha punimete nga metalet e çmuara qe importohen dhe perpunohen ne teritorine Re</w:t>
            </w:r>
            <w:r w:rsidR="008C0EAE">
              <w:rPr>
                <w:rFonts w:ascii="Times New Roman" w:eastAsia="MS Mincho" w:hAnsi="Times New Roman"/>
                <w:sz w:val="24"/>
                <w:szCs w:val="24"/>
              </w:rPr>
              <w:t>publikes se Kosoeves duhet ti në</w:t>
            </w:r>
            <w:r w:rsidRPr="00755D77">
              <w:rPr>
                <w:rFonts w:ascii="Times New Roman" w:eastAsia="MS Mincho" w:hAnsi="Times New Roman"/>
                <w:sz w:val="24"/>
                <w:szCs w:val="24"/>
              </w:rPr>
              <w:t xml:space="preserve">nshtrohen kontrrollit te cilësisi dhe shenjimit te </w:t>
            </w:r>
            <w:r w:rsidR="008C0EAE">
              <w:rPr>
                <w:rFonts w:ascii="Times New Roman" w:eastAsia="MS Mincho" w:hAnsi="Times New Roman"/>
                <w:sz w:val="24"/>
                <w:szCs w:val="24"/>
              </w:rPr>
              <w:t>tyre.Kjo ë</w:t>
            </w:r>
            <w:r w:rsidRPr="00755D77">
              <w:rPr>
                <w:rFonts w:ascii="Times New Roman" w:eastAsia="MS Mincho" w:hAnsi="Times New Roman"/>
                <w:sz w:val="24"/>
                <w:szCs w:val="24"/>
              </w:rPr>
              <w:t>sht</w:t>
            </w:r>
            <w:r w:rsidR="008C0EAE">
              <w:rPr>
                <w:rFonts w:ascii="Times New Roman" w:eastAsia="MS Mincho" w:hAnsi="Times New Roman"/>
                <w:sz w:val="24"/>
                <w:szCs w:val="24"/>
              </w:rPr>
              <w:t>ë</w:t>
            </w:r>
            <w:r w:rsidRPr="00755D77">
              <w:rPr>
                <w:rFonts w:ascii="Times New Roman" w:eastAsia="MS Mincho" w:hAnsi="Times New Roman"/>
                <w:sz w:val="24"/>
                <w:szCs w:val="24"/>
              </w:rPr>
              <w:t xml:space="preserve"> perfshinr ne verzionin e ri ne KD</w:t>
            </w:r>
          </w:p>
        </w:tc>
      </w:tr>
      <w:tr w:rsidR="00755D77" w:rsidRPr="00755D77" w:rsidTr="00345C3D">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p>
        </w:tc>
        <w:tc>
          <w:tcPr>
            <w:tcW w:w="350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3330"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r>
      <w:tr w:rsidR="00755D77" w:rsidRPr="00755D77" w:rsidTr="00345C3D">
        <w:tblPrEx>
          <w:tblLook w:val="04A0" w:firstRow="1" w:lastRow="0" w:firstColumn="1" w:lastColumn="0" w:noHBand="0" w:noVBand="1"/>
        </w:tblPrEx>
        <w:trPr>
          <w:trHeight w:val="263"/>
        </w:trPr>
        <w:tc>
          <w:tcPr>
            <w:cnfStyle w:val="001000000000" w:firstRow="0" w:lastRow="0" w:firstColumn="1" w:lastColumn="0" w:oddVBand="0" w:evenVBand="0" w:oddHBand="0" w:evenHBand="0" w:firstRowFirstColumn="0" w:firstRowLastColumn="0" w:lastRowFirstColumn="0" w:lastRowLastColumn="0"/>
            <w:tcW w:w="1615" w:type="dxa"/>
          </w:tcPr>
          <w:p w:rsidR="00755D77" w:rsidRPr="00755D77" w:rsidRDefault="00755D77" w:rsidP="00755D77">
            <w:pPr>
              <w:spacing w:after="0" w:line="240" w:lineRule="auto"/>
              <w:rPr>
                <w:rFonts w:ascii="Times New Roman" w:eastAsia="MS Mincho" w:hAnsi="Times New Roman"/>
                <w:b w:val="0"/>
                <w:bCs w:val="0"/>
                <w:sz w:val="24"/>
                <w:szCs w:val="24"/>
              </w:rPr>
            </w:pPr>
          </w:p>
        </w:tc>
        <w:tc>
          <w:tcPr>
            <w:tcW w:w="350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2435"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c>
          <w:tcPr>
            <w:tcW w:w="3330" w:type="dxa"/>
          </w:tcPr>
          <w:p w:rsidR="00755D77" w:rsidRPr="00755D77" w:rsidRDefault="00755D77" w:rsidP="00147A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sz w:val="24"/>
                <w:szCs w:val="24"/>
              </w:rPr>
            </w:pPr>
          </w:p>
        </w:tc>
      </w:tr>
    </w:tbl>
    <w:p w:rsidR="00345C3D" w:rsidRDefault="00DC4A9B" w:rsidP="00345C3D">
      <w:pPr>
        <w:spacing w:after="0" w:line="240" w:lineRule="auto"/>
        <w:jc w:val="both"/>
        <w:rPr>
          <w:rFonts w:ascii="Sylfaen" w:eastAsia="Calibri" w:hAnsi="Sylfaen"/>
          <w:i/>
          <w:sz w:val="24"/>
          <w:szCs w:val="24"/>
        </w:rPr>
      </w:pPr>
      <w:r w:rsidRPr="00407A62">
        <w:rPr>
          <w:rFonts w:ascii="Sylfaen" w:eastAsia="Calibri" w:hAnsi="Sylfaen"/>
          <w:i/>
          <w:sz w:val="24"/>
          <w:szCs w:val="24"/>
        </w:rPr>
        <w:t xml:space="preserve">Pas përfundimit të procesit të konsultimit </w:t>
      </w:r>
      <w:r w:rsidR="00BC4366" w:rsidRPr="00407A62">
        <w:rPr>
          <w:rFonts w:ascii="Sylfaen" w:eastAsia="Calibri" w:hAnsi="Sylfaen"/>
          <w:i/>
          <w:sz w:val="24"/>
          <w:szCs w:val="24"/>
        </w:rPr>
        <w:t xml:space="preserve">paraprak dhe </w:t>
      </w:r>
      <w:r w:rsidR="00E94A8D" w:rsidRPr="00407A62">
        <w:rPr>
          <w:rFonts w:ascii="Sylfaen" w:eastAsia="Calibri" w:hAnsi="Sylfaen"/>
          <w:i/>
          <w:sz w:val="24"/>
          <w:szCs w:val="24"/>
        </w:rPr>
        <w:t>konsultimit publik i cil</w:t>
      </w:r>
      <w:r w:rsidR="001215C8" w:rsidRPr="00407A62">
        <w:rPr>
          <w:rFonts w:ascii="Sylfaen" w:eastAsia="Calibri" w:hAnsi="Sylfaen"/>
          <w:i/>
          <w:sz w:val="24"/>
          <w:szCs w:val="24"/>
        </w:rPr>
        <w:t>i</w:t>
      </w:r>
      <w:r w:rsidR="00E94A8D" w:rsidRPr="00407A62">
        <w:rPr>
          <w:rFonts w:ascii="Sylfaen" w:eastAsia="Calibri" w:hAnsi="Sylfaen"/>
          <w:i/>
          <w:sz w:val="24"/>
          <w:szCs w:val="24"/>
        </w:rPr>
        <w:t xml:space="preserve"> është bërë në pajtim me udhëzuesit dhe standardet përkatëse për konsultime publike të nxjerra në pajtim me RRPQ</w:t>
      </w:r>
      <w:r w:rsidR="001215C8" w:rsidRPr="00407A62">
        <w:rPr>
          <w:rFonts w:ascii="Sylfaen" w:eastAsia="Calibri" w:hAnsi="Sylfaen"/>
          <w:i/>
          <w:sz w:val="24"/>
          <w:szCs w:val="24"/>
        </w:rPr>
        <w:t xml:space="preserve">, zyrtari përgjegjës për hartimin e </w:t>
      </w:r>
      <w:r w:rsidR="00CE7634">
        <w:rPr>
          <w:rFonts w:ascii="Sylfaen" w:eastAsia="Calibri" w:hAnsi="Sylfaen"/>
          <w:i/>
          <w:sz w:val="24"/>
          <w:szCs w:val="24"/>
        </w:rPr>
        <w:t xml:space="preserve">Projekt </w:t>
      </w:r>
      <w:r w:rsidR="00CE7634" w:rsidRPr="00CE7634">
        <w:rPr>
          <w:rFonts w:ascii="Sylfaen" w:eastAsia="Calibri" w:hAnsi="Sylfaen"/>
          <w:i/>
          <w:sz w:val="24"/>
          <w:szCs w:val="24"/>
        </w:rPr>
        <w:t>Rregullore</w:t>
      </w:r>
      <w:r w:rsidR="00CE7634">
        <w:rPr>
          <w:rFonts w:ascii="Sylfaen" w:eastAsia="Calibri" w:hAnsi="Sylfaen"/>
          <w:i/>
          <w:sz w:val="24"/>
          <w:szCs w:val="24"/>
        </w:rPr>
        <w:t>s</w:t>
      </w:r>
      <w:r w:rsidR="00CE7634" w:rsidRPr="00CE7634">
        <w:rPr>
          <w:rFonts w:ascii="Sylfaen" w:eastAsia="Calibri" w:hAnsi="Sylfaen"/>
          <w:i/>
          <w:sz w:val="24"/>
          <w:szCs w:val="24"/>
        </w:rPr>
        <w:t xml:space="preserve"> </w:t>
      </w:r>
      <w:r w:rsidR="001215C8" w:rsidRPr="00407A62">
        <w:rPr>
          <w:rFonts w:ascii="Sylfaen" w:eastAsia="Calibri" w:hAnsi="Sylfaen"/>
          <w:i/>
          <w:sz w:val="24"/>
          <w:szCs w:val="24"/>
        </w:rPr>
        <w:t>ia dërgon projekt aktin normativ drejtorit të departamentit Ligjor të ministrisë përkatëse</w:t>
      </w:r>
      <w:r w:rsidR="001215C8" w:rsidRPr="00407A62">
        <w:t xml:space="preserve"> </w:t>
      </w:r>
      <w:r w:rsidR="001215C8" w:rsidRPr="00407A62">
        <w:rPr>
          <w:rFonts w:ascii="Sylfaen" w:hAnsi="Sylfaen"/>
          <w:i/>
          <w:sz w:val="24"/>
          <w:szCs w:val="24"/>
        </w:rPr>
        <w:t xml:space="preserve">i cili </w:t>
      </w:r>
      <w:r w:rsidR="001215C8" w:rsidRPr="00407A62">
        <w:t xml:space="preserve"> </w:t>
      </w:r>
      <w:r w:rsidR="001215C8" w:rsidRPr="00407A62">
        <w:rPr>
          <w:rFonts w:ascii="Sylfaen" w:eastAsia="Calibri" w:hAnsi="Sylfaen"/>
          <w:i/>
          <w:sz w:val="24"/>
          <w:szCs w:val="24"/>
        </w:rPr>
        <w:t xml:space="preserve">nëse nuk ka vërejtje, ia dërgon projekt aktin normativ për shqyrtim dhe </w:t>
      </w:r>
      <w:r w:rsidR="001215C8" w:rsidRPr="00345C3D">
        <w:rPr>
          <w:rFonts w:ascii="Sylfaen" w:eastAsia="Calibri" w:hAnsi="Sylfaen"/>
          <w:i/>
          <w:sz w:val="24"/>
          <w:szCs w:val="24"/>
        </w:rPr>
        <w:t xml:space="preserve">miratim </w:t>
      </w:r>
      <w:r w:rsidR="00CE7634" w:rsidRPr="00345C3D">
        <w:rPr>
          <w:rFonts w:ascii="Sylfaen" w:eastAsia="Calibri" w:hAnsi="Sylfaen"/>
          <w:i/>
          <w:sz w:val="24"/>
          <w:szCs w:val="24"/>
        </w:rPr>
        <w:t xml:space="preserve">Zyres së Kryeministrit </w:t>
      </w:r>
      <w:r w:rsidR="001215C8" w:rsidRPr="00345C3D">
        <w:rPr>
          <w:rFonts w:ascii="Sylfaen" w:eastAsia="Calibri" w:hAnsi="Sylfaen"/>
          <w:i/>
          <w:sz w:val="24"/>
          <w:szCs w:val="24"/>
        </w:rPr>
        <w:t xml:space="preserve">përmes </w:t>
      </w:r>
      <w:r w:rsidR="00CE7634" w:rsidRPr="00345C3D">
        <w:rPr>
          <w:rFonts w:ascii="Sylfaen" w:eastAsia="Calibri" w:hAnsi="Sylfaen"/>
          <w:i/>
          <w:sz w:val="24"/>
          <w:szCs w:val="24"/>
        </w:rPr>
        <w:t xml:space="preserve">Ministrit dhe </w:t>
      </w:r>
      <w:r w:rsidR="001215C8" w:rsidRPr="00345C3D">
        <w:rPr>
          <w:rFonts w:ascii="Sylfaen" w:eastAsia="Calibri" w:hAnsi="Sylfaen"/>
          <w:i/>
          <w:sz w:val="24"/>
          <w:szCs w:val="24"/>
        </w:rPr>
        <w:t>Sekretarit të Përgjithshëm të ministrisë përkatës</w:t>
      </w:r>
      <w:r w:rsidR="00CE6A48" w:rsidRPr="00345C3D">
        <w:rPr>
          <w:rFonts w:ascii="Sylfaen" w:eastAsia="Calibri" w:hAnsi="Sylfaen"/>
          <w:i/>
          <w:sz w:val="24"/>
          <w:szCs w:val="24"/>
        </w:rPr>
        <w:t>e</w:t>
      </w:r>
      <w:r w:rsidR="001215C8" w:rsidRPr="00345C3D">
        <w:rPr>
          <w:rFonts w:ascii="Sylfaen" w:eastAsia="Calibri" w:hAnsi="Sylfaen"/>
          <w:i/>
          <w:sz w:val="24"/>
          <w:szCs w:val="24"/>
        </w:rPr>
        <w:t>.</w:t>
      </w:r>
    </w:p>
    <w:p w:rsidR="00345C3D" w:rsidRDefault="00345C3D" w:rsidP="00345C3D">
      <w:pPr>
        <w:spacing w:after="0" w:line="240" w:lineRule="auto"/>
        <w:jc w:val="both"/>
        <w:rPr>
          <w:rFonts w:ascii="Sylfaen" w:eastAsia="Calibri" w:hAnsi="Sylfaen"/>
          <w:i/>
          <w:sz w:val="24"/>
          <w:szCs w:val="24"/>
        </w:rPr>
      </w:pPr>
    </w:p>
    <w:p w:rsidR="00DC4A9B" w:rsidRPr="00345C3D" w:rsidRDefault="00DC4A9B" w:rsidP="00345C3D">
      <w:pPr>
        <w:spacing w:after="0" w:line="240" w:lineRule="auto"/>
        <w:jc w:val="both"/>
        <w:rPr>
          <w:rFonts w:ascii="Sylfaen" w:eastAsia="Calibri" w:hAnsi="Sylfaen"/>
          <w:i/>
          <w:sz w:val="24"/>
          <w:szCs w:val="24"/>
        </w:rPr>
      </w:pPr>
      <w:r w:rsidRPr="00407A62">
        <w:rPr>
          <w:rFonts w:ascii="Sylfaen" w:eastAsia="Calibri" w:hAnsi="Sylfaen"/>
          <w:sz w:val="24"/>
          <w:szCs w:val="24"/>
        </w:rPr>
        <w:t xml:space="preserve">Tabela e detajuar me informatat per kontribuesit, arsyetimet për përgjigjet e pranuara dhe të refuzuara.  </w:t>
      </w:r>
    </w:p>
    <w:sectPr w:rsidR="00DC4A9B" w:rsidRPr="00345C3D" w:rsidSect="00CF5A43">
      <w:headerReference w:type="default" r:id="rId9"/>
      <w:footerReference w:type="default" r:id="rId10"/>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A7" w:rsidRDefault="00362AA7" w:rsidP="00531727">
      <w:pPr>
        <w:spacing w:after="0" w:line="240" w:lineRule="auto"/>
      </w:pPr>
      <w:r>
        <w:separator/>
      </w:r>
    </w:p>
    <w:p w:rsidR="00362AA7" w:rsidRDefault="00362AA7"/>
  </w:endnote>
  <w:endnote w:type="continuationSeparator" w:id="0">
    <w:p w:rsidR="00362AA7" w:rsidRDefault="00362AA7" w:rsidP="00531727">
      <w:pPr>
        <w:spacing w:after="0" w:line="240" w:lineRule="auto"/>
      </w:pPr>
      <w:r>
        <w:continuationSeparator/>
      </w:r>
    </w:p>
    <w:p w:rsidR="00362AA7" w:rsidRDefault="00362AA7"/>
  </w:endnote>
  <w:endnote w:type="continuationNotice" w:id="1">
    <w:p w:rsidR="00362AA7" w:rsidRDefault="00362AA7">
      <w:pPr>
        <w:spacing w:after="0" w:line="240" w:lineRule="auto"/>
      </w:pPr>
    </w:p>
    <w:p w:rsidR="00362AA7" w:rsidRDefault="0036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29415"/>
      <w:docPartObj>
        <w:docPartGallery w:val="Page Numbers (Bottom of Page)"/>
        <w:docPartUnique/>
      </w:docPartObj>
    </w:sdtPr>
    <w:sdtEndPr>
      <w:rPr>
        <w:rFonts w:ascii="Times New Roman" w:hAnsi="Times New Roman"/>
      </w:rPr>
    </w:sdtEndPr>
    <w:sdtContent>
      <w:p w:rsidR="00DF0F50" w:rsidRPr="00CE7634" w:rsidRDefault="00DF0F50">
        <w:pPr>
          <w:pStyle w:val="Footer"/>
          <w:jc w:val="center"/>
          <w:rPr>
            <w:rFonts w:ascii="Times New Roman" w:hAnsi="Times New Roman"/>
          </w:rPr>
        </w:pPr>
        <w:r w:rsidRPr="00CE7634">
          <w:rPr>
            <w:rFonts w:ascii="Times New Roman" w:hAnsi="Times New Roman"/>
            <w:noProof w:val="0"/>
          </w:rPr>
          <w:fldChar w:fldCharType="begin"/>
        </w:r>
        <w:r w:rsidRPr="00CE7634">
          <w:rPr>
            <w:rFonts w:ascii="Times New Roman" w:hAnsi="Times New Roman"/>
          </w:rPr>
          <w:instrText>PAGE   \* MERGEFORMAT</w:instrText>
        </w:r>
        <w:r w:rsidRPr="00CE7634">
          <w:rPr>
            <w:rFonts w:ascii="Times New Roman" w:hAnsi="Times New Roman"/>
            <w:noProof w:val="0"/>
          </w:rPr>
          <w:fldChar w:fldCharType="separate"/>
        </w:r>
        <w:r w:rsidR="00FE1B7F">
          <w:rPr>
            <w:rFonts w:ascii="Times New Roman" w:hAnsi="Times New Roman"/>
          </w:rPr>
          <w:t>1</w:t>
        </w:r>
        <w:r w:rsidRPr="00CE7634">
          <w:rPr>
            <w:rFonts w:ascii="Times New Roman" w:hAnsi="Times New Roman"/>
          </w:rPr>
          <w:fldChar w:fldCharType="end"/>
        </w:r>
      </w:p>
    </w:sdtContent>
  </w:sdt>
  <w:p w:rsidR="00DF0F50" w:rsidRDefault="00DF0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A7" w:rsidRDefault="00362AA7" w:rsidP="00531727">
      <w:pPr>
        <w:spacing w:after="0" w:line="240" w:lineRule="auto"/>
      </w:pPr>
      <w:r>
        <w:separator/>
      </w:r>
    </w:p>
    <w:p w:rsidR="00362AA7" w:rsidRDefault="00362AA7"/>
  </w:footnote>
  <w:footnote w:type="continuationSeparator" w:id="0">
    <w:p w:rsidR="00362AA7" w:rsidRDefault="00362AA7" w:rsidP="00531727">
      <w:pPr>
        <w:spacing w:after="0" w:line="240" w:lineRule="auto"/>
      </w:pPr>
      <w:r>
        <w:continuationSeparator/>
      </w:r>
    </w:p>
    <w:p w:rsidR="00362AA7" w:rsidRDefault="00362AA7"/>
  </w:footnote>
  <w:footnote w:type="continuationNotice" w:id="1">
    <w:p w:rsidR="00362AA7" w:rsidRDefault="00362AA7">
      <w:pPr>
        <w:spacing w:after="0" w:line="240" w:lineRule="auto"/>
      </w:pPr>
    </w:p>
    <w:p w:rsidR="00362AA7" w:rsidRDefault="00362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50" w:rsidRDefault="00DF0F50">
    <w:pPr>
      <w:pStyle w:val="Header"/>
    </w:pPr>
  </w:p>
  <w:p w:rsidR="00DF0F50" w:rsidRDefault="00DF0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1"/>
  </w:num>
  <w:num w:numId="5">
    <w:abstractNumId w:val="0"/>
  </w:num>
  <w:num w:numId="6">
    <w:abstractNumId w:val="4"/>
  </w:num>
  <w:num w:numId="7">
    <w:abstractNumId w:val="11"/>
  </w:num>
  <w:num w:numId="8">
    <w:abstractNumId w:val="10"/>
  </w:num>
  <w:num w:numId="9">
    <w:abstractNumId w:val="6"/>
  </w:num>
  <w:num w:numId="10">
    <w:abstractNumId w:val="5"/>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002BA"/>
    <w:rsid w:val="00004103"/>
    <w:rsid w:val="00014885"/>
    <w:rsid w:val="0001646A"/>
    <w:rsid w:val="0002002A"/>
    <w:rsid w:val="00022AA2"/>
    <w:rsid w:val="0002485A"/>
    <w:rsid w:val="00027E2E"/>
    <w:rsid w:val="0003006D"/>
    <w:rsid w:val="00034125"/>
    <w:rsid w:val="0003681C"/>
    <w:rsid w:val="00050A9D"/>
    <w:rsid w:val="000526DE"/>
    <w:rsid w:val="0005360D"/>
    <w:rsid w:val="00053A7F"/>
    <w:rsid w:val="000558AB"/>
    <w:rsid w:val="000573FF"/>
    <w:rsid w:val="0006474E"/>
    <w:rsid w:val="0007261D"/>
    <w:rsid w:val="0007483E"/>
    <w:rsid w:val="00074E2D"/>
    <w:rsid w:val="000767C1"/>
    <w:rsid w:val="0008080F"/>
    <w:rsid w:val="0008167D"/>
    <w:rsid w:val="00090D74"/>
    <w:rsid w:val="00091370"/>
    <w:rsid w:val="0009330B"/>
    <w:rsid w:val="00095F24"/>
    <w:rsid w:val="000968B6"/>
    <w:rsid w:val="000A1893"/>
    <w:rsid w:val="000A1F00"/>
    <w:rsid w:val="000A36DE"/>
    <w:rsid w:val="000A5970"/>
    <w:rsid w:val="000B3D30"/>
    <w:rsid w:val="000C1DE2"/>
    <w:rsid w:val="000C2261"/>
    <w:rsid w:val="000C4996"/>
    <w:rsid w:val="000C69D4"/>
    <w:rsid w:val="000D0C0D"/>
    <w:rsid w:val="000D635B"/>
    <w:rsid w:val="000E37ED"/>
    <w:rsid w:val="000E4FD6"/>
    <w:rsid w:val="000E5644"/>
    <w:rsid w:val="000F44AD"/>
    <w:rsid w:val="000F70DA"/>
    <w:rsid w:val="001026DC"/>
    <w:rsid w:val="00110A4D"/>
    <w:rsid w:val="00110D4E"/>
    <w:rsid w:val="00111D88"/>
    <w:rsid w:val="0011267F"/>
    <w:rsid w:val="00112E81"/>
    <w:rsid w:val="00112ECD"/>
    <w:rsid w:val="001132C9"/>
    <w:rsid w:val="00117F66"/>
    <w:rsid w:val="001215C8"/>
    <w:rsid w:val="00121823"/>
    <w:rsid w:val="0012296F"/>
    <w:rsid w:val="00123D7A"/>
    <w:rsid w:val="001311BF"/>
    <w:rsid w:val="001339FD"/>
    <w:rsid w:val="00140DFD"/>
    <w:rsid w:val="0014171F"/>
    <w:rsid w:val="00147A47"/>
    <w:rsid w:val="0015128F"/>
    <w:rsid w:val="00152190"/>
    <w:rsid w:val="001560AD"/>
    <w:rsid w:val="001569EA"/>
    <w:rsid w:val="001622CE"/>
    <w:rsid w:val="00165453"/>
    <w:rsid w:val="001655FC"/>
    <w:rsid w:val="00167F84"/>
    <w:rsid w:val="0017234D"/>
    <w:rsid w:val="00181DE9"/>
    <w:rsid w:val="0018389B"/>
    <w:rsid w:val="00183DCB"/>
    <w:rsid w:val="00190A2A"/>
    <w:rsid w:val="00190C8F"/>
    <w:rsid w:val="00191689"/>
    <w:rsid w:val="00191BEB"/>
    <w:rsid w:val="00196E0C"/>
    <w:rsid w:val="001A02BA"/>
    <w:rsid w:val="001A1D18"/>
    <w:rsid w:val="001A4474"/>
    <w:rsid w:val="001B49C5"/>
    <w:rsid w:val="001B5E10"/>
    <w:rsid w:val="001C0221"/>
    <w:rsid w:val="001C15B5"/>
    <w:rsid w:val="001C2CDC"/>
    <w:rsid w:val="001C572B"/>
    <w:rsid w:val="001D12D3"/>
    <w:rsid w:val="001D6E37"/>
    <w:rsid w:val="001D74D7"/>
    <w:rsid w:val="001E3563"/>
    <w:rsid w:val="001F12A5"/>
    <w:rsid w:val="001F383E"/>
    <w:rsid w:val="001F6891"/>
    <w:rsid w:val="002003D6"/>
    <w:rsid w:val="002040B0"/>
    <w:rsid w:val="00205461"/>
    <w:rsid w:val="00205558"/>
    <w:rsid w:val="00205C80"/>
    <w:rsid w:val="0020692F"/>
    <w:rsid w:val="002100E7"/>
    <w:rsid w:val="0021675B"/>
    <w:rsid w:val="00217CE5"/>
    <w:rsid w:val="00221561"/>
    <w:rsid w:val="00223B7A"/>
    <w:rsid w:val="0023136A"/>
    <w:rsid w:val="00233CC7"/>
    <w:rsid w:val="00237C91"/>
    <w:rsid w:val="00240512"/>
    <w:rsid w:val="00241AA9"/>
    <w:rsid w:val="00243D3E"/>
    <w:rsid w:val="00245370"/>
    <w:rsid w:val="00246642"/>
    <w:rsid w:val="002503F5"/>
    <w:rsid w:val="00252B54"/>
    <w:rsid w:val="0025319E"/>
    <w:rsid w:val="00264EB0"/>
    <w:rsid w:val="0026542E"/>
    <w:rsid w:val="002672EF"/>
    <w:rsid w:val="00267DFD"/>
    <w:rsid w:val="002724A3"/>
    <w:rsid w:val="00274437"/>
    <w:rsid w:val="00276821"/>
    <w:rsid w:val="00292BEB"/>
    <w:rsid w:val="002A0328"/>
    <w:rsid w:val="002A2B35"/>
    <w:rsid w:val="002A30E6"/>
    <w:rsid w:val="002A5E1F"/>
    <w:rsid w:val="002A5F1E"/>
    <w:rsid w:val="002A6153"/>
    <w:rsid w:val="002A72AC"/>
    <w:rsid w:val="002A79C7"/>
    <w:rsid w:val="002B0686"/>
    <w:rsid w:val="002B1F82"/>
    <w:rsid w:val="002B45C2"/>
    <w:rsid w:val="002B5D5A"/>
    <w:rsid w:val="002B6CE7"/>
    <w:rsid w:val="002B79D3"/>
    <w:rsid w:val="002D1FD1"/>
    <w:rsid w:val="002E025A"/>
    <w:rsid w:val="002E4269"/>
    <w:rsid w:val="002E550E"/>
    <w:rsid w:val="002E6A97"/>
    <w:rsid w:val="002E6C75"/>
    <w:rsid w:val="002E7821"/>
    <w:rsid w:val="002F36C0"/>
    <w:rsid w:val="002F4D9A"/>
    <w:rsid w:val="002F5CF9"/>
    <w:rsid w:val="002F7ECD"/>
    <w:rsid w:val="00300B69"/>
    <w:rsid w:val="00300F8D"/>
    <w:rsid w:val="00301A65"/>
    <w:rsid w:val="003028BB"/>
    <w:rsid w:val="00304DC8"/>
    <w:rsid w:val="003062A6"/>
    <w:rsid w:val="003068FC"/>
    <w:rsid w:val="00313A06"/>
    <w:rsid w:val="00316CD8"/>
    <w:rsid w:val="00317436"/>
    <w:rsid w:val="00320C4E"/>
    <w:rsid w:val="00322808"/>
    <w:rsid w:val="003241EB"/>
    <w:rsid w:val="00325337"/>
    <w:rsid w:val="00325D02"/>
    <w:rsid w:val="00327B64"/>
    <w:rsid w:val="003350B6"/>
    <w:rsid w:val="0033725B"/>
    <w:rsid w:val="003421C0"/>
    <w:rsid w:val="003431DB"/>
    <w:rsid w:val="0034456D"/>
    <w:rsid w:val="00345C3D"/>
    <w:rsid w:val="0035090D"/>
    <w:rsid w:val="00355563"/>
    <w:rsid w:val="00356095"/>
    <w:rsid w:val="003562AB"/>
    <w:rsid w:val="00362AA7"/>
    <w:rsid w:val="00365825"/>
    <w:rsid w:val="003702BC"/>
    <w:rsid w:val="003727D5"/>
    <w:rsid w:val="00375EB7"/>
    <w:rsid w:val="00382043"/>
    <w:rsid w:val="00385E32"/>
    <w:rsid w:val="003861FE"/>
    <w:rsid w:val="00386BF1"/>
    <w:rsid w:val="00394E6D"/>
    <w:rsid w:val="00395ACA"/>
    <w:rsid w:val="003A2857"/>
    <w:rsid w:val="003A5916"/>
    <w:rsid w:val="003A67AC"/>
    <w:rsid w:val="003A69B4"/>
    <w:rsid w:val="003B0477"/>
    <w:rsid w:val="003B5931"/>
    <w:rsid w:val="003C2D73"/>
    <w:rsid w:val="003C45CA"/>
    <w:rsid w:val="003C4939"/>
    <w:rsid w:val="003C4CC4"/>
    <w:rsid w:val="003C5386"/>
    <w:rsid w:val="003C649C"/>
    <w:rsid w:val="003D3943"/>
    <w:rsid w:val="003E1F3A"/>
    <w:rsid w:val="003E4DCF"/>
    <w:rsid w:val="003F0EB1"/>
    <w:rsid w:val="00401674"/>
    <w:rsid w:val="00402AC3"/>
    <w:rsid w:val="00407A62"/>
    <w:rsid w:val="00411DBD"/>
    <w:rsid w:val="004166B1"/>
    <w:rsid w:val="0041684C"/>
    <w:rsid w:val="00422C37"/>
    <w:rsid w:val="004273D2"/>
    <w:rsid w:val="00432809"/>
    <w:rsid w:val="00434CFD"/>
    <w:rsid w:val="00437014"/>
    <w:rsid w:val="00443C66"/>
    <w:rsid w:val="0044695E"/>
    <w:rsid w:val="00457C84"/>
    <w:rsid w:val="00460402"/>
    <w:rsid w:val="00461838"/>
    <w:rsid w:val="004636D4"/>
    <w:rsid w:val="00463C58"/>
    <w:rsid w:val="00466DA3"/>
    <w:rsid w:val="004673B0"/>
    <w:rsid w:val="00474FDE"/>
    <w:rsid w:val="00477E3C"/>
    <w:rsid w:val="00484ED9"/>
    <w:rsid w:val="00490384"/>
    <w:rsid w:val="00491E43"/>
    <w:rsid w:val="004944CD"/>
    <w:rsid w:val="004971C3"/>
    <w:rsid w:val="00497A0D"/>
    <w:rsid w:val="004A5301"/>
    <w:rsid w:val="004A5B27"/>
    <w:rsid w:val="004B4AEE"/>
    <w:rsid w:val="004C0B45"/>
    <w:rsid w:val="004C2613"/>
    <w:rsid w:val="004C3C99"/>
    <w:rsid w:val="004C4420"/>
    <w:rsid w:val="004D0867"/>
    <w:rsid w:val="004D1D81"/>
    <w:rsid w:val="004E502A"/>
    <w:rsid w:val="004F276A"/>
    <w:rsid w:val="004F39E0"/>
    <w:rsid w:val="004F65CA"/>
    <w:rsid w:val="00503CA6"/>
    <w:rsid w:val="005069B3"/>
    <w:rsid w:val="005118D5"/>
    <w:rsid w:val="00514A43"/>
    <w:rsid w:val="00516580"/>
    <w:rsid w:val="00522C4E"/>
    <w:rsid w:val="00523249"/>
    <w:rsid w:val="00527D3B"/>
    <w:rsid w:val="00531727"/>
    <w:rsid w:val="005358C2"/>
    <w:rsid w:val="00543BB9"/>
    <w:rsid w:val="00545843"/>
    <w:rsid w:val="00546102"/>
    <w:rsid w:val="00546E05"/>
    <w:rsid w:val="005473E1"/>
    <w:rsid w:val="00547EDA"/>
    <w:rsid w:val="00551753"/>
    <w:rsid w:val="005602A3"/>
    <w:rsid w:val="00563DF6"/>
    <w:rsid w:val="00573DF9"/>
    <w:rsid w:val="0057660D"/>
    <w:rsid w:val="00583C33"/>
    <w:rsid w:val="005909A5"/>
    <w:rsid w:val="00590C9E"/>
    <w:rsid w:val="00591C8C"/>
    <w:rsid w:val="00592F21"/>
    <w:rsid w:val="00593CF1"/>
    <w:rsid w:val="00593D42"/>
    <w:rsid w:val="00594144"/>
    <w:rsid w:val="005B0080"/>
    <w:rsid w:val="005B2724"/>
    <w:rsid w:val="005B5446"/>
    <w:rsid w:val="005C7F6C"/>
    <w:rsid w:val="005D1305"/>
    <w:rsid w:val="005D3C18"/>
    <w:rsid w:val="005D65F8"/>
    <w:rsid w:val="005E0183"/>
    <w:rsid w:val="005E0423"/>
    <w:rsid w:val="005E1B23"/>
    <w:rsid w:val="005E6DDE"/>
    <w:rsid w:val="005E7E0D"/>
    <w:rsid w:val="005F6CDA"/>
    <w:rsid w:val="005F7715"/>
    <w:rsid w:val="00602711"/>
    <w:rsid w:val="00603A43"/>
    <w:rsid w:val="00603D49"/>
    <w:rsid w:val="0061014D"/>
    <w:rsid w:val="00611F1C"/>
    <w:rsid w:val="00614586"/>
    <w:rsid w:val="00614C5A"/>
    <w:rsid w:val="00615CB0"/>
    <w:rsid w:val="0062176B"/>
    <w:rsid w:val="00622382"/>
    <w:rsid w:val="00623B05"/>
    <w:rsid w:val="00624C44"/>
    <w:rsid w:val="00625766"/>
    <w:rsid w:val="00630F27"/>
    <w:rsid w:val="00631043"/>
    <w:rsid w:val="00634292"/>
    <w:rsid w:val="00635934"/>
    <w:rsid w:val="006364B0"/>
    <w:rsid w:val="00642BE5"/>
    <w:rsid w:val="00645122"/>
    <w:rsid w:val="00645408"/>
    <w:rsid w:val="006555C8"/>
    <w:rsid w:val="00655F34"/>
    <w:rsid w:val="00656C8A"/>
    <w:rsid w:val="00662C0B"/>
    <w:rsid w:val="006631DE"/>
    <w:rsid w:val="00663C63"/>
    <w:rsid w:val="006704B6"/>
    <w:rsid w:val="00680219"/>
    <w:rsid w:val="00681D89"/>
    <w:rsid w:val="00682395"/>
    <w:rsid w:val="00682527"/>
    <w:rsid w:val="00683190"/>
    <w:rsid w:val="00683925"/>
    <w:rsid w:val="0068520F"/>
    <w:rsid w:val="00692F7C"/>
    <w:rsid w:val="0069590D"/>
    <w:rsid w:val="006A0EC9"/>
    <w:rsid w:val="006A14E5"/>
    <w:rsid w:val="006B2EAD"/>
    <w:rsid w:val="006B3B67"/>
    <w:rsid w:val="006C4846"/>
    <w:rsid w:val="006E016B"/>
    <w:rsid w:val="006E16D7"/>
    <w:rsid w:val="006E3036"/>
    <w:rsid w:val="006F06F1"/>
    <w:rsid w:val="006F1A0C"/>
    <w:rsid w:val="006F3329"/>
    <w:rsid w:val="00702E1B"/>
    <w:rsid w:val="007103F5"/>
    <w:rsid w:val="00712B7A"/>
    <w:rsid w:val="00714336"/>
    <w:rsid w:val="00717A99"/>
    <w:rsid w:val="00717CB0"/>
    <w:rsid w:val="007230D6"/>
    <w:rsid w:val="00724054"/>
    <w:rsid w:val="0073085C"/>
    <w:rsid w:val="00732EA3"/>
    <w:rsid w:val="0073470C"/>
    <w:rsid w:val="0073533C"/>
    <w:rsid w:val="00736431"/>
    <w:rsid w:val="00741BAB"/>
    <w:rsid w:val="00743FB7"/>
    <w:rsid w:val="007504C3"/>
    <w:rsid w:val="007513B1"/>
    <w:rsid w:val="00752548"/>
    <w:rsid w:val="0075412D"/>
    <w:rsid w:val="00754D03"/>
    <w:rsid w:val="00755D77"/>
    <w:rsid w:val="00757C11"/>
    <w:rsid w:val="00760256"/>
    <w:rsid w:val="007653AB"/>
    <w:rsid w:val="00770452"/>
    <w:rsid w:val="00771DFF"/>
    <w:rsid w:val="00772F37"/>
    <w:rsid w:val="0078325F"/>
    <w:rsid w:val="007857CA"/>
    <w:rsid w:val="00787937"/>
    <w:rsid w:val="00790C9E"/>
    <w:rsid w:val="0079131E"/>
    <w:rsid w:val="00791B1E"/>
    <w:rsid w:val="00793148"/>
    <w:rsid w:val="007B03C5"/>
    <w:rsid w:val="007B4CDD"/>
    <w:rsid w:val="007C283F"/>
    <w:rsid w:val="007C4FE1"/>
    <w:rsid w:val="007D00E7"/>
    <w:rsid w:val="007D344D"/>
    <w:rsid w:val="007D3E3F"/>
    <w:rsid w:val="007D7110"/>
    <w:rsid w:val="007E0F14"/>
    <w:rsid w:val="007E2C60"/>
    <w:rsid w:val="007E46B8"/>
    <w:rsid w:val="007E49C5"/>
    <w:rsid w:val="007E537D"/>
    <w:rsid w:val="007E5DBF"/>
    <w:rsid w:val="007F2DBF"/>
    <w:rsid w:val="007F569C"/>
    <w:rsid w:val="00803D0D"/>
    <w:rsid w:val="0081214D"/>
    <w:rsid w:val="008126C7"/>
    <w:rsid w:val="0081308A"/>
    <w:rsid w:val="008144DC"/>
    <w:rsid w:val="00820504"/>
    <w:rsid w:val="00820BF2"/>
    <w:rsid w:val="00824F08"/>
    <w:rsid w:val="00825ED7"/>
    <w:rsid w:val="00826DD2"/>
    <w:rsid w:val="0082710E"/>
    <w:rsid w:val="008310BB"/>
    <w:rsid w:val="0083111D"/>
    <w:rsid w:val="0084092C"/>
    <w:rsid w:val="00841AFB"/>
    <w:rsid w:val="008534D1"/>
    <w:rsid w:val="008539CC"/>
    <w:rsid w:val="0085794B"/>
    <w:rsid w:val="00862AEE"/>
    <w:rsid w:val="00863F76"/>
    <w:rsid w:val="008658BA"/>
    <w:rsid w:val="00874640"/>
    <w:rsid w:val="008763E3"/>
    <w:rsid w:val="008860B9"/>
    <w:rsid w:val="008879E6"/>
    <w:rsid w:val="00887F7F"/>
    <w:rsid w:val="00890A64"/>
    <w:rsid w:val="008A3594"/>
    <w:rsid w:val="008B16C4"/>
    <w:rsid w:val="008B2EBF"/>
    <w:rsid w:val="008C0EAE"/>
    <w:rsid w:val="008C2B5B"/>
    <w:rsid w:val="008C7601"/>
    <w:rsid w:val="008D12CB"/>
    <w:rsid w:val="008D1E24"/>
    <w:rsid w:val="008D2652"/>
    <w:rsid w:val="008D3B15"/>
    <w:rsid w:val="008D4350"/>
    <w:rsid w:val="008D5E75"/>
    <w:rsid w:val="008F06D1"/>
    <w:rsid w:val="008F298F"/>
    <w:rsid w:val="008F6AB3"/>
    <w:rsid w:val="00914566"/>
    <w:rsid w:val="00916332"/>
    <w:rsid w:val="00930930"/>
    <w:rsid w:val="00932650"/>
    <w:rsid w:val="00933C7C"/>
    <w:rsid w:val="0093543C"/>
    <w:rsid w:val="0093746B"/>
    <w:rsid w:val="00942AFF"/>
    <w:rsid w:val="00946198"/>
    <w:rsid w:val="0095056F"/>
    <w:rsid w:val="00952690"/>
    <w:rsid w:val="00954A75"/>
    <w:rsid w:val="00954E1F"/>
    <w:rsid w:val="00963613"/>
    <w:rsid w:val="009643C9"/>
    <w:rsid w:val="00965D67"/>
    <w:rsid w:val="0096674D"/>
    <w:rsid w:val="00970A1E"/>
    <w:rsid w:val="00974C1F"/>
    <w:rsid w:val="0097746B"/>
    <w:rsid w:val="00977F68"/>
    <w:rsid w:val="009805DA"/>
    <w:rsid w:val="00982615"/>
    <w:rsid w:val="00982FC8"/>
    <w:rsid w:val="00983DEE"/>
    <w:rsid w:val="00983FFD"/>
    <w:rsid w:val="00984437"/>
    <w:rsid w:val="0098559E"/>
    <w:rsid w:val="00990FA0"/>
    <w:rsid w:val="00992015"/>
    <w:rsid w:val="0099518A"/>
    <w:rsid w:val="0099556C"/>
    <w:rsid w:val="0099722E"/>
    <w:rsid w:val="009A0E8B"/>
    <w:rsid w:val="009A2235"/>
    <w:rsid w:val="009A5C4C"/>
    <w:rsid w:val="009C2C73"/>
    <w:rsid w:val="009C551C"/>
    <w:rsid w:val="009D7934"/>
    <w:rsid w:val="009E166F"/>
    <w:rsid w:val="009E238C"/>
    <w:rsid w:val="009E4FE0"/>
    <w:rsid w:val="009E6373"/>
    <w:rsid w:val="009F0EE7"/>
    <w:rsid w:val="009F328D"/>
    <w:rsid w:val="00A04BCD"/>
    <w:rsid w:val="00A07B17"/>
    <w:rsid w:val="00A13644"/>
    <w:rsid w:val="00A15291"/>
    <w:rsid w:val="00A24C9F"/>
    <w:rsid w:val="00A26352"/>
    <w:rsid w:val="00A37BA1"/>
    <w:rsid w:val="00A45767"/>
    <w:rsid w:val="00A46B87"/>
    <w:rsid w:val="00A47EB4"/>
    <w:rsid w:val="00A51B1A"/>
    <w:rsid w:val="00A52739"/>
    <w:rsid w:val="00A52FAB"/>
    <w:rsid w:val="00A55583"/>
    <w:rsid w:val="00A573EA"/>
    <w:rsid w:val="00A607C9"/>
    <w:rsid w:val="00A60AF2"/>
    <w:rsid w:val="00A60B59"/>
    <w:rsid w:val="00A616D1"/>
    <w:rsid w:val="00A6194F"/>
    <w:rsid w:val="00A61F6E"/>
    <w:rsid w:val="00A62A18"/>
    <w:rsid w:val="00A67CAE"/>
    <w:rsid w:val="00A67D8B"/>
    <w:rsid w:val="00A70285"/>
    <w:rsid w:val="00A7415D"/>
    <w:rsid w:val="00A7467C"/>
    <w:rsid w:val="00A8384D"/>
    <w:rsid w:val="00A8417B"/>
    <w:rsid w:val="00A86446"/>
    <w:rsid w:val="00A87099"/>
    <w:rsid w:val="00A918E8"/>
    <w:rsid w:val="00AA25BA"/>
    <w:rsid w:val="00AA279A"/>
    <w:rsid w:val="00AA30CB"/>
    <w:rsid w:val="00AA38E6"/>
    <w:rsid w:val="00AA4C73"/>
    <w:rsid w:val="00AA602C"/>
    <w:rsid w:val="00AB01A1"/>
    <w:rsid w:val="00AB0D52"/>
    <w:rsid w:val="00AB3FB7"/>
    <w:rsid w:val="00AB74F7"/>
    <w:rsid w:val="00AC39D0"/>
    <w:rsid w:val="00AC4341"/>
    <w:rsid w:val="00AC7626"/>
    <w:rsid w:val="00AD14D5"/>
    <w:rsid w:val="00AE0F5D"/>
    <w:rsid w:val="00AE15C4"/>
    <w:rsid w:val="00AE303F"/>
    <w:rsid w:val="00AE3768"/>
    <w:rsid w:val="00AE40D7"/>
    <w:rsid w:val="00AE606C"/>
    <w:rsid w:val="00AF63FB"/>
    <w:rsid w:val="00AF6EBB"/>
    <w:rsid w:val="00B03A7E"/>
    <w:rsid w:val="00B07B3B"/>
    <w:rsid w:val="00B10307"/>
    <w:rsid w:val="00B10674"/>
    <w:rsid w:val="00B14117"/>
    <w:rsid w:val="00B16876"/>
    <w:rsid w:val="00B22B53"/>
    <w:rsid w:val="00B23CCD"/>
    <w:rsid w:val="00B247D4"/>
    <w:rsid w:val="00B27BDB"/>
    <w:rsid w:val="00B3027D"/>
    <w:rsid w:val="00B37E69"/>
    <w:rsid w:val="00B37FD8"/>
    <w:rsid w:val="00B40807"/>
    <w:rsid w:val="00B4781B"/>
    <w:rsid w:val="00B533E6"/>
    <w:rsid w:val="00B53F59"/>
    <w:rsid w:val="00B5569C"/>
    <w:rsid w:val="00B572E5"/>
    <w:rsid w:val="00B57789"/>
    <w:rsid w:val="00B60191"/>
    <w:rsid w:val="00B61176"/>
    <w:rsid w:val="00B621B8"/>
    <w:rsid w:val="00B645F8"/>
    <w:rsid w:val="00B64D96"/>
    <w:rsid w:val="00B72E65"/>
    <w:rsid w:val="00B74CC4"/>
    <w:rsid w:val="00B751D9"/>
    <w:rsid w:val="00B75FBA"/>
    <w:rsid w:val="00B83AB2"/>
    <w:rsid w:val="00B8709F"/>
    <w:rsid w:val="00B909D0"/>
    <w:rsid w:val="00B96730"/>
    <w:rsid w:val="00BA383F"/>
    <w:rsid w:val="00BA4F7E"/>
    <w:rsid w:val="00BA7645"/>
    <w:rsid w:val="00BB2265"/>
    <w:rsid w:val="00BB6A9E"/>
    <w:rsid w:val="00BC0174"/>
    <w:rsid w:val="00BC0F9C"/>
    <w:rsid w:val="00BC4366"/>
    <w:rsid w:val="00BC4817"/>
    <w:rsid w:val="00BD7595"/>
    <w:rsid w:val="00BE3DCF"/>
    <w:rsid w:val="00BE542B"/>
    <w:rsid w:val="00BE6C40"/>
    <w:rsid w:val="00BE797F"/>
    <w:rsid w:val="00BF10A6"/>
    <w:rsid w:val="00BF7A91"/>
    <w:rsid w:val="00C036DF"/>
    <w:rsid w:val="00C04397"/>
    <w:rsid w:val="00C0656D"/>
    <w:rsid w:val="00C0726C"/>
    <w:rsid w:val="00C14A00"/>
    <w:rsid w:val="00C1608A"/>
    <w:rsid w:val="00C179A0"/>
    <w:rsid w:val="00C333C2"/>
    <w:rsid w:val="00C34211"/>
    <w:rsid w:val="00C36271"/>
    <w:rsid w:val="00C366CE"/>
    <w:rsid w:val="00C37090"/>
    <w:rsid w:val="00C4397C"/>
    <w:rsid w:val="00C45942"/>
    <w:rsid w:val="00C56D24"/>
    <w:rsid w:val="00C60200"/>
    <w:rsid w:val="00C62E10"/>
    <w:rsid w:val="00C65CD9"/>
    <w:rsid w:val="00C66E4B"/>
    <w:rsid w:val="00C74823"/>
    <w:rsid w:val="00C822F1"/>
    <w:rsid w:val="00C8257A"/>
    <w:rsid w:val="00C8288C"/>
    <w:rsid w:val="00C8349D"/>
    <w:rsid w:val="00C83AD8"/>
    <w:rsid w:val="00C855D2"/>
    <w:rsid w:val="00C85E8B"/>
    <w:rsid w:val="00C86E3B"/>
    <w:rsid w:val="00C96B59"/>
    <w:rsid w:val="00CA273E"/>
    <w:rsid w:val="00CA28F1"/>
    <w:rsid w:val="00CA372F"/>
    <w:rsid w:val="00CA49FF"/>
    <w:rsid w:val="00CA4D4E"/>
    <w:rsid w:val="00CA68A6"/>
    <w:rsid w:val="00CB1841"/>
    <w:rsid w:val="00CB4638"/>
    <w:rsid w:val="00CB5A77"/>
    <w:rsid w:val="00CC1455"/>
    <w:rsid w:val="00CC20FD"/>
    <w:rsid w:val="00CC47C7"/>
    <w:rsid w:val="00CD2D39"/>
    <w:rsid w:val="00CD4CB5"/>
    <w:rsid w:val="00CE0DD5"/>
    <w:rsid w:val="00CE1F2B"/>
    <w:rsid w:val="00CE6A48"/>
    <w:rsid w:val="00CE716D"/>
    <w:rsid w:val="00CE7634"/>
    <w:rsid w:val="00CF33FC"/>
    <w:rsid w:val="00CF3D07"/>
    <w:rsid w:val="00CF5084"/>
    <w:rsid w:val="00CF5A43"/>
    <w:rsid w:val="00D0008F"/>
    <w:rsid w:val="00D03232"/>
    <w:rsid w:val="00D0361B"/>
    <w:rsid w:val="00D13253"/>
    <w:rsid w:val="00D1533C"/>
    <w:rsid w:val="00D2217B"/>
    <w:rsid w:val="00D24163"/>
    <w:rsid w:val="00D27642"/>
    <w:rsid w:val="00D3124B"/>
    <w:rsid w:val="00D3595E"/>
    <w:rsid w:val="00D46D83"/>
    <w:rsid w:val="00D54057"/>
    <w:rsid w:val="00D55D10"/>
    <w:rsid w:val="00D56B8D"/>
    <w:rsid w:val="00D576D7"/>
    <w:rsid w:val="00D613E7"/>
    <w:rsid w:val="00D76883"/>
    <w:rsid w:val="00D77D8F"/>
    <w:rsid w:val="00D83975"/>
    <w:rsid w:val="00D854CD"/>
    <w:rsid w:val="00D9458B"/>
    <w:rsid w:val="00D95986"/>
    <w:rsid w:val="00DA0DDE"/>
    <w:rsid w:val="00DA16E7"/>
    <w:rsid w:val="00DA4C7E"/>
    <w:rsid w:val="00DB1502"/>
    <w:rsid w:val="00DC275D"/>
    <w:rsid w:val="00DC3A69"/>
    <w:rsid w:val="00DC4A9B"/>
    <w:rsid w:val="00DD6076"/>
    <w:rsid w:val="00DE7E2D"/>
    <w:rsid w:val="00DF0F50"/>
    <w:rsid w:val="00DF12C0"/>
    <w:rsid w:val="00DF1547"/>
    <w:rsid w:val="00DF2218"/>
    <w:rsid w:val="00E00EC5"/>
    <w:rsid w:val="00E01C8C"/>
    <w:rsid w:val="00E02C01"/>
    <w:rsid w:val="00E03ADD"/>
    <w:rsid w:val="00E06F6D"/>
    <w:rsid w:val="00E10A9F"/>
    <w:rsid w:val="00E14D84"/>
    <w:rsid w:val="00E3042A"/>
    <w:rsid w:val="00E30C53"/>
    <w:rsid w:val="00E31CB2"/>
    <w:rsid w:val="00E36106"/>
    <w:rsid w:val="00E37BFE"/>
    <w:rsid w:val="00E43826"/>
    <w:rsid w:val="00E43D5C"/>
    <w:rsid w:val="00E4581A"/>
    <w:rsid w:val="00E502FD"/>
    <w:rsid w:val="00E55BEF"/>
    <w:rsid w:val="00E60199"/>
    <w:rsid w:val="00E61A33"/>
    <w:rsid w:val="00E61FD3"/>
    <w:rsid w:val="00E6413A"/>
    <w:rsid w:val="00E648E0"/>
    <w:rsid w:val="00E65A95"/>
    <w:rsid w:val="00E6694E"/>
    <w:rsid w:val="00E66AF1"/>
    <w:rsid w:val="00E673B1"/>
    <w:rsid w:val="00E6752E"/>
    <w:rsid w:val="00E720BB"/>
    <w:rsid w:val="00E7336E"/>
    <w:rsid w:val="00E7342F"/>
    <w:rsid w:val="00E81061"/>
    <w:rsid w:val="00E84B78"/>
    <w:rsid w:val="00E92E1F"/>
    <w:rsid w:val="00E9312E"/>
    <w:rsid w:val="00E93673"/>
    <w:rsid w:val="00E94A8D"/>
    <w:rsid w:val="00E97B53"/>
    <w:rsid w:val="00EA6C73"/>
    <w:rsid w:val="00EA7230"/>
    <w:rsid w:val="00EB1A1F"/>
    <w:rsid w:val="00EB28A6"/>
    <w:rsid w:val="00EB74AE"/>
    <w:rsid w:val="00EC0E4B"/>
    <w:rsid w:val="00EC455C"/>
    <w:rsid w:val="00EC5BCE"/>
    <w:rsid w:val="00EC6BCA"/>
    <w:rsid w:val="00EC7E58"/>
    <w:rsid w:val="00ED1E01"/>
    <w:rsid w:val="00ED1F6D"/>
    <w:rsid w:val="00EE472E"/>
    <w:rsid w:val="00EF0621"/>
    <w:rsid w:val="00F002EC"/>
    <w:rsid w:val="00F01171"/>
    <w:rsid w:val="00F05304"/>
    <w:rsid w:val="00F05B75"/>
    <w:rsid w:val="00F07EB0"/>
    <w:rsid w:val="00F13883"/>
    <w:rsid w:val="00F14B8F"/>
    <w:rsid w:val="00F201D4"/>
    <w:rsid w:val="00F23837"/>
    <w:rsid w:val="00F25BA6"/>
    <w:rsid w:val="00F26795"/>
    <w:rsid w:val="00F27979"/>
    <w:rsid w:val="00F27DF0"/>
    <w:rsid w:val="00F321B4"/>
    <w:rsid w:val="00F3362D"/>
    <w:rsid w:val="00F43344"/>
    <w:rsid w:val="00F43D8F"/>
    <w:rsid w:val="00F454C5"/>
    <w:rsid w:val="00F457EC"/>
    <w:rsid w:val="00F52CE4"/>
    <w:rsid w:val="00F53FD2"/>
    <w:rsid w:val="00F616CA"/>
    <w:rsid w:val="00F64320"/>
    <w:rsid w:val="00F646E8"/>
    <w:rsid w:val="00F654D8"/>
    <w:rsid w:val="00F65CC7"/>
    <w:rsid w:val="00F66125"/>
    <w:rsid w:val="00F70EC2"/>
    <w:rsid w:val="00F714AD"/>
    <w:rsid w:val="00F75020"/>
    <w:rsid w:val="00F75DDC"/>
    <w:rsid w:val="00F82567"/>
    <w:rsid w:val="00F82C96"/>
    <w:rsid w:val="00F83DD3"/>
    <w:rsid w:val="00F97B91"/>
    <w:rsid w:val="00FB6859"/>
    <w:rsid w:val="00FC18F6"/>
    <w:rsid w:val="00FC7ACC"/>
    <w:rsid w:val="00FD3AFC"/>
    <w:rsid w:val="00FE1B7F"/>
    <w:rsid w:val="00FE454A"/>
    <w:rsid w:val="00FE492A"/>
    <w:rsid w:val="00FF174E"/>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7EF5AF-C2FC-4351-AF24-931ED3DE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noProof/>
      <w:sz w:val="22"/>
      <w:szCs w:val="22"/>
      <w:lang w:val="sq-AL"/>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uiPriority w:val="1"/>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uiPriority w:val="99"/>
    <w:rsid w:val="00531727"/>
    <w:pPr>
      <w:tabs>
        <w:tab w:val="center" w:pos="4680"/>
        <w:tab w:val="right" w:pos="9360"/>
      </w:tabs>
    </w:pPr>
  </w:style>
  <w:style w:type="character" w:customStyle="1" w:styleId="FooterChar">
    <w:name w:val="Footer Char"/>
    <w:basedOn w:val="DefaultParagraphFont"/>
    <w:link w:val="Footer"/>
    <w:uiPriority w:val="99"/>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BodyText2">
    <w:name w:val="Body Text 2"/>
    <w:basedOn w:val="Normal"/>
    <w:link w:val="BodyText2Char"/>
    <w:semiHidden/>
    <w:unhideWhenUsed/>
    <w:rsid w:val="00F64320"/>
    <w:pPr>
      <w:spacing w:after="120" w:line="480" w:lineRule="auto"/>
    </w:pPr>
  </w:style>
  <w:style w:type="character" w:customStyle="1" w:styleId="BodyText2Char">
    <w:name w:val="Body Text 2 Char"/>
    <w:basedOn w:val="DefaultParagraphFont"/>
    <w:link w:val="BodyText2"/>
    <w:semiHidden/>
    <w:rsid w:val="00F6432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ultimet.rks-gov.net/&amp;qu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11B6-6ADC-4CE7-A171-9AAA87D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Remzije Hajdari</cp:lastModifiedBy>
  <cp:revision>5</cp:revision>
  <cp:lastPrinted>2016-02-18T09:50:00Z</cp:lastPrinted>
  <dcterms:created xsi:type="dcterms:W3CDTF">2019-12-17T10:13:00Z</dcterms:created>
  <dcterms:modified xsi:type="dcterms:W3CDTF">2019-12-17T12:09:00Z</dcterms:modified>
</cp:coreProperties>
</file>