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7E547" w14:textId="7152819E" w:rsidR="00507F3F" w:rsidRDefault="00507F3F">
      <w:pPr>
        <w:spacing w:before="500"/>
        <w:jc w:val="center"/>
        <w:rPr>
          <w:b/>
          <w:bCs/>
          <w:color w:val="1F3864"/>
          <w:sz w:val="24"/>
          <w:szCs w:val="24"/>
        </w:rPr>
      </w:pPr>
    </w:p>
    <w:p w14:paraId="0D3EE058" w14:textId="26942912" w:rsidR="00507F3F" w:rsidRPr="00507F3F" w:rsidRDefault="00990D89" w:rsidP="00507F3F">
      <w:pPr>
        <w:spacing w:before="500"/>
        <w:jc w:val="center"/>
        <w:rPr>
          <w:b/>
          <w:bCs/>
          <w:color w:val="1F3864"/>
          <w:sz w:val="24"/>
          <w:szCs w:val="24"/>
        </w:rPr>
      </w:pPr>
      <w:r>
        <w:rPr>
          <w:b/>
          <w:bCs/>
          <w:noProof/>
          <w:color w:val="1F3864"/>
          <w:sz w:val="24"/>
          <w:szCs w:val="24"/>
        </w:rPr>
        <w:drawing>
          <wp:inline distT="0" distB="0" distL="0" distR="0" wp14:anchorId="1CF85F79" wp14:editId="59B69F75">
            <wp:extent cx="6762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898" cy="733130"/>
                    </a:xfrm>
                    <a:prstGeom prst="rect">
                      <a:avLst/>
                    </a:prstGeom>
                    <a:noFill/>
                  </pic:spPr>
                </pic:pic>
              </a:graphicData>
            </a:graphic>
          </wp:inline>
        </w:drawing>
      </w:r>
    </w:p>
    <w:p w14:paraId="7067B052" w14:textId="52601E43" w:rsidR="00A90CBB" w:rsidRPr="00503850" w:rsidRDefault="00112C45">
      <w:pPr>
        <w:spacing w:before="500"/>
        <w:jc w:val="center"/>
        <w:rPr>
          <w:lang w:val="de-DE"/>
        </w:rPr>
      </w:pPr>
      <w:r>
        <w:rPr>
          <w:b/>
          <w:bCs/>
          <w:color w:val="1F3864"/>
          <w:sz w:val="24"/>
          <w:szCs w:val="24"/>
          <w:lang w:val="de-DE"/>
        </w:rPr>
        <w:t>Republika e Kosovës</w:t>
      </w:r>
    </w:p>
    <w:p w14:paraId="54E43C8A" w14:textId="77777777" w:rsidR="00A90CBB" w:rsidRPr="00503850" w:rsidRDefault="00112C45">
      <w:pPr>
        <w:jc w:val="center"/>
        <w:rPr>
          <w:lang w:val="de-DE"/>
        </w:rPr>
      </w:pPr>
      <w:r>
        <w:rPr>
          <w:color w:val="595959"/>
          <w:sz w:val="18"/>
          <w:szCs w:val="18"/>
          <w:lang w:val="de-DE"/>
        </w:rPr>
        <w:t>Republika Kosova – Republic of Kosovo</w:t>
      </w:r>
    </w:p>
    <w:p w14:paraId="52F3529F" w14:textId="77777777" w:rsidR="00A90CBB" w:rsidRDefault="00112C45">
      <w:pPr>
        <w:spacing w:after="40"/>
        <w:jc w:val="center"/>
      </w:pPr>
      <w:r>
        <w:rPr>
          <w:color w:val="595959"/>
          <w:sz w:val="18"/>
          <w:szCs w:val="18"/>
        </w:rPr>
        <w:t>Qeveria – Vlada – Government</w:t>
      </w:r>
    </w:p>
    <w:p w14:paraId="5BB58B75" w14:textId="77777777" w:rsidR="00A90CBB" w:rsidRDefault="00A90CBB">
      <w:pPr>
        <w:pBdr>
          <w:bottom w:val="single" w:sz="12" w:space="6" w:color="1F3864"/>
        </w:pBdr>
        <w:spacing w:before="40"/>
        <w:jc w:val="center"/>
      </w:pPr>
    </w:p>
    <w:p w14:paraId="5EB3DE58" w14:textId="77777777" w:rsidR="00A90CBB" w:rsidRDefault="00112C45">
      <w:pPr>
        <w:spacing w:before="1700"/>
        <w:jc w:val="center"/>
      </w:pPr>
      <w:r>
        <w:rPr>
          <w:b/>
          <w:bCs/>
          <w:color w:val="1F3864"/>
          <w:sz w:val="46"/>
          <w:szCs w:val="46"/>
        </w:rPr>
        <w:t>UDHËRRËFYESI PËR</w:t>
      </w:r>
    </w:p>
    <w:p w14:paraId="3565C3D1" w14:textId="77777777" w:rsidR="00A90CBB" w:rsidRDefault="00112C45">
      <w:pPr>
        <w:spacing w:before="60"/>
        <w:jc w:val="center"/>
      </w:pPr>
      <w:r>
        <w:rPr>
          <w:b/>
          <w:bCs/>
          <w:color w:val="1F3864"/>
          <w:sz w:val="46"/>
          <w:szCs w:val="46"/>
        </w:rPr>
        <w:t>TRANZICION TË DREJTË</w:t>
      </w:r>
    </w:p>
    <w:p w14:paraId="1C15E758" w14:textId="77777777" w:rsidR="00A90CBB" w:rsidRDefault="00112C45">
      <w:pPr>
        <w:spacing w:before="200"/>
        <w:jc w:val="center"/>
      </w:pPr>
      <w:r>
        <w:rPr>
          <w:i/>
          <w:iCs/>
          <w:color w:val="2E5496"/>
          <w:sz w:val="26"/>
          <w:szCs w:val="26"/>
        </w:rPr>
        <w:t>Just Transition Roadmap</w:t>
      </w:r>
    </w:p>
    <w:p w14:paraId="0F58DA36" w14:textId="77777777" w:rsidR="00A90CBB" w:rsidRDefault="00112C45">
      <w:pPr>
        <w:pBdr>
          <w:top w:val="single" w:sz="6" w:space="6" w:color="2E5496"/>
        </w:pBdr>
        <w:spacing w:before="1500"/>
        <w:jc w:val="center"/>
      </w:pPr>
      <w:r>
        <w:rPr>
          <w:b/>
          <w:bCs/>
          <w:color w:val="595959"/>
          <w:sz w:val="24"/>
          <w:szCs w:val="24"/>
        </w:rPr>
        <w:t>Prishtinë, maj 2026</w:t>
      </w:r>
    </w:p>
    <w:p w14:paraId="5EB808C8" w14:textId="77777777" w:rsidR="00A90CBB" w:rsidRDefault="00112C45">
      <w:pPr>
        <w:spacing w:before="80"/>
        <w:jc w:val="center"/>
      </w:pPr>
      <w:r>
        <w:rPr>
          <w:i/>
          <w:iCs/>
          <w:color w:val="595959"/>
          <w:sz w:val="20"/>
          <w:szCs w:val="20"/>
        </w:rPr>
        <w:t>Dokument strategjik kombëtar</w:t>
      </w:r>
    </w:p>
    <w:p w14:paraId="5535BF37" w14:textId="77777777" w:rsidR="00A90CBB" w:rsidRDefault="00112C45">
      <w:r>
        <w:br w:type="page"/>
      </w:r>
    </w:p>
    <w:p w14:paraId="09F583AA" w14:textId="77777777" w:rsidR="00A90CBB" w:rsidRDefault="00112C45">
      <w:pPr>
        <w:spacing w:after="200"/>
      </w:pPr>
      <w:r>
        <w:rPr>
          <w:b/>
          <w:bCs/>
          <w:color w:val="1F3864"/>
          <w:sz w:val="30"/>
          <w:szCs w:val="30"/>
        </w:rPr>
        <w:lastRenderedPageBreak/>
        <w:t>PËRMBAJTJA</w:t>
      </w:r>
    </w:p>
    <w:sdt>
      <w:sdtPr>
        <w:alias w:val="Përmbajtja"/>
        <w:id w:val="157360724"/>
      </w:sdtPr>
      <w:sdtContent>
        <w:p w14:paraId="19B6D01E" w14:textId="3B084539" w:rsidR="00990D89" w:rsidRDefault="00112C45">
          <w:pPr>
            <w:pStyle w:val="TOC1"/>
            <w:tabs>
              <w:tab w:val="right" w:leader="dot" w:pos="9350"/>
            </w:tabs>
            <w:rPr>
              <w:rFonts w:asciiTheme="minorHAnsi" w:eastAsiaTheme="minorEastAsia" w:hAnsiTheme="minorHAnsi" w:cstheme="minorBidi"/>
              <w:noProof/>
              <w:color w:val="auto"/>
            </w:rPr>
          </w:pPr>
          <w:r>
            <w:fldChar w:fldCharType="begin"/>
          </w:r>
          <w:r>
            <w:instrText>TOC \h \o "1-3"</w:instrText>
          </w:r>
          <w:r>
            <w:fldChar w:fldCharType="separate"/>
          </w:r>
          <w:hyperlink w:anchor="_Toc231392834" w:history="1">
            <w:r>
              <w:rPr>
                <w:rStyle w:val="Hyperlink"/>
                <w:noProof/>
              </w:rPr>
              <w:t>Shkurtesat</w:t>
            </w:r>
            <w:r>
              <w:rPr>
                <w:noProof/>
              </w:rPr>
              <w:tab/>
            </w:r>
            <w:r>
              <w:rPr>
                <w:noProof/>
              </w:rPr>
              <w:fldChar w:fldCharType="begin"/>
            </w:r>
            <w:r>
              <w:rPr>
                <w:noProof/>
              </w:rPr>
              <w:instrText xml:space="preserve"> PAGEREF _Toc231392834 \h </w:instrText>
            </w:r>
            <w:r>
              <w:rPr>
                <w:noProof/>
              </w:rPr>
            </w:r>
            <w:r>
              <w:rPr>
                <w:noProof/>
              </w:rPr>
              <w:fldChar w:fldCharType="separate"/>
            </w:r>
            <w:r>
              <w:rPr>
                <w:noProof/>
              </w:rPr>
              <w:t>4</w:t>
            </w:r>
            <w:r>
              <w:rPr>
                <w:noProof/>
              </w:rPr>
              <w:fldChar w:fldCharType="end"/>
            </w:r>
          </w:hyperlink>
        </w:p>
        <w:p w14:paraId="155AD6E8" w14:textId="18BD3CFE" w:rsidR="00990D89" w:rsidRDefault="00000000">
          <w:pPr>
            <w:pStyle w:val="TOC1"/>
            <w:tabs>
              <w:tab w:val="right" w:leader="dot" w:pos="9350"/>
            </w:tabs>
            <w:rPr>
              <w:rFonts w:asciiTheme="minorHAnsi" w:eastAsiaTheme="minorEastAsia" w:hAnsiTheme="minorHAnsi" w:cstheme="minorBidi"/>
              <w:noProof/>
              <w:color w:val="auto"/>
            </w:rPr>
          </w:pPr>
          <w:hyperlink w:anchor="_Toc231392835" w:history="1">
            <w:r>
              <w:rPr>
                <w:rStyle w:val="Hyperlink"/>
                <w:noProof/>
              </w:rPr>
              <w:t>1. Përmbledhje ekzekutive</w:t>
            </w:r>
            <w:r>
              <w:rPr>
                <w:noProof/>
              </w:rPr>
              <w:tab/>
            </w:r>
            <w:r>
              <w:rPr>
                <w:noProof/>
              </w:rPr>
              <w:fldChar w:fldCharType="begin"/>
            </w:r>
            <w:r>
              <w:rPr>
                <w:noProof/>
              </w:rPr>
              <w:instrText xml:space="preserve"> PAGEREF _Toc231392835 \h </w:instrText>
            </w:r>
            <w:r>
              <w:rPr>
                <w:noProof/>
              </w:rPr>
            </w:r>
            <w:r>
              <w:rPr>
                <w:noProof/>
              </w:rPr>
              <w:fldChar w:fldCharType="separate"/>
            </w:r>
            <w:r>
              <w:rPr>
                <w:noProof/>
              </w:rPr>
              <w:t>6</w:t>
            </w:r>
            <w:r>
              <w:rPr>
                <w:noProof/>
              </w:rPr>
              <w:fldChar w:fldCharType="end"/>
            </w:r>
          </w:hyperlink>
        </w:p>
        <w:p w14:paraId="58F34B1C" w14:textId="6D5DD40C" w:rsidR="00990D89" w:rsidRDefault="00000000">
          <w:pPr>
            <w:pStyle w:val="TOC1"/>
            <w:tabs>
              <w:tab w:val="right" w:leader="dot" w:pos="9350"/>
            </w:tabs>
            <w:rPr>
              <w:rFonts w:asciiTheme="minorHAnsi" w:eastAsiaTheme="minorEastAsia" w:hAnsiTheme="minorHAnsi" w:cstheme="minorBidi"/>
              <w:noProof/>
              <w:color w:val="auto"/>
            </w:rPr>
          </w:pPr>
          <w:hyperlink w:anchor="_Toc231392836" w:history="1">
            <w:r>
              <w:rPr>
                <w:rStyle w:val="Hyperlink"/>
                <w:noProof/>
              </w:rPr>
              <w:t>2. Hyrje</w:t>
            </w:r>
            <w:r>
              <w:rPr>
                <w:noProof/>
              </w:rPr>
              <w:tab/>
            </w:r>
            <w:r>
              <w:rPr>
                <w:noProof/>
              </w:rPr>
              <w:fldChar w:fldCharType="begin"/>
            </w:r>
            <w:r>
              <w:rPr>
                <w:noProof/>
              </w:rPr>
              <w:instrText xml:space="preserve"> PAGEREF _Toc231392836 \h </w:instrText>
            </w:r>
            <w:r>
              <w:rPr>
                <w:noProof/>
              </w:rPr>
            </w:r>
            <w:r>
              <w:rPr>
                <w:noProof/>
              </w:rPr>
              <w:fldChar w:fldCharType="separate"/>
            </w:r>
            <w:r>
              <w:rPr>
                <w:noProof/>
              </w:rPr>
              <w:t>8</w:t>
            </w:r>
            <w:r>
              <w:rPr>
                <w:noProof/>
              </w:rPr>
              <w:fldChar w:fldCharType="end"/>
            </w:r>
          </w:hyperlink>
        </w:p>
        <w:p w14:paraId="37B3ADF1" w14:textId="6E8D3D93" w:rsidR="00990D89" w:rsidRDefault="00000000" w:rsidP="00990D89">
          <w:pPr>
            <w:pStyle w:val="TOC2"/>
            <w:tabs>
              <w:tab w:val="right" w:leader="dot" w:pos="9350"/>
            </w:tabs>
            <w:rPr>
              <w:rFonts w:asciiTheme="minorHAnsi" w:eastAsiaTheme="minorEastAsia" w:hAnsiTheme="minorHAnsi" w:cstheme="minorBidi"/>
              <w:noProof/>
              <w:color w:val="auto"/>
            </w:rPr>
          </w:pPr>
          <w:hyperlink w:anchor="_Toc231392837" w:history="1">
            <w:r>
              <w:rPr>
                <w:rStyle w:val="Hyperlink"/>
                <w:noProof/>
              </w:rPr>
              <w:t>2.1 Konteksti i tranzicionit të drejtë në Kosovë</w:t>
            </w:r>
            <w:r>
              <w:rPr>
                <w:noProof/>
              </w:rPr>
              <w:tab/>
            </w:r>
            <w:r>
              <w:rPr>
                <w:noProof/>
              </w:rPr>
              <w:fldChar w:fldCharType="begin"/>
            </w:r>
            <w:r>
              <w:rPr>
                <w:noProof/>
              </w:rPr>
              <w:instrText xml:space="preserve"> PAGEREF _Toc231392837 \h </w:instrText>
            </w:r>
            <w:r>
              <w:rPr>
                <w:noProof/>
              </w:rPr>
            </w:r>
            <w:r>
              <w:rPr>
                <w:noProof/>
              </w:rPr>
              <w:fldChar w:fldCharType="separate"/>
            </w:r>
            <w:r>
              <w:rPr>
                <w:noProof/>
              </w:rPr>
              <w:t>8</w:t>
            </w:r>
            <w:r>
              <w:rPr>
                <w:noProof/>
              </w:rPr>
              <w:fldChar w:fldCharType="end"/>
            </w:r>
          </w:hyperlink>
        </w:p>
        <w:p w14:paraId="0324D437" w14:textId="407F1480" w:rsidR="00990D89" w:rsidRDefault="00000000">
          <w:pPr>
            <w:pStyle w:val="TOC2"/>
            <w:tabs>
              <w:tab w:val="right" w:leader="dot" w:pos="9350"/>
            </w:tabs>
            <w:rPr>
              <w:rFonts w:asciiTheme="minorHAnsi" w:eastAsiaTheme="minorEastAsia" w:hAnsiTheme="minorHAnsi" w:cstheme="minorBidi"/>
              <w:noProof/>
              <w:color w:val="auto"/>
            </w:rPr>
          </w:pPr>
          <w:hyperlink w:anchor="_Toc231392842" w:history="1">
            <w:r>
              <w:rPr>
                <w:rStyle w:val="Hyperlink"/>
                <w:noProof/>
              </w:rPr>
              <w:t>2.2 Çfarë nënkupton tranzicioni i drejtë</w:t>
            </w:r>
            <w:r>
              <w:rPr>
                <w:noProof/>
              </w:rPr>
              <w:tab/>
            </w:r>
            <w:r>
              <w:rPr>
                <w:noProof/>
              </w:rPr>
              <w:fldChar w:fldCharType="begin"/>
            </w:r>
            <w:r>
              <w:rPr>
                <w:noProof/>
              </w:rPr>
              <w:instrText xml:space="preserve"> PAGEREF _Toc231392842 \h </w:instrText>
            </w:r>
            <w:r>
              <w:rPr>
                <w:noProof/>
              </w:rPr>
            </w:r>
            <w:r>
              <w:rPr>
                <w:noProof/>
              </w:rPr>
              <w:fldChar w:fldCharType="separate"/>
            </w:r>
            <w:r>
              <w:rPr>
                <w:noProof/>
              </w:rPr>
              <w:t>8</w:t>
            </w:r>
            <w:r>
              <w:rPr>
                <w:noProof/>
              </w:rPr>
              <w:fldChar w:fldCharType="end"/>
            </w:r>
          </w:hyperlink>
        </w:p>
        <w:p w14:paraId="36EDF768" w14:textId="188B9660" w:rsidR="00990D89" w:rsidRDefault="00000000">
          <w:pPr>
            <w:pStyle w:val="TOC2"/>
            <w:tabs>
              <w:tab w:val="right" w:leader="dot" w:pos="9350"/>
            </w:tabs>
            <w:rPr>
              <w:rFonts w:asciiTheme="minorHAnsi" w:eastAsiaTheme="minorEastAsia" w:hAnsiTheme="minorHAnsi" w:cstheme="minorBidi"/>
              <w:noProof/>
              <w:color w:val="auto"/>
            </w:rPr>
          </w:pPr>
          <w:hyperlink w:anchor="_Toc231392843" w:history="1">
            <w:r>
              <w:rPr>
                <w:rStyle w:val="Hyperlink"/>
                <w:noProof/>
              </w:rPr>
              <w:t>2.3 Qëllimi i udhërrëfyesit</w:t>
            </w:r>
            <w:r>
              <w:rPr>
                <w:noProof/>
              </w:rPr>
              <w:tab/>
            </w:r>
            <w:r>
              <w:rPr>
                <w:noProof/>
              </w:rPr>
              <w:fldChar w:fldCharType="begin"/>
            </w:r>
            <w:r>
              <w:rPr>
                <w:noProof/>
              </w:rPr>
              <w:instrText xml:space="preserve"> PAGEREF _Toc231392843 \h </w:instrText>
            </w:r>
            <w:r>
              <w:rPr>
                <w:noProof/>
              </w:rPr>
            </w:r>
            <w:r>
              <w:rPr>
                <w:noProof/>
              </w:rPr>
              <w:fldChar w:fldCharType="separate"/>
            </w:r>
            <w:r>
              <w:rPr>
                <w:noProof/>
              </w:rPr>
              <w:t>9</w:t>
            </w:r>
            <w:r>
              <w:rPr>
                <w:noProof/>
              </w:rPr>
              <w:fldChar w:fldCharType="end"/>
            </w:r>
          </w:hyperlink>
        </w:p>
        <w:p w14:paraId="623917D0" w14:textId="37E7E2B8" w:rsidR="00990D89" w:rsidRDefault="00000000">
          <w:pPr>
            <w:pStyle w:val="TOC2"/>
            <w:tabs>
              <w:tab w:val="right" w:leader="dot" w:pos="9350"/>
            </w:tabs>
            <w:rPr>
              <w:rFonts w:asciiTheme="minorHAnsi" w:eastAsiaTheme="minorEastAsia" w:hAnsiTheme="minorHAnsi" w:cstheme="minorBidi"/>
              <w:noProof/>
              <w:color w:val="auto"/>
            </w:rPr>
          </w:pPr>
          <w:hyperlink w:anchor="_Toc231392844" w:history="1">
            <w:r>
              <w:rPr>
                <w:rStyle w:val="Hyperlink"/>
                <w:noProof/>
              </w:rPr>
              <w:t>2.4 Parimet udhëheqëse të tranzicionit të drejtë</w:t>
            </w:r>
            <w:r>
              <w:rPr>
                <w:noProof/>
              </w:rPr>
              <w:tab/>
            </w:r>
            <w:r>
              <w:rPr>
                <w:noProof/>
              </w:rPr>
              <w:fldChar w:fldCharType="begin"/>
            </w:r>
            <w:r>
              <w:rPr>
                <w:noProof/>
              </w:rPr>
              <w:instrText xml:space="preserve"> PAGEREF _Toc231392844 \h </w:instrText>
            </w:r>
            <w:r>
              <w:rPr>
                <w:noProof/>
              </w:rPr>
            </w:r>
            <w:r>
              <w:rPr>
                <w:noProof/>
              </w:rPr>
              <w:fldChar w:fldCharType="separate"/>
            </w:r>
            <w:r>
              <w:rPr>
                <w:noProof/>
              </w:rPr>
              <w:t>9</w:t>
            </w:r>
            <w:r>
              <w:rPr>
                <w:noProof/>
              </w:rPr>
              <w:fldChar w:fldCharType="end"/>
            </w:r>
          </w:hyperlink>
        </w:p>
        <w:p w14:paraId="43537EE6" w14:textId="2DBA59E5" w:rsidR="00990D89" w:rsidRDefault="00000000">
          <w:pPr>
            <w:pStyle w:val="TOC3"/>
            <w:tabs>
              <w:tab w:val="right" w:leader="dot" w:pos="9350"/>
            </w:tabs>
            <w:rPr>
              <w:rFonts w:asciiTheme="minorHAnsi" w:eastAsiaTheme="minorEastAsia" w:hAnsiTheme="minorHAnsi" w:cstheme="minorBidi"/>
              <w:noProof/>
              <w:color w:val="auto"/>
            </w:rPr>
          </w:pPr>
          <w:hyperlink w:anchor="_Toc231392845" w:history="1">
            <w:r>
              <w:rPr>
                <w:rStyle w:val="Hyperlink"/>
                <w:noProof/>
              </w:rPr>
              <w:t>Gjithëpërfshirja dhe mos–lënia e askujt pas</w:t>
            </w:r>
            <w:r>
              <w:rPr>
                <w:noProof/>
              </w:rPr>
              <w:tab/>
            </w:r>
            <w:r>
              <w:rPr>
                <w:noProof/>
              </w:rPr>
              <w:fldChar w:fldCharType="begin"/>
            </w:r>
            <w:r>
              <w:rPr>
                <w:noProof/>
              </w:rPr>
              <w:instrText xml:space="preserve"> PAGEREF _Toc231392845 \h </w:instrText>
            </w:r>
            <w:r>
              <w:rPr>
                <w:noProof/>
              </w:rPr>
            </w:r>
            <w:r>
              <w:rPr>
                <w:noProof/>
              </w:rPr>
              <w:fldChar w:fldCharType="separate"/>
            </w:r>
            <w:r>
              <w:rPr>
                <w:noProof/>
              </w:rPr>
              <w:t>9</w:t>
            </w:r>
            <w:r>
              <w:rPr>
                <w:noProof/>
              </w:rPr>
              <w:fldChar w:fldCharType="end"/>
            </w:r>
          </w:hyperlink>
        </w:p>
        <w:p w14:paraId="75380C74" w14:textId="5ADD0401" w:rsidR="00990D89" w:rsidRDefault="00000000">
          <w:pPr>
            <w:pStyle w:val="TOC3"/>
            <w:tabs>
              <w:tab w:val="right" w:leader="dot" w:pos="9350"/>
            </w:tabs>
            <w:rPr>
              <w:rFonts w:asciiTheme="minorHAnsi" w:eastAsiaTheme="minorEastAsia" w:hAnsiTheme="minorHAnsi" w:cstheme="minorBidi"/>
              <w:noProof/>
              <w:color w:val="auto"/>
            </w:rPr>
          </w:pPr>
          <w:hyperlink w:anchor="_Toc231392846" w:history="1">
            <w:r>
              <w:rPr>
                <w:rStyle w:val="Hyperlink"/>
                <w:noProof/>
              </w:rPr>
              <w:t>Siguria e furnizimit</w:t>
            </w:r>
            <w:r>
              <w:rPr>
                <w:noProof/>
              </w:rPr>
              <w:tab/>
            </w:r>
            <w:r>
              <w:rPr>
                <w:noProof/>
              </w:rPr>
              <w:fldChar w:fldCharType="begin"/>
            </w:r>
            <w:r>
              <w:rPr>
                <w:noProof/>
              </w:rPr>
              <w:instrText xml:space="preserve"> PAGEREF _Toc231392846 \h </w:instrText>
            </w:r>
            <w:r>
              <w:rPr>
                <w:noProof/>
              </w:rPr>
            </w:r>
            <w:r>
              <w:rPr>
                <w:noProof/>
              </w:rPr>
              <w:fldChar w:fldCharType="separate"/>
            </w:r>
            <w:r>
              <w:rPr>
                <w:noProof/>
              </w:rPr>
              <w:t>9</w:t>
            </w:r>
            <w:r>
              <w:rPr>
                <w:noProof/>
              </w:rPr>
              <w:fldChar w:fldCharType="end"/>
            </w:r>
          </w:hyperlink>
        </w:p>
        <w:p w14:paraId="0242A240" w14:textId="5CD0DA7C" w:rsidR="00990D89" w:rsidRDefault="00000000">
          <w:pPr>
            <w:pStyle w:val="TOC3"/>
            <w:tabs>
              <w:tab w:val="right" w:leader="dot" w:pos="9350"/>
            </w:tabs>
            <w:rPr>
              <w:rFonts w:asciiTheme="minorHAnsi" w:eastAsiaTheme="minorEastAsia" w:hAnsiTheme="minorHAnsi" w:cstheme="minorBidi"/>
              <w:noProof/>
              <w:color w:val="auto"/>
            </w:rPr>
          </w:pPr>
          <w:hyperlink w:anchor="_Toc231392847" w:history="1">
            <w:r>
              <w:rPr>
                <w:rStyle w:val="Hyperlink"/>
                <w:noProof/>
              </w:rPr>
              <w:t>Dialogu social dhe pjes</w:t>
            </w:r>
            <w:r>
              <w:rPr>
                <w:rStyle w:val="Hyperlink"/>
                <w:noProof/>
                <w:lang w:val="de-DE"/>
              </w:rPr>
              <w:t>ë</w:t>
            </w:r>
            <w:r>
              <w:rPr>
                <w:rStyle w:val="Hyperlink"/>
                <w:noProof/>
              </w:rPr>
              <w:t>marrja</w:t>
            </w:r>
            <w:r>
              <w:rPr>
                <w:noProof/>
              </w:rPr>
              <w:tab/>
            </w:r>
            <w:r>
              <w:rPr>
                <w:noProof/>
              </w:rPr>
              <w:fldChar w:fldCharType="begin"/>
            </w:r>
            <w:r>
              <w:rPr>
                <w:noProof/>
              </w:rPr>
              <w:instrText xml:space="preserve"> PAGEREF _Toc231392847 \h </w:instrText>
            </w:r>
            <w:r>
              <w:rPr>
                <w:noProof/>
              </w:rPr>
            </w:r>
            <w:r>
              <w:rPr>
                <w:noProof/>
              </w:rPr>
              <w:fldChar w:fldCharType="separate"/>
            </w:r>
            <w:r>
              <w:rPr>
                <w:noProof/>
              </w:rPr>
              <w:t>9</w:t>
            </w:r>
            <w:r>
              <w:rPr>
                <w:noProof/>
              </w:rPr>
              <w:fldChar w:fldCharType="end"/>
            </w:r>
          </w:hyperlink>
        </w:p>
        <w:p w14:paraId="51571823" w14:textId="5684BA04" w:rsidR="00990D89" w:rsidRDefault="00000000">
          <w:pPr>
            <w:pStyle w:val="TOC3"/>
            <w:tabs>
              <w:tab w:val="right" w:leader="dot" w:pos="9350"/>
            </w:tabs>
            <w:rPr>
              <w:rFonts w:asciiTheme="minorHAnsi" w:eastAsiaTheme="minorEastAsia" w:hAnsiTheme="minorHAnsi" w:cstheme="minorBidi"/>
              <w:noProof/>
              <w:color w:val="auto"/>
            </w:rPr>
          </w:pPr>
          <w:hyperlink w:anchor="_Toc231392848" w:history="1">
            <w:r>
              <w:rPr>
                <w:rStyle w:val="Hyperlink"/>
                <w:noProof/>
              </w:rPr>
              <w:t>Zhvillimi i qëndrueshëm</w:t>
            </w:r>
            <w:r>
              <w:rPr>
                <w:noProof/>
              </w:rPr>
              <w:tab/>
            </w:r>
            <w:r>
              <w:rPr>
                <w:noProof/>
              </w:rPr>
              <w:fldChar w:fldCharType="begin"/>
            </w:r>
            <w:r>
              <w:rPr>
                <w:noProof/>
              </w:rPr>
              <w:instrText xml:space="preserve"> PAGEREF _Toc231392848 \h </w:instrText>
            </w:r>
            <w:r>
              <w:rPr>
                <w:noProof/>
              </w:rPr>
            </w:r>
            <w:r>
              <w:rPr>
                <w:noProof/>
              </w:rPr>
              <w:fldChar w:fldCharType="separate"/>
            </w:r>
            <w:r>
              <w:rPr>
                <w:noProof/>
              </w:rPr>
              <w:t>9</w:t>
            </w:r>
            <w:r>
              <w:rPr>
                <w:noProof/>
              </w:rPr>
              <w:fldChar w:fldCharType="end"/>
            </w:r>
          </w:hyperlink>
        </w:p>
        <w:p w14:paraId="1545DAF9" w14:textId="20CB51F4" w:rsidR="00990D89" w:rsidRDefault="00000000">
          <w:pPr>
            <w:pStyle w:val="TOC3"/>
            <w:tabs>
              <w:tab w:val="right" w:leader="dot" w:pos="9350"/>
            </w:tabs>
            <w:rPr>
              <w:rFonts w:asciiTheme="minorHAnsi" w:eastAsiaTheme="minorEastAsia" w:hAnsiTheme="minorHAnsi" w:cstheme="minorBidi"/>
              <w:noProof/>
              <w:color w:val="auto"/>
            </w:rPr>
          </w:pPr>
          <w:hyperlink w:anchor="_Toc231392849" w:history="1">
            <w:r>
              <w:rPr>
                <w:rStyle w:val="Hyperlink"/>
                <w:noProof/>
              </w:rPr>
              <w:t>Barazia dhe përfshirja sociale</w:t>
            </w:r>
            <w:r>
              <w:rPr>
                <w:noProof/>
              </w:rPr>
              <w:tab/>
            </w:r>
            <w:r>
              <w:rPr>
                <w:noProof/>
              </w:rPr>
              <w:fldChar w:fldCharType="begin"/>
            </w:r>
            <w:r>
              <w:rPr>
                <w:noProof/>
              </w:rPr>
              <w:instrText xml:space="preserve"> PAGEREF _Toc231392849 \h </w:instrText>
            </w:r>
            <w:r>
              <w:rPr>
                <w:noProof/>
              </w:rPr>
            </w:r>
            <w:r>
              <w:rPr>
                <w:noProof/>
              </w:rPr>
              <w:fldChar w:fldCharType="separate"/>
            </w:r>
            <w:r>
              <w:rPr>
                <w:noProof/>
              </w:rPr>
              <w:t>9</w:t>
            </w:r>
            <w:r>
              <w:rPr>
                <w:noProof/>
              </w:rPr>
              <w:fldChar w:fldCharType="end"/>
            </w:r>
          </w:hyperlink>
        </w:p>
        <w:p w14:paraId="33EE4E49" w14:textId="17B7C3F7" w:rsidR="00990D89" w:rsidRDefault="00000000">
          <w:pPr>
            <w:pStyle w:val="TOC3"/>
            <w:tabs>
              <w:tab w:val="right" w:leader="dot" w:pos="9350"/>
            </w:tabs>
            <w:rPr>
              <w:rFonts w:asciiTheme="minorHAnsi" w:eastAsiaTheme="minorEastAsia" w:hAnsiTheme="minorHAnsi" w:cstheme="minorBidi"/>
              <w:noProof/>
              <w:color w:val="auto"/>
            </w:rPr>
          </w:pPr>
          <w:hyperlink w:anchor="_Toc231392850" w:history="1">
            <w:r>
              <w:rPr>
                <w:rStyle w:val="Hyperlink"/>
                <w:noProof/>
              </w:rPr>
              <w:t>Koordinimi institucional</w:t>
            </w:r>
            <w:r>
              <w:rPr>
                <w:noProof/>
              </w:rPr>
              <w:tab/>
            </w:r>
            <w:r>
              <w:rPr>
                <w:noProof/>
              </w:rPr>
              <w:fldChar w:fldCharType="begin"/>
            </w:r>
            <w:r>
              <w:rPr>
                <w:noProof/>
              </w:rPr>
              <w:instrText xml:space="preserve"> PAGEREF _Toc231392850 \h </w:instrText>
            </w:r>
            <w:r>
              <w:rPr>
                <w:noProof/>
              </w:rPr>
            </w:r>
            <w:r>
              <w:rPr>
                <w:noProof/>
              </w:rPr>
              <w:fldChar w:fldCharType="separate"/>
            </w:r>
            <w:r>
              <w:rPr>
                <w:noProof/>
              </w:rPr>
              <w:t>9</w:t>
            </w:r>
            <w:r>
              <w:rPr>
                <w:noProof/>
              </w:rPr>
              <w:fldChar w:fldCharType="end"/>
            </w:r>
          </w:hyperlink>
        </w:p>
        <w:p w14:paraId="583E1977" w14:textId="28AF2956" w:rsidR="00990D89" w:rsidRDefault="00000000">
          <w:pPr>
            <w:pStyle w:val="TOC3"/>
            <w:tabs>
              <w:tab w:val="right" w:leader="dot" w:pos="9350"/>
            </w:tabs>
            <w:rPr>
              <w:rFonts w:asciiTheme="minorHAnsi" w:eastAsiaTheme="minorEastAsia" w:hAnsiTheme="minorHAnsi" w:cstheme="minorBidi"/>
              <w:noProof/>
              <w:color w:val="auto"/>
            </w:rPr>
          </w:pPr>
          <w:hyperlink w:anchor="_Toc231392851" w:history="1">
            <w:r>
              <w:rPr>
                <w:rStyle w:val="Hyperlink"/>
                <w:noProof/>
              </w:rPr>
              <w:t>Partneriteti dhe bashkëpunimi ndërkombëtar</w:t>
            </w:r>
            <w:r>
              <w:rPr>
                <w:noProof/>
              </w:rPr>
              <w:tab/>
            </w:r>
            <w:r>
              <w:rPr>
                <w:noProof/>
              </w:rPr>
              <w:fldChar w:fldCharType="begin"/>
            </w:r>
            <w:r>
              <w:rPr>
                <w:noProof/>
              </w:rPr>
              <w:instrText xml:space="preserve"> PAGEREF _Toc231392851 \h </w:instrText>
            </w:r>
            <w:r>
              <w:rPr>
                <w:noProof/>
              </w:rPr>
            </w:r>
            <w:r>
              <w:rPr>
                <w:noProof/>
              </w:rPr>
              <w:fldChar w:fldCharType="separate"/>
            </w:r>
            <w:r>
              <w:rPr>
                <w:noProof/>
              </w:rPr>
              <w:t>9</w:t>
            </w:r>
            <w:r>
              <w:rPr>
                <w:noProof/>
              </w:rPr>
              <w:fldChar w:fldCharType="end"/>
            </w:r>
          </w:hyperlink>
        </w:p>
        <w:p w14:paraId="6163C6FD" w14:textId="1C2A74FF" w:rsidR="00990D89" w:rsidRDefault="00000000">
          <w:pPr>
            <w:pStyle w:val="TOC1"/>
            <w:tabs>
              <w:tab w:val="right" w:leader="dot" w:pos="9350"/>
            </w:tabs>
            <w:rPr>
              <w:rFonts w:asciiTheme="minorHAnsi" w:eastAsiaTheme="minorEastAsia" w:hAnsiTheme="minorHAnsi" w:cstheme="minorBidi"/>
              <w:noProof/>
              <w:color w:val="auto"/>
            </w:rPr>
          </w:pPr>
          <w:hyperlink w:anchor="_Toc231392852" w:history="1">
            <w:r>
              <w:rPr>
                <w:rStyle w:val="Hyperlink"/>
                <w:noProof/>
              </w:rPr>
              <w:t>3. Korniza strategjike dhe ligjore</w:t>
            </w:r>
            <w:r>
              <w:rPr>
                <w:noProof/>
              </w:rPr>
              <w:tab/>
            </w:r>
            <w:r>
              <w:rPr>
                <w:noProof/>
              </w:rPr>
              <w:fldChar w:fldCharType="begin"/>
            </w:r>
            <w:r>
              <w:rPr>
                <w:noProof/>
              </w:rPr>
              <w:instrText xml:space="preserve"> PAGEREF _Toc231392852 \h </w:instrText>
            </w:r>
            <w:r>
              <w:rPr>
                <w:noProof/>
              </w:rPr>
            </w:r>
            <w:r>
              <w:rPr>
                <w:noProof/>
              </w:rPr>
              <w:fldChar w:fldCharType="separate"/>
            </w:r>
            <w:r>
              <w:rPr>
                <w:noProof/>
              </w:rPr>
              <w:t>10</w:t>
            </w:r>
            <w:r>
              <w:rPr>
                <w:noProof/>
              </w:rPr>
              <w:fldChar w:fldCharType="end"/>
            </w:r>
          </w:hyperlink>
        </w:p>
        <w:p w14:paraId="4BD5D32B" w14:textId="0FEE560D" w:rsidR="00990D89" w:rsidRDefault="00000000">
          <w:pPr>
            <w:pStyle w:val="TOC2"/>
            <w:tabs>
              <w:tab w:val="right" w:leader="dot" w:pos="9350"/>
            </w:tabs>
            <w:rPr>
              <w:rFonts w:asciiTheme="minorHAnsi" w:eastAsiaTheme="minorEastAsia" w:hAnsiTheme="minorHAnsi" w:cstheme="minorBidi"/>
              <w:noProof/>
              <w:color w:val="auto"/>
            </w:rPr>
          </w:pPr>
          <w:hyperlink w:anchor="_Toc231392853" w:history="1">
            <w:r>
              <w:rPr>
                <w:rStyle w:val="Hyperlink"/>
                <w:noProof/>
              </w:rPr>
              <w:t>3.1 Strategjia e Energjisë e Republikës së Kosovës 2022–2031</w:t>
            </w:r>
            <w:r>
              <w:rPr>
                <w:noProof/>
              </w:rPr>
              <w:tab/>
            </w:r>
            <w:r>
              <w:rPr>
                <w:noProof/>
              </w:rPr>
              <w:fldChar w:fldCharType="begin"/>
            </w:r>
            <w:r>
              <w:rPr>
                <w:noProof/>
              </w:rPr>
              <w:instrText xml:space="preserve"> PAGEREF _Toc231392853 \h </w:instrText>
            </w:r>
            <w:r>
              <w:rPr>
                <w:noProof/>
              </w:rPr>
            </w:r>
            <w:r>
              <w:rPr>
                <w:noProof/>
              </w:rPr>
              <w:fldChar w:fldCharType="separate"/>
            </w:r>
            <w:r>
              <w:rPr>
                <w:noProof/>
              </w:rPr>
              <w:t>10</w:t>
            </w:r>
            <w:r>
              <w:rPr>
                <w:noProof/>
              </w:rPr>
              <w:fldChar w:fldCharType="end"/>
            </w:r>
          </w:hyperlink>
        </w:p>
        <w:p w14:paraId="6512EABE" w14:textId="3D7C4C45" w:rsidR="00990D89" w:rsidRDefault="00000000">
          <w:pPr>
            <w:pStyle w:val="TOC2"/>
            <w:tabs>
              <w:tab w:val="right" w:leader="dot" w:pos="9350"/>
            </w:tabs>
            <w:rPr>
              <w:rFonts w:asciiTheme="minorHAnsi" w:eastAsiaTheme="minorEastAsia" w:hAnsiTheme="minorHAnsi" w:cstheme="minorBidi"/>
              <w:noProof/>
              <w:color w:val="auto"/>
            </w:rPr>
          </w:pPr>
          <w:hyperlink w:anchor="_Toc231392854" w:history="1">
            <w:r>
              <w:rPr>
                <w:rStyle w:val="Hyperlink"/>
                <w:noProof/>
              </w:rPr>
              <w:t>3.2 Agjenda e Gjelbër për Ballkanin Perëndimor</w:t>
            </w:r>
            <w:r>
              <w:rPr>
                <w:noProof/>
              </w:rPr>
              <w:tab/>
            </w:r>
            <w:r>
              <w:rPr>
                <w:noProof/>
              </w:rPr>
              <w:fldChar w:fldCharType="begin"/>
            </w:r>
            <w:r>
              <w:rPr>
                <w:noProof/>
              </w:rPr>
              <w:instrText xml:space="preserve"> PAGEREF _Toc231392854 \h </w:instrText>
            </w:r>
            <w:r>
              <w:rPr>
                <w:noProof/>
              </w:rPr>
            </w:r>
            <w:r>
              <w:rPr>
                <w:noProof/>
              </w:rPr>
              <w:fldChar w:fldCharType="separate"/>
            </w:r>
            <w:r>
              <w:rPr>
                <w:noProof/>
              </w:rPr>
              <w:t>10</w:t>
            </w:r>
            <w:r>
              <w:rPr>
                <w:noProof/>
              </w:rPr>
              <w:fldChar w:fldCharType="end"/>
            </w:r>
          </w:hyperlink>
        </w:p>
        <w:p w14:paraId="21C457DD" w14:textId="20C0855B" w:rsidR="00990D89" w:rsidRDefault="00000000">
          <w:pPr>
            <w:pStyle w:val="TOC2"/>
            <w:tabs>
              <w:tab w:val="right" w:leader="dot" w:pos="9350"/>
            </w:tabs>
            <w:rPr>
              <w:rFonts w:asciiTheme="minorHAnsi" w:eastAsiaTheme="minorEastAsia" w:hAnsiTheme="minorHAnsi" w:cstheme="minorBidi"/>
              <w:noProof/>
              <w:color w:val="auto"/>
            </w:rPr>
          </w:pPr>
          <w:hyperlink w:anchor="_Toc231392855" w:history="1">
            <w:r>
              <w:rPr>
                <w:rStyle w:val="Hyperlink"/>
                <w:noProof/>
              </w:rPr>
              <w:t>3.3 Traktati i Komunitetit të Energjisë</w:t>
            </w:r>
            <w:r>
              <w:rPr>
                <w:noProof/>
              </w:rPr>
              <w:tab/>
            </w:r>
            <w:r>
              <w:rPr>
                <w:noProof/>
              </w:rPr>
              <w:fldChar w:fldCharType="begin"/>
            </w:r>
            <w:r>
              <w:rPr>
                <w:noProof/>
              </w:rPr>
              <w:instrText xml:space="preserve"> PAGEREF _Toc231392855 \h </w:instrText>
            </w:r>
            <w:r>
              <w:rPr>
                <w:noProof/>
              </w:rPr>
            </w:r>
            <w:r>
              <w:rPr>
                <w:noProof/>
              </w:rPr>
              <w:fldChar w:fldCharType="separate"/>
            </w:r>
            <w:r>
              <w:rPr>
                <w:noProof/>
              </w:rPr>
              <w:t>10</w:t>
            </w:r>
            <w:r>
              <w:rPr>
                <w:noProof/>
              </w:rPr>
              <w:fldChar w:fldCharType="end"/>
            </w:r>
          </w:hyperlink>
        </w:p>
        <w:p w14:paraId="046B6ECA" w14:textId="71657DB7" w:rsidR="00990D89" w:rsidRDefault="00000000">
          <w:pPr>
            <w:pStyle w:val="TOC2"/>
            <w:tabs>
              <w:tab w:val="right" w:leader="dot" w:pos="9350"/>
            </w:tabs>
            <w:rPr>
              <w:rFonts w:asciiTheme="minorHAnsi" w:eastAsiaTheme="minorEastAsia" w:hAnsiTheme="minorHAnsi" w:cstheme="minorBidi"/>
              <w:noProof/>
              <w:color w:val="auto"/>
            </w:rPr>
          </w:pPr>
          <w:hyperlink w:anchor="_Toc231392856" w:history="1">
            <w:r>
              <w:rPr>
                <w:rStyle w:val="Hyperlink"/>
                <w:noProof/>
              </w:rPr>
              <w:t>3.4 Ligjet kryesore të sektorit</w:t>
            </w:r>
            <w:r>
              <w:rPr>
                <w:noProof/>
              </w:rPr>
              <w:tab/>
            </w:r>
            <w:r>
              <w:rPr>
                <w:noProof/>
              </w:rPr>
              <w:fldChar w:fldCharType="begin"/>
            </w:r>
            <w:r>
              <w:rPr>
                <w:noProof/>
              </w:rPr>
              <w:instrText xml:space="preserve"> PAGEREF _Toc231392856 \h </w:instrText>
            </w:r>
            <w:r>
              <w:rPr>
                <w:noProof/>
              </w:rPr>
            </w:r>
            <w:r>
              <w:rPr>
                <w:noProof/>
              </w:rPr>
              <w:fldChar w:fldCharType="separate"/>
            </w:r>
            <w:r>
              <w:rPr>
                <w:noProof/>
              </w:rPr>
              <w:t>11</w:t>
            </w:r>
            <w:r>
              <w:rPr>
                <w:noProof/>
              </w:rPr>
              <w:fldChar w:fldCharType="end"/>
            </w:r>
          </w:hyperlink>
        </w:p>
        <w:p w14:paraId="2885E306" w14:textId="2E66D3E5" w:rsidR="00990D89" w:rsidRDefault="00000000">
          <w:pPr>
            <w:pStyle w:val="TOC1"/>
            <w:tabs>
              <w:tab w:val="right" w:leader="dot" w:pos="9350"/>
            </w:tabs>
            <w:rPr>
              <w:rFonts w:asciiTheme="minorHAnsi" w:eastAsiaTheme="minorEastAsia" w:hAnsiTheme="minorHAnsi" w:cstheme="minorBidi"/>
              <w:noProof/>
              <w:color w:val="auto"/>
            </w:rPr>
          </w:pPr>
          <w:hyperlink w:anchor="_Toc231392857" w:history="1">
            <w:r>
              <w:rPr>
                <w:rStyle w:val="Hyperlink"/>
                <w:noProof/>
              </w:rPr>
              <w:t>4. Analiza e gjendjes aktuale</w:t>
            </w:r>
            <w:r>
              <w:rPr>
                <w:noProof/>
              </w:rPr>
              <w:tab/>
            </w:r>
            <w:r>
              <w:rPr>
                <w:noProof/>
              </w:rPr>
              <w:fldChar w:fldCharType="begin"/>
            </w:r>
            <w:r>
              <w:rPr>
                <w:noProof/>
              </w:rPr>
              <w:instrText xml:space="preserve"> PAGEREF _Toc231392857 \h </w:instrText>
            </w:r>
            <w:r>
              <w:rPr>
                <w:noProof/>
              </w:rPr>
            </w:r>
            <w:r>
              <w:rPr>
                <w:noProof/>
              </w:rPr>
              <w:fldChar w:fldCharType="separate"/>
            </w:r>
            <w:r>
              <w:rPr>
                <w:noProof/>
              </w:rPr>
              <w:t>12</w:t>
            </w:r>
            <w:r>
              <w:rPr>
                <w:noProof/>
              </w:rPr>
              <w:fldChar w:fldCharType="end"/>
            </w:r>
          </w:hyperlink>
        </w:p>
        <w:p w14:paraId="33631407" w14:textId="4151ABDD" w:rsidR="00990D89" w:rsidRDefault="00000000">
          <w:pPr>
            <w:pStyle w:val="TOC2"/>
            <w:tabs>
              <w:tab w:val="right" w:leader="dot" w:pos="9350"/>
            </w:tabs>
            <w:rPr>
              <w:rFonts w:asciiTheme="minorHAnsi" w:eastAsiaTheme="minorEastAsia" w:hAnsiTheme="minorHAnsi" w:cstheme="minorBidi"/>
              <w:noProof/>
              <w:color w:val="auto"/>
            </w:rPr>
          </w:pPr>
          <w:hyperlink w:anchor="_Toc231392858" w:history="1">
            <w:r>
              <w:rPr>
                <w:rStyle w:val="Hyperlink"/>
                <w:noProof/>
              </w:rPr>
              <w:t>4.1 Struktura e sektorit të energjisë</w:t>
            </w:r>
            <w:r>
              <w:rPr>
                <w:noProof/>
              </w:rPr>
              <w:tab/>
            </w:r>
            <w:r>
              <w:rPr>
                <w:noProof/>
              </w:rPr>
              <w:fldChar w:fldCharType="begin"/>
            </w:r>
            <w:r>
              <w:rPr>
                <w:noProof/>
              </w:rPr>
              <w:instrText xml:space="preserve"> PAGEREF _Toc231392858 \h </w:instrText>
            </w:r>
            <w:r>
              <w:rPr>
                <w:noProof/>
              </w:rPr>
            </w:r>
            <w:r>
              <w:rPr>
                <w:noProof/>
              </w:rPr>
              <w:fldChar w:fldCharType="separate"/>
            </w:r>
            <w:r>
              <w:rPr>
                <w:noProof/>
              </w:rPr>
              <w:t>12</w:t>
            </w:r>
            <w:r>
              <w:rPr>
                <w:noProof/>
              </w:rPr>
              <w:fldChar w:fldCharType="end"/>
            </w:r>
          </w:hyperlink>
        </w:p>
        <w:p w14:paraId="7B0428E1" w14:textId="75692A03" w:rsidR="00990D89" w:rsidRDefault="00000000">
          <w:pPr>
            <w:pStyle w:val="TOC2"/>
            <w:tabs>
              <w:tab w:val="right" w:leader="dot" w:pos="9350"/>
            </w:tabs>
            <w:rPr>
              <w:rFonts w:asciiTheme="minorHAnsi" w:eastAsiaTheme="minorEastAsia" w:hAnsiTheme="minorHAnsi" w:cstheme="minorBidi"/>
              <w:noProof/>
              <w:color w:val="auto"/>
            </w:rPr>
          </w:pPr>
          <w:hyperlink w:anchor="_Toc231392859" w:history="1">
            <w:r>
              <w:rPr>
                <w:rStyle w:val="Hyperlink"/>
                <w:noProof/>
              </w:rPr>
              <w:t>4.2 Potenciali i investimeve në energjinë e ripërtëritshme</w:t>
            </w:r>
            <w:r>
              <w:rPr>
                <w:noProof/>
              </w:rPr>
              <w:tab/>
            </w:r>
            <w:r>
              <w:rPr>
                <w:noProof/>
              </w:rPr>
              <w:fldChar w:fldCharType="begin"/>
            </w:r>
            <w:r>
              <w:rPr>
                <w:noProof/>
              </w:rPr>
              <w:instrText xml:space="preserve"> PAGEREF _Toc231392859 \h </w:instrText>
            </w:r>
            <w:r>
              <w:rPr>
                <w:noProof/>
              </w:rPr>
            </w:r>
            <w:r>
              <w:rPr>
                <w:noProof/>
              </w:rPr>
              <w:fldChar w:fldCharType="separate"/>
            </w:r>
            <w:r>
              <w:rPr>
                <w:noProof/>
              </w:rPr>
              <w:t>14</w:t>
            </w:r>
            <w:r>
              <w:rPr>
                <w:noProof/>
              </w:rPr>
              <w:fldChar w:fldCharType="end"/>
            </w:r>
          </w:hyperlink>
        </w:p>
        <w:p w14:paraId="69A145DC" w14:textId="15F1A365" w:rsidR="00990D89" w:rsidRDefault="00000000">
          <w:pPr>
            <w:pStyle w:val="TOC2"/>
            <w:tabs>
              <w:tab w:val="right" w:leader="dot" w:pos="9350"/>
            </w:tabs>
            <w:rPr>
              <w:rFonts w:asciiTheme="minorHAnsi" w:eastAsiaTheme="minorEastAsia" w:hAnsiTheme="minorHAnsi" w:cstheme="minorBidi"/>
              <w:noProof/>
              <w:color w:val="auto"/>
            </w:rPr>
          </w:pPr>
          <w:hyperlink w:anchor="_Toc231392860" w:history="1">
            <w:r>
              <w:rPr>
                <w:rStyle w:val="Hyperlink"/>
                <w:noProof/>
              </w:rPr>
              <w:t>4.3 Efiçienca e energjisë në Kosovë</w:t>
            </w:r>
            <w:r>
              <w:rPr>
                <w:noProof/>
              </w:rPr>
              <w:tab/>
            </w:r>
            <w:r>
              <w:rPr>
                <w:noProof/>
              </w:rPr>
              <w:fldChar w:fldCharType="begin"/>
            </w:r>
            <w:r>
              <w:rPr>
                <w:noProof/>
              </w:rPr>
              <w:instrText xml:space="preserve"> PAGEREF _Toc231392860 \h </w:instrText>
            </w:r>
            <w:r>
              <w:rPr>
                <w:noProof/>
              </w:rPr>
            </w:r>
            <w:r>
              <w:rPr>
                <w:noProof/>
              </w:rPr>
              <w:fldChar w:fldCharType="separate"/>
            </w:r>
            <w:r>
              <w:rPr>
                <w:noProof/>
              </w:rPr>
              <w:t>14</w:t>
            </w:r>
            <w:r>
              <w:rPr>
                <w:noProof/>
              </w:rPr>
              <w:fldChar w:fldCharType="end"/>
            </w:r>
          </w:hyperlink>
        </w:p>
        <w:p w14:paraId="6B01E827" w14:textId="54A4C98A" w:rsidR="00990D89" w:rsidRDefault="00000000">
          <w:pPr>
            <w:pStyle w:val="TOC1"/>
            <w:tabs>
              <w:tab w:val="right" w:leader="dot" w:pos="9350"/>
            </w:tabs>
            <w:rPr>
              <w:rFonts w:asciiTheme="minorHAnsi" w:eastAsiaTheme="minorEastAsia" w:hAnsiTheme="minorHAnsi" w:cstheme="minorBidi"/>
              <w:noProof/>
              <w:color w:val="auto"/>
            </w:rPr>
          </w:pPr>
          <w:hyperlink w:anchor="_Toc231392861" w:history="1">
            <w:r>
              <w:rPr>
                <w:rStyle w:val="Hyperlink"/>
                <w:noProof/>
              </w:rPr>
              <w:t>5. Vizioni strategjik, objektivat dhe rruga drejt tranzicionit të drejtë</w:t>
            </w:r>
            <w:r>
              <w:rPr>
                <w:noProof/>
              </w:rPr>
              <w:tab/>
            </w:r>
            <w:r>
              <w:rPr>
                <w:noProof/>
              </w:rPr>
              <w:fldChar w:fldCharType="begin"/>
            </w:r>
            <w:r>
              <w:rPr>
                <w:noProof/>
              </w:rPr>
              <w:instrText xml:space="preserve"> PAGEREF _Toc231392861 \h </w:instrText>
            </w:r>
            <w:r>
              <w:rPr>
                <w:noProof/>
              </w:rPr>
            </w:r>
            <w:r>
              <w:rPr>
                <w:noProof/>
              </w:rPr>
              <w:fldChar w:fldCharType="separate"/>
            </w:r>
            <w:r>
              <w:rPr>
                <w:noProof/>
              </w:rPr>
              <w:t>15</w:t>
            </w:r>
            <w:r>
              <w:rPr>
                <w:noProof/>
              </w:rPr>
              <w:fldChar w:fldCharType="end"/>
            </w:r>
          </w:hyperlink>
        </w:p>
        <w:p w14:paraId="43341B33" w14:textId="079262B7" w:rsidR="00990D89" w:rsidRDefault="00000000">
          <w:pPr>
            <w:pStyle w:val="TOC3"/>
            <w:tabs>
              <w:tab w:val="right" w:leader="dot" w:pos="9350"/>
            </w:tabs>
            <w:rPr>
              <w:rFonts w:asciiTheme="minorHAnsi" w:eastAsiaTheme="minorEastAsia" w:hAnsiTheme="minorHAnsi" w:cstheme="minorBidi"/>
              <w:noProof/>
              <w:color w:val="auto"/>
            </w:rPr>
          </w:pPr>
          <w:hyperlink w:anchor="_Toc231392862" w:history="1">
            <w:r>
              <w:rPr>
                <w:rStyle w:val="Hyperlink"/>
                <w:noProof/>
              </w:rPr>
              <w:t>Vizioni</w:t>
            </w:r>
            <w:r>
              <w:rPr>
                <w:noProof/>
              </w:rPr>
              <w:tab/>
            </w:r>
            <w:r>
              <w:rPr>
                <w:noProof/>
              </w:rPr>
              <w:fldChar w:fldCharType="begin"/>
            </w:r>
            <w:r>
              <w:rPr>
                <w:noProof/>
              </w:rPr>
              <w:instrText xml:space="preserve"> PAGEREF _Toc231392862 \h </w:instrText>
            </w:r>
            <w:r>
              <w:rPr>
                <w:noProof/>
              </w:rPr>
            </w:r>
            <w:r>
              <w:rPr>
                <w:noProof/>
              </w:rPr>
              <w:fldChar w:fldCharType="separate"/>
            </w:r>
            <w:r>
              <w:rPr>
                <w:noProof/>
              </w:rPr>
              <w:t>15</w:t>
            </w:r>
            <w:r>
              <w:rPr>
                <w:noProof/>
              </w:rPr>
              <w:fldChar w:fldCharType="end"/>
            </w:r>
          </w:hyperlink>
        </w:p>
        <w:p w14:paraId="41045742" w14:textId="10E3EF74" w:rsidR="00990D89" w:rsidRDefault="00000000">
          <w:pPr>
            <w:pStyle w:val="TOC2"/>
            <w:tabs>
              <w:tab w:val="right" w:leader="dot" w:pos="9350"/>
            </w:tabs>
            <w:rPr>
              <w:rFonts w:asciiTheme="minorHAnsi" w:eastAsiaTheme="minorEastAsia" w:hAnsiTheme="minorHAnsi" w:cstheme="minorBidi"/>
              <w:noProof/>
              <w:color w:val="auto"/>
            </w:rPr>
          </w:pPr>
          <w:hyperlink w:anchor="_Toc231392863" w:history="1">
            <w:r>
              <w:rPr>
                <w:rStyle w:val="Hyperlink"/>
                <w:noProof/>
              </w:rPr>
              <w:t>5.1 Objektivat strategjike</w:t>
            </w:r>
            <w:r>
              <w:rPr>
                <w:noProof/>
              </w:rPr>
              <w:tab/>
            </w:r>
            <w:r>
              <w:rPr>
                <w:noProof/>
              </w:rPr>
              <w:fldChar w:fldCharType="begin"/>
            </w:r>
            <w:r>
              <w:rPr>
                <w:noProof/>
              </w:rPr>
              <w:instrText xml:space="preserve"> PAGEREF _Toc231392863 \h </w:instrText>
            </w:r>
            <w:r>
              <w:rPr>
                <w:noProof/>
              </w:rPr>
            </w:r>
            <w:r>
              <w:rPr>
                <w:noProof/>
              </w:rPr>
              <w:fldChar w:fldCharType="separate"/>
            </w:r>
            <w:r>
              <w:rPr>
                <w:noProof/>
              </w:rPr>
              <w:t>16</w:t>
            </w:r>
            <w:r>
              <w:rPr>
                <w:noProof/>
              </w:rPr>
              <w:fldChar w:fldCharType="end"/>
            </w:r>
          </w:hyperlink>
        </w:p>
        <w:p w14:paraId="5E944FBF" w14:textId="4896BBB0" w:rsidR="00990D89" w:rsidRDefault="00000000">
          <w:pPr>
            <w:pStyle w:val="TOC3"/>
            <w:tabs>
              <w:tab w:val="right" w:leader="dot" w:pos="9350"/>
            </w:tabs>
            <w:rPr>
              <w:rFonts w:asciiTheme="minorHAnsi" w:eastAsiaTheme="minorEastAsia" w:hAnsiTheme="minorHAnsi" w:cstheme="minorBidi"/>
              <w:noProof/>
              <w:color w:val="auto"/>
            </w:rPr>
          </w:pPr>
          <w:hyperlink w:anchor="_Toc231392864" w:history="1">
            <w:r>
              <w:rPr>
                <w:rStyle w:val="Hyperlink"/>
                <w:noProof/>
              </w:rPr>
              <w:t>5.1.1 Dekarbonizimi i sektorit të energjisë</w:t>
            </w:r>
            <w:r>
              <w:rPr>
                <w:noProof/>
              </w:rPr>
              <w:tab/>
            </w:r>
            <w:r>
              <w:rPr>
                <w:noProof/>
              </w:rPr>
              <w:fldChar w:fldCharType="begin"/>
            </w:r>
            <w:r>
              <w:rPr>
                <w:noProof/>
              </w:rPr>
              <w:instrText xml:space="preserve"> PAGEREF _Toc231392864 \h </w:instrText>
            </w:r>
            <w:r>
              <w:rPr>
                <w:noProof/>
              </w:rPr>
            </w:r>
            <w:r>
              <w:rPr>
                <w:noProof/>
              </w:rPr>
              <w:fldChar w:fldCharType="separate"/>
            </w:r>
            <w:r>
              <w:rPr>
                <w:noProof/>
              </w:rPr>
              <w:t>17</w:t>
            </w:r>
            <w:r>
              <w:rPr>
                <w:noProof/>
              </w:rPr>
              <w:fldChar w:fldCharType="end"/>
            </w:r>
          </w:hyperlink>
        </w:p>
        <w:p w14:paraId="7AC44B3E" w14:textId="195BC888" w:rsidR="00990D89" w:rsidRDefault="00000000">
          <w:pPr>
            <w:pStyle w:val="TOC3"/>
            <w:tabs>
              <w:tab w:val="right" w:leader="dot" w:pos="9350"/>
            </w:tabs>
            <w:rPr>
              <w:rFonts w:asciiTheme="minorHAnsi" w:eastAsiaTheme="minorEastAsia" w:hAnsiTheme="minorHAnsi" w:cstheme="minorBidi"/>
              <w:noProof/>
              <w:color w:val="auto"/>
            </w:rPr>
          </w:pPr>
          <w:hyperlink w:anchor="_Toc231392865" w:history="1">
            <w:r>
              <w:rPr>
                <w:rStyle w:val="Hyperlink"/>
                <w:noProof/>
              </w:rPr>
              <w:t>5.1.2 Tranzicioni i drejtë për punëtorët dhe komunitetet</w:t>
            </w:r>
            <w:r>
              <w:rPr>
                <w:noProof/>
              </w:rPr>
              <w:tab/>
            </w:r>
            <w:r>
              <w:rPr>
                <w:noProof/>
              </w:rPr>
              <w:fldChar w:fldCharType="begin"/>
            </w:r>
            <w:r>
              <w:rPr>
                <w:noProof/>
              </w:rPr>
              <w:instrText xml:space="preserve"> PAGEREF _Toc231392865 \h </w:instrText>
            </w:r>
            <w:r>
              <w:rPr>
                <w:noProof/>
              </w:rPr>
            </w:r>
            <w:r>
              <w:rPr>
                <w:noProof/>
              </w:rPr>
              <w:fldChar w:fldCharType="separate"/>
            </w:r>
            <w:r>
              <w:rPr>
                <w:noProof/>
              </w:rPr>
              <w:t>18</w:t>
            </w:r>
            <w:r>
              <w:rPr>
                <w:noProof/>
              </w:rPr>
              <w:fldChar w:fldCharType="end"/>
            </w:r>
          </w:hyperlink>
        </w:p>
        <w:p w14:paraId="57878933" w14:textId="4613570B" w:rsidR="00990D89" w:rsidRDefault="00000000">
          <w:pPr>
            <w:pStyle w:val="TOC3"/>
            <w:tabs>
              <w:tab w:val="right" w:leader="dot" w:pos="9350"/>
            </w:tabs>
            <w:rPr>
              <w:rFonts w:asciiTheme="minorHAnsi" w:eastAsiaTheme="minorEastAsia" w:hAnsiTheme="minorHAnsi" w:cstheme="minorBidi"/>
              <w:noProof/>
              <w:color w:val="auto"/>
            </w:rPr>
          </w:pPr>
          <w:hyperlink w:anchor="_Toc231392866" w:history="1">
            <w:r>
              <w:rPr>
                <w:rStyle w:val="Hyperlink"/>
                <w:noProof/>
              </w:rPr>
              <w:t>5.1.3 Korniza qeverisëse dhe institucionale</w:t>
            </w:r>
            <w:r>
              <w:rPr>
                <w:noProof/>
              </w:rPr>
              <w:tab/>
            </w:r>
            <w:r>
              <w:rPr>
                <w:noProof/>
              </w:rPr>
              <w:fldChar w:fldCharType="begin"/>
            </w:r>
            <w:r>
              <w:rPr>
                <w:noProof/>
              </w:rPr>
              <w:instrText xml:space="preserve"> PAGEREF _Toc231392866 \h </w:instrText>
            </w:r>
            <w:r>
              <w:rPr>
                <w:noProof/>
              </w:rPr>
            </w:r>
            <w:r>
              <w:rPr>
                <w:noProof/>
              </w:rPr>
              <w:fldChar w:fldCharType="separate"/>
            </w:r>
            <w:r>
              <w:rPr>
                <w:noProof/>
              </w:rPr>
              <w:t>19</w:t>
            </w:r>
            <w:r>
              <w:rPr>
                <w:noProof/>
              </w:rPr>
              <w:fldChar w:fldCharType="end"/>
            </w:r>
          </w:hyperlink>
        </w:p>
        <w:p w14:paraId="05A75727" w14:textId="4E7E3557" w:rsidR="00990D89" w:rsidRDefault="00000000">
          <w:pPr>
            <w:pStyle w:val="TOC1"/>
            <w:tabs>
              <w:tab w:val="right" w:leader="dot" w:pos="9350"/>
            </w:tabs>
            <w:rPr>
              <w:rFonts w:asciiTheme="minorHAnsi" w:eastAsiaTheme="minorEastAsia" w:hAnsiTheme="minorHAnsi" w:cstheme="minorBidi"/>
              <w:noProof/>
              <w:color w:val="auto"/>
            </w:rPr>
          </w:pPr>
          <w:hyperlink w:anchor="_Toc231392867" w:history="1">
            <w:r>
              <w:rPr>
                <w:rStyle w:val="Hyperlink"/>
                <w:noProof/>
              </w:rPr>
              <w:t>6. Korniza financiare dhe prioritetet për investime</w:t>
            </w:r>
            <w:r>
              <w:rPr>
                <w:noProof/>
              </w:rPr>
              <w:tab/>
            </w:r>
            <w:r>
              <w:rPr>
                <w:noProof/>
              </w:rPr>
              <w:fldChar w:fldCharType="begin"/>
            </w:r>
            <w:r>
              <w:rPr>
                <w:noProof/>
              </w:rPr>
              <w:instrText xml:space="preserve"> PAGEREF _Toc231392867 \h </w:instrText>
            </w:r>
            <w:r>
              <w:rPr>
                <w:noProof/>
              </w:rPr>
            </w:r>
            <w:r>
              <w:rPr>
                <w:noProof/>
              </w:rPr>
              <w:fldChar w:fldCharType="separate"/>
            </w:r>
            <w:r>
              <w:rPr>
                <w:noProof/>
              </w:rPr>
              <w:t>21</w:t>
            </w:r>
            <w:r>
              <w:rPr>
                <w:noProof/>
              </w:rPr>
              <w:fldChar w:fldCharType="end"/>
            </w:r>
          </w:hyperlink>
        </w:p>
        <w:p w14:paraId="7FC71CAD" w14:textId="267563CF" w:rsidR="00990D89" w:rsidRDefault="00000000">
          <w:pPr>
            <w:pStyle w:val="TOC2"/>
            <w:tabs>
              <w:tab w:val="right" w:leader="dot" w:pos="9350"/>
            </w:tabs>
            <w:rPr>
              <w:rFonts w:asciiTheme="minorHAnsi" w:eastAsiaTheme="minorEastAsia" w:hAnsiTheme="minorHAnsi" w:cstheme="minorBidi"/>
              <w:noProof/>
              <w:color w:val="auto"/>
            </w:rPr>
          </w:pPr>
          <w:hyperlink w:anchor="_Toc231392868" w:history="1">
            <w:r>
              <w:rPr>
                <w:rStyle w:val="Hyperlink"/>
                <w:noProof/>
              </w:rPr>
              <w:t>6.1 Parimet e financimit</w:t>
            </w:r>
            <w:r>
              <w:rPr>
                <w:noProof/>
              </w:rPr>
              <w:tab/>
            </w:r>
            <w:r>
              <w:rPr>
                <w:noProof/>
              </w:rPr>
              <w:fldChar w:fldCharType="begin"/>
            </w:r>
            <w:r>
              <w:rPr>
                <w:noProof/>
              </w:rPr>
              <w:instrText xml:space="preserve"> PAGEREF _Toc231392868 \h </w:instrText>
            </w:r>
            <w:r>
              <w:rPr>
                <w:noProof/>
              </w:rPr>
            </w:r>
            <w:r>
              <w:rPr>
                <w:noProof/>
              </w:rPr>
              <w:fldChar w:fldCharType="separate"/>
            </w:r>
            <w:r>
              <w:rPr>
                <w:noProof/>
              </w:rPr>
              <w:t>21</w:t>
            </w:r>
            <w:r>
              <w:rPr>
                <w:noProof/>
              </w:rPr>
              <w:fldChar w:fldCharType="end"/>
            </w:r>
          </w:hyperlink>
        </w:p>
        <w:p w14:paraId="14A40AD1" w14:textId="345A6653" w:rsidR="00990D89" w:rsidRDefault="00000000">
          <w:pPr>
            <w:pStyle w:val="TOC2"/>
            <w:tabs>
              <w:tab w:val="right" w:leader="dot" w:pos="9350"/>
            </w:tabs>
            <w:rPr>
              <w:rFonts w:asciiTheme="minorHAnsi" w:eastAsiaTheme="minorEastAsia" w:hAnsiTheme="minorHAnsi" w:cstheme="minorBidi"/>
              <w:noProof/>
              <w:color w:val="auto"/>
            </w:rPr>
          </w:pPr>
          <w:hyperlink w:anchor="_Toc231392869" w:history="1">
            <w:r>
              <w:rPr>
                <w:rStyle w:val="Hyperlink"/>
                <w:noProof/>
              </w:rPr>
              <w:t>6.2 Burimet dhe struktura indikative e financimit</w:t>
            </w:r>
            <w:r>
              <w:rPr>
                <w:noProof/>
              </w:rPr>
              <w:tab/>
            </w:r>
            <w:r>
              <w:rPr>
                <w:noProof/>
              </w:rPr>
              <w:fldChar w:fldCharType="begin"/>
            </w:r>
            <w:r>
              <w:rPr>
                <w:noProof/>
              </w:rPr>
              <w:instrText xml:space="preserve"> PAGEREF _Toc231392869 \h </w:instrText>
            </w:r>
            <w:r>
              <w:rPr>
                <w:noProof/>
              </w:rPr>
            </w:r>
            <w:r>
              <w:rPr>
                <w:noProof/>
              </w:rPr>
              <w:fldChar w:fldCharType="separate"/>
            </w:r>
            <w:r>
              <w:rPr>
                <w:noProof/>
              </w:rPr>
              <w:t>21</w:t>
            </w:r>
            <w:r>
              <w:rPr>
                <w:noProof/>
              </w:rPr>
              <w:fldChar w:fldCharType="end"/>
            </w:r>
          </w:hyperlink>
        </w:p>
        <w:p w14:paraId="743FB20A" w14:textId="27218135" w:rsidR="00990D89" w:rsidRDefault="00000000">
          <w:pPr>
            <w:pStyle w:val="TOC1"/>
            <w:tabs>
              <w:tab w:val="right" w:leader="dot" w:pos="9350"/>
            </w:tabs>
            <w:rPr>
              <w:rFonts w:asciiTheme="minorHAnsi" w:eastAsiaTheme="minorEastAsia" w:hAnsiTheme="minorHAnsi" w:cstheme="minorBidi"/>
              <w:noProof/>
              <w:color w:val="auto"/>
            </w:rPr>
          </w:pPr>
          <w:hyperlink w:anchor="_Toc231392870" w:history="1">
            <w:r>
              <w:rPr>
                <w:rStyle w:val="Hyperlink"/>
                <w:noProof/>
              </w:rPr>
              <w:t>7. Plani i zbatimit, korniza monitoruese dhe indikatorët kyç të performancës</w:t>
            </w:r>
            <w:r>
              <w:rPr>
                <w:noProof/>
              </w:rPr>
              <w:tab/>
            </w:r>
            <w:r>
              <w:rPr>
                <w:noProof/>
              </w:rPr>
              <w:fldChar w:fldCharType="begin"/>
            </w:r>
            <w:r>
              <w:rPr>
                <w:noProof/>
              </w:rPr>
              <w:instrText xml:space="preserve"> PAGEREF _Toc231392870 \h </w:instrText>
            </w:r>
            <w:r>
              <w:rPr>
                <w:noProof/>
              </w:rPr>
            </w:r>
            <w:r>
              <w:rPr>
                <w:noProof/>
              </w:rPr>
              <w:fldChar w:fldCharType="separate"/>
            </w:r>
            <w:r>
              <w:rPr>
                <w:noProof/>
              </w:rPr>
              <w:t>23</w:t>
            </w:r>
            <w:r>
              <w:rPr>
                <w:noProof/>
              </w:rPr>
              <w:fldChar w:fldCharType="end"/>
            </w:r>
          </w:hyperlink>
        </w:p>
        <w:p w14:paraId="4A9E19BA" w14:textId="38956D22" w:rsidR="00990D89" w:rsidRDefault="00000000">
          <w:pPr>
            <w:pStyle w:val="TOC2"/>
            <w:tabs>
              <w:tab w:val="right" w:leader="dot" w:pos="9350"/>
            </w:tabs>
            <w:rPr>
              <w:rFonts w:asciiTheme="minorHAnsi" w:eastAsiaTheme="minorEastAsia" w:hAnsiTheme="minorHAnsi" w:cstheme="minorBidi"/>
              <w:noProof/>
              <w:color w:val="auto"/>
            </w:rPr>
          </w:pPr>
          <w:hyperlink w:anchor="_Toc231392871" w:history="1">
            <w:r>
              <w:rPr>
                <w:rStyle w:val="Hyperlink"/>
                <w:noProof/>
              </w:rPr>
              <w:t>7.1 Fazat e zbatimit</w:t>
            </w:r>
            <w:r>
              <w:rPr>
                <w:noProof/>
              </w:rPr>
              <w:tab/>
            </w:r>
            <w:r>
              <w:rPr>
                <w:noProof/>
              </w:rPr>
              <w:fldChar w:fldCharType="begin"/>
            </w:r>
            <w:r>
              <w:rPr>
                <w:noProof/>
              </w:rPr>
              <w:instrText xml:space="preserve"> PAGEREF _Toc231392871 \h </w:instrText>
            </w:r>
            <w:r>
              <w:rPr>
                <w:noProof/>
              </w:rPr>
            </w:r>
            <w:r>
              <w:rPr>
                <w:noProof/>
              </w:rPr>
              <w:fldChar w:fldCharType="separate"/>
            </w:r>
            <w:r>
              <w:rPr>
                <w:noProof/>
              </w:rPr>
              <w:t>23</w:t>
            </w:r>
            <w:r>
              <w:rPr>
                <w:noProof/>
              </w:rPr>
              <w:fldChar w:fldCharType="end"/>
            </w:r>
          </w:hyperlink>
        </w:p>
        <w:p w14:paraId="2E4DC438" w14:textId="2C42491F" w:rsidR="00990D89" w:rsidRDefault="00000000">
          <w:pPr>
            <w:pStyle w:val="TOC3"/>
            <w:tabs>
              <w:tab w:val="right" w:leader="dot" w:pos="9350"/>
            </w:tabs>
            <w:rPr>
              <w:rFonts w:asciiTheme="minorHAnsi" w:eastAsiaTheme="minorEastAsia" w:hAnsiTheme="minorHAnsi" w:cstheme="minorBidi"/>
              <w:noProof/>
              <w:color w:val="auto"/>
            </w:rPr>
          </w:pPr>
          <w:hyperlink w:anchor="_Toc231392872" w:history="1">
            <w:r>
              <w:rPr>
                <w:rStyle w:val="Hyperlink"/>
                <w:noProof/>
              </w:rPr>
              <w:t>7.1.1 Faza afatshkurtër (2026–2028)</w:t>
            </w:r>
            <w:r>
              <w:rPr>
                <w:noProof/>
              </w:rPr>
              <w:tab/>
            </w:r>
            <w:r>
              <w:rPr>
                <w:noProof/>
              </w:rPr>
              <w:fldChar w:fldCharType="begin"/>
            </w:r>
            <w:r>
              <w:rPr>
                <w:noProof/>
              </w:rPr>
              <w:instrText xml:space="preserve"> PAGEREF _Toc231392872 \h </w:instrText>
            </w:r>
            <w:r>
              <w:rPr>
                <w:noProof/>
              </w:rPr>
            </w:r>
            <w:r>
              <w:rPr>
                <w:noProof/>
              </w:rPr>
              <w:fldChar w:fldCharType="separate"/>
            </w:r>
            <w:r>
              <w:rPr>
                <w:noProof/>
              </w:rPr>
              <w:t>23</w:t>
            </w:r>
            <w:r>
              <w:rPr>
                <w:noProof/>
              </w:rPr>
              <w:fldChar w:fldCharType="end"/>
            </w:r>
          </w:hyperlink>
        </w:p>
        <w:p w14:paraId="786D7567" w14:textId="2D7BAA8B" w:rsidR="00990D89" w:rsidRDefault="00000000">
          <w:pPr>
            <w:pStyle w:val="TOC3"/>
            <w:tabs>
              <w:tab w:val="right" w:leader="dot" w:pos="9350"/>
            </w:tabs>
            <w:rPr>
              <w:rFonts w:asciiTheme="minorHAnsi" w:eastAsiaTheme="minorEastAsia" w:hAnsiTheme="minorHAnsi" w:cstheme="minorBidi"/>
              <w:noProof/>
              <w:color w:val="auto"/>
            </w:rPr>
          </w:pPr>
          <w:hyperlink w:anchor="_Toc231392873" w:history="1">
            <w:r>
              <w:rPr>
                <w:rStyle w:val="Hyperlink"/>
                <w:noProof/>
              </w:rPr>
              <w:t>7.1.2 Faza afatmesme (2029–2032)</w:t>
            </w:r>
            <w:r>
              <w:rPr>
                <w:noProof/>
              </w:rPr>
              <w:tab/>
            </w:r>
            <w:r>
              <w:rPr>
                <w:noProof/>
              </w:rPr>
              <w:fldChar w:fldCharType="begin"/>
            </w:r>
            <w:r>
              <w:rPr>
                <w:noProof/>
              </w:rPr>
              <w:instrText xml:space="preserve"> PAGEREF _Toc231392873 \h </w:instrText>
            </w:r>
            <w:r>
              <w:rPr>
                <w:noProof/>
              </w:rPr>
            </w:r>
            <w:r>
              <w:rPr>
                <w:noProof/>
              </w:rPr>
              <w:fldChar w:fldCharType="separate"/>
            </w:r>
            <w:r>
              <w:rPr>
                <w:noProof/>
              </w:rPr>
              <w:t>23</w:t>
            </w:r>
            <w:r>
              <w:rPr>
                <w:noProof/>
              </w:rPr>
              <w:fldChar w:fldCharType="end"/>
            </w:r>
          </w:hyperlink>
        </w:p>
        <w:p w14:paraId="1A3DE130" w14:textId="4F4B7ED6" w:rsidR="00990D89" w:rsidRDefault="00000000">
          <w:pPr>
            <w:pStyle w:val="TOC3"/>
            <w:tabs>
              <w:tab w:val="right" w:leader="dot" w:pos="9350"/>
            </w:tabs>
            <w:rPr>
              <w:rFonts w:asciiTheme="minorHAnsi" w:eastAsiaTheme="minorEastAsia" w:hAnsiTheme="minorHAnsi" w:cstheme="minorBidi"/>
              <w:noProof/>
              <w:color w:val="auto"/>
            </w:rPr>
          </w:pPr>
          <w:hyperlink w:anchor="_Toc231392874" w:history="1">
            <w:r>
              <w:rPr>
                <w:rStyle w:val="Hyperlink"/>
                <w:noProof/>
              </w:rPr>
              <w:t>7.1.3 Faza afatgjatë (2033 e tutje)</w:t>
            </w:r>
            <w:r>
              <w:rPr>
                <w:noProof/>
              </w:rPr>
              <w:tab/>
            </w:r>
            <w:r>
              <w:rPr>
                <w:noProof/>
              </w:rPr>
              <w:fldChar w:fldCharType="begin"/>
            </w:r>
            <w:r>
              <w:rPr>
                <w:noProof/>
              </w:rPr>
              <w:instrText xml:space="preserve"> PAGEREF _Toc231392874 \h </w:instrText>
            </w:r>
            <w:r>
              <w:rPr>
                <w:noProof/>
              </w:rPr>
            </w:r>
            <w:r>
              <w:rPr>
                <w:noProof/>
              </w:rPr>
              <w:fldChar w:fldCharType="separate"/>
            </w:r>
            <w:r>
              <w:rPr>
                <w:noProof/>
              </w:rPr>
              <w:t>24</w:t>
            </w:r>
            <w:r>
              <w:rPr>
                <w:noProof/>
              </w:rPr>
              <w:fldChar w:fldCharType="end"/>
            </w:r>
          </w:hyperlink>
        </w:p>
        <w:p w14:paraId="52F4B026" w14:textId="254C36AF" w:rsidR="00990D89" w:rsidRDefault="00000000">
          <w:pPr>
            <w:pStyle w:val="TOC2"/>
            <w:tabs>
              <w:tab w:val="right" w:leader="dot" w:pos="9350"/>
            </w:tabs>
            <w:rPr>
              <w:rFonts w:asciiTheme="minorHAnsi" w:eastAsiaTheme="minorEastAsia" w:hAnsiTheme="minorHAnsi" w:cstheme="minorBidi"/>
              <w:noProof/>
              <w:color w:val="auto"/>
            </w:rPr>
          </w:pPr>
          <w:hyperlink w:anchor="_Toc231392875" w:history="1">
            <w:r>
              <w:rPr>
                <w:rStyle w:val="Hyperlink"/>
                <w:noProof/>
              </w:rPr>
              <w:t>7.2 Indikatorët e performancës</w:t>
            </w:r>
            <w:r>
              <w:rPr>
                <w:noProof/>
              </w:rPr>
              <w:tab/>
            </w:r>
            <w:r>
              <w:rPr>
                <w:noProof/>
              </w:rPr>
              <w:fldChar w:fldCharType="begin"/>
            </w:r>
            <w:r>
              <w:rPr>
                <w:noProof/>
              </w:rPr>
              <w:instrText xml:space="preserve"> PAGEREF _Toc231392875 \h </w:instrText>
            </w:r>
            <w:r>
              <w:rPr>
                <w:noProof/>
              </w:rPr>
            </w:r>
            <w:r>
              <w:rPr>
                <w:noProof/>
              </w:rPr>
              <w:fldChar w:fldCharType="separate"/>
            </w:r>
            <w:r>
              <w:rPr>
                <w:noProof/>
              </w:rPr>
              <w:t>25</w:t>
            </w:r>
            <w:r>
              <w:rPr>
                <w:noProof/>
              </w:rPr>
              <w:fldChar w:fldCharType="end"/>
            </w:r>
          </w:hyperlink>
        </w:p>
        <w:p w14:paraId="1016871C" w14:textId="174BB56E" w:rsidR="00990D89" w:rsidRDefault="00000000">
          <w:pPr>
            <w:pStyle w:val="TOC2"/>
            <w:tabs>
              <w:tab w:val="right" w:leader="dot" w:pos="9350"/>
            </w:tabs>
            <w:rPr>
              <w:rFonts w:asciiTheme="minorHAnsi" w:eastAsiaTheme="minorEastAsia" w:hAnsiTheme="minorHAnsi" w:cstheme="minorBidi"/>
              <w:noProof/>
              <w:color w:val="auto"/>
            </w:rPr>
          </w:pPr>
          <w:hyperlink w:anchor="_Toc231392876" w:history="1">
            <w:r>
              <w:rPr>
                <w:rStyle w:val="Hyperlink"/>
                <w:noProof/>
              </w:rPr>
              <w:t>7.3 Menaxhimi i rrezikut</w:t>
            </w:r>
            <w:r>
              <w:rPr>
                <w:noProof/>
              </w:rPr>
              <w:tab/>
            </w:r>
            <w:r>
              <w:rPr>
                <w:noProof/>
              </w:rPr>
              <w:fldChar w:fldCharType="begin"/>
            </w:r>
            <w:r>
              <w:rPr>
                <w:noProof/>
              </w:rPr>
              <w:instrText xml:space="preserve"> PAGEREF _Toc231392876 \h </w:instrText>
            </w:r>
            <w:r>
              <w:rPr>
                <w:noProof/>
              </w:rPr>
            </w:r>
            <w:r>
              <w:rPr>
                <w:noProof/>
              </w:rPr>
              <w:fldChar w:fldCharType="separate"/>
            </w:r>
            <w:r>
              <w:rPr>
                <w:noProof/>
              </w:rPr>
              <w:t>25</w:t>
            </w:r>
            <w:r>
              <w:rPr>
                <w:noProof/>
              </w:rPr>
              <w:fldChar w:fldCharType="end"/>
            </w:r>
          </w:hyperlink>
        </w:p>
        <w:p w14:paraId="4B4A06D3" w14:textId="0602B07F" w:rsidR="00990D89" w:rsidRDefault="00000000">
          <w:pPr>
            <w:pStyle w:val="TOC2"/>
            <w:tabs>
              <w:tab w:val="right" w:leader="dot" w:pos="9350"/>
            </w:tabs>
            <w:rPr>
              <w:rFonts w:asciiTheme="minorHAnsi" w:eastAsiaTheme="minorEastAsia" w:hAnsiTheme="minorHAnsi" w:cstheme="minorBidi"/>
              <w:noProof/>
              <w:color w:val="auto"/>
            </w:rPr>
          </w:pPr>
          <w:hyperlink w:anchor="_Toc231392877" w:history="1">
            <w:r>
              <w:rPr>
                <w:rStyle w:val="Hyperlink"/>
                <w:noProof/>
              </w:rPr>
              <w:t>7.4 Masat kryesore të zbatimit</w:t>
            </w:r>
            <w:r>
              <w:rPr>
                <w:noProof/>
              </w:rPr>
              <w:tab/>
            </w:r>
            <w:r>
              <w:rPr>
                <w:noProof/>
              </w:rPr>
              <w:fldChar w:fldCharType="begin"/>
            </w:r>
            <w:r>
              <w:rPr>
                <w:noProof/>
              </w:rPr>
              <w:instrText xml:space="preserve"> PAGEREF _Toc231392877 \h </w:instrText>
            </w:r>
            <w:r>
              <w:rPr>
                <w:noProof/>
              </w:rPr>
            </w:r>
            <w:r>
              <w:rPr>
                <w:noProof/>
              </w:rPr>
              <w:fldChar w:fldCharType="separate"/>
            </w:r>
            <w:r>
              <w:rPr>
                <w:noProof/>
              </w:rPr>
              <w:t>26</w:t>
            </w:r>
            <w:r>
              <w:rPr>
                <w:noProof/>
              </w:rPr>
              <w:fldChar w:fldCharType="end"/>
            </w:r>
          </w:hyperlink>
        </w:p>
        <w:p w14:paraId="71F4BBB1" w14:textId="325F1658" w:rsidR="00990D89" w:rsidRDefault="00000000">
          <w:pPr>
            <w:pStyle w:val="TOC2"/>
            <w:tabs>
              <w:tab w:val="right" w:leader="dot" w:pos="9350"/>
            </w:tabs>
            <w:rPr>
              <w:rFonts w:asciiTheme="minorHAnsi" w:eastAsiaTheme="minorEastAsia" w:hAnsiTheme="minorHAnsi" w:cstheme="minorBidi"/>
              <w:noProof/>
              <w:color w:val="auto"/>
            </w:rPr>
          </w:pPr>
          <w:hyperlink w:anchor="_Toc231392878" w:history="1">
            <w:r>
              <w:rPr>
                <w:rStyle w:val="Hyperlink"/>
                <w:noProof/>
              </w:rPr>
              <w:t>7.5 Përmirësimi i vazhdueshëm i politikave dhe i zbatimit</w:t>
            </w:r>
            <w:r>
              <w:rPr>
                <w:noProof/>
              </w:rPr>
              <w:tab/>
            </w:r>
            <w:r>
              <w:rPr>
                <w:noProof/>
              </w:rPr>
              <w:fldChar w:fldCharType="begin"/>
            </w:r>
            <w:r>
              <w:rPr>
                <w:noProof/>
              </w:rPr>
              <w:instrText xml:space="preserve"> PAGEREF _Toc231392878 \h </w:instrText>
            </w:r>
            <w:r>
              <w:rPr>
                <w:noProof/>
              </w:rPr>
            </w:r>
            <w:r>
              <w:rPr>
                <w:noProof/>
              </w:rPr>
              <w:fldChar w:fldCharType="separate"/>
            </w:r>
            <w:r>
              <w:rPr>
                <w:noProof/>
              </w:rPr>
              <w:t>27</w:t>
            </w:r>
            <w:r>
              <w:rPr>
                <w:noProof/>
              </w:rPr>
              <w:fldChar w:fldCharType="end"/>
            </w:r>
          </w:hyperlink>
        </w:p>
        <w:p w14:paraId="54D17CD8" w14:textId="76B011FA" w:rsidR="00990D89" w:rsidRDefault="00000000">
          <w:pPr>
            <w:pStyle w:val="TOC1"/>
            <w:tabs>
              <w:tab w:val="right" w:leader="dot" w:pos="9350"/>
            </w:tabs>
            <w:rPr>
              <w:rFonts w:asciiTheme="minorHAnsi" w:eastAsiaTheme="minorEastAsia" w:hAnsiTheme="minorHAnsi" w:cstheme="minorBidi"/>
              <w:noProof/>
              <w:color w:val="auto"/>
            </w:rPr>
          </w:pPr>
          <w:hyperlink w:anchor="_Toc231392879" w:history="1">
            <w:r>
              <w:rPr>
                <w:rStyle w:val="Hyperlink"/>
                <w:noProof/>
              </w:rPr>
              <w:t>Referencat</w:t>
            </w:r>
            <w:r>
              <w:rPr>
                <w:noProof/>
              </w:rPr>
              <w:tab/>
            </w:r>
            <w:r>
              <w:rPr>
                <w:noProof/>
              </w:rPr>
              <w:fldChar w:fldCharType="begin"/>
            </w:r>
            <w:r>
              <w:rPr>
                <w:noProof/>
              </w:rPr>
              <w:instrText xml:space="preserve"> PAGEREF _Toc231392879 \h </w:instrText>
            </w:r>
            <w:r>
              <w:rPr>
                <w:noProof/>
              </w:rPr>
            </w:r>
            <w:r>
              <w:rPr>
                <w:noProof/>
              </w:rPr>
              <w:fldChar w:fldCharType="separate"/>
            </w:r>
            <w:r>
              <w:rPr>
                <w:noProof/>
              </w:rPr>
              <w:t>28</w:t>
            </w:r>
            <w:r>
              <w:rPr>
                <w:noProof/>
              </w:rPr>
              <w:fldChar w:fldCharType="end"/>
            </w:r>
          </w:hyperlink>
        </w:p>
        <w:p w14:paraId="5FBB89B7" w14:textId="03AF5AF1" w:rsidR="00990D89" w:rsidRDefault="00112C45">
          <w:r>
            <w:fldChar w:fldCharType="end"/>
          </w:r>
        </w:p>
        <w:p w14:paraId="7461D4DA" w14:textId="4C291947" w:rsidR="00A90CBB" w:rsidRDefault="00000000"/>
      </w:sdtContent>
    </w:sdt>
    <w:p w14:paraId="682FA9A0" w14:textId="77777777" w:rsidR="00A90CBB" w:rsidRDefault="00112C45">
      <w:r>
        <w:br w:type="page"/>
      </w:r>
    </w:p>
    <w:p w14:paraId="078B57B0" w14:textId="77777777" w:rsidR="00A90CBB" w:rsidRDefault="00112C45">
      <w:pPr>
        <w:pStyle w:val="Heading1"/>
      </w:pPr>
      <w:bookmarkStart w:id="0" w:name="_Toc231392834"/>
      <w:r>
        <w:lastRenderedPageBreak/>
        <w:t>Shkurtesat</w:t>
      </w:r>
      <w:bookmarkEnd w:id="0"/>
    </w:p>
    <w:p w14:paraId="07AFB862" w14:textId="77777777" w:rsidR="00A90CBB" w:rsidRDefault="00112C45">
      <w:pPr>
        <w:spacing w:after="150" w:line="278" w:lineRule="auto"/>
        <w:jc w:val="both"/>
      </w:pPr>
      <w:r>
        <w:t>Tabela e mëposhtme përmbledh shkurtesat dhe akronimet e përdorura në këtë dokument.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7460"/>
      </w:tblGrid>
      <w:tr w:rsidR="00A90CBB" w14:paraId="2CE21EA4" w14:textId="77777777">
        <w:trPr>
          <w:tblHeader/>
        </w:trPr>
        <w:tc>
          <w:tcPr>
            <w:tcW w:w="19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7B4138FA" w14:textId="77777777" w:rsidR="00A90CBB" w:rsidRDefault="00112C45">
            <w:r>
              <w:rPr>
                <w:b/>
                <w:bCs/>
                <w:color w:val="FFFFFF"/>
                <w:sz w:val="19"/>
                <w:szCs w:val="19"/>
              </w:rPr>
              <w:t>Shkurtesa</w:t>
            </w:r>
          </w:p>
        </w:tc>
        <w:tc>
          <w:tcPr>
            <w:tcW w:w="746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1033C390" w14:textId="77777777" w:rsidR="00A90CBB" w:rsidRDefault="00112C45">
            <w:r>
              <w:rPr>
                <w:b/>
                <w:bCs/>
                <w:color w:val="FFFFFF"/>
                <w:sz w:val="19"/>
                <w:szCs w:val="19"/>
              </w:rPr>
              <w:t>Përshkrimi i plotë</w:t>
            </w:r>
          </w:p>
        </w:tc>
      </w:tr>
      <w:tr w:rsidR="00A90CBB" w14:paraId="308B0537"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79BE3D4F" w14:textId="77777777" w:rsidR="00A90CBB" w:rsidRDefault="00112C45">
            <w:pPr>
              <w:spacing w:line="252" w:lineRule="auto"/>
            </w:pPr>
            <w:r>
              <w:rPr>
                <w:sz w:val="19"/>
                <w:szCs w:val="19"/>
              </w:rPr>
              <w:t>BE</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24307B2" w14:textId="77777777" w:rsidR="00A90CBB" w:rsidRDefault="00112C45">
            <w:pPr>
              <w:spacing w:line="252" w:lineRule="auto"/>
            </w:pPr>
            <w:r>
              <w:rPr>
                <w:sz w:val="19"/>
                <w:szCs w:val="19"/>
              </w:rPr>
              <w:t>Bashkimi Evropian</w:t>
            </w:r>
          </w:p>
        </w:tc>
      </w:tr>
      <w:tr w:rsidR="00A90CBB" w14:paraId="4B00F9DE"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053E8BE" w14:textId="77777777" w:rsidR="00A90CBB" w:rsidRDefault="00112C45">
            <w:pPr>
              <w:spacing w:line="252" w:lineRule="auto"/>
            </w:pPr>
            <w:r>
              <w:rPr>
                <w:sz w:val="19"/>
                <w:szCs w:val="19"/>
              </w:rPr>
              <w:t>BEI</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E14B218" w14:textId="77777777" w:rsidR="00A90CBB" w:rsidRDefault="00112C45">
            <w:pPr>
              <w:spacing w:line="252" w:lineRule="auto"/>
            </w:pPr>
            <w:r>
              <w:rPr>
                <w:sz w:val="19"/>
                <w:szCs w:val="19"/>
              </w:rPr>
              <w:t>Banka Evropiane e Investimeve</w:t>
            </w:r>
          </w:p>
        </w:tc>
      </w:tr>
      <w:tr w:rsidR="00A90CBB" w14:paraId="725A7482"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7F7E877F" w14:textId="77777777" w:rsidR="00A90CBB" w:rsidRDefault="00112C45">
            <w:pPr>
              <w:spacing w:line="252" w:lineRule="auto"/>
            </w:pPr>
            <w:r>
              <w:rPr>
                <w:sz w:val="19"/>
                <w:szCs w:val="19"/>
              </w:rPr>
              <w:t>BERZH</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42108C6" w14:textId="77777777" w:rsidR="00A90CBB" w:rsidRDefault="00112C45">
            <w:pPr>
              <w:spacing w:line="252" w:lineRule="auto"/>
            </w:pPr>
            <w:r>
              <w:rPr>
                <w:sz w:val="19"/>
                <w:szCs w:val="19"/>
              </w:rPr>
              <w:t>Banka Evropiane për Rindërtim dhe Zhvillim</w:t>
            </w:r>
          </w:p>
        </w:tc>
      </w:tr>
      <w:tr w:rsidR="00A90CBB" w14:paraId="15E67AB3"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334A49A" w14:textId="77777777" w:rsidR="00A90CBB" w:rsidRDefault="00112C45">
            <w:pPr>
              <w:spacing w:line="252" w:lineRule="auto"/>
            </w:pPr>
            <w:r>
              <w:rPr>
                <w:sz w:val="19"/>
                <w:szCs w:val="19"/>
              </w:rPr>
              <w:t>BESS</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59B67B5" w14:textId="77777777" w:rsidR="00A90CBB" w:rsidRDefault="00112C45">
            <w:pPr>
              <w:spacing w:line="252" w:lineRule="auto"/>
            </w:pPr>
            <w:r>
              <w:rPr>
                <w:sz w:val="19"/>
                <w:szCs w:val="19"/>
              </w:rPr>
              <w:t>Sistemet e Ruajtjes së Energjisë në Bateri (Battery Energy Storage Systems)</w:t>
            </w:r>
          </w:p>
        </w:tc>
      </w:tr>
      <w:tr w:rsidR="00A90CBB" w14:paraId="187C5E63"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5FDE6BD" w14:textId="77777777" w:rsidR="00A90CBB" w:rsidRDefault="00112C45">
            <w:pPr>
              <w:spacing w:line="252" w:lineRule="auto"/>
            </w:pPr>
            <w:r>
              <w:rPr>
                <w:sz w:val="19"/>
                <w:szCs w:val="19"/>
              </w:rPr>
              <w:t>BRE</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889C5F7" w14:textId="77777777" w:rsidR="00A90CBB" w:rsidRDefault="00112C45">
            <w:pPr>
              <w:spacing w:line="252" w:lineRule="auto"/>
            </w:pPr>
            <w:r>
              <w:rPr>
                <w:sz w:val="19"/>
                <w:szCs w:val="19"/>
              </w:rPr>
              <w:t>Burimet e ripërtëritshme të energjisë</w:t>
            </w:r>
          </w:p>
        </w:tc>
      </w:tr>
      <w:tr w:rsidR="00A90CBB" w14:paraId="38EFC8BB"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63DC4A4" w14:textId="77777777" w:rsidR="00A90CBB" w:rsidRDefault="00112C45">
            <w:pPr>
              <w:spacing w:line="252" w:lineRule="auto"/>
            </w:pPr>
            <w:r>
              <w:rPr>
                <w:sz w:val="19"/>
                <w:szCs w:val="19"/>
              </w:rPr>
              <w:t>CO₂</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AADCF20" w14:textId="77777777" w:rsidR="00A90CBB" w:rsidRDefault="00112C45">
            <w:pPr>
              <w:spacing w:line="252" w:lineRule="auto"/>
            </w:pPr>
            <w:r>
              <w:rPr>
                <w:sz w:val="19"/>
                <w:szCs w:val="19"/>
              </w:rPr>
              <w:t>Dioksidi i karbonit</w:t>
            </w:r>
          </w:p>
        </w:tc>
      </w:tr>
      <w:tr w:rsidR="00A90CBB" w14:paraId="1D74A359"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1F47A0F" w14:textId="77777777" w:rsidR="00A90CBB" w:rsidRDefault="00112C45">
            <w:pPr>
              <w:spacing w:line="252" w:lineRule="auto"/>
            </w:pPr>
            <w:r>
              <w:rPr>
                <w:sz w:val="19"/>
                <w:szCs w:val="19"/>
              </w:rPr>
              <w:t>EE</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7AFB8044" w14:textId="77777777" w:rsidR="00A90CBB" w:rsidRDefault="00112C45">
            <w:pPr>
              <w:spacing w:line="252" w:lineRule="auto"/>
            </w:pPr>
            <w:r>
              <w:rPr>
                <w:sz w:val="19"/>
                <w:szCs w:val="19"/>
              </w:rPr>
              <w:t>Efiçienca e energjisë</w:t>
            </w:r>
          </w:p>
        </w:tc>
      </w:tr>
      <w:tr w:rsidR="00A90CBB" w14:paraId="6DED3B6E"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EAB3D5D" w14:textId="77777777" w:rsidR="00A90CBB" w:rsidRDefault="00112C45">
            <w:pPr>
              <w:spacing w:line="252" w:lineRule="auto"/>
            </w:pPr>
            <w:r>
              <w:rPr>
                <w:sz w:val="19"/>
                <w:szCs w:val="19"/>
              </w:rPr>
              <w:t>FGD</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A5DDCD2" w14:textId="77777777" w:rsidR="00A90CBB" w:rsidRDefault="00112C45">
            <w:pPr>
              <w:spacing w:line="252" w:lineRule="auto"/>
            </w:pPr>
            <w:r>
              <w:rPr>
                <w:sz w:val="19"/>
                <w:szCs w:val="19"/>
              </w:rPr>
              <w:t>Desulfurizimi i gazrave të tymit (Flue Gas Desulphurization)</w:t>
            </w:r>
          </w:p>
        </w:tc>
      </w:tr>
      <w:tr w:rsidR="00A90CBB" w14:paraId="1ED0F2F3"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10DCE51" w14:textId="77777777" w:rsidR="00A90CBB" w:rsidRDefault="00112C45">
            <w:pPr>
              <w:spacing w:line="252" w:lineRule="auto"/>
            </w:pPr>
            <w:r>
              <w:rPr>
                <w:sz w:val="19"/>
                <w:szCs w:val="19"/>
              </w:rPr>
              <w:t>FKEE</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9B0CDB8" w14:textId="77777777" w:rsidR="00A90CBB" w:rsidRDefault="00112C45">
            <w:pPr>
              <w:spacing w:line="252" w:lineRule="auto"/>
            </w:pPr>
            <w:r>
              <w:rPr>
                <w:sz w:val="19"/>
                <w:szCs w:val="19"/>
              </w:rPr>
              <w:t>Fondi i Kosovës për Efiçiencë të Energjisë</w:t>
            </w:r>
          </w:p>
        </w:tc>
      </w:tr>
      <w:tr w:rsidR="00A90CBB" w14:paraId="4A1B81AD"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FDE23E1" w14:textId="77777777" w:rsidR="00A90CBB" w:rsidRDefault="00112C45">
            <w:pPr>
              <w:spacing w:line="252" w:lineRule="auto"/>
            </w:pPr>
            <w:r>
              <w:rPr>
                <w:sz w:val="19"/>
                <w:szCs w:val="19"/>
              </w:rPr>
              <w:t>GIZ</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8135E74" w14:textId="77777777" w:rsidR="00A90CBB" w:rsidRDefault="00112C45">
            <w:pPr>
              <w:spacing w:line="252" w:lineRule="auto"/>
            </w:pPr>
            <w:r>
              <w:rPr>
                <w:sz w:val="19"/>
                <w:szCs w:val="19"/>
              </w:rPr>
              <w:t>Agjencia Gjermane për Bashkëpunim Ndërkombëtar</w:t>
            </w:r>
          </w:p>
        </w:tc>
      </w:tr>
      <w:tr w:rsidR="00A90CBB" w14:paraId="263BC346"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C4A9527" w14:textId="77777777" w:rsidR="00A90CBB" w:rsidRDefault="00112C45">
            <w:pPr>
              <w:spacing w:line="252" w:lineRule="auto"/>
            </w:pPr>
            <w:r>
              <w:rPr>
                <w:sz w:val="19"/>
                <w:szCs w:val="19"/>
              </w:rPr>
              <w:t>GET</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448C1B2" w14:textId="77777777" w:rsidR="00A90CBB" w:rsidRDefault="00112C45">
            <w:pPr>
              <w:spacing w:line="252" w:lineRule="auto"/>
            </w:pPr>
            <w:r>
              <w:rPr>
                <w:sz w:val="19"/>
                <w:szCs w:val="19"/>
              </w:rPr>
              <w:t>Ekipi Ekonomik Gjerman (German Economic Team)</w:t>
            </w:r>
          </w:p>
        </w:tc>
      </w:tr>
      <w:tr w:rsidR="00A90CBB" w14:paraId="611274FB"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DBF26C6" w14:textId="77777777" w:rsidR="00A90CBB" w:rsidRDefault="00112C45">
            <w:pPr>
              <w:spacing w:line="252" w:lineRule="auto"/>
            </w:pPr>
            <w:r>
              <w:rPr>
                <w:sz w:val="19"/>
                <w:szCs w:val="19"/>
              </w:rPr>
              <w:t>HC</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93F6BAD" w14:textId="77777777" w:rsidR="00A90CBB" w:rsidRDefault="00112C45">
            <w:pPr>
              <w:spacing w:line="252" w:lineRule="auto"/>
            </w:pPr>
            <w:r>
              <w:rPr>
                <w:sz w:val="19"/>
                <w:szCs w:val="19"/>
              </w:rPr>
              <w:t>Hidrocentralet</w:t>
            </w:r>
          </w:p>
        </w:tc>
      </w:tr>
      <w:tr w:rsidR="00A90CBB" w14:paraId="3D48543D"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C1EB6AC" w14:textId="77777777" w:rsidR="00A90CBB" w:rsidRDefault="00112C45">
            <w:pPr>
              <w:spacing w:line="252" w:lineRule="auto"/>
            </w:pPr>
            <w:r>
              <w:rPr>
                <w:sz w:val="19"/>
                <w:szCs w:val="19"/>
              </w:rPr>
              <w:t>IFN</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152B721" w14:textId="77777777" w:rsidR="00A90CBB" w:rsidRDefault="00112C45">
            <w:pPr>
              <w:spacing w:line="252" w:lineRule="auto"/>
            </w:pPr>
            <w:r>
              <w:rPr>
                <w:sz w:val="19"/>
                <w:szCs w:val="19"/>
              </w:rPr>
              <w:t>Institucionet financiare ndërkombëtare</w:t>
            </w:r>
          </w:p>
        </w:tc>
      </w:tr>
      <w:tr w:rsidR="00A90CBB" w14:paraId="1F04520A"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AD48D8A" w14:textId="77777777" w:rsidR="00A90CBB" w:rsidRDefault="00112C45">
            <w:pPr>
              <w:spacing w:line="252" w:lineRule="auto"/>
            </w:pPr>
            <w:r>
              <w:rPr>
                <w:sz w:val="19"/>
                <w:szCs w:val="19"/>
              </w:rPr>
              <w:t>IED</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746B7C1" w14:textId="77777777" w:rsidR="00A90CBB" w:rsidRDefault="00112C45">
            <w:pPr>
              <w:spacing w:line="252" w:lineRule="auto"/>
            </w:pPr>
            <w:r>
              <w:rPr>
                <w:sz w:val="19"/>
                <w:szCs w:val="19"/>
              </w:rPr>
              <w:t>Direktiva për Emetimet Industriale</w:t>
            </w:r>
          </w:p>
        </w:tc>
      </w:tr>
      <w:tr w:rsidR="00A90CBB" w14:paraId="2D148E99"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3CC04D5" w14:textId="77777777" w:rsidR="00A90CBB" w:rsidRDefault="00112C45">
            <w:pPr>
              <w:spacing w:line="252" w:lineRule="auto"/>
            </w:pPr>
            <w:r>
              <w:rPr>
                <w:sz w:val="19"/>
                <w:szCs w:val="19"/>
              </w:rPr>
              <w:t>IPA</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44E1FF86" w14:textId="77777777" w:rsidR="00A90CBB" w:rsidRDefault="00112C45">
            <w:pPr>
              <w:spacing w:line="252" w:lineRule="auto"/>
            </w:pPr>
            <w:r>
              <w:rPr>
                <w:sz w:val="19"/>
                <w:szCs w:val="19"/>
              </w:rPr>
              <w:t>Instrumenti i Asistencës së Para–Anëtarësimit</w:t>
            </w:r>
          </w:p>
        </w:tc>
      </w:tr>
      <w:tr w:rsidR="00A90CBB" w14:paraId="7542C349"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8AF5209" w14:textId="77777777" w:rsidR="00A90CBB" w:rsidRDefault="00112C45">
            <w:pPr>
              <w:spacing w:line="252" w:lineRule="auto"/>
            </w:pPr>
            <w:r>
              <w:rPr>
                <w:sz w:val="19"/>
                <w:szCs w:val="19"/>
              </w:rPr>
              <w:t>KE</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8EADD90" w14:textId="77777777" w:rsidR="00A90CBB" w:rsidRDefault="00112C45">
            <w:pPr>
              <w:spacing w:line="252" w:lineRule="auto"/>
            </w:pPr>
            <w:r>
              <w:rPr>
                <w:sz w:val="19"/>
                <w:szCs w:val="19"/>
              </w:rPr>
              <w:t>Komisioni Evropian</w:t>
            </w:r>
          </w:p>
        </w:tc>
      </w:tr>
      <w:tr w:rsidR="00A90CBB" w:rsidRPr="008C5C7F" w14:paraId="1F010836"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D4ACFE4" w14:textId="77777777" w:rsidR="00A90CBB" w:rsidRDefault="00112C45">
            <w:pPr>
              <w:spacing w:line="252" w:lineRule="auto"/>
            </w:pPr>
            <w:r>
              <w:rPr>
                <w:sz w:val="19"/>
                <w:szCs w:val="19"/>
              </w:rPr>
              <w:t>KEK</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5A1627C8" w14:textId="77777777" w:rsidR="00A90CBB" w:rsidRPr="00503850" w:rsidRDefault="00112C45">
            <w:pPr>
              <w:spacing w:line="252" w:lineRule="auto"/>
              <w:rPr>
                <w:lang w:val="de-DE"/>
              </w:rPr>
            </w:pPr>
            <w:r>
              <w:rPr>
                <w:sz w:val="19"/>
                <w:szCs w:val="19"/>
                <w:lang w:val="de-DE"/>
              </w:rPr>
              <w:t>Korporata Energjetike e Kosovës sh.a.</w:t>
            </w:r>
          </w:p>
        </w:tc>
      </w:tr>
      <w:tr w:rsidR="00A90CBB" w14:paraId="728B3413"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5A4D052" w14:textId="77777777" w:rsidR="00A90CBB" w:rsidRDefault="00112C45">
            <w:pPr>
              <w:spacing w:line="252" w:lineRule="auto"/>
            </w:pPr>
            <w:proofErr w:type="spellStart"/>
            <w:r>
              <w:rPr>
                <w:sz w:val="19"/>
                <w:szCs w:val="19"/>
              </w:rPr>
              <w:t>KfW</w:t>
            </w:r>
            <w:proofErr w:type="spellEnd"/>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ED87EF5" w14:textId="77777777" w:rsidR="00A90CBB" w:rsidRDefault="00112C45">
            <w:pPr>
              <w:spacing w:line="252" w:lineRule="auto"/>
            </w:pPr>
            <w:r>
              <w:rPr>
                <w:sz w:val="19"/>
                <w:szCs w:val="19"/>
              </w:rPr>
              <w:t>Banka Gjermane për Zhvillim</w:t>
            </w:r>
          </w:p>
        </w:tc>
      </w:tr>
      <w:tr w:rsidR="00A90CBB" w14:paraId="28754FBD"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159AA25" w14:textId="77777777" w:rsidR="00A90CBB" w:rsidRDefault="00112C45">
            <w:pPr>
              <w:spacing w:line="252" w:lineRule="auto"/>
            </w:pPr>
            <w:r>
              <w:rPr>
                <w:sz w:val="19"/>
                <w:szCs w:val="19"/>
              </w:rPr>
              <w:t>KOSTT</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47E14733" w14:textId="77777777" w:rsidR="00A90CBB" w:rsidRDefault="00112C45">
            <w:pPr>
              <w:spacing w:line="252" w:lineRule="auto"/>
            </w:pPr>
            <w:r>
              <w:rPr>
                <w:sz w:val="19"/>
                <w:szCs w:val="19"/>
              </w:rPr>
              <w:t>Operatori i Sistemit të Transmisionit dhe Tregut</w:t>
            </w:r>
          </w:p>
        </w:tc>
      </w:tr>
      <w:tr w:rsidR="00A90CBB" w14:paraId="3A99BBAC"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780C1D4" w14:textId="77777777" w:rsidR="00A90CBB" w:rsidRDefault="00112C45">
            <w:pPr>
              <w:spacing w:line="252" w:lineRule="auto"/>
            </w:pPr>
            <w:r>
              <w:rPr>
                <w:sz w:val="19"/>
                <w:szCs w:val="19"/>
              </w:rPr>
              <w:t>ktoe</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198B662" w14:textId="77777777" w:rsidR="00A90CBB" w:rsidRDefault="00112C45">
            <w:pPr>
              <w:spacing w:line="252" w:lineRule="auto"/>
            </w:pPr>
            <w:r>
              <w:rPr>
                <w:sz w:val="19"/>
                <w:szCs w:val="19"/>
              </w:rPr>
              <w:t>Mijë ton ekuivalent nafte</w:t>
            </w:r>
          </w:p>
        </w:tc>
      </w:tr>
      <w:tr w:rsidR="00A90CBB" w14:paraId="4E9D5F8E"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6C188CE" w14:textId="77777777" w:rsidR="00A90CBB" w:rsidRDefault="00112C45">
            <w:pPr>
              <w:spacing w:line="252" w:lineRule="auto"/>
            </w:pPr>
            <w:r>
              <w:rPr>
                <w:sz w:val="19"/>
                <w:szCs w:val="19"/>
              </w:rPr>
              <w:t>LPG</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9AA2014" w14:textId="77777777" w:rsidR="00A90CBB" w:rsidRDefault="00112C45">
            <w:pPr>
              <w:spacing w:line="252" w:lineRule="auto"/>
            </w:pPr>
            <w:r>
              <w:rPr>
                <w:sz w:val="19"/>
                <w:szCs w:val="19"/>
              </w:rPr>
              <w:t>Gazi i lëngëzuar i naftës</w:t>
            </w:r>
          </w:p>
        </w:tc>
      </w:tr>
      <w:tr w:rsidR="00A90CBB" w14:paraId="1677DBFD"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6679E96" w14:textId="77777777" w:rsidR="00A90CBB" w:rsidRDefault="00112C45">
            <w:pPr>
              <w:spacing w:line="252" w:lineRule="auto"/>
            </w:pPr>
            <w:r>
              <w:rPr>
                <w:sz w:val="19"/>
                <w:szCs w:val="19"/>
              </w:rPr>
              <w:t>ME</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03B855B" w14:textId="77777777" w:rsidR="00A90CBB" w:rsidRDefault="00112C45">
            <w:pPr>
              <w:spacing w:line="252" w:lineRule="auto"/>
            </w:pPr>
            <w:r>
              <w:rPr>
                <w:sz w:val="19"/>
                <w:szCs w:val="19"/>
              </w:rPr>
              <w:t>Ministria e Ekonomisë</w:t>
            </w:r>
          </w:p>
        </w:tc>
      </w:tr>
      <w:tr w:rsidR="00A90CBB" w14:paraId="47FCD736"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F3F29EB" w14:textId="77777777" w:rsidR="00A90CBB" w:rsidRDefault="00112C45">
            <w:pPr>
              <w:spacing w:line="252" w:lineRule="auto"/>
            </w:pPr>
            <w:r>
              <w:rPr>
                <w:sz w:val="19"/>
                <w:szCs w:val="19"/>
              </w:rPr>
              <w:t>MF</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537C7E9" w14:textId="77777777" w:rsidR="00A90CBB" w:rsidRDefault="00112C45">
            <w:pPr>
              <w:spacing w:line="252" w:lineRule="auto"/>
            </w:pPr>
            <w:r>
              <w:rPr>
                <w:sz w:val="19"/>
                <w:szCs w:val="19"/>
              </w:rPr>
              <w:t>Ministria e Financave</w:t>
            </w:r>
          </w:p>
        </w:tc>
      </w:tr>
      <w:tr w:rsidR="00A90CBB" w:rsidRPr="008C5C7F" w14:paraId="588C20BE"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9D91AD8" w14:textId="77777777" w:rsidR="00A90CBB" w:rsidRDefault="00112C45">
            <w:pPr>
              <w:spacing w:line="252" w:lineRule="auto"/>
            </w:pPr>
            <w:r>
              <w:rPr>
                <w:sz w:val="19"/>
                <w:szCs w:val="19"/>
              </w:rPr>
              <w:t>MMPHI</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8E79D59" w14:textId="77777777" w:rsidR="00A90CBB" w:rsidRPr="00503850" w:rsidRDefault="00112C45">
            <w:pPr>
              <w:spacing w:line="252" w:lineRule="auto"/>
              <w:rPr>
                <w:lang w:val="de-DE"/>
              </w:rPr>
            </w:pPr>
            <w:r>
              <w:rPr>
                <w:sz w:val="19"/>
                <w:szCs w:val="19"/>
                <w:lang w:val="de-DE"/>
              </w:rPr>
              <w:t>Ministria e Mjedisit, Planifikimit Hapësinor dhe Infrastrukturës</w:t>
            </w:r>
          </w:p>
        </w:tc>
      </w:tr>
      <w:tr w:rsidR="00A90CBB" w14:paraId="47FCD737"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F3F29EC" w14:textId="77777777" w:rsidR="00A90CBB" w:rsidRDefault="00112C45">
            <w:pPr>
              <w:spacing w:line="252" w:lineRule="auto"/>
            </w:pPr>
            <w:r>
              <w:rPr>
                <w:sz w:val="19"/>
                <w:szCs w:val="19"/>
              </w:rPr>
              <w:t>MPFVLÇ</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537C7EA" w14:textId="77777777" w:rsidR="00A90CBB" w:rsidRDefault="00112C45">
            <w:pPr>
              <w:spacing w:line="252" w:lineRule="auto"/>
            </w:pPr>
            <w:r>
              <w:rPr>
                <w:sz w:val="19"/>
                <w:szCs w:val="19"/>
              </w:rPr>
              <w:t>Ministria e Punës, Familjes dhe Vlerave të Luftës Çlirimtare</w:t>
            </w:r>
          </w:p>
        </w:tc>
      </w:tr>
      <w:tr w:rsidR="00A90CBB" w14:paraId="19AA975C"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2D108D2" w14:textId="77777777" w:rsidR="00A90CBB" w:rsidRDefault="00112C45">
            <w:pPr>
              <w:spacing w:line="252" w:lineRule="auto"/>
            </w:pPr>
            <w:r>
              <w:rPr>
                <w:sz w:val="19"/>
                <w:szCs w:val="19"/>
              </w:rPr>
              <w:t>MRVA</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84C1410" w14:textId="77777777" w:rsidR="00A90CBB" w:rsidRDefault="00112C45">
            <w:pPr>
              <w:spacing w:line="252" w:lineRule="auto"/>
            </w:pPr>
            <w:r>
              <w:rPr>
                <w:sz w:val="19"/>
                <w:szCs w:val="19"/>
              </w:rPr>
              <w:t>Monitorimi, Raportimi, Verifikimi dhe Akreditimi</w:t>
            </w:r>
          </w:p>
        </w:tc>
      </w:tr>
      <w:tr w:rsidR="00A90CBB" w:rsidRPr="008C5C7F" w14:paraId="4767AB30"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07D6D54" w14:textId="77777777" w:rsidR="00A90CBB" w:rsidRDefault="00112C45">
            <w:pPr>
              <w:spacing w:line="252" w:lineRule="auto"/>
            </w:pPr>
            <w:r>
              <w:rPr>
                <w:sz w:val="19"/>
                <w:szCs w:val="19"/>
              </w:rPr>
              <w:t>NECP</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6D7FF3E" w14:textId="77777777" w:rsidR="00A90CBB" w:rsidRPr="00503850" w:rsidRDefault="00112C45">
            <w:pPr>
              <w:spacing w:line="252" w:lineRule="auto"/>
              <w:rPr>
                <w:lang w:val="de-DE"/>
              </w:rPr>
            </w:pPr>
            <w:r>
              <w:rPr>
                <w:sz w:val="19"/>
                <w:szCs w:val="19"/>
                <w:lang w:val="de-DE"/>
              </w:rPr>
              <w:t>Plani Kombëtar për Energji dhe Klimë</w:t>
            </w:r>
          </w:p>
        </w:tc>
      </w:tr>
      <w:tr w:rsidR="00A90CBB" w:rsidRPr="008C5C7F" w14:paraId="2485FC41"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F1F3D15" w14:textId="77777777" w:rsidR="00A90CBB" w:rsidRDefault="00112C45">
            <w:pPr>
              <w:spacing w:line="252" w:lineRule="auto"/>
            </w:pPr>
            <w:r>
              <w:rPr>
                <w:sz w:val="19"/>
                <w:szCs w:val="19"/>
              </w:rPr>
              <w:t>NERP</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C773702" w14:textId="77777777" w:rsidR="00A90CBB" w:rsidRPr="00503850" w:rsidRDefault="00112C45">
            <w:pPr>
              <w:spacing w:line="252" w:lineRule="auto"/>
              <w:rPr>
                <w:lang w:val="de-DE"/>
              </w:rPr>
            </w:pPr>
            <w:r>
              <w:rPr>
                <w:sz w:val="19"/>
                <w:szCs w:val="19"/>
                <w:lang w:val="de-DE"/>
              </w:rPr>
              <w:t>Plani Kombëtar për Reduktimin e Emetimeve</w:t>
            </w:r>
          </w:p>
        </w:tc>
      </w:tr>
      <w:tr w:rsidR="00A90CBB" w14:paraId="63142674"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32B09C1" w14:textId="77777777" w:rsidR="00A90CBB" w:rsidRDefault="00112C45">
            <w:pPr>
              <w:spacing w:line="252" w:lineRule="auto"/>
            </w:pPr>
            <w:r>
              <w:rPr>
                <w:sz w:val="19"/>
                <w:szCs w:val="19"/>
              </w:rPr>
              <w:t>NOx</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521F72B" w14:textId="77777777" w:rsidR="00A90CBB" w:rsidRDefault="00112C45">
            <w:pPr>
              <w:spacing w:line="252" w:lineRule="auto"/>
            </w:pPr>
            <w:r>
              <w:rPr>
                <w:sz w:val="19"/>
                <w:szCs w:val="19"/>
              </w:rPr>
              <w:t>Oksidet e azotit</w:t>
            </w:r>
          </w:p>
        </w:tc>
      </w:tr>
      <w:tr w:rsidR="00A90CBB" w14:paraId="4629527C"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7141752" w14:textId="77777777" w:rsidR="00A90CBB" w:rsidRDefault="00112C45">
            <w:pPr>
              <w:spacing w:line="252" w:lineRule="auto"/>
            </w:pPr>
            <w:r>
              <w:rPr>
                <w:sz w:val="19"/>
                <w:szCs w:val="19"/>
              </w:rPr>
              <w:t>PBB</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8CF5CD5" w14:textId="77777777" w:rsidR="00A90CBB" w:rsidRDefault="00112C45">
            <w:pPr>
              <w:spacing w:line="252" w:lineRule="auto"/>
            </w:pPr>
            <w:r>
              <w:rPr>
                <w:sz w:val="19"/>
                <w:szCs w:val="19"/>
              </w:rPr>
              <w:t>Produkti i Brendshëm Bruto</w:t>
            </w:r>
          </w:p>
        </w:tc>
      </w:tr>
      <w:tr w:rsidR="00A90CBB" w:rsidRPr="008C5C7F" w14:paraId="3B38759D"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A4E49AC" w14:textId="77777777" w:rsidR="00A90CBB" w:rsidRDefault="00112C45">
            <w:pPr>
              <w:spacing w:line="252" w:lineRule="auto"/>
            </w:pPr>
            <w:r>
              <w:rPr>
                <w:sz w:val="19"/>
                <w:szCs w:val="19"/>
              </w:rPr>
              <w:lastRenderedPageBreak/>
              <w:t>QeK</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86D112A" w14:textId="77777777" w:rsidR="00A90CBB" w:rsidRPr="00503850" w:rsidRDefault="00112C45">
            <w:pPr>
              <w:spacing w:line="252" w:lineRule="auto"/>
              <w:rPr>
                <w:lang w:val="de-DE"/>
              </w:rPr>
            </w:pPr>
            <w:r>
              <w:rPr>
                <w:sz w:val="19"/>
                <w:szCs w:val="19"/>
                <w:lang w:val="de-DE"/>
              </w:rPr>
              <w:t>Qeveria e Republikës së Kosovës</w:t>
            </w:r>
          </w:p>
        </w:tc>
      </w:tr>
      <w:tr w:rsidR="00A90CBB" w14:paraId="7051DE33"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004DD75" w14:textId="77777777" w:rsidR="00A90CBB" w:rsidRDefault="00112C45">
            <w:pPr>
              <w:spacing w:line="252" w:lineRule="auto"/>
            </w:pPr>
            <w:r>
              <w:rPr>
                <w:sz w:val="19"/>
                <w:szCs w:val="19"/>
              </w:rPr>
              <w:t>SCADA/EMS</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55B087AD" w14:textId="77777777" w:rsidR="00A90CBB" w:rsidRDefault="00112C45">
            <w:pPr>
              <w:spacing w:line="252" w:lineRule="auto"/>
            </w:pPr>
            <w:r>
              <w:rPr>
                <w:sz w:val="19"/>
                <w:szCs w:val="19"/>
              </w:rPr>
              <w:t>Sistemi i Mbikëqyrjes dhe i Menaxhimit të Energjisë</w:t>
            </w:r>
          </w:p>
        </w:tc>
      </w:tr>
      <w:tr w:rsidR="00A90CBB" w14:paraId="5F52ABAC"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FC636E0" w14:textId="77777777" w:rsidR="00A90CBB" w:rsidRDefault="00112C45">
            <w:pPr>
              <w:spacing w:line="252" w:lineRule="auto"/>
            </w:pPr>
            <w:r>
              <w:rPr>
                <w:sz w:val="19"/>
                <w:szCs w:val="19"/>
              </w:rPr>
              <w:t>SO₂</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233FBE1" w14:textId="77777777" w:rsidR="00A90CBB" w:rsidRDefault="00112C45">
            <w:pPr>
              <w:spacing w:line="252" w:lineRule="auto"/>
            </w:pPr>
            <w:r>
              <w:rPr>
                <w:sz w:val="19"/>
                <w:szCs w:val="19"/>
              </w:rPr>
              <w:t>Dioksidi i squfurit</w:t>
            </w:r>
          </w:p>
        </w:tc>
      </w:tr>
      <w:tr w:rsidR="00A90CBB" w14:paraId="6B0F35EB"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190C386" w14:textId="77777777" w:rsidR="00A90CBB" w:rsidRDefault="00112C45">
            <w:pPr>
              <w:spacing w:line="252" w:lineRule="auto"/>
            </w:pPr>
            <w:r>
              <w:rPr>
                <w:sz w:val="19"/>
                <w:szCs w:val="19"/>
              </w:rPr>
              <w:t>TC</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9A99D95" w14:textId="77777777" w:rsidR="00A90CBB" w:rsidRDefault="00112C45">
            <w:pPr>
              <w:spacing w:line="252" w:lineRule="auto"/>
            </w:pPr>
            <w:r>
              <w:rPr>
                <w:sz w:val="19"/>
                <w:szCs w:val="19"/>
              </w:rPr>
              <w:t>Termocentral</w:t>
            </w:r>
          </w:p>
        </w:tc>
      </w:tr>
      <w:tr w:rsidR="00A90CBB" w14:paraId="2FE099C2" w14:textId="77777777">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1946714" w14:textId="77777777" w:rsidR="00A90CBB" w:rsidRDefault="00112C45">
            <w:pPr>
              <w:spacing w:line="252" w:lineRule="auto"/>
            </w:pPr>
            <w:r>
              <w:rPr>
                <w:sz w:val="19"/>
                <w:szCs w:val="19"/>
              </w:rPr>
              <w:t>WBIF</w:t>
            </w:r>
          </w:p>
        </w:tc>
        <w:tc>
          <w:tcPr>
            <w:tcW w:w="7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75433F4E" w14:textId="77777777" w:rsidR="00A90CBB" w:rsidRDefault="00112C45">
            <w:pPr>
              <w:spacing w:line="252" w:lineRule="auto"/>
            </w:pPr>
            <w:r>
              <w:rPr>
                <w:sz w:val="19"/>
                <w:szCs w:val="19"/>
              </w:rPr>
              <w:t>Korniza Investuese për Ballkanin Perëndimor (Western Balkans Investment Framework)</w:t>
            </w:r>
          </w:p>
        </w:tc>
      </w:tr>
      <w:tr w:rsidR="00A90CBB" w14:paraId="5D4FEE20" w14:textId="77777777">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56777C12" w14:textId="77777777" w:rsidR="00A90CBB" w:rsidRDefault="00112C45">
            <w:pPr>
              <w:spacing w:line="252" w:lineRule="auto"/>
            </w:pPr>
            <w:r>
              <w:rPr>
                <w:sz w:val="19"/>
                <w:szCs w:val="19"/>
              </w:rPr>
              <w:t>ZRRE</w:t>
            </w:r>
          </w:p>
        </w:tc>
        <w:tc>
          <w:tcPr>
            <w:tcW w:w="7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40DF9B27" w14:textId="77777777" w:rsidR="00A90CBB" w:rsidRDefault="00112C45">
            <w:pPr>
              <w:spacing w:line="252" w:lineRule="auto"/>
            </w:pPr>
            <w:r>
              <w:rPr>
                <w:sz w:val="19"/>
                <w:szCs w:val="19"/>
              </w:rPr>
              <w:t>Zyra e Rregullatorit për Energji</w:t>
            </w:r>
          </w:p>
        </w:tc>
      </w:tr>
    </w:tbl>
    <w:p w14:paraId="5E6F1BFD" w14:textId="77777777" w:rsidR="00A90CBB" w:rsidRDefault="00112C45">
      <w:r>
        <w:br w:type="page"/>
      </w:r>
    </w:p>
    <w:p w14:paraId="679194FF" w14:textId="77777777" w:rsidR="00A90CBB" w:rsidRDefault="00112C45">
      <w:pPr>
        <w:pStyle w:val="Heading1"/>
      </w:pPr>
      <w:bookmarkStart w:id="1" w:name="_Toc231392835"/>
      <w:r>
        <w:lastRenderedPageBreak/>
        <w:t>1. Përmbledhje ekzekutive</w:t>
      </w:r>
      <w:bookmarkEnd w:id="1"/>
    </w:p>
    <w:p w14:paraId="570DDD8A" w14:textId="289D1235" w:rsidR="00A90CBB" w:rsidRDefault="00112C45" w:rsidP="00CE4A50">
      <w:pPr>
        <w:jc w:val="both"/>
      </w:pPr>
      <w:r>
        <w:t>Tranzicioni i drejtë në Republikën e Kosovës është një proces strategjik transformimi ekonomik, social dhe institucional, që synon të mbështesë zhvillimin e qëndrueshëm të vendit në kontekstin e dekarbonizimit gradual dhe të integrimit evropian. Ky proces nuk kufizohet vetëm në transformimin e sektorit të energjisë; ai përfshin një qasje më të gjerë ndaj zhvillimit ekonomik, mbrojtjes sociale, transformimit industrial, zhvillimit rajonal dhe përmirësimit të cilësisë së jetës së qytetarëve.</w:t>
      </w:r>
    </w:p>
    <w:p w14:paraId="2CD0425D" w14:textId="77777777" w:rsidR="001A7C4B" w:rsidRDefault="001A7C4B" w:rsidP="00CE4A50">
      <w:pPr>
        <w:jc w:val="both"/>
      </w:pPr>
    </w:p>
    <w:p w14:paraId="49F8EE58" w14:textId="4C8EABB9" w:rsidR="00A90CBB" w:rsidRDefault="00112C45" w:rsidP="00CE4A50">
      <w:pPr>
        <w:jc w:val="both"/>
      </w:pPr>
      <w:r>
        <w:t>Në këtë drejtim, tranzicioni i drejtë paraqet një mundësi për të ndërtuar një model të ri zhvillimi ekonomik dhe social, që ndërthur modernizimin e sektorit energjetik me krijimin e mundësive të reja ekonomike, zhvillimin e aftësive të fuqisë punëtore, përfshirjen sociale dhe zhvillimin e qëndrueshëm rajonal.</w:t>
      </w:r>
    </w:p>
    <w:p w14:paraId="185EAC0E" w14:textId="77777777" w:rsidR="001A7C4B" w:rsidRDefault="001A7C4B" w:rsidP="00CE4A50">
      <w:pPr>
        <w:jc w:val="both"/>
      </w:pPr>
    </w:p>
    <w:p w14:paraId="6DDC7F6E" w14:textId="39F5B127" w:rsidR="00A90CBB" w:rsidRDefault="00A72BE1" w:rsidP="00CE4A50">
      <w:pPr>
        <w:jc w:val="both"/>
      </w:pPr>
      <w:r>
        <w:t>Tranzicioni duhet të jetë gradual, i drejtë dhe gjithëpërfshirës, duke siguruar që askush të mos mbetet pas gjatë transformimit ekonomik dhe energjetik. Për këtë arsye, siguria e furnizimit me energji, mbrojtja e vendeve të punës dhe zhvillimi ekonomik lokal mbeten prioritete thelbësore gjatë gjithë procesit.</w:t>
      </w:r>
    </w:p>
    <w:p w14:paraId="2A7FD0EB" w14:textId="77777777" w:rsidR="00A72BE1" w:rsidRDefault="00A72BE1" w:rsidP="00CE4A50">
      <w:pPr>
        <w:jc w:val="both"/>
      </w:pPr>
    </w:p>
    <w:p w14:paraId="3F119A85" w14:textId="25B85826" w:rsidR="00A90CBB" w:rsidRDefault="00112C45" w:rsidP="00CE4A50">
      <w:pPr>
        <w:jc w:val="both"/>
      </w:pPr>
      <w:r>
        <w:t>Udhërrëfyesi për tranzicion të drejtë është hartuar në përputhje me Strategjinë e Energjisë së Republikës së Kosovës 2022–2031, Agjendën e Gjelbër për Ballkanin Perëndimor, procesin e integrimit evropian dhe prioritetet kombëtare për zhvillim ekonomik e social. Dokumenti synon të krijojë një kornizë të koordinuar për institucionet qendrore dhe lokale, sektorin privat, partnerët zhvillimorë dhe komunitetet lokale, në mënyrë që tranzicioni të zhvillohet në mënyrë të planifikuar.</w:t>
      </w:r>
    </w:p>
    <w:p w14:paraId="7E941D0A" w14:textId="77777777" w:rsidR="001A7C4B" w:rsidRDefault="001A7C4B" w:rsidP="00CE4A50">
      <w:pPr>
        <w:jc w:val="both"/>
      </w:pPr>
    </w:p>
    <w:p w14:paraId="2161A806" w14:textId="4D8A4FC4" w:rsidR="00A90CBB" w:rsidRDefault="00112C45" w:rsidP="00CE4A50">
      <w:pPr>
        <w:jc w:val="both"/>
      </w:pPr>
      <w:r>
        <w:t xml:space="preserve">Në aspektin energjetik, tranzicioni do të mbështetet në zhvillimin gradual të kapaciteteve të reja nga burimet e ripërtëritshme të energjisë, modernizimin e kapaciteteve ekzistuese, avancimin e sistemeve të ruajtjes së energjisë, </w:t>
      </w:r>
      <w:r w:rsidRPr="007F2C75">
        <w:t>rritjen e efiçiencës së energjisë</w:t>
      </w:r>
      <w:r>
        <w:rPr>
          <w:sz w:val="19"/>
          <w:szCs w:val="19"/>
        </w:rPr>
        <w:t>,</w:t>
      </w:r>
      <w:r>
        <w:t xml:space="preserve"> zgjerimin e sistemeve të ngrohjes qendrore dhe forcimin e integrimit rajonal të tregut të energjisë. Paralelisht, ai synon të krijojë mundësi të reja ekonomike përmes zhvillimit të sektorëve të lidhur me ekonominë e gjelbër, energjinë e pastër, efiçiencën e energjisë dhe inovacionin.</w:t>
      </w:r>
    </w:p>
    <w:p w14:paraId="7483480D" w14:textId="77777777" w:rsidR="001A7C4B" w:rsidRDefault="001A7C4B" w:rsidP="00CE4A50">
      <w:pPr>
        <w:jc w:val="both"/>
      </w:pPr>
    </w:p>
    <w:p w14:paraId="3A77C180" w14:textId="6B7009C4" w:rsidR="00A90CBB" w:rsidRDefault="00112C45" w:rsidP="00CE4A50">
      <w:pPr>
        <w:jc w:val="both"/>
      </w:pPr>
      <w:r>
        <w:t>Tranzicioni i drejtë synon gjithashtu të adresojë sfidat që lidhen me varfërinë energjetike, pabarazitë sociale dhe nevojën për përfshirje më të madhe të grupeve të cenueshme, grave dhe të rinjve në procesin e transformimit ekonomik dhe energjetik.</w:t>
      </w:r>
    </w:p>
    <w:p w14:paraId="44338589" w14:textId="77777777" w:rsidR="001A7C4B" w:rsidRDefault="001A7C4B" w:rsidP="00CE4A50">
      <w:pPr>
        <w:jc w:val="both"/>
      </w:pPr>
    </w:p>
    <w:p w14:paraId="1F4724BE" w14:textId="0796B0D0" w:rsidR="00A90CBB" w:rsidRDefault="00112C45" w:rsidP="00CE4A50">
      <w:pPr>
        <w:jc w:val="both"/>
      </w:pPr>
      <w:r>
        <w:t>Tranzicioni i drejtë në Kosovë do të zbatohet në tri periudha kohore:</w:t>
      </w:r>
    </w:p>
    <w:p w14:paraId="3B09DF73" w14:textId="77777777" w:rsidR="001A7C4B" w:rsidRDefault="001A7C4B" w:rsidP="00CE4A50">
      <w:pPr>
        <w:jc w:val="both"/>
      </w:pPr>
    </w:p>
    <w:p w14:paraId="07594D51" w14:textId="16A4B334" w:rsidR="00A90CBB" w:rsidRDefault="00112C45" w:rsidP="00CE4A50">
      <w:pPr>
        <w:pStyle w:val="ListParagraph"/>
        <w:numPr>
          <w:ilvl w:val="0"/>
          <w:numId w:val="3"/>
        </w:numPr>
        <w:jc w:val="both"/>
      </w:pPr>
      <w:r>
        <w:t>periudha afatshkurtër (2026–2028);</w:t>
      </w:r>
    </w:p>
    <w:p w14:paraId="07F7CA10" w14:textId="0FA4E4FB" w:rsidR="00A90CBB" w:rsidRDefault="00112C45" w:rsidP="00CE4A50">
      <w:pPr>
        <w:pStyle w:val="ListParagraph"/>
        <w:numPr>
          <w:ilvl w:val="0"/>
          <w:numId w:val="3"/>
        </w:numPr>
        <w:jc w:val="both"/>
      </w:pPr>
      <w:r>
        <w:t>periudha afatmesme (2029–2032);</w:t>
      </w:r>
    </w:p>
    <w:p w14:paraId="480F6CAD" w14:textId="06CBD4DB" w:rsidR="00A90CBB" w:rsidRDefault="00112C45" w:rsidP="00CE4A50">
      <w:pPr>
        <w:pStyle w:val="ListParagraph"/>
        <w:numPr>
          <w:ilvl w:val="0"/>
          <w:numId w:val="3"/>
        </w:numPr>
        <w:jc w:val="both"/>
      </w:pPr>
      <w:r>
        <w:t>periudha afatgjatë (2033 e tutje).</w:t>
      </w:r>
    </w:p>
    <w:p w14:paraId="54B18403" w14:textId="77777777" w:rsidR="001A7C4B" w:rsidRDefault="001A7C4B" w:rsidP="00CE4A50">
      <w:pPr>
        <w:jc w:val="both"/>
      </w:pPr>
    </w:p>
    <w:p w14:paraId="12C910C7" w14:textId="4605D9AB" w:rsidR="00A90CBB" w:rsidRDefault="00112C45" w:rsidP="00CE4A50">
      <w:pPr>
        <w:jc w:val="both"/>
      </w:pPr>
      <w:r>
        <w:t>Në periudhën afatshkurtër, fokusi do të jetë krijimi i mekanizmave institucional, zhvillimi i politikave mbështetëse dhe fillimi i investimeve prioritare. Në periudhën afatmesme synohet përshpejtimi i transformimit ekonomik dhe energjetik, zhvillimi i infrastrukturës mbështetëse dhe zbatimi i programeve sociale e ekonomike. Në periudhën afatgjatë synohet konsolidimi i një modeli të ri ekonomik dhe energjetik, të bazuar në qëndrueshmëri, diversifikim ekonomik dhe integrim rajonal e evropian.</w:t>
      </w:r>
    </w:p>
    <w:p w14:paraId="697C407F" w14:textId="5EC33DFF" w:rsidR="001A7C4B" w:rsidRDefault="001A7C4B" w:rsidP="00990D89"/>
    <w:p w14:paraId="032E5521" w14:textId="77777777" w:rsidR="001A7C4B" w:rsidRDefault="001A7C4B" w:rsidP="00990D89"/>
    <w:p w14:paraId="4695534C" w14:textId="23847F46" w:rsidR="00A90CBB" w:rsidRDefault="00112C45" w:rsidP="00990D89">
      <w:r>
        <w:t>Ky udhërrëfyes mbështetet në tri shtylla strategjike:</w:t>
      </w:r>
    </w:p>
    <w:p w14:paraId="2D136152" w14:textId="77777777" w:rsidR="001A7C4B" w:rsidRDefault="001A7C4B" w:rsidP="00990D89"/>
    <w:p w14:paraId="69A95C81" w14:textId="5B895CCE" w:rsidR="00A90CBB" w:rsidRDefault="00112C45" w:rsidP="00CE4A50">
      <w:pPr>
        <w:jc w:val="both"/>
      </w:pPr>
      <w:r>
        <w:rPr>
          <w:b/>
          <w:bCs/>
        </w:rPr>
        <w:t>Zhvillimi ekonomik</w:t>
      </w:r>
      <w:r>
        <w:t xml:space="preserve"> – diversifikimi i aktiviteteve ekonomike dhe krijimi i mundësive të reja të punësimit;</w:t>
      </w:r>
    </w:p>
    <w:p w14:paraId="3FBA38C2" w14:textId="77777777" w:rsidR="001A7C4B" w:rsidRDefault="001A7C4B" w:rsidP="00CE4A50">
      <w:pPr>
        <w:jc w:val="both"/>
      </w:pPr>
    </w:p>
    <w:p w14:paraId="214EAF29" w14:textId="66202FDC" w:rsidR="00A90CBB" w:rsidRDefault="00112C45" w:rsidP="00CE4A50">
      <w:pPr>
        <w:jc w:val="both"/>
      </w:pPr>
      <w:r>
        <w:rPr>
          <w:b/>
          <w:bCs/>
        </w:rPr>
        <w:lastRenderedPageBreak/>
        <w:t>Përgjegjësia mjedisore</w:t>
      </w:r>
      <w:r>
        <w:t xml:space="preserve"> – reduktimi i emetimeve dhe përmirësimi i cilësisë së ajrit, tokës dhe ujërave;</w:t>
      </w:r>
    </w:p>
    <w:p w14:paraId="7BD8EC66" w14:textId="77777777" w:rsidR="001A7C4B" w:rsidRDefault="001A7C4B" w:rsidP="00CE4A50">
      <w:pPr>
        <w:jc w:val="both"/>
      </w:pPr>
    </w:p>
    <w:p w14:paraId="62A279C1" w14:textId="4BF21152" w:rsidR="00A90CBB" w:rsidRDefault="00112C45" w:rsidP="00CE4A50">
      <w:pPr>
        <w:jc w:val="both"/>
      </w:pPr>
      <w:r>
        <w:rPr>
          <w:b/>
          <w:bCs/>
        </w:rPr>
        <w:t>Riaftësimi profesional dhe mbrojtja sociale</w:t>
      </w:r>
      <w:r>
        <w:t xml:space="preserve"> – mbështetja e punëtorëve, familjeve dhe komuniteteve të prekura.</w:t>
      </w:r>
    </w:p>
    <w:p w14:paraId="208F51D4" w14:textId="77777777" w:rsidR="001A7C4B" w:rsidRDefault="001A7C4B" w:rsidP="00CE4A50">
      <w:pPr>
        <w:jc w:val="both"/>
      </w:pPr>
    </w:p>
    <w:p w14:paraId="0E25D45B" w14:textId="77777777" w:rsidR="00A90CBB" w:rsidRDefault="00112C45" w:rsidP="00CE4A50">
      <w:pPr>
        <w:jc w:val="both"/>
      </w:pPr>
      <w:r>
        <w:t>Përmes këtyre shtyllave, Republika e Kosovës synon të ndërtojë një tranzicion të drejtë dhe gjithëpërfshirës, që mbështet zhvillimin ekonomik afatgjatë, rrit qëndrueshmërinë sociale dhe kontribuon në transformimin gradual të vendit drejt një ekonomie moderne, konkurruese dhe të qëndrueshme.</w:t>
      </w:r>
    </w:p>
    <w:p w14:paraId="5C506878" w14:textId="77777777" w:rsidR="00A90CBB" w:rsidRDefault="00112C45">
      <w:r>
        <w:br w:type="page"/>
      </w:r>
    </w:p>
    <w:p w14:paraId="13C4B364" w14:textId="77777777" w:rsidR="00A90CBB" w:rsidRDefault="00112C45">
      <w:pPr>
        <w:pStyle w:val="Heading1"/>
      </w:pPr>
      <w:bookmarkStart w:id="2" w:name="_Toc231392836"/>
      <w:r>
        <w:lastRenderedPageBreak/>
        <w:t>2. Hyrje</w:t>
      </w:r>
      <w:bookmarkEnd w:id="2"/>
    </w:p>
    <w:p w14:paraId="7C22B71A" w14:textId="77777777" w:rsidR="00A90CBB" w:rsidRDefault="00112C45">
      <w:pPr>
        <w:pStyle w:val="Heading2"/>
      </w:pPr>
      <w:bookmarkStart w:id="3" w:name="_Toc231392837"/>
      <w:r>
        <w:t>2.1 Konteksti i tranzicionit të drejtë në Kosovë</w:t>
      </w:r>
      <w:bookmarkEnd w:id="3"/>
    </w:p>
    <w:p w14:paraId="6F8E90FC" w14:textId="6F85B1D3" w:rsidR="00EA13D6" w:rsidRPr="00EA13D6" w:rsidRDefault="00EA13D6" w:rsidP="00CE4A50">
      <w:pPr>
        <w:pStyle w:val="Heading2"/>
        <w:jc w:val="both"/>
        <w:rPr>
          <w:b w:val="0"/>
          <w:bCs w:val="0"/>
          <w:color w:val="222222"/>
          <w:sz w:val="22"/>
          <w:szCs w:val="22"/>
        </w:rPr>
      </w:pPr>
      <w:bookmarkStart w:id="4" w:name="_Toc231392838"/>
      <w:r>
        <w:rPr>
          <w:b w:val="0"/>
          <w:bCs w:val="0"/>
          <w:color w:val="222222"/>
          <w:sz w:val="22"/>
          <w:szCs w:val="22"/>
        </w:rPr>
        <w:t>Për dekada me radhë, sektori energjetik i Kosovës është mbështetur kryesisht në gjenerimin e energjisë elektrike nga termocentralet, ku edhe sot rreth 90% e prodhimit vendor vazhdon të sigurohet nga termocentralet me bazë linjiti “Kosova A” dhe “Kosova B”.</w:t>
      </w:r>
      <w:bookmarkEnd w:id="4"/>
    </w:p>
    <w:p w14:paraId="4C7DE1EA" w14:textId="06BF2F49" w:rsidR="00EA13D6" w:rsidRPr="00EA13D6" w:rsidRDefault="00EA13D6" w:rsidP="00CE4A50">
      <w:pPr>
        <w:pStyle w:val="Heading2"/>
        <w:jc w:val="both"/>
        <w:rPr>
          <w:b w:val="0"/>
          <w:bCs w:val="0"/>
          <w:color w:val="222222"/>
          <w:sz w:val="22"/>
          <w:szCs w:val="22"/>
        </w:rPr>
      </w:pPr>
      <w:bookmarkStart w:id="5" w:name="_Toc231392839"/>
      <w:r>
        <w:rPr>
          <w:b w:val="0"/>
          <w:bCs w:val="0"/>
          <w:color w:val="222222"/>
          <w:sz w:val="22"/>
          <w:szCs w:val="22"/>
        </w:rPr>
        <w:t>Megjithatë, ky sektor përballet me sfida të shumta, të cilat lidhen me vjetërsinë e infrastrukturës ekzistuese, ndikimet mjedisore dhe shëndetësore, nevojën për reduktimin gradual të emetimeve të gazrave serrë, si dhe me kërkesat gjithnjë në rritje për përafrim me politikat dhe legjislacionin e Bashkimit Evropian në fushën e energjisë dhe klimës.</w:t>
      </w:r>
      <w:bookmarkEnd w:id="5"/>
    </w:p>
    <w:p w14:paraId="74A028DF" w14:textId="642CD01D" w:rsidR="00EA13D6" w:rsidRPr="00EA13D6" w:rsidRDefault="00EA13D6" w:rsidP="00CE4A50">
      <w:pPr>
        <w:pStyle w:val="Heading2"/>
        <w:jc w:val="both"/>
        <w:rPr>
          <w:b w:val="0"/>
          <w:bCs w:val="0"/>
          <w:color w:val="222222"/>
          <w:sz w:val="22"/>
          <w:szCs w:val="22"/>
        </w:rPr>
      </w:pPr>
      <w:bookmarkStart w:id="6" w:name="_Toc231392840"/>
      <w:r>
        <w:rPr>
          <w:b w:val="0"/>
          <w:bCs w:val="0"/>
          <w:color w:val="222222"/>
          <w:sz w:val="22"/>
          <w:szCs w:val="22"/>
        </w:rPr>
        <w:t>Në këtë kontekst, Kosova ka nisur tranzicionin e saj energjetik përmes krijimit të një kuadri modern ligjor dhe rregullativ. Ky proces është shënuar me miratimin e Ligjit për Burimet e Ripërtëritshme të Energjisë dhe me punën intensive për transpozimin e Pakos së Energjisë së Pastër përmes Ligjit për Energjinë, Ligjit për Energjinë Elektrike dhe Ligjit për Rregullatorin e Energjisë. Këto reforma, së bashku me Strategjinë e Energjisë 2022–2031, përbëjnë bazën për transformimin gradual të sektorit energjetik nga një model i mbështetur në linjit drejt një sistemi të bazuar në burime të ripërtëritshme, të qëndrueshme dhe konkurruese.</w:t>
      </w:r>
      <w:bookmarkEnd w:id="6"/>
    </w:p>
    <w:p w14:paraId="2E3FF7E0" w14:textId="181488C3" w:rsidR="00C40306" w:rsidRDefault="00EA13D6" w:rsidP="00CE4A50">
      <w:pPr>
        <w:pStyle w:val="Heading2"/>
        <w:jc w:val="both"/>
        <w:rPr>
          <w:b w:val="0"/>
          <w:bCs w:val="0"/>
          <w:color w:val="222222"/>
          <w:sz w:val="22"/>
          <w:szCs w:val="22"/>
        </w:rPr>
      </w:pPr>
      <w:bookmarkStart w:id="7" w:name="_Toc231392841"/>
      <w:r>
        <w:rPr>
          <w:b w:val="0"/>
          <w:bCs w:val="0"/>
          <w:color w:val="222222"/>
          <w:sz w:val="22"/>
          <w:szCs w:val="22"/>
        </w:rPr>
        <w:t>Përmes këtij udhërrëfyesi synohet të sigurohet që tranzicioni energjetik dhe ridizajnimi i të gjithë zinxhirit të sektorit të energjisë të krijojë mundësi të reja për zhvillim ekonomik, investime, inovacion dhe punësim, duke garantuar që përfitimet e këtij transformimi të shpërndahen në mënyrë të drejtë dhe që askush të mos mbetet prapa.</w:t>
      </w:r>
      <w:bookmarkEnd w:id="7"/>
    </w:p>
    <w:p w14:paraId="775B8557" w14:textId="31ABFE1A" w:rsidR="00A90CBB" w:rsidRDefault="00112C45" w:rsidP="00EA13D6">
      <w:pPr>
        <w:pStyle w:val="Heading2"/>
      </w:pPr>
      <w:bookmarkStart w:id="8" w:name="_Toc231392842"/>
      <w:r>
        <w:t>2.2 Çfarë nënkupton tranzicioni i drejtë</w:t>
      </w:r>
      <w:bookmarkEnd w:id="8"/>
    </w:p>
    <w:p w14:paraId="0D1742FC" w14:textId="77777777" w:rsidR="00A90CBB" w:rsidRDefault="00112C45">
      <w:pPr>
        <w:spacing w:after="150" w:line="278" w:lineRule="auto"/>
        <w:jc w:val="both"/>
      </w:pPr>
      <w:r>
        <w:t>Tranzicioni i drejtë është një qasje e integruar për menaxhimin e transformimeve ekonomike, energjetike dhe industriale, në mënyrë që ato të realizohen në mënyrë të drejtë, gjithëpërfshirëse dhe të balancuar në aspektin social e ekonomik. Ky koncept bazohet në parimin se tranzicioni drejt një ekonomie më të qëndrueshme dhe me emetime më të ulëta të karbonit duhet të zhvillohet duke mbrojtur punëtorët, komunitetet dhe qytetarët që mund të preken nga këto ndryshime.</w:t>
      </w:r>
    </w:p>
    <w:p w14:paraId="50717212" w14:textId="35412714" w:rsidR="00A90CBB" w:rsidRDefault="00112C45">
      <w:pPr>
        <w:spacing w:after="150" w:line="278" w:lineRule="auto"/>
        <w:jc w:val="both"/>
      </w:pPr>
      <w:r>
        <w:t>Objektivat e këtij udhërrëfyesi janë hartuar në përputhje me konceptin e Komisionit Evropian për tranzicionin e drejtë, i cili përfshin dimensionet sociale, demografike, ekonomike, shëndetësore dhe mjedisore të kalimit drejt një ekonomie të qëndrueshme dhe të gjelbër. Kjo qasje reflektohet në kuadrin rregullativ të Bashkimit Evropian, përfshirë Rregulloren (BE) 2021/1056. Gjithashtu, udhërrëfyesi mbështetet në Planin e Veprimit për zbatimin e Deklaratës së Sofjes për Agjendën e Gjelbër për Ballkanin Perëndimor 2021–2030.</w:t>
      </w:r>
    </w:p>
    <w:p w14:paraId="2B32030B" w14:textId="77777777" w:rsidR="00A90CBB" w:rsidRDefault="00112C45">
      <w:pPr>
        <w:spacing w:after="150" w:line="278" w:lineRule="auto"/>
        <w:jc w:val="both"/>
      </w:pPr>
      <w:r>
        <w:t>Në kontekstin e Kosovës, tranzicioni i drejtë është një proces afatgjatë dhe gradual, që duhet të balancojë nevojën për modernizimin dhe dekarbonizimin e ekonomisë me nevojën për ruajtjen e sigurisë energjetike, stabilitetit ekonomik dhe kohezionit social.</w:t>
      </w:r>
    </w:p>
    <w:p w14:paraId="38AB830E" w14:textId="77777777" w:rsidR="00A90CBB" w:rsidRDefault="00112C45">
      <w:pPr>
        <w:pStyle w:val="Heading2"/>
      </w:pPr>
      <w:bookmarkStart w:id="9" w:name="_Toc231392843"/>
      <w:r>
        <w:t>2.3 Qëllimi i udhërrëfyesit</w:t>
      </w:r>
      <w:bookmarkEnd w:id="9"/>
    </w:p>
    <w:p w14:paraId="26CF838F" w14:textId="77777777" w:rsidR="00A90CBB" w:rsidRDefault="00112C45">
      <w:pPr>
        <w:spacing w:after="150" w:line="278" w:lineRule="auto"/>
        <w:jc w:val="both"/>
      </w:pPr>
      <w:r>
        <w:t>Qëllimi i këtij udhërrëfyesi është të krijojë një kornizë strategjike dhe orientuese për planifikimin dhe zbatimin e tranzicionit të drejtë në Republikën e Kosovës. Në mënyrë më specifike, dokumenti synon:</w:t>
      </w:r>
    </w:p>
    <w:p w14:paraId="01F6C5C4" w14:textId="77777777" w:rsidR="00A90CBB" w:rsidRPr="00503850" w:rsidRDefault="00112C45">
      <w:pPr>
        <w:pStyle w:val="ListParagraph"/>
        <w:numPr>
          <w:ilvl w:val="0"/>
          <w:numId w:val="2"/>
        </w:numPr>
        <w:spacing w:after="80" w:line="270" w:lineRule="auto"/>
        <w:jc w:val="both"/>
        <w:rPr>
          <w:lang w:val="de-DE"/>
        </w:rPr>
      </w:pPr>
      <w:r>
        <w:rPr>
          <w:lang w:val="de-DE"/>
        </w:rPr>
        <w:t>të identifikojë prioritetet strategjike për tranzicionin e drejtë;</w:t>
      </w:r>
    </w:p>
    <w:p w14:paraId="730DA83F" w14:textId="77777777" w:rsidR="00A90CBB" w:rsidRDefault="00112C45">
      <w:pPr>
        <w:pStyle w:val="ListParagraph"/>
        <w:numPr>
          <w:ilvl w:val="0"/>
          <w:numId w:val="2"/>
        </w:numPr>
        <w:spacing w:after="80" w:line="270" w:lineRule="auto"/>
        <w:jc w:val="both"/>
      </w:pPr>
      <w:r>
        <w:lastRenderedPageBreak/>
        <w:t>të orientojë investimet dhe politikat publike drejt zhvillimit të qëndrueshëm;</w:t>
      </w:r>
    </w:p>
    <w:p w14:paraId="6DFC73FE" w14:textId="77777777" w:rsidR="00A90CBB" w:rsidRDefault="00112C45">
      <w:pPr>
        <w:pStyle w:val="ListParagraph"/>
        <w:numPr>
          <w:ilvl w:val="0"/>
          <w:numId w:val="2"/>
        </w:numPr>
        <w:spacing w:after="80" w:line="270" w:lineRule="auto"/>
        <w:jc w:val="both"/>
      </w:pPr>
      <w:r>
        <w:t>të mbështesë transformimin gradual ekonomik, social dhe energjetik;</w:t>
      </w:r>
    </w:p>
    <w:p w14:paraId="08FAD8D4" w14:textId="77777777" w:rsidR="00A90CBB" w:rsidRPr="00503850" w:rsidRDefault="00112C45">
      <w:pPr>
        <w:pStyle w:val="ListParagraph"/>
        <w:numPr>
          <w:ilvl w:val="0"/>
          <w:numId w:val="2"/>
        </w:numPr>
        <w:spacing w:after="80" w:line="270" w:lineRule="auto"/>
        <w:jc w:val="both"/>
        <w:rPr>
          <w:lang w:val="de-DE"/>
        </w:rPr>
      </w:pPr>
      <w:r>
        <w:rPr>
          <w:lang w:val="de-DE"/>
        </w:rPr>
        <w:t>të promovojë zhvillimin ekonomik lokal dhe diversifikimin e ekonomisë.</w:t>
      </w:r>
    </w:p>
    <w:p w14:paraId="1A5CF2BE" w14:textId="77777777" w:rsidR="00A90CBB" w:rsidRPr="00503850" w:rsidRDefault="00112C45">
      <w:pPr>
        <w:spacing w:after="150" w:line="278" w:lineRule="auto"/>
        <w:jc w:val="both"/>
        <w:rPr>
          <w:lang w:val="de-DE"/>
        </w:rPr>
      </w:pPr>
      <w:r>
        <w:rPr>
          <w:lang w:val="de-DE"/>
        </w:rPr>
        <w:t>Udhërrëfyesi synon gjithashtu të krijojë një bazë të përbashkët për dialog ndërinstitucional dhe shoqëror mbi prioritetet dhe drejtimin afatgjatë të zhvillimit ekonomik e energjetik të vendit.</w:t>
      </w:r>
    </w:p>
    <w:p w14:paraId="7AD91F90" w14:textId="77777777" w:rsidR="00A90CBB" w:rsidRPr="00503850" w:rsidRDefault="00112C45">
      <w:pPr>
        <w:pStyle w:val="Heading2"/>
        <w:rPr>
          <w:lang w:val="de-DE"/>
        </w:rPr>
      </w:pPr>
      <w:bookmarkStart w:id="10" w:name="_Toc231392844"/>
      <w:r>
        <w:rPr>
          <w:lang w:val="de-DE"/>
        </w:rPr>
        <w:t>2.4 Parimet udhëheqëse të tranzicionit të drejtë</w:t>
      </w:r>
      <w:bookmarkEnd w:id="10"/>
    </w:p>
    <w:p w14:paraId="769CCE85" w14:textId="77777777" w:rsidR="00A90CBB" w:rsidRPr="00503850" w:rsidRDefault="00112C45">
      <w:pPr>
        <w:spacing w:after="150" w:line="278" w:lineRule="auto"/>
        <w:jc w:val="both"/>
        <w:rPr>
          <w:lang w:val="de-DE"/>
        </w:rPr>
      </w:pPr>
      <w:r>
        <w:rPr>
          <w:lang w:val="de-DE"/>
        </w:rPr>
        <w:t>Procesi i tranzicionit të drejtë në Republikën e Kosovës udhëhiqet nga parimet që synojnë të sigurojnë një tranzicion të qëndrueshëm dhe gjithëpërfshirës:</w:t>
      </w:r>
    </w:p>
    <w:p w14:paraId="78ABC437" w14:textId="77777777" w:rsidR="00A90CBB" w:rsidRPr="00503850" w:rsidRDefault="00112C45">
      <w:pPr>
        <w:pStyle w:val="Heading3"/>
        <w:rPr>
          <w:lang w:val="de-DE"/>
        </w:rPr>
      </w:pPr>
      <w:bookmarkStart w:id="11" w:name="_Toc231392845"/>
      <w:r>
        <w:rPr>
          <w:lang w:val="de-DE"/>
        </w:rPr>
        <w:t>Gjithëpërfshirja dhe mos–lënia e askujt pas</w:t>
      </w:r>
      <w:bookmarkEnd w:id="11"/>
    </w:p>
    <w:p w14:paraId="70937494" w14:textId="77777777" w:rsidR="00A90CBB" w:rsidRPr="00503850" w:rsidRDefault="00112C45">
      <w:pPr>
        <w:spacing w:after="150" w:line="278" w:lineRule="auto"/>
        <w:jc w:val="both"/>
        <w:rPr>
          <w:lang w:val="de-DE"/>
        </w:rPr>
      </w:pPr>
      <w:r>
        <w:rPr>
          <w:lang w:val="de-DE"/>
        </w:rPr>
        <w:t>Tranzicioni duhet të sigurojë që punëtorët, komunitetet lokale, grupet e cenueshme dhe zonat e prekura të mbështeten në mënyrë aktive gjatë procesit të transformimit ekonomik dhe energjetik.</w:t>
      </w:r>
    </w:p>
    <w:p w14:paraId="63EC42AE" w14:textId="77777777" w:rsidR="00A90CBB" w:rsidRPr="00503850" w:rsidRDefault="00112C45">
      <w:pPr>
        <w:pStyle w:val="Heading3"/>
        <w:rPr>
          <w:lang w:val="de-DE"/>
        </w:rPr>
      </w:pPr>
      <w:bookmarkStart w:id="12" w:name="_Toc231392846"/>
      <w:r>
        <w:rPr>
          <w:lang w:val="de-DE"/>
        </w:rPr>
        <w:t>Siguria e furnizimit</w:t>
      </w:r>
      <w:bookmarkEnd w:id="12"/>
    </w:p>
    <w:p w14:paraId="79C70338" w14:textId="77777777" w:rsidR="00A90CBB" w:rsidRPr="00503850" w:rsidRDefault="00112C45">
      <w:pPr>
        <w:spacing w:after="150" w:line="278" w:lineRule="auto"/>
        <w:jc w:val="both"/>
        <w:rPr>
          <w:lang w:val="de-DE"/>
        </w:rPr>
      </w:pPr>
      <w:r>
        <w:rPr>
          <w:lang w:val="de-DE"/>
        </w:rPr>
        <w:t>Transformimi i sektorit energjetik duhet të realizohet gradualisht dhe në mënyrë të planifikuar, duke ruajtur sigurinë e furnizimit me energji dhe stabilitetin ekonomik të vendit.</w:t>
      </w:r>
    </w:p>
    <w:p w14:paraId="62D37EC4" w14:textId="77777777" w:rsidR="00A90CBB" w:rsidRPr="00503850" w:rsidRDefault="00112C45">
      <w:pPr>
        <w:pStyle w:val="Heading3"/>
        <w:rPr>
          <w:lang w:val="de-DE"/>
        </w:rPr>
      </w:pPr>
      <w:bookmarkStart w:id="13" w:name="_Toc231392847"/>
      <w:r>
        <w:rPr>
          <w:lang w:val="de-DE"/>
        </w:rPr>
        <w:t>Dialogu social dhe pjesëmarrja</w:t>
      </w:r>
      <w:bookmarkEnd w:id="13"/>
    </w:p>
    <w:p w14:paraId="66B315F8" w14:textId="77777777" w:rsidR="00A90CBB" w:rsidRPr="00503850" w:rsidRDefault="00112C45">
      <w:pPr>
        <w:spacing w:after="150" w:line="278" w:lineRule="auto"/>
        <w:jc w:val="both"/>
        <w:rPr>
          <w:lang w:val="de-DE"/>
        </w:rPr>
      </w:pPr>
      <w:r>
        <w:rPr>
          <w:lang w:val="de-DE"/>
        </w:rPr>
        <w:t>Procesi i tranzicionit duhet të mbështetet në dialog të vazhdueshëm me punëtorët e ndikuar, komunitetet lokale, sektorin privat, shoqërinë civile dhe partnerët zhvillimorë.</w:t>
      </w:r>
    </w:p>
    <w:p w14:paraId="7F5EB317" w14:textId="77777777" w:rsidR="00A90CBB" w:rsidRPr="00503850" w:rsidRDefault="00112C45">
      <w:pPr>
        <w:pStyle w:val="Heading3"/>
        <w:rPr>
          <w:lang w:val="de-DE"/>
        </w:rPr>
      </w:pPr>
      <w:bookmarkStart w:id="14" w:name="_Toc231392848"/>
      <w:r>
        <w:rPr>
          <w:lang w:val="de-DE"/>
        </w:rPr>
        <w:t>Zhvillimi i qëndrueshëm</w:t>
      </w:r>
      <w:bookmarkEnd w:id="14"/>
    </w:p>
    <w:p w14:paraId="6F097E0D" w14:textId="77777777" w:rsidR="00A90CBB" w:rsidRPr="00503850" w:rsidRDefault="00112C45">
      <w:pPr>
        <w:spacing w:after="150" w:line="278" w:lineRule="auto"/>
        <w:jc w:val="both"/>
        <w:rPr>
          <w:lang w:val="de-DE"/>
        </w:rPr>
      </w:pPr>
      <w:r>
        <w:rPr>
          <w:lang w:val="de-DE"/>
        </w:rPr>
        <w:t>Politikat dhe investimet duhet të kontribuojnë në zhvillim ekonomik afatgjatë, mbrojtje të mjedisit dhe përmirësim të mirëqenies sociale.</w:t>
      </w:r>
    </w:p>
    <w:p w14:paraId="5A35ACEF" w14:textId="77777777" w:rsidR="00A90CBB" w:rsidRPr="00503850" w:rsidRDefault="00112C45">
      <w:pPr>
        <w:pStyle w:val="Heading3"/>
        <w:rPr>
          <w:lang w:val="de-DE"/>
        </w:rPr>
      </w:pPr>
      <w:bookmarkStart w:id="15" w:name="_Toc231392849"/>
      <w:r>
        <w:rPr>
          <w:lang w:val="de-DE"/>
        </w:rPr>
        <w:t>Barazia dhe përfshirja sociale</w:t>
      </w:r>
      <w:bookmarkEnd w:id="15"/>
    </w:p>
    <w:p w14:paraId="58384289" w14:textId="77777777" w:rsidR="00A90CBB" w:rsidRPr="00503850" w:rsidRDefault="00112C45">
      <w:pPr>
        <w:spacing w:after="150" w:line="278" w:lineRule="auto"/>
        <w:jc w:val="both"/>
        <w:rPr>
          <w:lang w:val="de-DE"/>
        </w:rPr>
      </w:pPr>
      <w:r>
        <w:rPr>
          <w:lang w:val="de-DE"/>
        </w:rPr>
        <w:t>Tranzicioni duhet të promovojë barazinë gjinore, përfshirjen e të rinjve dhe mbështetjen për grupet e margjinalizuara e komunitetet e cenueshme.</w:t>
      </w:r>
    </w:p>
    <w:p w14:paraId="015D6953" w14:textId="77777777" w:rsidR="00A90CBB" w:rsidRPr="00503850" w:rsidRDefault="00112C45">
      <w:pPr>
        <w:pStyle w:val="Heading3"/>
        <w:rPr>
          <w:lang w:val="de-DE"/>
        </w:rPr>
      </w:pPr>
      <w:bookmarkStart w:id="16" w:name="_Toc231392850"/>
      <w:r>
        <w:rPr>
          <w:lang w:val="de-DE"/>
        </w:rPr>
        <w:t>Koordinimi institucional</w:t>
      </w:r>
      <w:bookmarkEnd w:id="16"/>
    </w:p>
    <w:p w14:paraId="779E49AD" w14:textId="77777777" w:rsidR="00A90CBB" w:rsidRPr="00503850" w:rsidRDefault="00112C45">
      <w:pPr>
        <w:spacing w:after="150" w:line="278" w:lineRule="auto"/>
        <w:jc w:val="both"/>
        <w:rPr>
          <w:lang w:val="de-DE"/>
        </w:rPr>
      </w:pPr>
      <w:r>
        <w:rPr>
          <w:lang w:val="de-DE"/>
        </w:rPr>
        <w:t>Zbatimi efektiv i tranzicionit kërkon koordinim të ngushtë ndërinstitucional dhe bashkëpunim ndërmjet nivelit qendror dhe lokal.</w:t>
      </w:r>
    </w:p>
    <w:p w14:paraId="0E7D585B" w14:textId="77777777" w:rsidR="00A90CBB" w:rsidRPr="00503850" w:rsidRDefault="00112C45">
      <w:pPr>
        <w:pStyle w:val="Heading3"/>
        <w:rPr>
          <w:lang w:val="de-DE"/>
        </w:rPr>
      </w:pPr>
      <w:bookmarkStart w:id="17" w:name="_Toc231392851"/>
      <w:r>
        <w:rPr>
          <w:lang w:val="de-DE"/>
        </w:rPr>
        <w:t>Partneriteti dhe bashkëpunimi ndërkombëtar</w:t>
      </w:r>
      <w:bookmarkEnd w:id="17"/>
    </w:p>
    <w:p w14:paraId="79B3464A" w14:textId="77777777" w:rsidR="00A90CBB" w:rsidRPr="00503850" w:rsidRDefault="00112C45">
      <w:pPr>
        <w:spacing w:after="150" w:line="278" w:lineRule="auto"/>
        <w:jc w:val="both"/>
        <w:rPr>
          <w:lang w:val="de-DE"/>
        </w:rPr>
      </w:pPr>
      <w:r>
        <w:rPr>
          <w:lang w:val="de-DE"/>
        </w:rPr>
        <w:t>Procesi i tranzicionit do të mbështetet përmes bashkëpunimit me partnerët ndërkombëtarë, institucionet financiare ndërkombëtare dhe organizatat zhvillimore që mbështesin tranzicionin e gjelbër dhe zhvillimin e qëndrueshëm.</w:t>
      </w:r>
    </w:p>
    <w:p w14:paraId="278DDB78" w14:textId="7277C836" w:rsidR="00A90CBB" w:rsidRPr="00503850" w:rsidRDefault="00112C45" w:rsidP="005628DC">
      <w:pPr>
        <w:pStyle w:val="Heading1"/>
        <w:rPr>
          <w:lang w:val="de-DE"/>
        </w:rPr>
      </w:pPr>
      <w:r>
        <w:rPr>
          <w:lang w:val="de-DE"/>
        </w:rPr>
        <w:br w:type="page"/>
      </w:r>
      <w:bookmarkStart w:id="18" w:name="_Toc231392852"/>
      <w:r>
        <w:rPr>
          <w:lang w:val="de-DE"/>
        </w:rPr>
        <w:lastRenderedPageBreak/>
        <w:t>3. Korniza strategjike dhe ligjore</w:t>
      </w:r>
      <w:bookmarkEnd w:id="18"/>
    </w:p>
    <w:p w14:paraId="0829560D" w14:textId="77777777" w:rsidR="00A90CBB" w:rsidRPr="00503850" w:rsidRDefault="00112C45">
      <w:pPr>
        <w:spacing w:after="150" w:line="278" w:lineRule="auto"/>
        <w:jc w:val="both"/>
        <w:rPr>
          <w:lang w:val="de-DE"/>
        </w:rPr>
      </w:pPr>
      <w:r>
        <w:rPr>
          <w:lang w:val="de-DE"/>
        </w:rPr>
        <w:t>Procesi i tranzicionit të drejtë në Republikën e Kosovës zhvillohet në përputhje me prioritetet kombëtare për zhvillim ekonomik e social, objektivat strategjike të sektorit energjetik dhe obligimet ndërkombëtare të vendit në fushën e energjisë dhe klimës. Në këtë kontekst, tranzicioni i drejtë mbështetet në një kornizë të gjerë strategjike dhe ligjore, e cila orienton transformimin gradual të ekonomisë dhe të sektorëve strategjikë drejt një modeli më të qëndrueshëm e konkurrues.</w:t>
      </w:r>
    </w:p>
    <w:p w14:paraId="34D6E0D4" w14:textId="77777777" w:rsidR="00A90CBB" w:rsidRPr="00503850" w:rsidRDefault="00112C45">
      <w:pPr>
        <w:pStyle w:val="Heading2"/>
        <w:rPr>
          <w:lang w:val="de-DE"/>
        </w:rPr>
      </w:pPr>
      <w:bookmarkStart w:id="19" w:name="_Toc231392853"/>
      <w:r>
        <w:rPr>
          <w:lang w:val="de-DE"/>
        </w:rPr>
        <w:t>3.1 Strategjia e Energjisë e Republikës së Kosovës 2022–2031</w:t>
      </w:r>
      <w:bookmarkEnd w:id="19"/>
    </w:p>
    <w:p w14:paraId="327BF005" w14:textId="77777777" w:rsidR="00A90CBB" w:rsidRDefault="00112C45">
      <w:pPr>
        <w:spacing w:after="150" w:line="278" w:lineRule="auto"/>
        <w:jc w:val="both"/>
      </w:pPr>
      <w:r>
        <w:rPr>
          <w:lang w:val="de-DE"/>
        </w:rPr>
        <w:t xml:space="preserve">Strategjia e Energjisë 2022–2031 është dokumenti kryesor strategjik për zhvillimin e sektorit energjetik në Republikën e Kosovës dhe përcakton drejtimin afatmesëm të tranzicionit energjetik të vendit. </w:t>
      </w:r>
      <w:r>
        <w:t>Ajo mbështetet në pesë objektiva kryesore:</w:t>
      </w:r>
    </w:p>
    <w:p w14:paraId="57B3C2D6" w14:textId="77777777" w:rsidR="00A90CBB" w:rsidRDefault="00112C45">
      <w:pPr>
        <w:pStyle w:val="ListParagraph"/>
        <w:numPr>
          <w:ilvl w:val="0"/>
          <w:numId w:val="2"/>
        </w:numPr>
        <w:spacing w:after="80" w:line="270" w:lineRule="auto"/>
        <w:jc w:val="both"/>
      </w:pPr>
      <w:r>
        <w:t>përmirësimi i besueshmërisë së sistemit;</w:t>
      </w:r>
    </w:p>
    <w:p w14:paraId="26466F79" w14:textId="77777777" w:rsidR="00A90CBB" w:rsidRDefault="00112C45">
      <w:pPr>
        <w:pStyle w:val="ListParagraph"/>
        <w:numPr>
          <w:ilvl w:val="0"/>
          <w:numId w:val="2"/>
        </w:numPr>
        <w:spacing w:after="80" w:line="270" w:lineRule="auto"/>
        <w:jc w:val="both"/>
      </w:pPr>
      <w:r>
        <w:t>dekarbonizimi dhe promovimi i energjisë së ripërtëritshme;</w:t>
      </w:r>
    </w:p>
    <w:p w14:paraId="772F45BA" w14:textId="77777777" w:rsidR="00A90CBB" w:rsidRDefault="00112C45">
      <w:pPr>
        <w:pStyle w:val="ListParagraph"/>
        <w:numPr>
          <w:ilvl w:val="0"/>
          <w:numId w:val="2"/>
        </w:numPr>
        <w:spacing w:after="80" w:line="270" w:lineRule="auto"/>
        <w:jc w:val="both"/>
      </w:pPr>
      <w:r>
        <w:t>rritja e efiçiencës së energjisë;</w:t>
      </w:r>
    </w:p>
    <w:p w14:paraId="6B92E96D" w14:textId="77777777" w:rsidR="00A90CBB" w:rsidRDefault="00112C45">
      <w:pPr>
        <w:pStyle w:val="ListParagraph"/>
        <w:numPr>
          <w:ilvl w:val="0"/>
          <w:numId w:val="2"/>
        </w:numPr>
        <w:spacing w:after="80" w:line="270" w:lineRule="auto"/>
        <w:jc w:val="both"/>
      </w:pPr>
      <w:r>
        <w:t>forcimi i bashkëpunimit rajonal dhe funksionimi i tregut;</w:t>
      </w:r>
    </w:p>
    <w:p w14:paraId="7E11FA59" w14:textId="77777777" w:rsidR="00A90CBB" w:rsidRDefault="00112C45">
      <w:pPr>
        <w:pStyle w:val="ListParagraph"/>
        <w:numPr>
          <w:ilvl w:val="0"/>
          <w:numId w:val="2"/>
        </w:numPr>
        <w:spacing w:after="80" w:line="270" w:lineRule="auto"/>
        <w:jc w:val="both"/>
      </w:pPr>
      <w:r>
        <w:t>mbrojtja dhe fuqizimi i konsumatorëve dhe zhvillimi i fuqisë punëtore.</w:t>
      </w:r>
    </w:p>
    <w:p w14:paraId="12BE1D00" w14:textId="77777777" w:rsidR="00A90CBB" w:rsidRDefault="00112C45">
      <w:pPr>
        <w:spacing w:after="150" w:line="278" w:lineRule="auto"/>
        <w:jc w:val="both"/>
      </w:pPr>
      <w:r>
        <w:t>Në këtë drejtim, Strategjia parasheh zhvillimin e kapaciteteve të reja gjeneruese nga energjia diellore dhe e erës, avancimin e sistemeve të ruajtjes së energjisë, zgjerimin e sistemeve të ngrohjes qendrore dhe modernizimin e infrastrukturës energjetike. Ajo thekson gjithashtu rëndësinë e një tranzicioni të planifikuar dhe gradual, duke ruajtur sigurinë e furnizimit dhe duke adresuar ndikimet sociale e ekonomike të transformimit të sektorit.</w:t>
      </w:r>
    </w:p>
    <w:p w14:paraId="226B356F" w14:textId="77777777" w:rsidR="00A90CBB" w:rsidRPr="00503850" w:rsidRDefault="00112C45">
      <w:pPr>
        <w:pStyle w:val="Heading2"/>
        <w:rPr>
          <w:lang w:val="de-DE"/>
        </w:rPr>
      </w:pPr>
      <w:bookmarkStart w:id="20" w:name="_Toc231392854"/>
      <w:r>
        <w:rPr>
          <w:lang w:val="de-DE"/>
        </w:rPr>
        <w:t>3.2 Agjenda e Gjelbër për Ballkanin Perëndimor</w:t>
      </w:r>
      <w:bookmarkEnd w:id="20"/>
    </w:p>
    <w:p w14:paraId="05EDB227" w14:textId="77777777" w:rsidR="00A90CBB" w:rsidRDefault="00112C45">
      <w:pPr>
        <w:spacing w:after="150" w:line="278" w:lineRule="auto"/>
        <w:jc w:val="both"/>
      </w:pPr>
      <w:r>
        <w:rPr>
          <w:lang w:val="de-DE"/>
        </w:rPr>
        <w:t xml:space="preserve">Republika e Kosovës është pjesë e procesit rajonal të tranzicionit të gjelbër në kuadër të Agjendës së Gjelbër për Ballkanin Perëndimor, e cila synon përafrimin gradual të rajonit me objektivat klimatike të Bashkimit Evropian. </w:t>
      </w:r>
      <w:r>
        <w:t>Agjenda e Gjelbër përfshin pesë shtylla kryesore:</w:t>
      </w:r>
    </w:p>
    <w:p w14:paraId="0AD838F2" w14:textId="77777777" w:rsidR="00A90CBB" w:rsidRDefault="00112C45">
      <w:pPr>
        <w:pStyle w:val="ListParagraph"/>
        <w:numPr>
          <w:ilvl w:val="0"/>
          <w:numId w:val="2"/>
        </w:numPr>
        <w:spacing w:after="80" w:line="270" w:lineRule="auto"/>
        <w:jc w:val="both"/>
      </w:pPr>
      <w:r>
        <w:t>klima, energjia dhe mjedisi;</w:t>
      </w:r>
    </w:p>
    <w:p w14:paraId="240D46ED" w14:textId="77777777" w:rsidR="00A90CBB" w:rsidRDefault="00112C45">
      <w:pPr>
        <w:pStyle w:val="ListParagraph"/>
        <w:numPr>
          <w:ilvl w:val="0"/>
          <w:numId w:val="2"/>
        </w:numPr>
        <w:spacing w:after="80" w:line="270" w:lineRule="auto"/>
        <w:jc w:val="both"/>
      </w:pPr>
      <w:r>
        <w:t>ekonomia qarkore;</w:t>
      </w:r>
    </w:p>
    <w:p w14:paraId="2C66AF9E" w14:textId="77777777" w:rsidR="00A90CBB" w:rsidRDefault="00112C45">
      <w:pPr>
        <w:pStyle w:val="ListParagraph"/>
        <w:numPr>
          <w:ilvl w:val="0"/>
          <w:numId w:val="2"/>
        </w:numPr>
        <w:spacing w:after="80" w:line="270" w:lineRule="auto"/>
        <w:jc w:val="both"/>
      </w:pPr>
      <w:r>
        <w:t>reduktimi i ndotjes;</w:t>
      </w:r>
    </w:p>
    <w:p w14:paraId="7A6BF8BE" w14:textId="77777777" w:rsidR="00A90CBB" w:rsidRDefault="00112C45">
      <w:pPr>
        <w:pStyle w:val="ListParagraph"/>
        <w:numPr>
          <w:ilvl w:val="0"/>
          <w:numId w:val="2"/>
        </w:numPr>
        <w:spacing w:after="80" w:line="270" w:lineRule="auto"/>
        <w:jc w:val="both"/>
      </w:pPr>
      <w:r>
        <w:t>bujqësia dhe prodhimi i qëndrueshëm i ushqimit;</w:t>
      </w:r>
    </w:p>
    <w:p w14:paraId="1B3281A5" w14:textId="77777777" w:rsidR="00A90CBB" w:rsidRDefault="00112C45">
      <w:pPr>
        <w:pStyle w:val="ListParagraph"/>
        <w:numPr>
          <w:ilvl w:val="0"/>
          <w:numId w:val="2"/>
        </w:numPr>
        <w:spacing w:after="80" w:line="270" w:lineRule="auto"/>
        <w:jc w:val="both"/>
      </w:pPr>
      <w:r>
        <w:t>biodiversiteti.</w:t>
      </w:r>
    </w:p>
    <w:p w14:paraId="7BA44AB7" w14:textId="77777777" w:rsidR="00A90CBB" w:rsidRDefault="00112C45">
      <w:pPr>
        <w:spacing w:after="150" w:line="278" w:lineRule="auto"/>
        <w:jc w:val="both"/>
      </w:pPr>
      <w:r>
        <w:t>Në këtë kontekst, tranzicioni i drejtë në Kosovë është një instrument i rëndësishëm për mbështetjen e zbatimit të Agjendës së Gjelbër dhe për promovimin e zhvillimit ekonomik e social të qëndrueshëm.</w:t>
      </w:r>
    </w:p>
    <w:p w14:paraId="68D33C06" w14:textId="77777777" w:rsidR="00A90CBB" w:rsidRDefault="00112C45">
      <w:pPr>
        <w:pStyle w:val="Heading2"/>
      </w:pPr>
      <w:bookmarkStart w:id="21" w:name="_Toc231392855"/>
      <w:r>
        <w:t>3.3 Traktati i Komunitetit të Energjisë</w:t>
      </w:r>
      <w:bookmarkEnd w:id="21"/>
    </w:p>
    <w:p w14:paraId="0AB2A174" w14:textId="79AA25D1" w:rsidR="00A90CBB" w:rsidRDefault="00112C45">
      <w:pPr>
        <w:spacing w:after="150" w:line="278" w:lineRule="auto"/>
        <w:jc w:val="both"/>
      </w:pPr>
      <w:r>
        <w:t xml:space="preserve">Si palë kontraktuese e Traktatit të Komunitetit të Energjisë, Republika e Kosovës ka obligime për harmonizimin gradual të legjislacionit të energjisë me acquis–në e Bashkimit Evropian dhe për zhvillimin e një tregu energjetik të integruar e funksional. Procesi i tranzicionit të drejtë lidhet ngushtë me këto </w:t>
      </w:r>
      <w:r>
        <w:lastRenderedPageBreak/>
        <w:t>zhvillime, pasi transformimi gradual i sektorit energjetik kërkon investime të konsiderueshme në infrastrukturë, fleksibilitet të sistemit dhe zhvillim të kapaciteteve institucionale.</w:t>
      </w:r>
    </w:p>
    <w:p w14:paraId="01E88881" w14:textId="77777777" w:rsidR="00A90CBB" w:rsidRDefault="00112C45">
      <w:pPr>
        <w:pStyle w:val="Heading2"/>
      </w:pPr>
      <w:bookmarkStart w:id="22" w:name="_Toc231392856"/>
      <w:r>
        <w:t>3.4 Ligjet kryesore të sektorit</w:t>
      </w:r>
      <w:bookmarkEnd w:id="22"/>
    </w:p>
    <w:p w14:paraId="50C97A87" w14:textId="77777777" w:rsidR="00A90CBB" w:rsidRDefault="00112C45">
      <w:pPr>
        <w:spacing w:after="150" w:line="278" w:lineRule="auto"/>
        <w:jc w:val="both"/>
      </w:pPr>
      <w:r>
        <w:t>Procesi i tranzicionit të drejtë mbështetet nga një sërë ligjesh dhe politikash plotësuese që adresojnë dimensionet kryesore të tij, përfshirë:</w:t>
      </w:r>
    </w:p>
    <w:p w14:paraId="5C6E79B1" w14:textId="575EC47E" w:rsidR="00A90CBB" w:rsidRDefault="00112C45">
      <w:pPr>
        <w:pStyle w:val="ListParagraph"/>
        <w:numPr>
          <w:ilvl w:val="0"/>
          <w:numId w:val="2"/>
        </w:numPr>
        <w:spacing w:after="80" w:line="270" w:lineRule="auto"/>
        <w:jc w:val="both"/>
      </w:pPr>
      <w:r>
        <w:t>Ligji për Energjinë;</w:t>
      </w:r>
    </w:p>
    <w:p w14:paraId="153F5452" w14:textId="7B9F7CA1" w:rsidR="00A90CBB" w:rsidRDefault="00112C45">
      <w:pPr>
        <w:pStyle w:val="ListParagraph"/>
        <w:numPr>
          <w:ilvl w:val="0"/>
          <w:numId w:val="2"/>
        </w:numPr>
        <w:spacing w:after="80" w:line="270" w:lineRule="auto"/>
        <w:jc w:val="both"/>
      </w:pPr>
      <w:r>
        <w:t>Ligji për Energjinë Elektrike;</w:t>
      </w:r>
    </w:p>
    <w:p w14:paraId="3992792C" w14:textId="307D2859" w:rsidR="00A90CBB" w:rsidRDefault="00112C45">
      <w:pPr>
        <w:pStyle w:val="ListParagraph"/>
        <w:numPr>
          <w:ilvl w:val="0"/>
          <w:numId w:val="2"/>
        </w:numPr>
        <w:spacing w:after="80" w:line="270" w:lineRule="auto"/>
        <w:jc w:val="both"/>
      </w:pPr>
      <w:r>
        <w:t>Ligji për Rregullatorin e Energjisë;</w:t>
      </w:r>
    </w:p>
    <w:p w14:paraId="433F6D58" w14:textId="4C819B8C" w:rsidR="00A90CBB" w:rsidRDefault="00112C45">
      <w:pPr>
        <w:pStyle w:val="ListParagraph"/>
        <w:numPr>
          <w:ilvl w:val="0"/>
          <w:numId w:val="2"/>
        </w:numPr>
        <w:spacing w:after="80" w:line="270" w:lineRule="auto"/>
        <w:jc w:val="both"/>
      </w:pPr>
      <w:r>
        <w:t>Ligji për Energjinë Termike;</w:t>
      </w:r>
    </w:p>
    <w:p w14:paraId="73529312" w14:textId="23393310" w:rsidR="00A90CBB" w:rsidRDefault="00112C45">
      <w:pPr>
        <w:pStyle w:val="ListParagraph"/>
        <w:numPr>
          <w:ilvl w:val="0"/>
          <w:numId w:val="2"/>
        </w:numPr>
        <w:spacing w:after="80" w:line="270" w:lineRule="auto"/>
        <w:jc w:val="both"/>
      </w:pPr>
      <w:r>
        <w:t>Ligji për Efiçiencën e Energjisë;</w:t>
      </w:r>
    </w:p>
    <w:p w14:paraId="41E10C08" w14:textId="6468A12F" w:rsidR="00A90CBB" w:rsidRDefault="00112C45">
      <w:pPr>
        <w:pStyle w:val="ListParagraph"/>
        <w:numPr>
          <w:ilvl w:val="0"/>
          <w:numId w:val="2"/>
        </w:numPr>
        <w:spacing w:after="80" w:line="270" w:lineRule="auto"/>
        <w:jc w:val="both"/>
      </w:pPr>
      <w:r>
        <w:t>Ligji për Promovimin e Përdorimit të Burimeve të Ripërtëritshme të Energjisë;</w:t>
      </w:r>
    </w:p>
    <w:p w14:paraId="7197575C" w14:textId="1CFC8701" w:rsidR="00A90CBB" w:rsidRDefault="00112C45">
      <w:pPr>
        <w:pStyle w:val="ListParagraph"/>
        <w:numPr>
          <w:ilvl w:val="0"/>
          <w:numId w:val="2"/>
        </w:numPr>
        <w:spacing w:after="80" w:line="270" w:lineRule="auto"/>
        <w:jc w:val="both"/>
      </w:pPr>
      <w:r>
        <w:t>Ligji për Ndryshimet Klimatike.</w:t>
      </w:r>
    </w:p>
    <w:p w14:paraId="55FF5710" w14:textId="77777777" w:rsidR="00A90CBB" w:rsidRDefault="00112C45">
      <w:pPr>
        <w:spacing w:after="150" w:line="278" w:lineRule="auto"/>
        <w:jc w:val="both"/>
      </w:pPr>
      <w:r>
        <w:t>Reformat legjislative në vijim do të krijojnë bazën ligjore për forcimin e qeverisjes së tranzicionit të drejtë në Kosovë. Në këtë kuadër, parashihet zhvillimi dhe vendosja e sistemit të Monitorimit, Raportimit, Verifikimit dhe Akreditimit (MRVA) si mekanizëm mbështetës për planifikimin, zbatimin dhe monitorimin e politikave të tranzicionit, duke siguruar të dhëna të besueshme për reduktimin e emetimeve dhe për instrumentet ekonomike të lidhura me dekarbonizimin e sektorit të energjisë.</w:t>
      </w:r>
    </w:p>
    <w:p w14:paraId="3FBBD735" w14:textId="4603EF7B" w:rsidR="00A90CBB" w:rsidRDefault="00112C45">
      <w:pPr>
        <w:spacing w:after="150" w:line="278" w:lineRule="auto"/>
        <w:jc w:val="both"/>
      </w:pPr>
      <w:r>
        <w:t>Zhvillimi dhe integrimi i sistemit MRVA do të lidhet drejtpërdrejt me ndryshimin dhe plotësimin e Ligjit për Ndryshimet Klimatike. Përmes këtyre ndryshimeve do të krijohet baza ligjore për përfshirjen e MRVA-së në legjislacionin primar.</w:t>
      </w:r>
    </w:p>
    <w:p w14:paraId="243BD04A" w14:textId="77777777" w:rsidR="00A90CBB" w:rsidRDefault="00112C45">
      <w:r>
        <w:br w:type="page"/>
      </w:r>
    </w:p>
    <w:p w14:paraId="25B27E07" w14:textId="77777777" w:rsidR="00A90CBB" w:rsidRPr="00503850" w:rsidRDefault="00112C45">
      <w:pPr>
        <w:pStyle w:val="Heading1"/>
        <w:rPr>
          <w:lang w:val="de-DE"/>
        </w:rPr>
      </w:pPr>
      <w:bookmarkStart w:id="23" w:name="_Toc231392857"/>
      <w:r>
        <w:rPr>
          <w:lang w:val="de-DE"/>
        </w:rPr>
        <w:lastRenderedPageBreak/>
        <w:t>4. Analiza e gjendjes aktuale</w:t>
      </w:r>
      <w:bookmarkEnd w:id="23"/>
    </w:p>
    <w:p w14:paraId="3EB08354" w14:textId="4366928F" w:rsidR="008C5C7F" w:rsidRDefault="00112C45" w:rsidP="008C5C7F">
      <w:pPr>
        <w:pStyle w:val="Heading2"/>
        <w:rPr>
          <w:lang w:val="de-DE"/>
        </w:rPr>
      </w:pPr>
      <w:bookmarkStart w:id="24" w:name="_Toc231392858"/>
      <w:r>
        <w:rPr>
          <w:lang w:val="de-DE"/>
        </w:rPr>
        <w:t xml:space="preserve">4.1 Struktura e </w:t>
      </w:r>
      <w:proofErr w:type="spellStart"/>
      <w:r>
        <w:rPr>
          <w:lang w:val="de-DE"/>
        </w:rPr>
        <w:t>sektorit</w:t>
      </w:r>
      <w:proofErr w:type="spellEnd"/>
      <w:r>
        <w:rPr>
          <w:lang w:val="de-DE"/>
        </w:rPr>
        <w:t xml:space="preserve"> </w:t>
      </w:r>
      <w:proofErr w:type="spellStart"/>
      <w:r>
        <w:rPr>
          <w:lang w:val="de-DE"/>
        </w:rPr>
        <w:t>të</w:t>
      </w:r>
      <w:proofErr w:type="spellEnd"/>
      <w:r>
        <w:rPr>
          <w:lang w:val="de-DE"/>
        </w:rPr>
        <w:t xml:space="preserve"> </w:t>
      </w:r>
      <w:proofErr w:type="spellStart"/>
      <w:r>
        <w:rPr>
          <w:lang w:val="de-DE"/>
        </w:rPr>
        <w:t>energjisë</w:t>
      </w:r>
      <w:bookmarkEnd w:id="24"/>
      <w:proofErr w:type="spellEnd"/>
    </w:p>
    <w:p w14:paraId="014E73D6" w14:textId="0CFF90E6" w:rsidR="008C5C7F" w:rsidRDefault="008C5C7F">
      <w:pPr>
        <w:spacing w:after="150" w:line="278" w:lineRule="auto"/>
        <w:jc w:val="both"/>
        <w:rPr>
          <w:lang w:val="de-DE"/>
        </w:rPr>
      </w:pPr>
      <w:proofErr w:type="spellStart"/>
      <w:r w:rsidRPr="008C5C7F">
        <w:rPr>
          <w:lang w:val="de-DE"/>
        </w:rPr>
        <w:t>Sektori</w:t>
      </w:r>
      <w:proofErr w:type="spellEnd"/>
      <w:r w:rsidRPr="008C5C7F">
        <w:rPr>
          <w:lang w:val="de-DE"/>
        </w:rPr>
        <w:t xml:space="preserve"> i </w:t>
      </w:r>
      <w:proofErr w:type="spellStart"/>
      <w:r w:rsidRPr="008C5C7F">
        <w:rPr>
          <w:lang w:val="de-DE"/>
        </w:rPr>
        <w:t>energjisë</w:t>
      </w:r>
      <w:proofErr w:type="spellEnd"/>
      <w:r w:rsidRPr="008C5C7F">
        <w:rPr>
          <w:lang w:val="de-DE"/>
        </w:rPr>
        <w:t xml:space="preserve"> </w:t>
      </w:r>
      <w:proofErr w:type="spellStart"/>
      <w:r w:rsidRPr="008C5C7F">
        <w:rPr>
          <w:lang w:val="de-DE"/>
        </w:rPr>
        <w:t>në</w:t>
      </w:r>
      <w:proofErr w:type="spellEnd"/>
      <w:r w:rsidRPr="008C5C7F">
        <w:rPr>
          <w:lang w:val="de-DE"/>
        </w:rPr>
        <w:t xml:space="preserve"> </w:t>
      </w:r>
      <w:proofErr w:type="spellStart"/>
      <w:r w:rsidRPr="008C5C7F">
        <w:rPr>
          <w:lang w:val="de-DE"/>
        </w:rPr>
        <w:t>Kosovë</w:t>
      </w:r>
      <w:proofErr w:type="spellEnd"/>
      <w:r w:rsidRPr="008C5C7F">
        <w:rPr>
          <w:lang w:val="de-DE"/>
        </w:rPr>
        <w:t xml:space="preserve"> </w:t>
      </w:r>
      <w:proofErr w:type="spellStart"/>
      <w:r w:rsidRPr="008C5C7F">
        <w:rPr>
          <w:lang w:val="de-DE"/>
        </w:rPr>
        <w:t>është</w:t>
      </w:r>
      <w:proofErr w:type="spellEnd"/>
      <w:r w:rsidRPr="008C5C7F">
        <w:rPr>
          <w:lang w:val="de-DE"/>
        </w:rPr>
        <w:t xml:space="preserve"> i </w:t>
      </w:r>
      <w:proofErr w:type="spellStart"/>
      <w:r w:rsidRPr="008C5C7F">
        <w:rPr>
          <w:lang w:val="de-DE"/>
        </w:rPr>
        <w:t>organizuar</w:t>
      </w:r>
      <w:proofErr w:type="spellEnd"/>
      <w:r w:rsidRPr="008C5C7F">
        <w:rPr>
          <w:lang w:val="de-DE"/>
        </w:rPr>
        <w:t xml:space="preserve"> </w:t>
      </w:r>
      <w:proofErr w:type="spellStart"/>
      <w:r w:rsidRPr="008C5C7F">
        <w:rPr>
          <w:lang w:val="de-DE"/>
        </w:rPr>
        <w:t>në</w:t>
      </w:r>
      <w:proofErr w:type="spellEnd"/>
      <w:r w:rsidRPr="008C5C7F">
        <w:rPr>
          <w:lang w:val="de-DE"/>
        </w:rPr>
        <w:t xml:space="preserve"> </w:t>
      </w:r>
      <w:proofErr w:type="spellStart"/>
      <w:r w:rsidRPr="008C5C7F">
        <w:rPr>
          <w:lang w:val="de-DE"/>
        </w:rPr>
        <w:t>hallkat</w:t>
      </w:r>
      <w:proofErr w:type="spellEnd"/>
      <w:r w:rsidRPr="008C5C7F">
        <w:rPr>
          <w:lang w:val="de-DE"/>
        </w:rPr>
        <w:t xml:space="preserve"> </w:t>
      </w:r>
      <w:proofErr w:type="spellStart"/>
      <w:r w:rsidRPr="008C5C7F">
        <w:rPr>
          <w:lang w:val="de-DE"/>
        </w:rPr>
        <w:t>kryesore</w:t>
      </w:r>
      <w:proofErr w:type="spellEnd"/>
      <w:r w:rsidRPr="008C5C7F">
        <w:rPr>
          <w:lang w:val="de-DE"/>
        </w:rPr>
        <w:t xml:space="preserve"> </w:t>
      </w:r>
      <w:proofErr w:type="spellStart"/>
      <w:r w:rsidRPr="008C5C7F">
        <w:rPr>
          <w:lang w:val="de-DE"/>
        </w:rPr>
        <w:t>të</w:t>
      </w:r>
      <w:proofErr w:type="spellEnd"/>
      <w:r w:rsidRPr="008C5C7F">
        <w:rPr>
          <w:lang w:val="de-DE"/>
        </w:rPr>
        <w:t xml:space="preserve"> </w:t>
      </w:r>
      <w:proofErr w:type="spellStart"/>
      <w:r w:rsidRPr="008C5C7F">
        <w:rPr>
          <w:lang w:val="de-DE"/>
        </w:rPr>
        <w:t>prodhimit</w:t>
      </w:r>
      <w:proofErr w:type="spellEnd"/>
      <w:r w:rsidRPr="008C5C7F">
        <w:rPr>
          <w:lang w:val="de-DE"/>
        </w:rPr>
        <w:t xml:space="preserve">, </w:t>
      </w:r>
      <w:proofErr w:type="spellStart"/>
      <w:r w:rsidRPr="008C5C7F">
        <w:rPr>
          <w:lang w:val="de-DE"/>
        </w:rPr>
        <w:t>transmetimit</w:t>
      </w:r>
      <w:proofErr w:type="spellEnd"/>
      <w:r w:rsidRPr="008C5C7F">
        <w:rPr>
          <w:lang w:val="de-DE"/>
        </w:rPr>
        <w:t xml:space="preserve">, </w:t>
      </w:r>
      <w:proofErr w:type="spellStart"/>
      <w:r w:rsidRPr="008C5C7F">
        <w:rPr>
          <w:lang w:val="de-DE"/>
        </w:rPr>
        <w:t>shpërndarjes</w:t>
      </w:r>
      <w:proofErr w:type="spellEnd"/>
      <w:r w:rsidRPr="008C5C7F">
        <w:rPr>
          <w:lang w:val="de-DE"/>
        </w:rPr>
        <w:t xml:space="preserve"> </w:t>
      </w:r>
      <w:proofErr w:type="spellStart"/>
      <w:r w:rsidRPr="008C5C7F">
        <w:rPr>
          <w:lang w:val="de-DE"/>
        </w:rPr>
        <w:t>dhe</w:t>
      </w:r>
      <w:proofErr w:type="spellEnd"/>
      <w:r w:rsidRPr="008C5C7F">
        <w:rPr>
          <w:lang w:val="de-DE"/>
        </w:rPr>
        <w:t xml:space="preserve"> </w:t>
      </w:r>
      <w:proofErr w:type="spellStart"/>
      <w:r w:rsidRPr="008C5C7F">
        <w:rPr>
          <w:lang w:val="de-DE"/>
        </w:rPr>
        <w:t>furnizimit</w:t>
      </w:r>
      <w:proofErr w:type="spellEnd"/>
      <w:r w:rsidRPr="008C5C7F">
        <w:rPr>
          <w:lang w:val="de-DE"/>
        </w:rPr>
        <w:t xml:space="preserve">, </w:t>
      </w:r>
      <w:proofErr w:type="spellStart"/>
      <w:r w:rsidRPr="008C5C7F">
        <w:rPr>
          <w:lang w:val="de-DE"/>
        </w:rPr>
        <w:t>të</w:t>
      </w:r>
      <w:proofErr w:type="spellEnd"/>
      <w:r w:rsidRPr="008C5C7F">
        <w:rPr>
          <w:lang w:val="de-DE"/>
        </w:rPr>
        <w:t xml:space="preserve"> </w:t>
      </w:r>
      <w:proofErr w:type="spellStart"/>
      <w:r w:rsidRPr="008C5C7F">
        <w:rPr>
          <w:lang w:val="de-DE"/>
        </w:rPr>
        <w:t>mbështetura</w:t>
      </w:r>
      <w:proofErr w:type="spellEnd"/>
      <w:r w:rsidRPr="008C5C7F">
        <w:rPr>
          <w:lang w:val="de-DE"/>
        </w:rPr>
        <w:t xml:space="preserve"> </w:t>
      </w:r>
      <w:proofErr w:type="spellStart"/>
      <w:r w:rsidRPr="008C5C7F">
        <w:rPr>
          <w:lang w:val="de-DE"/>
        </w:rPr>
        <w:t>nga</w:t>
      </w:r>
      <w:proofErr w:type="spellEnd"/>
      <w:r w:rsidRPr="008C5C7F">
        <w:rPr>
          <w:lang w:val="de-DE"/>
        </w:rPr>
        <w:t xml:space="preserve"> </w:t>
      </w:r>
      <w:proofErr w:type="spellStart"/>
      <w:r w:rsidRPr="008C5C7F">
        <w:rPr>
          <w:lang w:val="de-DE"/>
        </w:rPr>
        <w:t>një</w:t>
      </w:r>
      <w:proofErr w:type="spellEnd"/>
      <w:r w:rsidRPr="008C5C7F">
        <w:rPr>
          <w:lang w:val="de-DE"/>
        </w:rPr>
        <w:t xml:space="preserve"> </w:t>
      </w:r>
      <w:proofErr w:type="spellStart"/>
      <w:r w:rsidRPr="008C5C7F">
        <w:rPr>
          <w:lang w:val="de-DE"/>
        </w:rPr>
        <w:t>kornizë</w:t>
      </w:r>
      <w:proofErr w:type="spellEnd"/>
      <w:r w:rsidRPr="008C5C7F">
        <w:rPr>
          <w:lang w:val="de-DE"/>
        </w:rPr>
        <w:t xml:space="preserve"> </w:t>
      </w:r>
      <w:proofErr w:type="spellStart"/>
      <w:r w:rsidRPr="008C5C7F">
        <w:rPr>
          <w:lang w:val="de-DE"/>
        </w:rPr>
        <w:t>rregullatore</w:t>
      </w:r>
      <w:proofErr w:type="spellEnd"/>
      <w:r w:rsidRPr="008C5C7F">
        <w:rPr>
          <w:lang w:val="de-DE"/>
        </w:rPr>
        <w:t xml:space="preserve"> </w:t>
      </w:r>
      <w:proofErr w:type="spellStart"/>
      <w:r w:rsidRPr="008C5C7F">
        <w:rPr>
          <w:lang w:val="de-DE"/>
        </w:rPr>
        <w:t>dhe</w:t>
      </w:r>
      <w:proofErr w:type="spellEnd"/>
      <w:r w:rsidRPr="008C5C7F">
        <w:rPr>
          <w:lang w:val="de-DE"/>
        </w:rPr>
        <w:t xml:space="preserve"> e </w:t>
      </w:r>
      <w:proofErr w:type="spellStart"/>
      <w:r w:rsidRPr="008C5C7F">
        <w:rPr>
          <w:lang w:val="de-DE"/>
        </w:rPr>
        <w:t>tregut</w:t>
      </w:r>
      <w:proofErr w:type="spellEnd"/>
      <w:r w:rsidRPr="008C5C7F">
        <w:rPr>
          <w:lang w:val="de-DE"/>
        </w:rPr>
        <w:t xml:space="preserve">. </w:t>
      </w:r>
      <w:proofErr w:type="spellStart"/>
      <w:r w:rsidRPr="008C5C7F">
        <w:rPr>
          <w:lang w:val="de-DE"/>
        </w:rPr>
        <w:t>Prodhimi</w:t>
      </w:r>
      <w:proofErr w:type="spellEnd"/>
      <w:r w:rsidRPr="008C5C7F">
        <w:rPr>
          <w:lang w:val="de-DE"/>
        </w:rPr>
        <w:t xml:space="preserve"> </w:t>
      </w:r>
      <w:proofErr w:type="spellStart"/>
      <w:r w:rsidRPr="008C5C7F">
        <w:rPr>
          <w:lang w:val="de-DE"/>
        </w:rPr>
        <w:t>vendor</w:t>
      </w:r>
      <w:proofErr w:type="spellEnd"/>
      <w:r w:rsidRPr="008C5C7F">
        <w:rPr>
          <w:lang w:val="de-DE"/>
        </w:rPr>
        <w:t xml:space="preserve"> i </w:t>
      </w:r>
      <w:proofErr w:type="spellStart"/>
      <w:r w:rsidRPr="008C5C7F">
        <w:rPr>
          <w:lang w:val="de-DE"/>
        </w:rPr>
        <w:t>energjisë</w:t>
      </w:r>
      <w:proofErr w:type="spellEnd"/>
      <w:r w:rsidRPr="008C5C7F">
        <w:rPr>
          <w:lang w:val="de-DE"/>
        </w:rPr>
        <w:t xml:space="preserve"> </w:t>
      </w:r>
      <w:proofErr w:type="spellStart"/>
      <w:r w:rsidRPr="008C5C7F">
        <w:rPr>
          <w:lang w:val="de-DE"/>
        </w:rPr>
        <w:t>elektrike</w:t>
      </w:r>
      <w:proofErr w:type="spellEnd"/>
      <w:r w:rsidRPr="008C5C7F">
        <w:rPr>
          <w:lang w:val="de-DE"/>
        </w:rPr>
        <w:t xml:space="preserve"> </w:t>
      </w:r>
      <w:proofErr w:type="spellStart"/>
      <w:r w:rsidRPr="008C5C7F">
        <w:rPr>
          <w:lang w:val="de-DE"/>
        </w:rPr>
        <w:t>mbetet</w:t>
      </w:r>
      <w:proofErr w:type="spellEnd"/>
      <w:r w:rsidRPr="008C5C7F">
        <w:rPr>
          <w:lang w:val="de-DE"/>
        </w:rPr>
        <w:t xml:space="preserve"> i </w:t>
      </w:r>
      <w:proofErr w:type="spellStart"/>
      <w:r w:rsidRPr="008C5C7F">
        <w:rPr>
          <w:lang w:val="de-DE"/>
        </w:rPr>
        <w:t>mbështetur</w:t>
      </w:r>
      <w:proofErr w:type="spellEnd"/>
      <w:r w:rsidRPr="008C5C7F">
        <w:rPr>
          <w:lang w:val="de-DE"/>
        </w:rPr>
        <w:t xml:space="preserve"> </w:t>
      </w:r>
      <w:proofErr w:type="spellStart"/>
      <w:r w:rsidRPr="008C5C7F">
        <w:rPr>
          <w:lang w:val="de-DE"/>
        </w:rPr>
        <w:t>kryesisht</w:t>
      </w:r>
      <w:proofErr w:type="spellEnd"/>
      <w:r w:rsidRPr="008C5C7F">
        <w:rPr>
          <w:lang w:val="de-DE"/>
        </w:rPr>
        <w:t xml:space="preserve"> </w:t>
      </w:r>
      <w:proofErr w:type="spellStart"/>
      <w:r w:rsidRPr="008C5C7F">
        <w:rPr>
          <w:lang w:val="de-DE"/>
        </w:rPr>
        <w:t>në</w:t>
      </w:r>
      <w:proofErr w:type="spellEnd"/>
      <w:r w:rsidRPr="008C5C7F">
        <w:rPr>
          <w:lang w:val="de-DE"/>
        </w:rPr>
        <w:t xml:space="preserve"> </w:t>
      </w:r>
      <w:proofErr w:type="spellStart"/>
      <w:r w:rsidRPr="008C5C7F">
        <w:rPr>
          <w:lang w:val="de-DE"/>
        </w:rPr>
        <w:t>linjit</w:t>
      </w:r>
      <w:proofErr w:type="spellEnd"/>
      <w:r w:rsidRPr="008C5C7F">
        <w:rPr>
          <w:lang w:val="de-DE"/>
        </w:rPr>
        <w:t xml:space="preserve">, </w:t>
      </w:r>
      <w:proofErr w:type="spellStart"/>
      <w:r w:rsidRPr="008C5C7F">
        <w:rPr>
          <w:lang w:val="de-DE"/>
        </w:rPr>
        <w:t>me</w:t>
      </w:r>
      <w:proofErr w:type="spellEnd"/>
      <w:r w:rsidRPr="008C5C7F">
        <w:rPr>
          <w:lang w:val="de-DE"/>
        </w:rPr>
        <w:t xml:space="preserve"> </w:t>
      </w:r>
      <w:proofErr w:type="spellStart"/>
      <w:r w:rsidRPr="008C5C7F">
        <w:rPr>
          <w:lang w:val="de-DE"/>
        </w:rPr>
        <w:t>një</w:t>
      </w:r>
      <w:proofErr w:type="spellEnd"/>
      <w:r w:rsidRPr="008C5C7F">
        <w:rPr>
          <w:lang w:val="de-DE"/>
        </w:rPr>
        <w:t xml:space="preserve"> </w:t>
      </w:r>
      <w:proofErr w:type="spellStart"/>
      <w:r w:rsidRPr="008C5C7F">
        <w:rPr>
          <w:lang w:val="de-DE"/>
        </w:rPr>
        <w:t>kontribut</w:t>
      </w:r>
      <w:proofErr w:type="spellEnd"/>
      <w:r w:rsidRPr="008C5C7F">
        <w:rPr>
          <w:lang w:val="de-DE"/>
        </w:rPr>
        <w:t xml:space="preserve"> </w:t>
      </w:r>
      <w:proofErr w:type="spellStart"/>
      <w:r w:rsidRPr="008C5C7F">
        <w:rPr>
          <w:lang w:val="de-DE"/>
        </w:rPr>
        <w:t>plotësues</w:t>
      </w:r>
      <w:proofErr w:type="spellEnd"/>
      <w:r w:rsidRPr="008C5C7F">
        <w:rPr>
          <w:lang w:val="de-DE"/>
        </w:rPr>
        <w:t xml:space="preserve"> </w:t>
      </w:r>
      <w:proofErr w:type="spellStart"/>
      <w:r w:rsidRPr="008C5C7F">
        <w:rPr>
          <w:lang w:val="de-DE"/>
        </w:rPr>
        <w:t>nga</w:t>
      </w:r>
      <w:proofErr w:type="spellEnd"/>
      <w:r w:rsidRPr="008C5C7F">
        <w:rPr>
          <w:lang w:val="de-DE"/>
        </w:rPr>
        <w:t xml:space="preserve"> </w:t>
      </w:r>
      <w:proofErr w:type="spellStart"/>
      <w:r w:rsidRPr="008C5C7F">
        <w:rPr>
          <w:lang w:val="de-DE"/>
        </w:rPr>
        <w:t>hidrocentralet</w:t>
      </w:r>
      <w:proofErr w:type="spellEnd"/>
      <w:r w:rsidRPr="008C5C7F">
        <w:rPr>
          <w:lang w:val="de-DE"/>
        </w:rPr>
        <w:t xml:space="preserve"> </w:t>
      </w:r>
      <w:proofErr w:type="spellStart"/>
      <w:r w:rsidRPr="008C5C7F">
        <w:rPr>
          <w:lang w:val="de-DE"/>
        </w:rPr>
        <w:t>dhe</w:t>
      </w:r>
      <w:proofErr w:type="spellEnd"/>
      <w:r w:rsidRPr="008C5C7F">
        <w:rPr>
          <w:lang w:val="de-DE"/>
        </w:rPr>
        <w:t xml:space="preserve"> </w:t>
      </w:r>
      <w:proofErr w:type="spellStart"/>
      <w:r w:rsidRPr="008C5C7F">
        <w:rPr>
          <w:lang w:val="de-DE"/>
        </w:rPr>
        <w:t>nga</w:t>
      </w:r>
      <w:proofErr w:type="spellEnd"/>
      <w:r w:rsidRPr="008C5C7F">
        <w:rPr>
          <w:lang w:val="de-DE"/>
        </w:rPr>
        <w:t xml:space="preserve"> </w:t>
      </w:r>
      <w:proofErr w:type="spellStart"/>
      <w:r w:rsidRPr="008C5C7F">
        <w:rPr>
          <w:lang w:val="de-DE"/>
        </w:rPr>
        <w:t>kapacitetet</w:t>
      </w:r>
      <w:proofErr w:type="spellEnd"/>
      <w:r w:rsidRPr="008C5C7F">
        <w:rPr>
          <w:lang w:val="de-DE"/>
        </w:rPr>
        <w:t xml:space="preserve"> e </w:t>
      </w:r>
      <w:proofErr w:type="spellStart"/>
      <w:r w:rsidRPr="008C5C7F">
        <w:rPr>
          <w:lang w:val="de-DE"/>
        </w:rPr>
        <w:t>reja</w:t>
      </w:r>
      <w:proofErr w:type="spellEnd"/>
      <w:r w:rsidRPr="008C5C7F">
        <w:rPr>
          <w:lang w:val="de-DE"/>
        </w:rPr>
        <w:t xml:space="preserve"> </w:t>
      </w:r>
      <w:proofErr w:type="spellStart"/>
      <w:r w:rsidRPr="008C5C7F">
        <w:rPr>
          <w:lang w:val="de-DE"/>
        </w:rPr>
        <w:t>të</w:t>
      </w:r>
      <w:proofErr w:type="spellEnd"/>
      <w:r w:rsidRPr="008C5C7F">
        <w:rPr>
          <w:lang w:val="de-DE"/>
        </w:rPr>
        <w:t xml:space="preserve"> </w:t>
      </w:r>
      <w:proofErr w:type="spellStart"/>
      <w:r w:rsidRPr="008C5C7F">
        <w:rPr>
          <w:lang w:val="de-DE"/>
        </w:rPr>
        <w:t>burimeve</w:t>
      </w:r>
      <w:proofErr w:type="spellEnd"/>
      <w:r w:rsidRPr="008C5C7F">
        <w:rPr>
          <w:lang w:val="de-DE"/>
        </w:rPr>
        <w:t xml:space="preserve"> </w:t>
      </w:r>
      <w:proofErr w:type="spellStart"/>
      <w:r w:rsidRPr="008C5C7F">
        <w:rPr>
          <w:lang w:val="de-DE"/>
        </w:rPr>
        <w:t>të</w:t>
      </w:r>
      <w:proofErr w:type="spellEnd"/>
      <w:r w:rsidRPr="008C5C7F">
        <w:rPr>
          <w:lang w:val="de-DE"/>
        </w:rPr>
        <w:t xml:space="preserve"> </w:t>
      </w:r>
      <w:proofErr w:type="spellStart"/>
      <w:r w:rsidRPr="008C5C7F">
        <w:rPr>
          <w:lang w:val="de-DE"/>
        </w:rPr>
        <w:t>ripërtëritshme</w:t>
      </w:r>
      <w:proofErr w:type="spellEnd"/>
      <w:r w:rsidRPr="008C5C7F">
        <w:rPr>
          <w:lang w:val="de-DE"/>
        </w:rPr>
        <w:t xml:space="preserve">. </w:t>
      </w:r>
      <w:proofErr w:type="spellStart"/>
      <w:r w:rsidRPr="008C5C7F">
        <w:rPr>
          <w:lang w:val="de-DE"/>
        </w:rPr>
        <w:t>Transmetimi</w:t>
      </w:r>
      <w:proofErr w:type="spellEnd"/>
      <w:r w:rsidRPr="008C5C7F">
        <w:rPr>
          <w:lang w:val="de-DE"/>
        </w:rPr>
        <w:t xml:space="preserve"> i </w:t>
      </w:r>
      <w:proofErr w:type="spellStart"/>
      <w:r w:rsidRPr="008C5C7F">
        <w:rPr>
          <w:lang w:val="de-DE"/>
        </w:rPr>
        <w:t>energjisë</w:t>
      </w:r>
      <w:proofErr w:type="spellEnd"/>
      <w:r w:rsidRPr="008C5C7F">
        <w:rPr>
          <w:lang w:val="de-DE"/>
        </w:rPr>
        <w:t xml:space="preserve"> </w:t>
      </w:r>
      <w:proofErr w:type="spellStart"/>
      <w:r w:rsidRPr="008C5C7F">
        <w:rPr>
          <w:lang w:val="de-DE"/>
        </w:rPr>
        <w:t>menaxhohet</w:t>
      </w:r>
      <w:proofErr w:type="spellEnd"/>
      <w:r w:rsidRPr="008C5C7F">
        <w:rPr>
          <w:lang w:val="de-DE"/>
        </w:rPr>
        <w:t xml:space="preserve"> </w:t>
      </w:r>
      <w:proofErr w:type="spellStart"/>
      <w:r w:rsidRPr="008C5C7F">
        <w:rPr>
          <w:lang w:val="de-DE"/>
        </w:rPr>
        <w:t>nga</w:t>
      </w:r>
      <w:proofErr w:type="spellEnd"/>
      <w:r w:rsidRPr="008C5C7F">
        <w:rPr>
          <w:lang w:val="de-DE"/>
        </w:rPr>
        <w:t xml:space="preserve"> </w:t>
      </w:r>
      <w:proofErr w:type="spellStart"/>
      <w:r w:rsidRPr="008C5C7F">
        <w:rPr>
          <w:lang w:val="de-DE"/>
        </w:rPr>
        <w:t>Operatori</w:t>
      </w:r>
      <w:proofErr w:type="spellEnd"/>
      <w:r w:rsidRPr="008C5C7F">
        <w:rPr>
          <w:lang w:val="de-DE"/>
        </w:rPr>
        <w:t xml:space="preserve"> i </w:t>
      </w:r>
      <w:proofErr w:type="spellStart"/>
      <w:r w:rsidRPr="008C5C7F">
        <w:rPr>
          <w:lang w:val="de-DE"/>
        </w:rPr>
        <w:t>Sistemit</w:t>
      </w:r>
      <w:proofErr w:type="spellEnd"/>
      <w:r w:rsidRPr="008C5C7F">
        <w:rPr>
          <w:lang w:val="de-DE"/>
        </w:rPr>
        <w:t xml:space="preserve"> </w:t>
      </w:r>
      <w:proofErr w:type="spellStart"/>
      <w:r w:rsidRPr="008C5C7F">
        <w:rPr>
          <w:lang w:val="de-DE"/>
        </w:rPr>
        <w:t>të</w:t>
      </w:r>
      <w:proofErr w:type="spellEnd"/>
      <w:r w:rsidRPr="008C5C7F">
        <w:rPr>
          <w:lang w:val="de-DE"/>
        </w:rPr>
        <w:t xml:space="preserve"> </w:t>
      </w:r>
      <w:proofErr w:type="spellStart"/>
      <w:r w:rsidRPr="008C5C7F">
        <w:rPr>
          <w:lang w:val="de-DE"/>
        </w:rPr>
        <w:t>Transmisionit</w:t>
      </w:r>
      <w:proofErr w:type="spellEnd"/>
      <w:r w:rsidRPr="008C5C7F">
        <w:rPr>
          <w:lang w:val="de-DE"/>
        </w:rPr>
        <w:t xml:space="preserve"> </w:t>
      </w:r>
      <w:proofErr w:type="spellStart"/>
      <w:r w:rsidRPr="008C5C7F">
        <w:rPr>
          <w:lang w:val="de-DE"/>
        </w:rPr>
        <w:t>dhe</w:t>
      </w:r>
      <w:proofErr w:type="spellEnd"/>
      <w:r w:rsidRPr="008C5C7F">
        <w:rPr>
          <w:lang w:val="de-DE"/>
        </w:rPr>
        <w:t xml:space="preserve"> </w:t>
      </w:r>
      <w:proofErr w:type="spellStart"/>
      <w:r w:rsidRPr="008C5C7F">
        <w:rPr>
          <w:lang w:val="de-DE"/>
        </w:rPr>
        <w:t>Tregut</w:t>
      </w:r>
      <w:proofErr w:type="spellEnd"/>
      <w:r w:rsidRPr="008C5C7F">
        <w:rPr>
          <w:lang w:val="de-DE"/>
        </w:rPr>
        <w:t xml:space="preserve"> (KOSTT), </w:t>
      </w:r>
      <w:proofErr w:type="spellStart"/>
      <w:r w:rsidRPr="008C5C7F">
        <w:rPr>
          <w:lang w:val="de-DE"/>
        </w:rPr>
        <w:t>ndërsa</w:t>
      </w:r>
      <w:proofErr w:type="spellEnd"/>
      <w:r w:rsidRPr="008C5C7F">
        <w:rPr>
          <w:lang w:val="de-DE"/>
        </w:rPr>
        <w:t xml:space="preserve"> </w:t>
      </w:r>
      <w:proofErr w:type="spellStart"/>
      <w:r w:rsidRPr="008C5C7F">
        <w:rPr>
          <w:lang w:val="de-DE"/>
        </w:rPr>
        <w:t>shpërndarja</w:t>
      </w:r>
      <w:proofErr w:type="spellEnd"/>
      <w:r w:rsidRPr="008C5C7F">
        <w:rPr>
          <w:lang w:val="de-DE"/>
        </w:rPr>
        <w:t xml:space="preserve"> </w:t>
      </w:r>
      <w:proofErr w:type="spellStart"/>
      <w:r w:rsidRPr="008C5C7F">
        <w:rPr>
          <w:lang w:val="de-DE"/>
        </w:rPr>
        <w:t>dhe</w:t>
      </w:r>
      <w:proofErr w:type="spellEnd"/>
      <w:r w:rsidRPr="008C5C7F">
        <w:rPr>
          <w:lang w:val="de-DE"/>
        </w:rPr>
        <w:t xml:space="preserve"> </w:t>
      </w:r>
      <w:proofErr w:type="spellStart"/>
      <w:r w:rsidRPr="008C5C7F">
        <w:rPr>
          <w:lang w:val="de-DE"/>
        </w:rPr>
        <w:t>furnizimi</w:t>
      </w:r>
      <w:proofErr w:type="spellEnd"/>
      <w:r w:rsidRPr="008C5C7F">
        <w:rPr>
          <w:lang w:val="de-DE"/>
        </w:rPr>
        <w:t xml:space="preserve"> </w:t>
      </w:r>
      <w:proofErr w:type="spellStart"/>
      <w:r w:rsidRPr="008C5C7F">
        <w:rPr>
          <w:lang w:val="de-DE"/>
        </w:rPr>
        <w:t>me</w:t>
      </w:r>
      <w:proofErr w:type="spellEnd"/>
      <w:r w:rsidRPr="008C5C7F">
        <w:rPr>
          <w:lang w:val="de-DE"/>
        </w:rPr>
        <w:t xml:space="preserve"> </w:t>
      </w:r>
      <w:proofErr w:type="spellStart"/>
      <w:r w:rsidRPr="008C5C7F">
        <w:rPr>
          <w:lang w:val="de-DE"/>
        </w:rPr>
        <w:t>energji</w:t>
      </w:r>
      <w:proofErr w:type="spellEnd"/>
      <w:r w:rsidRPr="008C5C7F">
        <w:rPr>
          <w:lang w:val="de-DE"/>
        </w:rPr>
        <w:t xml:space="preserve"> </w:t>
      </w:r>
      <w:proofErr w:type="spellStart"/>
      <w:r w:rsidRPr="008C5C7F">
        <w:rPr>
          <w:lang w:val="de-DE"/>
        </w:rPr>
        <w:t>elektrike</w:t>
      </w:r>
      <w:proofErr w:type="spellEnd"/>
      <w:r w:rsidRPr="008C5C7F">
        <w:rPr>
          <w:lang w:val="de-DE"/>
        </w:rPr>
        <w:t xml:space="preserve"> </w:t>
      </w:r>
      <w:proofErr w:type="spellStart"/>
      <w:r w:rsidRPr="008C5C7F">
        <w:rPr>
          <w:lang w:val="de-DE"/>
        </w:rPr>
        <w:t>kryhen</w:t>
      </w:r>
      <w:proofErr w:type="spellEnd"/>
      <w:r w:rsidRPr="008C5C7F">
        <w:rPr>
          <w:lang w:val="de-DE"/>
        </w:rPr>
        <w:t xml:space="preserve"> </w:t>
      </w:r>
      <w:proofErr w:type="spellStart"/>
      <w:r w:rsidRPr="008C5C7F">
        <w:rPr>
          <w:lang w:val="de-DE"/>
        </w:rPr>
        <w:t>nga</w:t>
      </w:r>
      <w:proofErr w:type="spellEnd"/>
      <w:r w:rsidRPr="008C5C7F">
        <w:rPr>
          <w:lang w:val="de-DE"/>
        </w:rPr>
        <w:t xml:space="preserve"> </w:t>
      </w:r>
      <w:proofErr w:type="spellStart"/>
      <w:r w:rsidRPr="008C5C7F">
        <w:rPr>
          <w:lang w:val="de-DE"/>
        </w:rPr>
        <w:t>ndërmarrjet</w:t>
      </w:r>
      <w:proofErr w:type="spellEnd"/>
      <w:r w:rsidRPr="008C5C7F">
        <w:rPr>
          <w:lang w:val="de-DE"/>
        </w:rPr>
        <w:t xml:space="preserve"> e </w:t>
      </w:r>
      <w:proofErr w:type="spellStart"/>
      <w:r w:rsidRPr="008C5C7F">
        <w:rPr>
          <w:lang w:val="de-DE"/>
        </w:rPr>
        <w:t>licencuara</w:t>
      </w:r>
      <w:proofErr w:type="spellEnd"/>
      <w:r w:rsidRPr="008C5C7F">
        <w:rPr>
          <w:lang w:val="de-DE"/>
        </w:rPr>
        <w:t xml:space="preserve"> </w:t>
      </w:r>
      <w:proofErr w:type="spellStart"/>
      <w:r w:rsidRPr="008C5C7F">
        <w:rPr>
          <w:lang w:val="de-DE"/>
        </w:rPr>
        <w:t>për</w:t>
      </w:r>
      <w:proofErr w:type="spellEnd"/>
      <w:r w:rsidRPr="008C5C7F">
        <w:rPr>
          <w:lang w:val="de-DE"/>
        </w:rPr>
        <w:t xml:space="preserve"> </w:t>
      </w:r>
      <w:proofErr w:type="spellStart"/>
      <w:r w:rsidRPr="008C5C7F">
        <w:rPr>
          <w:lang w:val="de-DE"/>
        </w:rPr>
        <w:t>këto</w:t>
      </w:r>
      <w:proofErr w:type="spellEnd"/>
      <w:r w:rsidRPr="008C5C7F">
        <w:rPr>
          <w:lang w:val="de-DE"/>
        </w:rPr>
        <w:t xml:space="preserve"> </w:t>
      </w:r>
      <w:proofErr w:type="spellStart"/>
      <w:r w:rsidRPr="008C5C7F">
        <w:rPr>
          <w:lang w:val="de-DE"/>
        </w:rPr>
        <w:t>veprimtari</w:t>
      </w:r>
      <w:proofErr w:type="spellEnd"/>
      <w:r w:rsidRPr="008C5C7F">
        <w:rPr>
          <w:lang w:val="de-DE"/>
        </w:rPr>
        <w:t xml:space="preserve">. </w:t>
      </w:r>
      <w:proofErr w:type="spellStart"/>
      <w:r w:rsidRPr="008C5C7F">
        <w:rPr>
          <w:lang w:val="de-DE"/>
        </w:rPr>
        <w:t>Funksionimi</w:t>
      </w:r>
      <w:proofErr w:type="spellEnd"/>
      <w:r w:rsidRPr="008C5C7F">
        <w:rPr>
          <w:lang w:val="de-DE"/>
        </w:rPr>
        <w:t xml:space="preserve"> i </w:t>
      </w:r>
      <w:proofErr w:type="spellStart"/>
      <w:r w:rsidRPr="008C5C7F">
        <w:rPr>
          <w:lang w:val="de-DE"/>
        </w:rPr>
        <w:t>tregut</w:t>
      </w:r>
      <w:proofErr w:type="spellEnd"/>
      <w:r w:rsidRPr="008C5C7F">
        <w:rPr>
          <w:lang w:val="de-DE"/>
        </w:rPr>
        <w:t xml:space="preserve"> </w:t>
      </w:r>
      <w:proofErr w:type="spellStart"/>
      <w:r w:rsidRPr="008C5C7F">
        <w:rPr>
          <w:lang w:val="de-DE"/>
        </w:rPr>
        <w:t>dhe</w:t>
      </w:r>
      <w:proofErr w:type="spellEnd"/>
      <w:r w:rsidRPr="008C5C7F">
        <w:rPr>
          <w:lang w:val="de-DE"/>
        </w:rPr>
        <w:t xml:space="preserve"> </w:t>
      </w:r>
      <w:proofErr w:type="spellStart"/>
      <w:r w:rsidRPr="008C5C7F">
        <w:rPr>
          <w:lang w:val="de-DE"/>
        </w:rPr>
        <w:t>mbikëqyrja</w:t>
      </w:r>
      <w:proofErr w:type="spellEnd"/>
      <w:r w:rsidRPr="008C5C7F">
        <w:rPr>
          <w:lang w:val="de-DE"/>
        </w:rPr>
        <w:t xml:space="preserve"> </w:t>
      </w:r>
      <w:proofErr w:type="spellStart"/>
      <w:r w:rsidRPr="008C5C7F">
        <w:rPr>
          <w:lang w:val="de-DE"/>
        </w:rPr>
        <w:t>rregullatore</w:t>
      </w:r>
      <w:proofErr w:type="spellEnd"/>
      <w:r w:rsidRPr="008C5C7F">
        <w:rPr>
          <w:lang w:val="de-DE"/>
        </w:rPr>
        <w:t xml:space="preserve"> </w:t>
      </w:r>
      <w:proofErr w:type="spellStart"/>
      <w:r w:rsidRPr="008C5C7F">
        <w:rPr>
          <w:lang w:val="de-DE"/>
        </w:rPr>
        <w:t>sigurohen</w:t>
      </w:r>
      <w:proofErr w:type="spellEnd"/>
      <w:r w:rsidRPr="008C5C7F">
        <w:rPr>
          <w:lang w:val="de-DE"/>
        </w:rPr>
        <w:t xml:space="preserve"> </w:t>
      </w:r>
      <w:proofErr w:type="spellStart"/>
      <w:r w:rsidRPr="008C5C7F">
        <w:rPr>
          <w:lang w:val="de-DE"/>
        </w:rPr>
        <w:t>nga</w:t>
      </w:r>
      <w:proofErr w:type="spellEnd"/>
      <w:r w:rsidRPr="008C5C7F">
        <w:rPr>
          <w:lang w:val="de-DE"/>
        </w:rPr>
        <w:t xml:space="preserve"> </w:t>
      </w:r>
      <w:proofErr w:type="spellStart"/>
      <w:r w:rsidRPr="008C5C7F">
        <w:rPr>
          <w:lang w:val="de-DE"/>
        </w:rPr>
        <w:t>autoriteti</w:t>
      </w:r>
      <w:proofErr w:type="spellEnd"/>
      <w:r w:rsidRPr="008C5C7F">
        <w:rPr>
          <w:lang w:val="de-DE"/>
        </w:rPr>
        <w:t xml:space="preserve"> </w:t>
      </w:r>
      <w:proofErr w:type="spellStart"/>
      <w:r w:rsidRPr="008C5C7F">
        <w:rPr>
          <w:lang w:val="de-DE"/>
        </w:rPr>
        <w:t>rregullator</w:t>
      </w:r>
      <w:proofErr w:type="spellEnd"/>
      <w:r w:rsidRPr="008C5C7F">
        <w:rPr>
          <w:lang w:val="de-DE"/>
        </w:rPr>
        <w:t xml:space="preserve"> i </w:t>
      </w:r>
      <w:proofErr w:type="spellStart"/>
      <w:r w:rsidRPr="008C5C7F">
        <w:rPr>
          <w:lang w:val="de-DE"/>
        </w:rPr>
        <w:t>energjisë</w:t>
      </w:r>
      <w:proofErr w:type="spellEnd"/>
      <w:r w:rsidRPr="008C5C7F">
        <w:rPr>
          <w:lang w:val="de-DE"/>
        </w:rPr>
        <w:t xml:space="preserve">, i </w:t>
      </w:r>
      <w:proofErr w:type="spellStart"/>
      <w:r w:rsidRPr="008C5C7F">
        <w:rPr>
          <w:lang w:val="de-DE"/>
        </w:rPr>
        <w:t>cili</w:t>
      </w:r>
      <w:proofErr w:type="spellEnd"/>
      <w:r w:rsidRPr="008C5C7F">
        <w:rPr>
          <w:lang w:val="de-DE"/>
        </w:rPr>
        <w:t xml:space="preserve"> </w:t>
      </w:r>
      <w:proofErr w:type="spellStart"/>
      <w:r w:rsidRPr="008C5C7F">
        <w:rPr>
          <w:lang w:val="de-DE"/>
        </w:rPr>
        <w:t>licencon</w:t>
      </w:r>
      <w:proofErr w:type="spellEnd"/>
      <w:r w:rsidRPr="008C5C7F">
        <w:rPr>
          <w:lang w:val="de-DE"/>
        </w:rPr>
        <w:t xml:space="preserve"> </w:t>
      </w:r>
      <w:proofErr w:type="spellStart"/>
      <w:r w:rsidRPr="008C5C7F">
        <w:rPr>
          <w:lang w:val="de-DE"/>
        </w:rPr>
        <w:t>operatorët</w:t>
      </w:r>
      <w:proofErr w:type="spellEnd"/>
      <w:r w:rsidRPr="008C5C7F">
        <w:rPr>
          <w:lang w:val="de-DE"/>
        </w:rPr>
        <w:t xml:space="preserve"> </w:t>
      </w:r>
      <w:proofErr w:type="spellStart"/>
      <w:r w:rsidRPr="008C5C7F">
        <w:rPr>
          <w:lang w:val="de-DE"/>
        </w:rPr>
        <w:t>dhe</w:t>
      </w:r>
      <w:proofErr w:type="spellEnd"/>
      <w:r w:rsidRPr="008C5C7F">
        <w:rPr>
          <w:lang w:val="de-DE"/>
        </w:rPr>
        <w:t xml:space="preserve"> </w:t>
      </w:r>
      <w:proofErr w:type="spellStart"/>
      <w:r w:rsidRPr="008C5C7F">
        <w:rPr>
          <w:lang w:val="de-DE"/>
        </w:rPr>
        <w:t>rregullon</w:t>
      </w:r>
      <w:proofErr w:type="spellEnd"/>
      <w:r w:rsidRPr="008C5C7F">
        <w:rPr>
          <w:lang w:val="de-DE"/>
        </w:rPr>
        <w:t xml:space="preserve"> </w:t>
      </w:r>
      <w:proofErr w:type="spellStart"/>
      <w:r w:rsidRPr="008C5C7F">
        <w:rPr>
          <w:lang w:val="de-DE"/>
        </w:rPr>
        <w:t>qasjen</w:t>
      </w:r>
      <w:proofErr w:type="spellEnd"/>
      <w:r w:rsidRPr="008C5C7F">
        <w:rPr>
          <w:lang w:val="de-DE"/>
        </w:rPr>
        <w:t xml:space="preserve"> </w:t>
      </w:r>
      <w:proofErr w:type="spellStart"/>
      <w:r w:rsidRPr="008C5C7F">
        <w:rPr>
          <w:lang w:val="de-DE"/>
        </w:rPr>
        <w:t>në</w:t>
      </w:r>
      <w:proofErr w:type="spellEnd"/>
      <w:r w:rsidRPr="008C5C7F">
        <w:rPr>
          <w:lang w:val="de-DE"/>
        </w:rPr>
        <w:t xml:space="preserve"> </w:t>
      </w:r>
      <w:proofErr w:type="spellStart"/>
      <w:r w:rsidRPr="008C5C7F">
        <w:rPr>
          <w:lang w:val="de-DE"/>
        </w:rPr>
        <w:t>rrjet</w:t>
      </w:r>
      <w:proofErr w:type="spellEnd"/>
      <w:r w:rsidRPr="008C5C7F">
        <w:rPr>
          <w:lang w:val="de-DE"/>
        </w:rPr>
        <w:t xml:space="preserve"> </w:t>
      </w:r>
      <w:proofErr w:type="spellStart"/>
      <w:r w:rsidRPr="008C5C7F">
        <w:rPr>
          <w:lang w:val="de-DE"/>
        </w:rPr>
        <w:t>dhe</w:t>
      </w:r>
      <w:proofErr w:type="spellEnd"/>
      <w:r w:rsidRPr="008C5C7F">
        <w:rPr>
          <w:lang w:val="de-DE"/>
        </w:rPr>
        <w:t xml:space="preserve"> </w:t>
      </w:r>
      <w:proofErr w:type="spellStart"/>
      <w:r w:rsidRPr="008C5C7F">
        <w:rPr>
          <w:lang w:val="de-DE"/>
        </w:rPr>
        <w:t>tarifat</w:t>
      </w:r>
      <w:proofErr w:type="spellEnd"/>
      <w:r w:rsidRPr="008C5C7F">
        <w:rPr>
          <w:lang w:val="de-DE"/>
        </w:rPr>
        <w:t xml:space="preserve">. Brenda </w:t>
      </w:r>
      <w:proofErr w:type="spellStart"/>
      <w:r w:rsidRPr="008C5C7F">
        <w:rPr>
          <w:lang w:val="de-DE"/>
        </w:rPr>
        <w:t>kësaj</w:t>
      </w:r>
      <w:proofErr w:type="spellEnd"/>
      <w:r w:rsidRPr="008C5C7F">
        <w:rPr>
          <w:lang w:val="de-DE"/>
        </w:rPr>
        <w:t xml:space="preserve"> </w:t>
      </w:r>
      <w:proofErr w:type="spellStart"/>
      <w:r w:rsidRPr="008C5C7F">
        <w:rPr>
          <w:lang w:val="de-DE"/>
        </w:rPr>
        <w:t>strukture</w:t>
      </w:r>
      <w:proofErr w:type="spellEnd"/>
      <w:r w:rsidRPr="008C5C7F">
        <w:rPr>
          <w:lang w:val="de-DE"/>
        </w:rPr>
        <w:t xml:space="preserve">, </w:t>
      </w:r>
      <w:proofErr w:type="spellStart"/>
      <w:r w:rsidRPr="008C5C7F">
        <w:rPr>
          <w:lang w:val="de-DE"/>
        </w:rPr>
        <w:t>gjenerimi</w:t>
      </w:r>
      <w:proofErr w:type="spellEnd"/>
      <w:r w:rsidRPr="008C5C7F">
        <w:rPr>
          <w:lang w:val="de-DE"/>
        </w:rPr>
        <w:t xml:space="preserve"> </w:t>
      </w:r>
      <w:proofErr w:type="spellStart"/>
      <w:r w:rsidRPr="008C5C7F">
        <w:rPr>
          <w:lang w:val="de-DE"/>
        </w:rPr>
        <w:t>vendor</w:t>
      </w:r>
      <w:proofErr w:type="spellEnd"/>
      <w:r w:rsidRPr="008C5C7F">
        <w:rPr>
          <w:lang w:val="de-DE"/>
        </w:rPr>
        <w:t xml:space="preserve"> </w:t>
      </w:r>
      <w:proofErr w:type="spellStart"/>
      <w:r w:rsidRPr="008C5C7F">
        <w:rPr>
          <w:lang w:val="de-DE"/>
        </w:rPr>
        <w:t>dominohet</w:t>
      </w:r>
      <w:proofErr w:type="spellEnd"/>
      <w:r w:rsidRPr="008C5C7F">
        <w:rPr>
          <w:lang w:val="de-DE"/>
        </w:rPr>
        <w:t xml:space="preserve"> </w:t>
      </w:r>
      <w:proofErr w:type="spellStart"/>
      <w:r w:rsidRPr="008C5C7F">
        <w:rPr>
          <w:lang w:val="de-DE"/>
        </w:rPr>
        <w:t>nga</w:t>
      </w:r>
      <w:proofErr w:type="spellEnd"/>
      <w:r w:rsidRPr="008C5C7F">
        <w:rPr>
          <w:lang w:val="de-DE"/>
        </w:rPr>
        <w:t xml:space="preserve"> </w:t>
      </w:r>
      <w:proofErr w:type="spellStart"/>
      <w:r w:rsidRPr="008C5C7F">
        <w:rPr>
          <w:lang w:val="de-DE"/>
        </w:rPr>
        <w:t>Korporata</w:t>
      </w:r>
      <w:proofErr w:type="spellEnd"/>
      <w:r w:rsidRPr="008C5C7F">
        <w:rPr>
          <w:lang w:val="de-DE"/>
        </w:rPr>
        <w:t xml:space="preserve"> </w:t>
      </w:r>
      <w:proofErr w:type="spellStart"/>
      <w:r w:rsidRPr="008C5C7F">
        <w:rPr>
          <w:lang w:val="de-DE"/>
        </w:rPr>
        <w:t>Energjetike</w:t>
      </w:r>
      <w:proofErr w:type="spellEnd"/>
      <w:r w:rsidRPr="008C5C7F">
        <w:rPr>
          <w:lang w:val="de-DE"/>
        </w:rPr>
        <w:t xml:space="preserve"> e </w:t>
      </w:r>
      <w:proofErr w:type="spellStart"/>
      <w:r w:rsidRPr="008C5C7F">
        <w:rPr>
          <w:lang w:val="de-DE"/>
        </w:rPr>
        <w:t>Kosovës</w:t>
      </w:r>
      <w:proofErr w:type="spellEnd"/>
      <w:r w:rsidRPr="008C5C7F">
        <w:rPr>
          <w:lang w:val="de-DE"/>
        </w:rPr>
        <w:t xml:space="preserve"> (KEK), e </w:t>
      </w:r>
      <w:proofErr w:type="spellStart"/>
      <w:r w:rsidRPr="008C5C7F">
        <w:rPr>
          <w:lang w:val="de-DE"/>
        </w:rPr>
        <w:t>cila</w:t>
      </w:r>
      <w:proofErr w:type="spellEnd"/>
      <w:r w:rsidRPr="008C5C7F">
        <w:rPr>
          <w:lang w:val="de-DE"/>
        </w:rPr>
        <w:t xml:space="preserve"> </w:t>
      </w:r>
      <w:proofErr w:type="spellStart"/>
      <w:r w:rsidRPr="008C5C7F">
        <w:rPr>
          <w:lang w:val="de-DE"/>
        </w:rPr>
        <w:t>ndërthur</w:t>
      </w:r>
      <w:proofErr w:type="spellEnd"/>
      <w:r w:rsidRPr="008C5C7F">
        <w:rPr>
          <w:lang w:val="de-DE"/>
        </w:rPr>
        <w:t xml:space="preserve"> </w:t>
      </w:r>
      <w:proofErr w:type="spellStart"/>
      <w:r w:rsidRPr="008C5C7F">
        <w:rPr>
          <w:lang w:val="de-DE"/>
        </w:rPr>
        <w:t>nxjerrjen</w:t>
      </w:r>
      <w:proofErr w:type="spellEnd"/>
      <w:r w:rsidRPr="008C5C7F">
        <w:rPr>
          <w:lang w:val="de-DE"/>
        </w:rPr>
        <w:t xml:space="preserve"> e </w:t>
      </w:r>
      <w:proofErr w:type="spellStart"/>
      <w:r w:rsidRPr="008C5C7F">
        <w:rPr>
          <w:lang w:val="de-DE"/>
        </w:rPr>
        <w:t>qymyrit</w:t>
      </w:r>
      <w:proofErr w:type="spellEnd"/>
      <w:r w:rsidRPr="008C5C7F">
        <w:rPr>
          <w:lang w:val="de-DE"/>
        </w:rPr>
        <w:t xml:space="preserve"> </w:t>
      </w:r>
      <w:proofErr w:type="spellStart"/>
      <w:r w:rsidRPr="008C5C7F">
        <w:rPr>
          <w:lang w:val="de-DE"/>
        </w:rPr>
        <w:t>me</w:t>
      </w:r>
      <w:proofErr w:type="spellEnd"/>
      <w:r w:rsidRPr="008C5C7F">
        <w:rPr>
          <w:lang w:val="de-DE"/>
        </w:rPr>
        <w:t xml:space="preserve"> </w:t>
      </w:r>
      <w:proofErr w:type="spellStart"/>
      <w:r w:rsidRPr="008C5C7F">
        <w:rPr>
          <w:lang w:val="de-DE"/>
        </w:rPr>
        <w:t>gjenerimin</w:t>
      </w:r>
      <w:proofErr w:type="spellEnd"/>
      <w:r w:rsidRPr="008C5C7F">
        <w:rPr>
          <w:lang w:val="de-DE"/>
        </w:rPr>
        <w:t xml:space="preserve"> e </w:t>
      </w:r>
      <w:proofErr w:type="spellStart"/>
      <w:r w:rsidRPr="008C5C7F">
        <w:rPr>
          <w:lang w:val="de-DE"/>
        </w:rPr>
        <w:t>energjisë</w:t>
      </w:r>
      <w:proofErr w:type="spellEnd"/>
      <w:r w:rsidRPr="008C5C7F">
        <w:rPr>
          <w:lang w:val="de-DE"/>
        </w:rPr>
        <w:t xml:space="preserve"> </w:t>
      </w:r>
      <w:proofErr w:type="spellStart"/>
      <w:r w:rsidRPr="008C5C7F">
        <w:rPr>
          <w:lang w:val="de-DE"/>
        </w:rPr>
        <w:t>elektrike</w:t>
      </w:r>
      <w:proofErr w:type="spellEnd"/>
      <w:r w:rsidRPr="008C5C7F">
        <w:rPr>
          <w:lang w:val="de-DE"/>
        </w:rPr>
        <w:t>.</w:t>
      </w:r>
    </w:p>
    <w:p w14:paraId="5D244F10" w14:textId="14AB0E40" w:rsidR="00A90CBB" w:rsidRPr="00503850" w:rsidRDefault="00112C45">
      <w:pPr>
        <w:spacing w:after="150" w:line="278" w:lineRule="auto"/>
        <w:jc w:val="both"/>
        <w:rPr>
          <w:lang w:val="de-DE"/>
        </w:rPr>
      </w:pPr>
      <w:proofErr w:type="spellStart"/>
      <w:r>
        <w:rPr>
          <w:lang w:val="de-DE"/>
        </w:rPr>
        <w:t>Korporata</w:t>
      </w:r>
      <w:proofErr w:type="spellEnd"/>
      <w:r>
        <w:rPr>
          <w:lang w:val="de-DE"/>
        </w:rPr>
        <w:t xml:space="preserve"> </w:t>
      </w:r>
      <w:proofErr w:type="spellStart"/>
      <w:r>
        <w:rPr>
          <w:lang w:val="de-DE"/>
        </w:rPr>
        <w:t>Energjetike</w:t>
      </w:r>
      <w:proofErr w:type="spellEnd"/>
      <w:r>
        <w:rPr>
          <w:lang w:val="de-DE"/>
        </w:rPr>
        <w:t xml:space="preserve"> e </w:t>
      </w:r>
      <w:proofErr w:type="spellStart"/>
      <w:r>
        <w:rPr>
          <w:lang w:val="de-DE"/>
        </w:rPr>
        <w:t>Kosovës</w:t>
      </w:r>
      <w:proofErr w:type="spellEnd"/>
      <w:r>
        <w:rPr>
          <w:lang w:val="de-DE"/>
        </w:rPr>
        <w:t xml:space="preserve"> </w:t>
      </w:r>
      <w:proofErr w:type="spellStart"/>
      <w:r>
        <w:rPr>
          <w:lang w:val="de-DE"/>
        </w:rPr>
        <w:t>sh.a</w:t>
      </w:r>
      <w:proofErr w:type="spellEnd"/>
      <w:r>
        <w:rPr>
          <w:lang w:val="de-DE"/>
        </w:rPr>
        <w:t>. (KEK sh.a.) është ndërmarrja më e madhe e prodhimit të energjisë në Republikën e Kosovës. Ajo është në pronësi të plotë të Qeverisë së Republikës së Kosovës. Funksioni parësor i Korporatës është nxjerrja e qymyrit dhe gjenerimi i energjisë elektrike. Për t’i përmbushur këto dy funksione, KEK është e organizuar në dy divizione: Divizionin e Mihjeve dhe Divizionin e Gjenerimit. Korporata operon me mihjen sipërfaqësore të linjitit (Mihja e Sibovcit Jugperëndimor) dhe me dy termocentrale, TC “Kosova A” dhe TC “Kosova B”. Aktualisht ka rreth 4.700 të punësuar në fusha të ndryshme të operimit, që e bën KEK-un një nga punëdhënësit më të mëdhenj në vend dhe boshtin ekonomik të komunave Obiliq dhe Fushë Kosovë.</w:t>
      </w:r>
    </w:p>
    <w:p w14:paraId="54F9FFEA" w14:textId="6C3606AC" w:rsidR="00A90CBB" w:rsidRPr="00503850" w:rsidRDefault="00112C45">
      <w:pPr>
        <w:spacing w:after="150" w:line="278" w:lineRule="auto"/>
        <w:jc w:val="both"/>
        <w:rPr>
          <w:lang w:val="de-DE"/>
        </w:rPr>
      </w:pPr>
      <w:r>
        <w:rPr>
          <w:lang w:val="de-DE"/>
        </w:rPr>
        <w:t>Në strukturën aktuale të prodhimit, dy termocentralet me linjit mbulojnë rreth 90% të prodhimit vendor të energjisë elektrike, ndërsa pjesa tjetër sigurohet nga hidrocentralet, nga kapacitetet ende të kufizuara të erës e diellit dhe nga importet. Kjo strukturë e përqendruar në linjit është njëkohësisht burimi kryesor i emetimeve të gazrave serrë dhe i ndotjes lokale të ajrit, pra pika nga ku niset tranzicioni. Tabela 1 përmbledh treguesit bazë të sektorit, të cilët shërbejnë si pikë referimi për matjen e progresit në vitet vijuese.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60"/>
        <w:gridCol w:w="2350"/>
        <w:gridCol w:w="2650"/>
      </w:tblGrid>
      <w:tr w:rsidR="00A90CBB" w14:paraId="76998259" w14:textId="77777777">
        <w:trPr>
          <w:tblHeader/>
        </w:trPr>
        <w:tc>
          <w:tcPr>
            <w:tcW w:w="436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15DB8B74" w14:textId="77777777" w:rsidR="00A90CBB" w:rsidRDefault="00112C45">
            <w:r>
              <w:rPr>
                <w:b/>
                <w:bCs/>
                <w:color w:val="FFFFFF"/>
                <w:sz w:val="19"/>
                <w:szCs w:val="19"/>
              </w:rPr>
              <w:t>Treguesi bazë</w:t>
            </w:r>
          </w:p>
        </w:tc>
        <w:tc>
          <w:tcPr>
            <w:tcW w:w="235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228193A5" w14:textId="77777777" w:rsidR="00A90CBB" w:rsidRDefault="00112C45">
            <w:r>
              <w:rPr>
                <w:b/>
                <w:bCs/>
                <w:color w:val="FFFFFF"/>
                <w:sz w:val="19"/>
                <w:szCs w:val="19"/>
              </w:rPr>
              <w:t>Vlera</w:t>
            </w:r>
          </w:p>
        </w:tc>
        <w:tc>
          <w:tcPr>
            <w:tcW w:w="265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6009E4C0" w14:textId="77777777" w:rsidR="00A90CBB" w:rsidRDefault="00112C45">
            <w:r>
              <w:rPr>
                <w:b/>
                <w:bCs/>
                <w:color w:val="FFFFFF"/>
                <w:sz w:val="19"/>
                <w:szCs w:val="19"/>
              </w:rPr>
              <w:t>Viti / burimi</w:t>
            </w:r>
          </w:p>
        </w:tc>
      </w:tr>
      <w:tr w:rsidR="00A90CBB" w14:paraId="1F8C736E" w14:textId="77777777">
        <w:tc>
          <w:tcPr>
            <w:tcW w:w="4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7A2A800C" w14:textId="77777777" w:rsidR="00A90CBB" w:rsidRDefault="00112C45">
            <w:pPr>
              <w:spacing w:line="252" w:lineRule="auto"/>
            </w:pPr>
            <w:r>
              <w:rPr>
                <w:sz w:val="19"/>
                <w:szCs w:val="19"/>
              </w:rPr>
              <w:t>Pjesëmarrja e linjitit në prodhimin vendor të energjisë elektrike</w:t>
            </w:r>
          </w:p>
        </w:tc>
        <w:tc>
          <w:tcPr>
            <w:tcW w:w="23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B7F45F8" w14:textId="77777777" w:rsidR="00A90CBB" w:rsidRDefault="00112C45">
            <w:pPr>
              <w:spacing w:line="252" w:lineRule="auto"/>
              <w:jc w:val="center"/>
            </w:pPr>
            <w:r>
              <w:rPr>
                <w:sz w:val="19"/>
                <w:szCs w:val="19"/>
              </w:rPr>
              <w:t>≈ 90%</w:t>
            </w:r>
          </w:p>
        </w:tc>
        <w:tc>
          <w:tcPr>
            <w:tcW w:w="26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CAC0D70" w14:textId="77777777" w:rsidR="00A90CBB" w:rsidRDefault="00112C45">
            <w:pPr>
              <w:spacing w:line="252" w:lineRule="auto"/>
            </w:pPr>
            <w:r>
              <w:rPr>
                <w:sz w:val="19"/>
                <w:szCs w:val="19"/>
              </w:rPr>
              <w:t>2023–2024 · KEK / Komuniteti i Energjisë</w:t>
            </w:r>
          </w:p>
        </w:tc>
      </w:tr>
      <w:tr w:rsidR="00A90CBB" w14:paraId="798AB79E" w14:textId="77777777">
        <w:tc>
          <w:tcPr>
            <w:tcW w:w="43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A351275" w14:textId="77777777" w:rsidR="00A90CBB" w:rsidRDefault="00112C45">
            <w:pPr>
              <w:spacing w:line="252" w:lineRule="auto"/>
            </w:pPr>
            <w:r>
              <w:rPr>
                <w:sz w:val="19"/>
                <w:szCs w:val="19"/>
              </w:rPr>
              <w:t>Numri i të punësuarve në KEK</w:t>
            </w:r>
          </w:p>
        </w:tc>
        <w:tc>
          <w:tcPr>
            <w:tcW w:w="23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11207FF" w14:textId="77777777" w:rsidR="00A90CBB" w:rsidRDefault="00112C45">
            <w:pPr>
              <w:spacing w:line="252" w:lineRule="auto"/>
              <w:jc w:val="center"/>
            </w:pPr>
            <w:r>
              <w:rPr>
                <w:sz w:val="19"/>
                <w:szCs w:val="19"/>
              </w:rPr>
              <w:t>≈ 4.700</w:t>
            </w:r>
          </w:p>
        </w:tc>
        <w:tc>
          <w:tcPr>
            <w:tcW w:w="26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BC96DEB" w14:textId="77777777" w:rsidR="00A90CBB" w:rsidRDefault="00112C45">
            <w:pPr>
              <w:spacing w:line="252" w:lineRule="auto"/>
            </w:pPr>
            <w:r>
              <w:rPr>
                <w:sz w:val="19"/>
                <w:szCs w:val="19"/>
              </w:rPr>
              <w:t>2024 · KEK</w:t>
            </w:r>
          </w:p>
        </w:tc>
      </w:tr>
      <w:tr w:rsidR="00A90CBB" w14:paraId="2781FFBA" w14:textId="77777777">
        <w:tc>
          <w:tcPr>
            <w:tcW w:w="4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9B33423" w14:textId="39252898" w:rsidR="00A90CBB" w:rsidRDefault="00112C45">
            <w:pPr>
              <w:spacing w:line="252" w:lineRule="auto"/>
            </w:pPr>
            <w:r>
              <w:rPr>
                <w:sz w:val="19"/>
                <w:szCs w:val="19"/>
              </w:rPr>
              <w:t xml:space="preserve">Kapaciteti diellor i instaluar </w:t>
            </w:r>
          </w:p>
        </w:tc>
        <w:tc>
          <w:tcPr>
            <w:tcW w:w="23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AE419C7" w14:textId="77777777" w:rsidR="00A90CBB" w:rsidRDefault="00112C45">
            <w:pPr>
              <w:spacing w:line="252" w:lineRule="auto"/>
              <w:jc w:val="center"/>
            </w:pPr>
            <w:r>
              <w:rPr>
                <w:sz w:val="19"/>
                <w:szCs w:val="19"/>
              </w:rPr>
              <w:t>≈ 10,1 MW</w:t>
            </w:r>
          </w:p>
        </w:tc>
        <w:tc>
          <w:tcPr>
            <w:tcW w:w="26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BBDB2D2" w14:textId="77777777" w:rsidR="00A90CBB" w:rsidRDefault="00112C45">
            <w:pPr>
              <w:spacing w:line="252" w:lineRule="auto"/>
            </w:pPr>
            <w:r>
              <w:rPr>
                <w:sz w:val="19"/>
                <w:szCs w:val="19"/>
              </w:rPr>
              <w:t>2024 · WBIF</w:t>
            </w:r>
          </w:p>
        </w:tc>
      </w:tr>
      <w:tr w:rsidR="00A90CBB" w14:paraId="18ACCE5B" w14:textId="77777777">
        <w:tc>
          <w:tcPr>
            <w:tcW w:w="43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413C4974" w14:textId="77777777" w:rsidR="00A90CBB" w:rsidRDefault="00112C45">
            <w:pPr>
              <w:spacing w:line="252" w:lineRule="auto"/>
            </w:pPr>
            <w:r>
              <w:rPr>
                <w:sz w:val="19"/>
                <w:szCs w:val="19"/>
              </w:rPr>
              <w:t>Emetimet e NOx të termocentraleve ndaj tavanit të NERP-it</w:t>
            </w:r>
          </w:p>
        </w:tc>
        <w:tc>
          <w:tcPr>
            <w:tcW w:w="23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40DABA89" w14:textId="77777777" w:rsidR="00A90CBB" w:rsidRDefault="00112C45">
            <w:pPr>
              <w:spacing w:line="252" w:lineRule="auto"/>
              <w:jc w:val="center"/>
            </w:pPr>
            <w:r>
              <w:rPr>
                <w:sz w:val="19"/>
                <w:szCs w:val="19"/>
              </w:rPr>
              <w:t>2,73 herë mbi tavan</w:t>
            </w:r>
          </w:p>
        </w:tc>
        <w:tc>
          <w:tcPr>
            <w:tcW w:w="26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232F9FB" w14:textId="77777777" w:rsidR="00A90CBB" w:rsidRDefault="00112C45">
            <w:pPr>
              <w:spacing w:line="252" w:lineRule="auto"/>
            </w:pPr>
            <w:r>
              <w:rPr>
                <w:sz w:val="19"/>
                <w:szCs w:val="19"/>
              </w:rPr>
              <w:t>2023 · Komuniteti i Energjisë</w:t>
            </w:r>
          </w:p>
        </w:tc>
      </w:tr>
      <w:tr w:rsidR="00A90CBB" w14:paraId="2B6A437A" w14:textId="77777777">
        <w:tc>
          <w:tcPr>
            <w:tcW w:w="4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8752711" w14:textId="77777777" w:rsidR="00A90CBB" w:rsidRPr="00503850" w:rsidRDefault="00112C45">
            <w:pPr>
              <w:spacing w:line="252" w:lineRule="auto"/>
              <w:rPr>
                <w:lang w:val="de-DE"/>
              </w:rPr>
            </w:pPr>
            <w:r>
              <w:rPr>
                <w:sz w:val="19"/>
                <w:szCs w:val="19"/>
                <w:lang w:val="de-DE"/>
              </w:rPr>
              <w:t>Konsumi në sektorin e ndërtesave ndaj konsumit total</w:t>
            </w:r>
          </w:p>
        </w:tc>
        <w:tc>
          <w:tcPr>
            <w:tcW w:w="23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1687EE3" w14:textId="77777777" w:rsidR="00A90CBB" w:rsidRDefault="00112C45">
            <w:pPr>
              <w:spacing w:line="252" w:lineRule="auto"/>
              <w:jc w:val="center"/>
            </w:pPr>
            <w:r>
              <w:rPr>
                <w:sz w:val="19"/>
                <w:szCs w:val="19"/>
              </w:rPr>
              <w:t>&gt; 40%</w:t>
            </w:r>
          </w:p>
        </w:tc>
        <w:tc>
          <w:tcPr>
            <w:tcW w:w="26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0D8776D" w14:textId="77777777" w:rsidR="00A90CBB" w:rsidRDefault="00112C45">
            <w:pPr>
              <w:spacing w:line="252" w:lineRule="auto"/>
            </w:pPr>
            <w:r>
              <w:rPr>
                <w:sz w:val="19"/>
                <w:szCs w:val="19"/>
              </w:rPr>
              <w:t>Strategjia e Energjisë 2022–2031</w:t>
            </w:r>
          </w:p>
        </w:tc>
      </w:tr>
      <w:tr w:rsidR="00A90CBB" w14:paraId="2C94E362" w14:textId="77777777">
        <w:tc>
          <w:tcPr>
            <w:tcW w:w="43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6AB6B1D" w14:textId="77777777" w:rsidR="00A90CBB" w:rsidRDefault="00112C45">
            <w:pPr>
              <w:spacing w:line="252" w:lineRule="auto"/>
            </w:pPr>
            <w:r>
              <w:rPr>
                <w:sz w:val="19"/>
                <w:szCs w:val="19"/>
              </w:rPr>
              <w:t>Caku i pjesëmarrjes së BRE-ve në konsumin e energjisë elektrike</w:t>
            </w:r>
          </w:p>
        </w:tc>
        <w:tc>
          <w:tcPr>
            <w:tcW w:w="23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938F3D1" w14:textId="77777777" w:rsidR="00A90CBB" w:rsidRDefault="00112C45">
            <w:pPr>
              <w:spacing w:line="252" w:lineRule="auto"/>
              <w:jc w:val="center"/>
            </w:pPr>
            <w:r>
              <w:rPr>
                <w:sz w:val="19"/>
                <w:szCs w:val="19"/>
              </w:rPr>
              <w:t>≥ 35% deri në 2031</w:t>
            </w:r>
          </w:p>
        </w:tc>
        <w:tc>
          <w:tcPr>
            <w:tcW w:w="26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8EE6491" w14:textId="77777777" w:rsidR="00A90CBB" w:rsidRDefault="00112C45">
            <w:pPr>
              <w:spacing w:line="252" w:lineRule="auto"/>
            </w:pPr>
            <w:r>
              <w:rPr>
                <w:sz w:val="19"/>
                <w:szCs w:val="19"/>
              </w:rPr>
              <w:t>Strategjia e Energjisë 2022–2031</w:t>
            </w:r>
          </w:p>
        </w:tc>
      </w:tr>
    </w:tbl>
    <w:p w14:paraId="66E3FA85" w14:textId="7F3DEDCC" w:rsidR="00A90CBB" w:rsidRPr="00503850" w:rsidRDefault="00112C45">
      <w:pPr>
        <w:spacing w:before="40" w:after="220"/>
        <w:rPr>
          <w:lang w:val="de-DE"/>
        </w:rPr>
      </w:pPr>
      <w:r>
        <w:rPr>
          <w:i/>
          <w:iCs/>
          <w:color w:val="595959"/>
          <w:sz w:val="18"/>
          <w:szCs w:val="18"/>
          <w:lang w:val="de-DE"/>
        </w:rPr>
        <w:t>Tabela 1. Treguesit bazë të sektorit të energjisë (pika e nisjes për matjen e progresit)</w:t>
      </w:r>
    </w:p>
    <w:p w14:paraId="530EAAF0" w14:textId="2638E1B2" w:rsidR="00A90CBB" w:rsidRPr="00503850" w:rsidRDefault="00A90CBB">
      <w:pPr>
        <w:spacing w:after="150" w:line="278" w:lineRule="auto"/>
        <w:jc w:val="both"/>
        <w:rPr>
          <w:lang w:val="de-DE"/>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0"/>
        <w:gridCol w:w="3000"/>
        <w:gridCol w:w="3000"/>
      </w:tblGrid>
      <w:tr w:rsidR="00A90CBB" w14:paraId="350593E1" w14:textId="77777777">
        <w:trPr>
          <w:tblHeader/>
        </w:trPr>
        <w:tc>
          <w:tcPr>
            <w:tcW w:w="336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74C0A53B" w14:textId="77777777" w:rsidR="00A90CBB" w:rsidRDefault="00112C45">
            <w:r>
              <w:rPr>
                <w:b/>
                <w:bCs/>
                <w:color w:val="FFFFFF"/>
                <w:sz w:val="19"/>
                <w:szCs w:val="19"/>
              </w:rPr>
              <w:lastRenderedPageBreak/>
              <w:t>Njësia prodhuese</w:t>
            </w:r>
          </w:p>
        </w:tc>
        <w:tc>
          <w:tcPr>
            <w:tcW w:w="30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1D8FC5CB" w14:textId="77777777" w:rsidR="00A90CBB" w:rsidRDefault="00112C45">
            <w:r>
              <w:rPr>
                <w:b/>
                <w:bCs/>
                <w:color w:val="FFFFFF"/>
                <w:sz w:val="19"/>
                <w:szCs w:val="19"/>
              </w:rPr>
              <w:t>Kapaciteti i instaluar (MW)</w:t>
            </w:r>
          </w:p>
        </w:tc>
        <w:tc>
          <w:tcPr>
            <w:tcW w:w="30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2FA3ABE1" w14:textId="77777777" w:rsidR="00A90CBB" w:rsidRDefault="00112C45">
            <w:r>
              <w:rPr>
                <w:b/>
                <w:bCs/>
                <w:color w:val="FFFFFF"/>
                <w:sz w:val="19"/>
                <w:szCs w:val="19"/>
              </w:rPr>
              <w:t>Kapaciteti neto (MW)</w:t>
            </w:r>
          </w:p>
        </w:tc>
      </w:tr>
      <w:tr w:rsidR="00A90CBB" w14:paraId="05E2CD34" w14:textId="77777777">
        <w:tc>
          <w:tcPr>
            <w:tcW w:w="3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20700F8" w14:textId="77777777" w:rsidR="00A90CBB" w:rsidRDefault="00112C45">
            <w:pPr>
              <w:spacing w:line="252" w:lineRule="auto"/>
            </w:pPr>
            <w:r>
              <w:rPr>
                <w:sz w:val="19"/>
                <w:szCs w:val="19"/>
              </w:rPr>
              <w:t>TC Kosova A</w:t>
            </w:r>
          </w:p>
        </w:tc>
        <w:tc>
          <w:tcPr>
            <w:tcW w:w="3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1BD08F4" w14:textId="77777777" w:rsidR="00A90CBB" w:rsidRDefault="00112C45">
            <w:pPr>
              <w:spacing w:line="252" w:lineRule="auto"/>
              <w:jc w:val="center"/>
            </w:pPr>
            <w:r>
              <w:rPr>
                <w:sz w:val="19"/>
                <w:szCs w:val="19"/>
              </w:rPr>
              <w:t>610</w:t>
            </w:r>
          </w:p>
        </w:tc>
        <w:tc>
          <w:tcPr>
            <w:tcW w:w="3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C0D50D4" w14:textId="77777777" w:rsidR="00A90CBB" w:rsidRDefault="00112C45">
            <w:pPr>
              <w:spacing w:line="252" w:lineRule="auto"/>
              <w:jc w:val="center"/>
            </w:pPr>
            <w:r>
              <w:rPr>
                <w:sz w:val="19"/>
                <w:szCs w:val="19"/>
              </w:rPr>
              <w:t>432</w:t>
            </w:r>
          </w:p>
        </w:tc>
      </w:tr>
      <w:tr w:rsidR="00A90CBB" w14:paraId="7013E4EF" w14:textId="77777777">
        <w:tc>
          <w:tcPr>
            <w:tcW w:w="33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8E704DA" w14:textId="77777777" w:rsidR="00A90CBB" w:rsidRDefault="00112C45">
            <w:pPr>
              <w:spacing w:line="252" w:lineRule="auto"/>
            </w:pPr>
            <w:r>
              <w:rPr>
                <w:sz w:val="19"/>
                <w:szCs w:val="19"/>
              </w:rPr>
              <w:t>TC Kosova B</w:t>
            </w:r>
          </w:p>
        </w:tc>
        <w:tc>
          <w:tcPr>
            <w:tcW w:w="30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1B20B8C" w14:textId="77777777" w:rsidR="00A90CBB" w:rsidRDefault="00112C45">
            <w:pPr>
              <w:spacing w:line="252" w:lineRule="auto"/>
              <w:jc w:val="center"/>
            </w:pPr>
            <w:r>
              <w:rPr>
                <w:sz w:val="19"/>
                <w:szCs w:val="19"/>
              </w:rPr>
              <w:t>678</w:t>
            </w:r>
          </w:p>
        </w:tc>
        <w:tc>
          <w:tcPr>
            <w:tcW w:w="30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671A000" w14:textId="77777777" w:rsidR="00A90CBB" w:rsidRDefault="00112C45">
            <w:pPr>
              <w:spacing w:line="252" w:lineRule="auto"/>
              <w:jc w:val="center"/>
            </w:pPr>
            <w:r>
              <w:rPr>
                <w:sz w:val="19"/>
                <w:szCs w:val="19"/>
              </w:rPr>
              <w:t>528</w:t>
            </w:r>
          </w:p>
        </w:tc>
      </w:tr>
      <w:tr w:rsidR="00A90CBB" w14:paraId="33C23E87" w14:textId="77777777">
        <w:tc>
          <w:tcPr>
            <w:tcW w:w="3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64299DD" w14:textId="77777777" w:rsidR="00A90CBB" w:rsidRDefault="00112C45">
            <w:pPr>
              <w:spacing w:line="252" w:lineRule="auto"/>
            </w:pPr>
            <w:r>
              <w:rPr>
                <w:sz w:val="19"/>
                <w:szCs w:val="19"/>
              </w:rPr>
              <w:t>Hidrocentrale (HC)</w:t>
            </w:r>
          </w:p>
        </w:tc>
        <w:tc>
          <w:tcPr>
            <w:tcW w:w="3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415827D" w14:textId="77777777" w:rsidR="00A90CBB" w:rsidRDefault="00112C45">
            <w:pPr>
              <w:spacing w:line="252" w:lineRule="auto"/>
              <w:jc w:val="center"/>
            </w:pPr>
            <w:r>
              <w:rPr>
                <w:sz w:val="19"/>
                <w:szCs w:val="19"/>
              </w:rPr>
              <w:t>135,904</w:t>
            </w:r>
          </w:p>
        </w:tc>
        <w:tc>
          <w:tcPr>
            <w:tcW w:w="3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83BA8A9" w14:textId="77777777" w:rsidR="00A90CBB" w:rsidRDefault="00112C45">
            <w:pPr>
              <w:spacing w:line="252" w:lineRule="auto"/>
              <w:jc w:val="center"/>
            </w:pPr>
            <w:r>
              <w:rPr>
                <w:sz w:val="19"/>
                <w:szCs w:val="19"/>
              </w:rPr>
              <w:t>132,004</w:t>
            </w:r>
          </w:p>
        </w:tc>
      </w:tr>
      <w:tr w:rsidR="00A90CBB" w14:paraId="20B53A71" w14:textId="77777777">
        <w:tc>
          <w:tcPr>
            <w:tcW w:w="33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DE5806F" w14:textId="77777777" w:rsidR="00A90CBB" w:rsidRDefault="00112C45">
            <w:pPr>
              <w:spacing w:line="252" w:lineRule="auto"/>
            </w:pPr>
            <w:r>
              <w:rPr>
                <w:sz w:val="19"/>
                <w:szCs w:val="19"/>
              </w:rPr>
              <w:t>Centrale me erë</w:t>
            </w:r>
          </w:p>
        </w:tc>
        <w:tc>
          <w:tcPr>
            <w:tcW w:w="30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87CEF6D" w14:textId="77777777" w:rsidR="00A90CBB" w:rsidRDefault="00112C45">
            <w:pPr>
              <w:spacing w:line="252" w:lineRule="auto"/>
              <w:jc w:val="center"/>
            </w:pPr>
            <w:r>
              <w:rPr>
                <w:sz w:val="19"/>
                <w:szCs w:val="19"/>
              </w:rPr>
              <w:t>137,16</w:t>
            </w:r>
          </w:p>
        </w:tc>
        <w:tc>
          <w:tcPr>
            <w:tcW w:w="30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5BF9FEEA" w14:textId="77777777" w:rsidR="00A90CBB" w:rsidRDefault="00112C45">
            <w:pPr>
              <w:spacing w:line="252" w:lineRule="auto"/>
              <w:jc w:val="center"/>
            </w:pPr>
            <w:r>
              <w:rPr>
                <w:sz w:val="19"/>
                <w:szCs w:val="19"/>
              </w:rPr>
              <w:t>137,16</w:t>
            </w:r>
          </w:p>
        </w:tc>
      </w:tr>
      <w:tr w:rsidR="00A90CBB" w14:paraId="6AF42E16" w14:textId="77777777">
        <w:tc>
          <w:tcPr>
            <w:tcW w:w="3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38FB5F3" w14:textId="77777777" w:rsidR="00A90CBB" w:rsidRDefault="00112C45">
            <w:pPr>
              <w:spacing w:line="252" w:lineRule="auto"/>
            </w:pPr>
            <w:r>
              <w:rPr>
                <w:sz w:val="19"/>
                <w:szCs w:val="19"/>
              </w:rPr>
              <w:t>Centrale fotovoltaike</w:t>
            </w:r>
          </w:p>
        </w:tc>
        <w:tc>
          <w:tcPr>
            <w:tcW w:w="3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B440E43" w14:textId="77777777" w:rsidR="00A90CBB" w:rsidRDefault="00112C45">
            <w:pPr>
              <w:spacing w:line="252" w:lineRule="auto"/>
              <w:jc w:val="center"/>
            </w:pPr>
            <w:r>
              <w:rPr>
                <w:sz w:val="19"/>
                <w:szCs w:val="19"/>
              </w:rPr>
              <w:t>26,002</w:t>
            </w:r>
          </w:p>
        </w:tc>
        <w:tc>
          <w:tcPr>
            <w:tcW w:w="3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CE3D1CC" w14:textId="77777777" w:rsidR="00A90CBB" w:rsidRDefault="00112C45">
            <w:pPr>
              <w:spacing w:line="252" w:lineRule="auto"/>
              <w:jc w:val="center"/>
            </w:pPr>
            <w:r>
              <w:rPr>
                <w:sz w:val="19"/>
                <w:szCs w:val="19"/>
              </w:rPr>
              <w:t>26,002</w:t>
            </w:r>
          </w:p>
        </w:tc>
      </w:tr>
      <w:tr w:rsidR="00A90CBB" w14:paraId="52197B05" w14:textId="77777777">
        <w:tc>
          <w:tcPr>
            <w:tcW w:w="33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498FDED" w14:textId="77777777" w:rsidR="00A90CBB" w:rsidRDefault="00112C45">
            <w:pPr>
              <w:spacing w:line="252" w:lineRule="auto"/>
            </w:pPr>
            <w:r>
              <w:rPr>
                <w:sz w:val="19"/>
                <w:szCs w:val="19"/>
              </w:rPr>
              <w:t>Biomasë</w:t>
            </w:r>
          </w:p>
        </w:tc>
        <w:tc>
          <w:tcPr>
            <w:tcW w:w="30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C523135" w14:textId="77777777" w:rsidR="00A90CBB" w:rsidRDefault="00112C45">
            <w:pPr>
              <w:spacing w:line="252" w:lineRule="auto"/>
              <w:jc w:val="center"/>
            </w:pPr>
            <w:r>
              <w:rPr>
                <w:sz w:val="19"/>
                <w:szCs w:val="19"/>
              </w:rPr>
              <w:t>1,12</w:t>
            </w:r>
          </w:p>
        </w:tc>
        <w:tc>
          <w:tcPr>
            <w:tcW w:w="30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8369C5E" w14:textId="77777777" w:rsidR="00A90CBB" w:rsidRDefault="00112C45">
            <w:pPr>
              <w:spacing w:line="252" w:lineRule="auto"/>
              <w:jc w:val="center"/>
            </w:pPr>
            <w:r>
              <w:rPr>
                <w:sz w:val="19"/>
                <w:szCs w:val="19"/>
              </w:rPr>
              <w:t>1,12</w:t>
            </w:r>
          </w:p>
        </w:tc>
      </w:tr>
      <w:tr w:rsidR="00A90CBB" w14:paraId="46AD48E4" w14:textId="77777777">
        <w:tc>
          <w:tcPr>
            <w:tcW w:w="3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691437C" w14:textId="77777777" w:rsidR="00A90CBB" w:rsidRDefault="00112C45">
            <w:pPr>
              <w:spacing w:line="252" w:lineRule="auto"/>
            </w:pPr>
            <w:r>
              <w:rPr>
                <w:sz w:val="19"/>
                <w:szCs w:val="19"/>
              </w:rPr>
              <w:t>Prosumatorë</w:t>
            </w:r>
          </w:p>
        </w:tc>
        <w:tc>
          <w:tcPr>
            <w:tcW w:w="3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7DD6CFA0" w14:textId="77777777" w:rsidR="00A90CBB" w:rsidRDefault="00112C45">
            <w:pPr>
              <w:spacing w:line="252" w:lineRule="auto"/>
              <w:jc w:val="center"/>
            </w:pPr>
            <w:r>
              <w:rPr>
                <w:sz w:val="19"/>
                <w:szCs w:val="19"/>
              </w:rPr>
              <w:t>26,238</w:t>
            </w:r>
          </w:p>
        </w:tc>
        <w:tc>
          <w:tcPr>
            <w:tcW w:w="3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4E81653" w14:textId="77777777" w:rsidR="00A90CBB" w:rsidRDefault="00112C45">
            <w:pPr>
              <w:spacing w:line="252" w:lineRule="auto"/>
              <w:jc w:val="center"/>
            </w:pPr>
            <w:r>
              <w:rPr>
                <w:sz w:val="19"/>
                <w:szCs w:val="19"/>
              </w:rPr>
              <w:t>26,238</w:t>
            </w:r>
          </w:p>
        </w:tc>
      </w:tr>
      <w:tr w:rsidR="00A90CBB" w14:paraId="2A0D6AFF" w14:textId="77777777">
        <w:tc>
          <w:tcPr>
            <w:tcW w:w="3360" w:type="dxa"/>
            <w:tcBorders>
              <w:top w:val="single" w:sz="2" w:space="0" w:color="BFBFBF"/>
              <w:left w:val="single" w:sz="2" w:space="0" w:color="BFBFBF"/>
              <w:bottom w:val="single" w:sz="2" w:space="0" w:color="BFBFBF"/>
              <w:right w:val="single" w:sz="2" w:space="0" w:color="BFBFBF"/>
            </w:tcBorders>
            <w:shd w:val="clear" w:color="auto" w:fill="DCE6F4"/>
            <w:tcMar>
              <w:top w:w="70" w:type="dxa"/>
              <w:left w:w="110" w:type="dxa"/>
              <w:bottom w:w="70" w:type="dxa"/>
              <w:right w:w="110" w:type="dxa"/>
            </w:tcMar>
            <w:vAlign w:val="center"/>
          </w:tcPr>
          <w:p w14:paraId="00D22B66" w14:textId="77777777" w:rsidR="00A90CBB" w:rsidRDefault="00112C45">
            <w:pPr>
              <w:spacing w:line="252" w:lineRule="auto"/>
            </w:pPr>
            <w:r>
              <w:rPr>
                <w:b/>
                <w:bCs/>
                <w:sz w:val="19"/>
                <w:szCs w:val="19"/>
              </w:rPr>
              <w:t>Total</w:t>
            </w:r>
          </w:p>
        </w:tc>
        <w:tc>
          <w:tcPr>
            <w:tcW w:w="3000" w:type="dxa"/>
            <w:tcBorders>
              <w:top w:val="single" w:sz="2" w:space="0" w:color="BFBFBF"/>
              <w:left w:val="single" w:sz="2" w:space="0" w:color="BFBFBF"/>
              <w:bottom w:val="single" w:sz="2" w:space="0" w:color="BFBFBF"/>
              <w:right w:val="single" w:sz="2" w:space="0" w:color="BFBFBF"/>
            </w:tcBorders>
            <w:shd w:val="clear" w:color="auto" w:fill="DCE6F4"/>
            <w:tcMar>
              <w:top w:w="70" w:type="dxa"/>
              <w:left w:w="110" w:type="dxa"/>
              <w:bottom w:w="70" w:type="dxa"/>
              <w:right w:w="110" w:type="dxa"/>
            </w:tcMar>
            <w:vAlign w:val="center"/>
          </w:tcPr>
          <w:p w14:paraId="19D78FFE" w14:textId="77777777" w:rsidR="00A90CBB" w:rsidRDefault="00112C45">
            <w:pPr>
              <w:spacing w:line="252" w:lineRule="auto"/>
              <w:jc w:val="center"/>
            </w:pPr>
            <w:r>
              <w:rPr>
                <w:b/>
                <w:bCs/>
                <w:sz w:val="19"/>
                <w:szCs w:val="19"/>
              </w:rPr>
              <w:t>1.614,424</w:t>
            </w:r>
          </w:p>
        </w:tc>
        <w:tc>
          <w:tcPr>
            <w:tcW w:w="3000" w:type="dxa"/>
            <w:tcBorders>
              <w:top w:val="single" w:sz="2" w:space="0" w:color="BFBFBF"/>
              <w:left w:val="single" w:sz="2" w:space="0" w:color="BFBFBF"/>
              <w:bottom w:val="single" w:sz="2" w:space="0" w:color="BFBFBF"/>
              <w:right w:val="single" w:sz="2" w:space="0" w:color="BFBFBF"/>
            </w:tcBorders>
            <w:shd w:val="clear" w:color="auto" w:fill="DCE6F4"/>
            <w:tcMar>
              <w:top w:w="70" w:type="dxa"/>
              <w:left w:w="110" w:type="dxa"/>
              <w:bottom w:w="70" w:type="dxa"/>
              <w:right w:w="110" w:type="dxa"/>
            </w:tcMar>
            <w:vAlign w:val="center"/>
          </w:tcPr>
          <w:p w14:paraId="7DBBD5FE" w14:textId="77777777" w:rsidR="00A90CBB" w:rsidRDefault="00112C45">
            <w:pPr>
              <w:spacing w:line="252" w:lineRule="auto"/>
              <w:jc w:val="center"/>
            </w:pPr>
            <w:r>
              <w:rPr>
                <w:b/>
                <w:bCs/>
                <w:sz w:val="19"/>
                <w:szCs w:val="19"/>
              </w:rPr>
              <w:t>1.282,524</w:t>
            </w:r>
          </w:p>
        </w:tc>
      </w:tr>
    </w:tbl>
    <w:p w14:paraId="5FCE8224" w14:textId="38A07890" w:rsidR="00A90CBB" w:rsidRPr="00503850" w:rsidRDefault="00112C45">
      <w:pPr>
        <w:spacing w:before="40" w:after="220"/>
        <w:rPr>
          <w:lang w:val="de-DE"/>
        </w:rPr>
      </w:pPr>
      <w:r>
        <w:rPr>
          <w:i/>
          <w:iCs/>
          <w:color w:val="595959"/>
          <w:sz w:val="18"/>
          <w:szCs w:val="18"/>
          <w:lang w:val="de-DE"/>
        </w:rPr>
        <w:t>Tabela 2. Kapacitetet e instaluara të prodhimit të energjisë elektrike</w:t>
      </w:r>
    </w:p>
    <w:p w14:paraId="10638030" w14:textId="77777777" w:rsidR="00A90CBB" w:rsidRPr="00503850" w:rsidRDefault="00112C45">
      <w:pPr>
        <w:spacing w:after="150" w:line="278" w:lineRule="auto"/>
        <w:jc w:val="both"/>
        <w:rPr>
          <w:lang w:val="de-DE"/>
        </w:rPr>
      </w:pPr>
      <w:r>
        <w:rPr>
          <w:lang w:val="de-DE"/>
        </w:rPr>
        <w:t>Të dyja termocentralet ndodhen në komunën e Obiliqit. TC “Kosova A” u ndërtua në periudhën 1962–1975 me pesë njësi; dy njësitë e para janë tashmë jashtë përdorimit, ndërsa mbeten në operim tri njësi me kapacitet rreth 200 MW secila. TC “Kosova B” përbëhet nga dy njësi prej 340 MW secila, të vëna në punë në vitet 1983–1984. Mosha e lartë e këtyre kapaciteteve, veçanërisht e njësive të “Kosova A”, përcakton në masë të madhe sekuencën e tranzicionit: njësitë më të vjetra i afrohen fundit të jetëgjatësisë teknike, ndërsa “Kosova B” i nënshtrohet modernizimit për të përmbushur standardet e Direktivës për Emetimet Industriale (IED) dhe për të shërbyer si kapacitet bazë gjatë fazës kalimtare.</w:t>
      </w:r>
    </w:p>
    <w:p w14:paraId="5439747F" w14:textId="77777777" w:rsidR="00A90CBB" w:rsidRPr="00503850" w:rsidRDefault="00112C45">
      <w:pPr>
        <w:spacing w:after="150" w:line="278" w:lineRule="auto"/>
        <w:jc w:val="both"/>
        <w:rPr>
          <w:lang w:val="de-DE"/>
        </w:rPr>
      </w:pPr>
      <w:r>
        <w:rPr>
          <w:lang w:val="de-DE"/>
        </w:rPr>
        <w:t>Operatori i sistemit të transmisionit dhe tregut, KOSTT, ka një plan zhvillimor 2025–2034 që përqendrohet në përforcimin e rrjetit. Plani përshkruan investime strategjike për përmirësimin e rrjetit të transmetimit, duke mundësuar rritjen e integrimit të burimeve të ripërtëritshme të energjisë (BRE) dhe duke mbështetur indirekt një tranzicion të drejtë. Projektet kryesore përfshijnë ndërtimin dhe përmirësimin e linjave të transmetimit me tension të lartë, të cilat mbështesin kapacitetin e rrjetit për BRE të ndryshueshme si era dhe dielli. Investimet në teknologjitë e rrjetit inteligjent – si përmirësimet SCADA/EMS dhe matja inteligjente – përmirësojnë menaxhimin e rrjetit dhe mundësojnë pjesëmarrjen e konsumatorëve, ndërsa Sistemet e Ruajtjes së Energjisë në Bateri (BESS) adresojnë ndërprerjen e BRE-ve dhe sigurojnë furnizim të besueshëm.</w:t>
      </w:r>
    </w:p>
    <w:p w14:paraId="3B371BC8" w14:textId="032C64ED" w:rsidR="00A90CBB" w:rsidRPr="00503850" w:rsidRDefault="00112C45">
      <w:pPr>
        <w:spacing w:after="150" w:line="278" w:lineRule="auto"/>
        <w:jc w:val="both"/>
        <w:rPr>
          <w:lang w:val="de-DE"/>
        </w:rPr>
      </w:pPr>
      <w:r>
        <w:rPr>
          <w:lang w:val="de-DE"/>
        </w:rPr>
        <w:t>Këto përmirësime mund të lehtësojnë arritjen e objektivit për 35% pjesëmarrje të BRE-ve në konsumin e energjisë elektrike deri në vitin 2031 dhe të promovojnë një tranzicion të drejtë, duke krijuar vende pune të gjelbra në rajone si Obiliqi, historikisht të varura nga qymyri, dhe duke mbështetur diversifikimin ekonomik. KOSTT ka projekte të financuara edhe nga Bashkimi Evropian dhe nga institucionet financiare ndërkombëtare (IFN), si Banka Evropiane për Rindërtim dhe Zhvillim (BERZH) dhe KfW.</w:t>
      </w:r>
    </w:p>
    <w:p w14:paraId="4C3193DC" w14:textId="08A97B7A" w:rsidR="00A90CBB" w:rsidRPr="00503850" w:rsidRDefault="00112C45">
      <w:pPr>
        <w:spacing w:after="150" w:line="278" w:lineRule="auto"/>
        <w:jc w:val="both"/>
        <w:rPr>
          <w:lang w:val="de-DE"/>
        </w:rPr>
      </w:pPr>
      <w:r>
        <w:rPr>
          <w:lang w:val="de-DE"/>
        </w:rPr>
        <w:t>Fokusi i planit në ndërlidhjet rajonale si integrimi me Bursën Shqiptare të Energjisë (ALPEX) – mbështet tregtinë ndërkufitare të energjisë së ripërtëritshme, duke rritur sigurinë e energjisë dhe integrimin e BRE-ve në rrjet. Asetet fleksibile të rrjetit, si sistemet dinamike të vlerësimit të linjave, optimizojnë infrastrukturën për të akomoduar integrim më të lartë të BRE-ve. Për një tranzicion të drejtë, këto investime zbusin në mënyrë indirekte ndikimet sociale dhe ekonomike, duke siguruar infrastrukturë për projekte të vogla të BRE-ve, duke fuqizuar komunitetet e energjisë dhe duke krijuar mundësi punësimi në sektorin e burimeve të ripërtëritshme të energjisë.</w:t>
      </w:r>
    </w:p>
    <w:p w14:paraId="25022E59" w14:textId="4B3DF37F" w:rsidR="00A90CBB" w:rsidRDefault="00112C45">
      <w:pPr>
        <w:spacing w:after="150" w:line="278" w:lineRule="auto"/>
        <w:jc w:val="both"/>
      </w:pPr>
      <w:r>
        <w:lastRenderedPageBreak/>
        <w:t>Zyra e Rregullatorit për Energji (ZRRE) është organ rregullator i pavarur. Funksioni i saj kryesor është të rregullojë aktivitetet në sektorin e energjisë: energjinë elektrike dhe ngrohjen qendrore në përputhje me detyrimet që rrjedhin nga Traktati i Komunitetit të Energjisë. Mandati i ZRRE-së përfshin lëshimin e licencave dhe monitorimin e zbatimit të tyre, miratimin e tarifave për aktivitetet e shërbimeve publike, vendosjen e detyrimeve të furnizimit publik, ofrimin e zgjidhjes së mosmarrëveshjeve dhe hartimin e legjislacionit dytësor. ZRRE është gjithashtu përgjegjëse për krijimin e kornizës rregullatore që siguron funksionim transparent dhe jodiskriminues të tregut të energjisë.</w:t>
      </w:r>
    </w:p>
    <w:p w14:paraId="5FB8D47D" w14:textId="77777777" w:rsidR="00A90CBB" w:rsidRDefault="00112C45">
      <w:pPr>
        <w:pStyle w:val="Heading2"/>
      </w:pPr>
      <w:bookmarkStart w:id="25" w:name="_Toc231392859"/>
      <w:r>
        <w:t>4.2 Potenciali i investimeve në energjinë e ripërtëritshme</w:t>
      </w:r>
      <w:bookmarkEnd w:id="25"/>
    </w:p>
    <w:p w14:paraId="50BC962D" w14:textId="22B33A5C" w:rsidR="00A90CBB" w:rsidRDefault="00112C45">
      <w:pPr>
        <w:spacing w:after="150" w:line="278" w:lineRule="auto"/>
        <w:jc w:val="both"/>
      </w:pPr>
      <w:r>
        <w:t xml:space="preserve">Kosova ka potencial të konsiderueshëm për investime në energjinë e ripërtëritshme. Strategjia e Energjisë 2022–2031 synon një kapacitet të përgjithshëm kumulativ prej rreth 1.600 MW nga BRE deri në vitin 2031, prej të cilave rreth 1.320 MW janë kapacitete të reja. Kjo përfshin 600 MW nga era, 600 MW nga energjia diellore, 20 MW nga biomasa dhe të paktën 100 MW nga konsumatorët vetëprodhues (prosumatorë). </w:t>
      </w:r>
    </w:p>
    <w:p w14:paraId="6DDA2339" w14:textId="6B28366C" w:rsidR="00A90CBB" w:rsidRDefault="00112C45">
      <w:pPr>
        <w:spacing w:after="150" w:line="278" w:lineRule="auto"/>
        <w:jc w:val="both"/>
      </w:pPr>
      <w:r>
        <w:t>Me rrezatim të lartë diellor (rreth 1.500–1.600 kWh/m² në vit) dhe korridore të favorshme të erës, Kosova ofron mundësi tërheqëse, të mbështetura nga një mjedis konkurrues biznesi, norma të ulëta tatimore (10% tatim të fitimit të korporatave) dhe një kuadër transparent për investimet e huaja. Në tërësi, Strategjia synon që deri në vitin 2031 të paktën 35% e konsumit të energjisë elektrike të mbulohet nga burimet e ripërtëritshme dhe, paralelisht, reduktimin e emetimeve të gazrave serrë në sektorin e energjisë me të paktën 32% krahasuar me nivelet e vitit 2020. Këto objektiva do të arrihen kryesisht përmes ankandeve dhe investimeve private.</w:t>
      </w:r>
    </w:p>
    <w:p w14:paraId="64862A9B" w14:textId="4BE40B39" w:rsidR="00A90CBB" w:rsidRDefault="00112C45">
      <w:pPr>
        <w:spacing w:after="150" w:line="278" w:lineRule="auto"/>
        <w:jc w:val="both"/>
      </w:pPr>
      <w:r>
        <w:t xml:space="preserve">Në vitin 2024, Kosova përfundoi ankandin e saj të parë për energji diellore. </w:t>
      </w:r>
      <w:proofErr w:type="spellStart"/>
      <w:r w:rsidR="008C5C7F">
        <w:t>Prej</w:t>
      </w:r>
      <w:proofErr w:type="spellEnd"/>
      <w:r w:rsidR="008C5C7F">
        <w:t xml:space="preserve"> </w:t>
      </w:r>
      <w:proofErr w:type="spellStart"/>
      <w:r w:rsidR="008C5C7F">
        <w:t>të</w:t>
      </w:r>
      <w:proofErr w:type="spellEnd"/>
      <w:r w:rsidR="008C5C7F">
        <w:t xml:space="preserve"> </w:t>
      </w:r>
      <w:proofErr w:type="spellStart"/>
      <w:r w:rsidR="008C5C7F">
        <w:t>cilit</w:t>
      </w:r>
      <w:proofErr w:type="spellEnd"/>
      <w:r w:rsidR="008C5C7F">
        <w:t xml:space="preserve"> </w:t>
      </w:r>
      <w:proofErr w:type="spellStart"/>
      <w:r w:rsidR="008C5C7F">
        <w:t>derivoi</w:t>
      </w:r>
      <w:proofErr w:type="spellEnd"/>
      <w:r w:rsidR="008C5C7F">
        <w:t xml:space="preserve"> </w:t>
      </w:r>
      <w:proofErr w:type="spellStart"/>
      <w:r w:rsidR="008C5C7F">
        <w:t>fituesi</w:t>
      </w:r>
      <w:proofErr w:type="spellEnd"/>
      <w:r w:rsidR="008C5C7F">
        <w:t xml:space="preserve"> </w:t>
      </w:r>
      <w:proofErr w:type="spellStart"/>
      <w:r w:rsidR="008C5C7F">
        <w:t>për</w:t>
      </w:r>
      <w:proofErr w:type="spellEnd"/>
      <w:r w:rsidR="008C5C7F">
        <w:t xml:space="preserve"> </w:t>
      </w:r>
      <w:proofErr w:type="spellStart"/>
      <w:r w:rsidR="008C5C7F">
        <w:t>realizimin</w:t>
      </w:r>
      <w:proofErr w:type="spellEnd"/>
      <w:r w:rsidR="008C5C7F">
        <w:t xml:space="preserve"> e </w:t>
      </w:r>
      <w:proofErr w:type="spellStart"/>
      <w:r w:rsidR="008C5C7F">
        <w:t>parkut</w:t>
      </w:r>
      <w:proofErr w:type="spellEnd"/>
      <w:r w:rsidR="008C5C7F">
        <w:t xml:space="preserve"> solar </w:t>
      </w:r>
      <w:proofErr w:type="spellStart"/>
      <w:r w:rsidR="008C5C7F">
        <w:t>prej</w:t>
      </w:r>
      <w:proofErr w:type="spellEnd"/>
      <w:r w:rsidR="008C5C7F">
        <w:t xml:space="preserve"> </w:t>
      </w:r>
      <w:r>
        <w:t xml:space="preserve">100 MW </w:t>
      </w:r>
      <w:proofErr w:type="spellStart"/>
      <w:r>
        <w:t>në</w:t>
      </w:r>
      <w:proofErr w:type="spellEnd"/>
      <w:r>
        <w:t xml:space="preserve"> </w:t>
      </w:r>
      <w:proofErr w:type="spellStart"/>
      <w:r>
        <w:t>Kramovik</w:t>
      </w:r>
      <w:proofErr w:type="spellEnd"/>
      <w:r>
        <w:t xml:space="preserve"> (</w:t>
      </w:r>
      <w:proofErr w:type="spellStart"/>
      <w:r>
        <w:t>komuna</w:t>
      </w:r>
      <w:proofErr w:type="spellEnd"/>
      <w:r>
        <w:t xml:space="preserve"> e </w:t>
      </w:r>
      <w:proofErr w:type="spellStart"/>
      <w:r>
        <w:t>Rahovecit</w:t>
      </w:r>
      <w:proofErr w:type="spellEnd"/>
      <w:r>
        <w:t>), me çmim prej 48,88 €/MWh. Ankandi siguroi një proces transparent dhe të barabartë për ofertuesit e kualifikuar dhe dëshmoi interesin në rritje të investitorëve për potencialin e gjerë të BRE-ve. Në fund të vitit 2024, Kosova nisi gjithashtu ankandin e parë për energjinë e erës, për mbështetjen e energjisë së prodhuar nga era me kapacitet të synuar prej 50 deri 100 MW; aktualisht është e hapur faza e dytë e procesit (Kërkesa për Propozime).</w:t>
      </w:r>
    </w:p>
    <w:p w14:paraId="0A1D618A" w14:textId="26D7F952" w:rsidR="00A90CBB" w:rsidRDefault="00112C45">
      <w:pPr>
        <w:spacing w:after="150" w:line="278" w:lineRule="auto"/>
        <w:jc w:val="both"/>
      </w:pPr>
      <w:r>
        <w:t xml:space="preserve">KEK po përparon gjithashtu iniciativat e veta të BRE-ve. Projekti i parë i </w:t>
      </w:r>
      <w:proofErr w:type="spellStart"/>
      <w:r>
        <w:t>shkallës</w:t>
      </w:r>
      <w:proofErr w:type="spellEnd"/>
      <w:r>
        <w:t xml:space="preserve"> </w:t>
      </w:r>
      <w:proofErr w:type="spellStart"/>
      <w:r>
        <w:t>së</w:t>
      </w:r>
      <w:proofErr w:type="spellEnd"/>
      <w:r>
        <w:t xml:space="preserve"> </w:t>
      </w:r>
      <w:proofErr w:type="spellStart"/>
      <w:r>
        <w:t>madhe</w:t>
      </w:r>
      <w:proofErr w:type="spellEnd"/>
      <w:r>
        <w:t xml:space="preserve">, </w:t>
      </w:r>
      <w:proofErr w:type="spellStart"/>
      <w:r>
        <w:t>parasheh</w:t>
      </w:r>
      <w:proofErr w:type="spellEnd"/>
      <w:r>
        <w:t xml:space="preserve"> </w:t>
      </w:r>
      <w:proofErr w:type="spellStart"/>
      <w:r>
        <w:t>një</w:t>
      </w:r>
      <w:proofErr w:type="spellEnd"/>
      <w:r>
        <w:t xml:space="preserve"> central </w:t>
      </w:r>
      <w:proofErr w:type="spellStart"/>
      <w:r>
        <w:t>fotovoltaik</w:t>
      </w:r>
      <w:proofErr w:type="spellEnd"/>
      <w:r>
        <w:t xml:space="preserve"> me lidhje rrjeti deri në 100 MW (rreth 120 MWp) në fushat e ish-deponive të hirit pranë TC “Kosova A”, me kosto totale rreth 104 milionë euro. Financimi është i strukturuar si kombinim grant–kredi: një grant prej rreth 32 milionë euro nga Korniza Investuese për Ballkanin Perëndimor (WBIF) e financuar nga BE-ja, një kredi prej 33 milionë euro nga Banka Evropiane e Investimeve (BEI) dhe një kredi prej 29 milionë euro nga KfW. Centrali pritet të prodhojë rreth 150–170 GWh në vit dhe të shmangë mbi 150.000 tonë CO₂ në vit, duke rritur kapacitetin diellor të vendit nga rreth 10 MW në mbi 110 MW. Për menaxhimin e këtij projekti dhe të projekteve të ardhshme është krijuar një Njësi e dedikuar për Zbatimin e Projektit, së bashku me një divizion të specializuar për Burimet e Ripërtëritshme që paraqet një ngritje kapacitetesh të rëndësishme për tranzicionin e drejtë.</w:t>
      </w:r>
    </w:p>
    <w:p w14:paraId="2433ADD2" w14:textId="77777777" w:rsidR="00A90CBB" w:rsidRDefault="00112C45">
      <w:pPr>
        <w:pStyle w:val="Heading2"/>
      </w:pPr>
      <w:bookmarkStart w:id="26" w:name="_Toc231392860"/>
      <w:r>
        <w:t>4.3 Efiçienca e energjisë në Kosovë</w:t>
      </w:r>
      <w:bookmarkEnd w:id="26"/>
    </w:p>
    <w:p w14:paraId="6DA01E17" w14:textId="243DABFF" w:rsidR="00A90CBB" w:rsidRDefault="00112C45">
      <w:pPr>
        <w:spacing w:after="150" w:line="278" w:lineRule="auto"/>
        <w:jc w:val="both"/>
      </w:pPr>
      <w:r>
        <w:t xml:space="preserve">Efiçienca e energjisë është një nga instrumentet kryesore për uljen e konsumit dhe përmirësimin e performancës energjetike në nivel vendi. Deri tani, masat e efiçiencës janë zbatuar në ndërtesa publike dhe rezidenciale, në përputhje me caqet e Strategjisë së Energjisë 2022–2031. Paralelisht, familjet dhe ndërmarrjet mikro, të vogla dhe të mesme janë mbështetur përmes programeve të dedikuara që synojnë </w:t>
      </w:r>
      <w:r>
        <w:lastRenderedPageBreak/>
        <w:t>rritjen e efiçiencës dhe përdorimin e burimeve të ripërtëritshme. Me qëllim të uljes së konsumit, investimi në masa efiçience në ndërtesa publike dhe rezidenciale do të vazhdojë, përfshirë përmes mbështetjes së donatorëve dhe Fondit të Kosovës për Efiçiencë të Energjisë (FKEE).</w:t>
      </w:r>
    </w:p>
    <w:p w14:paraId="0730CDD0" w14:textId="558DAD1B" w:rsidR="00A90CBB" w:rsidRDefault="00DC7408" w:rsidP="00DC7408">
      <w:pPr>
        <w:pStyle w:val="Heading1"/>
      </w:pPr>
      <w:bookmarkStart w:id="27" w:name="_Toc231392861"/>
      <w:r>
        <w:t>5. Vizioni strategjik, objektivat dhe rruga drejt tranzicionit të drejtë</w:t>
      </w:r>
      <w:bookmarkEnd w:id="27"/>
    </w:p>
    <w:p w14:paraId="765457F6" w14:textId="77777777" w:rsidR="00A90CBB" w:rsidRPr="00DC7408" w:rsidRDefault="00112C45">
      <w:pPr>
        <w:spacing w:after="150" w:line="278" w:lineRule="auto"/>
        <w:jc w:val="both"/>
        <w:rPr>
          <w:i/>
          <w:iCs/>
        </w:rPr>
      </w:pPr>
      <w:r>
        <w:rPr>
          <w:i/>
          <w:iCs/>
        </w:rPr>
        <w:t>Duke u bazuar në kontekstin dhe prioritetet strategjike, ky kapitull përcakton vizionin afatgjatë, objektivat strategjike dhe drejtimet kryesore për zbatimin e tranzicionit të drejtë energjetik në Kosovë, duke shërbyer si bazë orientuese për transformimin e sektorit të energjisë.</w:t>
      </w:r>
    </w:p>
    <w:p w14:paraId="1CBF6970" w14:textId="223F4855" w:rsidR="00A90CBB" w:rsidRDefault="00112C45">
      <w:pPr>
        <w:spacing w:after="150" w:line="278" w:lineRule="auto"/>
        <w:jc w:val="both"/>
      </w:pPr>
      <w:r>
        <w:t>Tranzicioni i drejtë energjetik në Kosovë zhvillohet në një kontekst ku sektori i energjisë ka qenë historikisht i mbështetur në linjit, duke krijuar një varësi të lartë jo vetëm në aspektin e prodhimit të energjisë, por edhe në strukturën ekonomike e sociale të komunave ku vepron KEK. Korporata pritet të luajë një rol kyç në procesin e tranzicionit: përtej rolit si ndërmarrje publike, ajo është një entitet me aktivitet intensiv minerar që ka gjeneruar punësim për komunitetet lokale për dekada me radhë.</w:t>
      </w:r>
    </w:p>
    <w:p w14:paraId="763CA4E8" w14:textId="77777777" w:rsidR="00A90CBB" w:rsidRDefault="00112C45">
      <w:pPr>
        <w:spacing w:after="150" w:line="278" w:lineRule="auto"/>
        <w:jc w:val="both"/>
      </w:pPr>
      <w:r>
        <w:t>Në këtë kontekst, tranzicioni i drejtë nuk është vetëm një transformim teknik i sektorit të energjisë, por edhe një proces i gjerë social dhe territorial, që kërkon adresim të kujdesshëm të ndikimeve ekonomike e sociale. KEK pritet të kontribuojë përmes diversifikimit të strukturës së prodhimit, duke mundësuar zhvillimin e kapaciteteve të reja gjeneruese dhe duke mbështetur kalimin gradual nga linjiti drejt burimeve të ripërtëritshme, pa rrezikuar sigurinë e furnizimit gjatë fazës së tranzicionit.</w:t>
      </w:r>
    </w:p>
    <w:p w14:paraId="0F8F5377" w14:textId="77777777" w:rsidR="00A90CBB" w:rsidRDefault="00112C45">
      <w:pPr>
        <w:spacing w:after="150" w:line="278" w:lineRule="auto"/>
        <w:jc w:val="both"/>
      </w:pPr>
      <w:r>
        <w:t>Një nga shtyllat kryesore të Strategjisë së Energjisë është dekarbonizimi i sektorit. Ky proces bazohet në zhvillimin e kapaciteteve të reja nga BRE, në reduktimin gradual të kapaciteteve të njësive nga TC “Kosova A” deri në pikën kur mbeten si rezervë strategjike, si dhe në uljen graduale të përdorimit të energjisë elektrike për ngrohje përmes alternativave më të pastra. Në këtë kuadër, zhvillimi i sistemeve të ngrohjes qendrore në nivel komunal, të bazuara në burime të ripërtëritshme dhe teknologji me emetime të ulëta, është instrument kyç për reduktimin e kërkesës për energji elektrike, uljen e ndotjes dhe forcimin e sigurisë së furnizimit, veçanërisht gjatë muajve të dimrit.</w:t>
      </w:r>
    </w:p>
    <w:p w14:paraId="0881C763" w14:textId="2B583757" w:rsidR="00A90CBB" w:rsidRDefault="00112C45">
      <w:pPr>
        <w:spacing w:after="150" w:line="278" w:lineRule="auto"/>
        <w:jc w:val="both"/>
      </w:pPr>
      <w:r>
        <w:t>Procesi i tranzicionit kërkon bashkëpunim të ngushtë ndërinstitucional dhe koordinim me nivelin lokal, pasi projektet e BRE-ve dhe infrastruktura mbështetëse do të zhvillohen në komuna dhe do të kenë ndikim të drejtpërdrejtë në jetën e qytetarëve. Rëndësi do të i kushtohet edhe rritjes së aftësisë për të përmbushur kërkesat në rritje të tregut të punës, përmes zhvillimit të aftësive dhe përgatitjes së fuqisë punëtore për sektorët e rinj të lidhur me energjinë e pastër dhe ekonominë e gjelbër.</w:t>
      </w:r>
    </w:p>
    <w:p w14:paraId="75CADB8E" w14:textId="77777777" w:rsidR="00A90CBB" w:rsidRDefault="00112C45">
      <w:pPr>
        <w:pStyle w:val="Heading3"/>
      </w:pPr>
      <w:bookmarkStart w:id="28" w:name="_Toc231392862"/>
      <w:r>
        <w:t>Vizioni</w:t>
      </w:r>
      <w:bookmarkEnd w:id="28"/>
    </w:p>
    <w:p w14:paraId="0255D871" w14:textId="77777777" w:rsidR="00A90CBB" w:rsidRDefault="00112C45">
      <w:pPr>
        <w:spacing w:after="150" w:line="278" w:lineRule="auto"/>
        <w:jc w:val="both"/>
      </w:pPr>
      <w:r>
        <w:t>Vizioni i tranzicionit të drejtë në Kosovë është ndërtimi i një sistemi energjetik të pastër, të sigurt dhe gjithëpërfshirës, që kontribuon në rritjen e qëndrueshme ekonomike, mbrojtjen e mjedisit dhe përmirësimin e mirëqenies së qytetarëve. Ky tranzicion është jo vetëm një transformim strukturor i sektorit të energjisë, por edhe një angazhim i gjerë kombëtar për zhvillim të qëndrueshëm, barazi ndërmjet rajoneve dhe mbrojtje sociale.</w:t>
      </w:r>
    </w:p>
    <w:p w14:paraId="325D1249" w14:textId="77777777" w:rsidR="00A90CBB" w:rsidRDefault="00112C45">
      <w:pPr>
        <w:spacing w:after="150" w:line="278" w:lineRule="auto"/>
        <w:jc w:val="both"/>
      </w:pPr>
      <w:r>
        <w:t xml:space="preserve">Vizioni bazohet në nevojën për të zvogëluar gradualisht varësinë nga linjiti, për të diversifikuar burimet e energjisë dhe për të nxitur inovacionin në sektorët ekonomikë të lidhur me energjinë. Duke integruar </w:t>
      </w:r>
      <w:r>
        <w:lastRenderedPageBreak/>
        <w:t>dimensionin ekonomik, social dhe mjedisor, tranzicioni i drejtë synon të forcojë qëndrueshmërinë e vendit dhe të rrisë rolin e Kosovës në zhvillimet rajonale dhe evropiane në fushën e energjisë së qëndrueshme.</w:t>
      </w:r>
    </w:p>
    <w:p w14:paraId="37934CF2" w14:textId="77777777" w:rsidR="00A90CBB" w:rsidRPr="00503850" w:rsidRDefault="00112C45">
      <w:pPr>
        <w:spacing w:after="150" w:line="278" w:lineRule="auto"/>
        <w:jc w:val="both"/>
        <w:rPr>
          <w:lang w:val="de-DE"/>
        </w:rPr>
      </w:pPr>
      <w:r>
        <w:rPr>
          <w:lang w:val="de-DE"/>
        </w:rPr>
        <w:t>Vizioni mbështetet në tri drejtime kryesore strategjike:</w:t>
      </w:r>
    </w:p>
    <w:p w14:paraId="28FBA2E7" w14:textId="77777777" w:rsidR="00A90CBB" w:rsidRPr="00503850" w:rsidRDefault="00112C45">
      <w:pPr>
        <w:pStyle w:val="ListParagraph"/>
        <w:numPr>
          <w:ilvl w:val="0"/>
          <w:numId w:val="2"/>
        </w:numPr>
        <w:spacing w:after="80" w:line="270" w:lineRule="auto"/>
        <w:jc w:val="both"/>
        <w:rPr>
          <w:lang w:val="de-DE"/>
        </w:rPr>
      </w:pPr>
      <w:r>
        <w:rPr>
          <w:b/>
          <w:bCs/>
          <w:lang w:val="de-DE"/>
        </w:rPr>
        <w:t xml:space="preserve">Zhvillimi ekonomik. </w:t>
      </w:r>
      <w:r>
        <w:rPr>
          <w:lang w:val="de-DE"/>
        </w:rPr>
        <w:t>Tranzicioni i drejtë krijon bazën për një model të ri zhvillimi, duke mundësuar diversifikimin e aktiviteteve ekonomike përtej sektorëve tradicionalë të lidhur me linjitin. Ky proces kontribuon në transformimin e sektorëve ekzistues, veçanërisht në fushën e BRE-ve, efiçiencës së energjisë dhe shërbimeve të ekonomisë së gjelbër, duke gjeneruar mundësi të reja punësimi e investimi.</w:t>
      </w:r>
    </w:p>
    <w:p w14:paraId="58A53A3A" w14:textId="77777777" w:rsidR="00A90CBB" w:rsidRPr="00503850" w:rsidRDefault="00112C45">
      <w:pPr>
        <w:pStyle w:val="ListParagraph"/>
        <w:numPr>
          <w:ilvl w:val="0"/>
          <w:numId w:val="2"/>
        </w:numPr>
        <w:spacing w:after="80" w:line="270" w:lineRule="auto"/>
        <w:jc w:val="both"/>
        <w:rPr>
          <w:lang w:val="de-DE"/>
        </w:rPr>
      </w:pPr>
      <w:r>
        <w:rPr>
          <w:b/>
          <w:bCs/>
          <w:lang w:val="de-DE"/>
        </w:rPr>
        <w:t xml:space="preserve">Përgjegjësia mjedisore. </w:t>
      </w:r>
      <w:r>
        <w:rPr>
          <w:lang w:val="de-DE"/>
        </w:rPr>
        <w:t>Kjo qasje synon zvogëlimin e emetimeve të gazrave serrë, përmirësimin e cilësisë së ajrit, tokës e ujërave dhe rehabilitimin e zonave natyrore e industriale të dëmtuara. Zhvillimi i sektorit do të bazohet në parimin që rritja ekonomike dhe mbrojtja e mjedisit ecin paralelisht.</w:t>
      </w:r>
    </w:p>
    <w:p w14:paraId="55B7B9C1" w14:textId="77777777" w:rsidR="00A90CBB" w:rsidRDefault="00112C45">
      <w:pPr>
        <w:pStyle w:val="ListParagraph"/>
        <w:numPr>
          <w:ilvl w:val="0"/>
          <w:numId w:val="2"/>
        </w:numPr>
        <w:spacing w:after="80" w:line="270" w:lineRule="auto"/>
        <w:jc w:val="both"/>
      </w:pPr>
      <w:r>
        <w:rPr>
          <w:b/>
          <w:bCs/>
        </w:rPr>
        <w:t xml:space="preserve">Riaftësimi profesional dhe mbrojtja sociale. </w:t>
      </w:r>
      <w:r>
        <w:t>Tranzicioni i drejtë vendos qytetarin në qendër të procesit, duke garantuar mbrojtje sociale, siguri ekonomike dhe mundësi të barabarta. Përqendrimi kryesor janë punëtorët, familjet dhe komunitetet që preken nga ndryshimet në sektor.</w:t>
      </w:r>
    </w:p>
    <w:p w14:paraId="045E1688" w14:textId="77777777" w:rsidR="00A90CBB" w:rsidRDefault="00112C45">
      <w:pPr>
        <w:spacing w:after="150" w:line="278" w:lineRule="auto"/>
        <w:jc w:val="both"/>
      </w:pPr>
      <w:r>
        <w:t>Përmes bashkëpunimit ndërinstitucional, tranzicioni do të shoqërohet me masa mbështetëse sociale, politika aktive të punësimit dhe masa të posaçme për grupet e cenueshme. Vëmendje e veçantë do t’i kushtohet barazisë gjinore, grupeve të margjinalizuara dhe përfshirjes së të rinjve, duke siguruar që tranzicioni të jetë gjithëpërfshirës dhe të mos krijojë pabarazi të reja sociale.</w:t>
      </w:r>
    </w:p>
    <w:p w14:paraId="289304B9" w14:textId="77777777" w:rsidR="00A90CBB" w:rsidRDefault="00112C45">
      <w:pPr>
        <w:spacing w:after="150" w:line="278" w:lineRule="auto"/>
        <w:jc w:val="both"/>
      </w:pPr>
      <w:r>
        <w:t>Së bashku, këto drejtime krijojnë një qasje të balancuar dhe të integruar, ku zhvillimi ekonomik, mbrojtja e mjedisit dhe dimensioni social mbështesin njëri-tjetrin. Ky vizion është realist dhe i orientuar drejt së ardhmes, duke theksuar se suksesi varet nga bashkëpunimi ndërinstitucional, angazhimi i sektorit privat dhe përfshirja aktive e qytetarëve.</w:t>
      </w:r>
    </w:p>
    <w:p w14:paraId="2B28F238" w14:textId="77777777" w:rsidR="00A90CBB" w:rsidRDefault="00112C45">
      <w:pPr>
        <w:pStyle w:val="Heading2"/>
      </w:pPr>
      <w:bookmarkStart w:id="29" w:name="_Toc231392863"/>
      <w:r>
        <w:t>5.1 Objektivat strategjike</w:t>
      </w:r>
      <w:bookmarkEnd w:id="29"/>
    </w:p>
    <w:p w14:paraId="5CE10CFB" w14:textId="25DA8F57" w:rsidR="00A90CBB" w:rsidRPr="00EF244E" w:rsidRDefault="00112C45">
      <w:pPr>
        <w:spacing w:after="150" w:line="278" w:lineRule="auto"/>
        <w:jc w:val="both"/>
      </w:pPr>
      <w:r>
        <w:t>Tranzicioni i drejtë, në përputhje me dokumentet strategjike dhe legjislacionin në fuqi, zbatohet përmes tri objektivave strategjike që së bashku përcaktojnë kornizën kombëtare për arritjen e një tranzicioni të drejtë e gjithëpërfshirës. Këto objektiva lidhin mbrojtjen e mjedisit me nevojat sociale dhe ekonomike, duke krijuar një bazë të qëndrueshme për një tranzicion të zbatueshëm për qytetarët. Objektivat e këtij udhërrëfyesi janë në linjë të drejtpërdrejtë me Strategjinë e Energjisë 2022–2031.</w:t>
      </w:r>
    </w:p>
    <w:p w14:paraId="40BBF3B1" w14:textId="4ED44709" w:rsidR="00A90CBB" w:rsidRDefault="00112C45">
      <w:pPr>
        <w:pStyle w:val="Heading3"/>
      </w:pPr>
      <w:bookmarkStart w:id="30" w:name="_Toc231392864"/>
      <w:r>
        <w:t>Dekarbonizimi i sektorit të energjisë</w:t>
      </w:r>
      <w:bookmarkEnd w:id="30"/>
    </w:p>
    <w:p w14:paraId="0580A678" w14:textId="4CB9BF5E" w:rsidR="00A90CBB" w:rsidRDefault="00112C45">
      <w:pPr>
        <w:spacing w:after="150" w:line="278" w:lineRule="auto"/>
        <w:jc w:val="both"/>
      </w:pPr>
      <w:r>
        <w:t>Në përputhje me objektivat strategjike të dekarbonizimit, Kosova do të ndjekë një qasje të balancuar që ndërthur zhvillimin e kapaciteteve të reja nga BRE me ruajtjen e sigurisë së furnizimit dhe stabilitetit të sistemit gjatë periudhës së tranzicionit..</w:t>
      </w:r>
    </w:p>
    <w:p w14:paraId="337F02EA" w14:textId="3317C257" w:rsidR="00A90CBB" w:rsidRDefault="00112C45" w:rsidP="0001698F">
      <w:pPr>
        <w:pStyle w:val="Heading4"/>
        <w:numPr>
          <w:ilvl w:val="0"/>
          <w:numId w:val="4"/>
        </w:numPr>
      </w:pPr>
      <w:r>
        <w:t>Objektiv specifik: Rritja e kapaciteteve të reja gjeneruese nga BRE</w:t>
      </w:r>
    </w:p>
    <w:p w14:paraId="2A9FA320" w14:textId="77777777" w:rsidR="00A90CBB" w:rsidRDefault="00112C45">
      <w:pPr>
        <w:spacing w:after="150" w:line="278" w:lineRule="auto"/>
        <w:jc w:val="both"/>
      </w:pPr>
      <w:r>
        <w:t xml:space="preserve">Rritja e kapaciteteve të reja gjeneruese nga burimet e ripërtëritshme është shtylla kryesore e dekarbonizimit. Synohet zhvillimi dhe integrimi i kapaciteteve të reja nga energjia diellore dhe e erës, të shoqëruara me sisteme të ruajtjes së energjisë dhe mekanizma fleksibiliteti, për të rritur pjesëmarrjen e energjisë së pastër dhe për të ulur gradualisht emetimet. Gjatë periudhës afatshkurtër parashihet operimi komercial i centralit fotovoltaik prej 100 MW nga ankandi diellor, ndërtimi i rreth 100 MW nga ankandi i erës, si dhe zhvillimi </w:t>
      </w:r>
      <w:r>
        <w:lastRenderedPageBreak/>
        <w:t>i kapaciteteve të reja diellore prej 100 MW në zonat e KEK-ut. Gjatë periudhës afatmesme pritet zgjerimi i mëtejshëm i kapaciteteve nga era dhe dielli, drejt cakut kumulativ prej rreth 1.600 MW nga BRE deri në vitin 2031.</w:t>
      </w:r>
    </w:p>
    <w:p w14:paraId="4941CD7A" w14:textId="77777777" w:rsidR="00A90CBB" w:rsidRDefault="00112C45">
      <w:pPr>
        <w:spacing w:after="150" w:line="278" w:lineRule="auto"/>
        <w:jc w:val="both"/>
      </w:pPr>
      <w:r>
        <w:t>Integrimi i kapaciteteve të ruajtjes së energjisë përmes baterive (BESS) është thelbësor për funksionimin efikas të një sistemi me pjesëmarrje të lartë të BRE-ve. Duke adresuar ndryshueshmërinë e prodhimit nga dielli e era, këto sisteme kontribuojnë në balancimin e prodhimit dhe konsumit, në reduktimin e ngarkesës së pikut dhe në përmirësimin e stabilitetit të rrjetit.</w:t>
      </w:r>
    </w:p>
    <w:p w14:paraId="7C74ACC4" w14:textId="53181B74" w:rsidR="00A90CBB" w:rsidRDefault="00112C45" w:rsidP="0001698F">
      <w:pPr>
        <w:pStyle w:val="Heading4"/>
        <w:numPr>
          <w:ilvl w:val="0"/>
          <w:numId w:val="4"/>
        </w:numPr>
      </w:pPr>
      <w:r>
        <w:t xml:space="preserve"> Objektiv specifik: Përmirësimi i përformancës mjedisore dhe dalja graduale nga linjiti</w:t>
      </w:r>
    </w:p>
    <w:p w14:paraId="202CB243" w14:textId="77777777" w:rsidR="005E24DD" w:rsidRDefault="005E24DD">
      <w:pPr>
        <w:spacing w:after="150" w:line="278" w:lineRule="auto"/>
        <w:jc w:val="both"/>
      </w:pPr>
      <w:proofErr w:type="spellStart"/>
      <w:r w:rsidRPr="005E24DD">
        <w:t>Për</w:t>
      </w:r>
      <w:proofErr w:type="spellEnd"/>
      <w:r w:rsidRPr="005E24DD">
        <w:t xml:space="preserve"> </w:t>
      </w:r>
      <w:proofErr w:type="spellStart"/>
      <w:r w:rsidRPr="005E24DD">
        <w:t>të</w:t>
      </w:r>
      <w:proofErr w:type="spellEnd"/>
      <w:r w:rsidRPr="005E24DD">
        <w:t xml:space="preserve"> </w:t>
      </w:r>
      <w:proofErr w:type="spellStart"/>
      <w:r w:rsidRPr="005E24DD">
        <w:t>garantuar</w:t>
      </w:r>
      <w:proofErr w:type="spellEnd"/>
      <w:r w:rsidRPr="005E24DD">
        <w:t xml:space="preserve"> </w:t>
      </w:r>
      <w:proofErr w:type="spellStart"/>
      <w:r w:rsidRPr="005E24DD">
        <w:t>sigurinë</w:t>
      </w:r>
      <w:proofErr w:type="spellEnd"/>
      <w:r w:rsidRPr="005E24DD">
        <w:t xml:space="preserve"> e </w:t>
      </w:r>
      <w:proofErr w:type="spellStart"/>
      <w:r w:rsidRPr="005E24DD">
        <w:t>furnizimit</w:t>
      </w:r>
      <w:proofErr w:type="spellEnd"/>
      <w:r w:rsidRPr="005E24DD">
        <w:t xml:space="preserve"> </w:t>
      </w:r>
      <w:proofErr w:type="spellStart"/>
      <w:r w:rsidRPr="005E24DD">
        <w:t>gjatë</w:t>
      </w:r>
      <w:proofErr w:type="spellEnd"/>
      <w:r w:rsidRPr="005E24DD">
        <w:t xml:space="preserve"> </w:t>
      </w:r>
      <w:proofErr w:type="spellStart"/>
      <w:r w:rsidRPr="005E24DD">
        <w:t>fazës</w:t>
      </w:r>
      <w:proofErr w:type="spellEnd"/>
      <w:r w:rsidRPr="005E24DD">
        <w:t xml:space="preserve"> </w:t>
      </w:r>
      <w:proofErr w:type="spellStart"/>
      <w:r w:rsidRPr="005E24DD">
        <w:t>së</w:t>
      </w:r>
      <w:proofErr w:type="spellEnd"/>
      <w:r w:rsidRPr="005E24DD">
        <w:t xml:space="preserve"> </w:t>
      </w:r>
      <w:proofErr w:type="spellStart"/>
      <w:r w:rsidRPr="005E24DD">
        <w:t>tranzicionit</w:t>
      </w:r>
      <w:proofErr w:type="spellEnd"/>
      <w:r w:rsidRPr="005E24DD">
        <w:t xml:space="preserve"> </w:t>
      </w:r>
      <w:proofErr w:type="spellStart"/>
      <w:r w:rsidRPr="005E24DD">
        <w:t>energjetik</w:t>
      </w:r>
      <w:proofErr w:type="spellEnd"/>
      <w:r w:rsidRPr="005E24DD">
        <w:t xml:space="preserve">, do </w:t>
      </w:r>
      <w:proofErr w:type="spellStart"/>
      <w:r w:rsidRPr="005E24DD">
        <w:t>të</w:t>
      </w:r>
      <w:proofErr w:type="spellEnd"/>
      <w:r w:rsidRPr="005E24DD">
        <w:t xml:space="preserve"> </w:t>
      </w:r>
      <w:proofErr w:type="spellStart"/>
      <w:r w:rsidRPr="005E24DD">
        <w:t>realizohen</w:t>
      </w:r>
      <w:proofErr w:type="spellEnd"/>
      <w:r w:rsidRPr="005E24DD">
        <w:t xml:space="preserve"> </w:t>
      </w:r>
      <w:proofErr w:type="spellStart"/>
      <w:r w:rsidRPr="005E24DD">
        <w:t>investime</w:t>
      </w:r>
      <w:proofErr w:type="spellEnd"/>
      <w:r w:rsidRPr="005E24DD">
        <w:t xml:space="preserve"> </w:t>
      </w:r>
      <w:proofErr w:type="spellStart"/>
      <w:r w:rsidRPr="005E24DD">
        <w:t>në</w:t>
      </w:r>
      <w:proofErr w:type="spellEnd"/>
      <w:r w:rsidRPr="005E24DD">
        <w:t xml:space="preserve"> </w:t>
      </w:r>
      <w:proofErr w:type="spellStart"/>
      <w:r w:rsidRPr="005E24DD">
        <w:t>rehabilitimin</w:t>
      </w:r>
      <w:proofErr w:type="spellEnd"/>
      <w:r w:rsidRPr="005E24DD">
        <w:t xml:space="preserve"> </w:t>
      </w:r>
      <w:proofErr w:type="spellStart"/>
      <w:r w:rsidRPr="005E24DD">
        <w:t>dhe</w:t>
      </w:r>
      <w:proofErr w:type="spellEnd"/>
      <w:r w:rsidRPr="005E24DD">
        <w:t xml:space="preserve"> </w:t>
      </w:r>
      <w:proofErr w:type="spellStart"/>
      <w:r w:rsidRPr="005E24DD">
        <w:t>modernizimin</w:t>
      </w:r>
      <w:proofErr w:type="spellEnd"/>
      <w:r w:rsidRPr="005E24DD">
        <w:t xml:space="preserve"> e </w:t>
      </w:r>
      <w:proofErr w:type="spellStart"/>
      <w:r w:rsidRPr="005E24DD">
        <w:t>kapaciteteve</w:t>
      </w:r>
      <w:proofErr w:type="spellEnd"/>
      <w:r w:rsidRPr="005E24DD">
        <w:t xml:space="preserve"> </w:t>
      </w:r>
      <w:proofErr w:type="spellStart"/>
      <w:r w:rsidRPr="005E24DD">
        <w:t>ekzistuese</w:t>
      </w:r>
      <w:proofErr w:type="spellEnd"/>
      <w:r w:rsidRPr="005E24DD">
        <w:t xml:space="preserve">. </w:t>
      </w:r>
      <w:proofErr w:type="spellStart"/>
      <w:r w:rsidRPr="005E24DD">
        <w:t>Gjatë</w:t>
      </w:r>
      <w:proofErr w:type="spellEnd"/>
      <w:r w:rsidRPr="005E24DD">
        <w:t xml:space="preserve"> </w:t>
      </w:r>
      <w:proofErr w:type="spellStart"/>
      <w:r w:rsidRPr="005E24DD">
        <w:t>kësaj</w:t>
      </w:r>
      <w:proofErr w:type="spellEnd"/>
      <w:r w:rsidRPr="005E24DD">
        <w:t xml:space="preserve"> </w:t>
      </w:r>
      <w:proofErr w:type="spellStart"/>
      <w:r w:rsidRPr="005E24DD">
        <w:t>periudhe</w:t>
      </w:r>
      <w:proofErr w:type="spellEnd"/>
      <w:r w:rsidRPr="005E24DD">
        <w:t xml:space="preserve">, </w:t>
      </w:r>
      <w:proofErr w:type="spellStart"/>
      <w:r w:rsidRPr="005E24DD">
        <w:t>fokusi</w:t>
      </w:r>
      <w:proofErr w:type="spellEnd"/>
      <w:r w:rsidRPr="005E24DD">
        <w:t xml:space="preserve"> do </w:t>
      </w:r>
      <w:proofErr w:type="spellStart"/>
      <w:r w:rsidRPr="005E24DD">
        <w:t>të</w:t>
      </w:r>
      <w:proofErr w:type="spellEnd"/>
      <w:r w:rsidRPr="005E24DD">
        <w:t xml:space="preserve"> </w:t>
      </w:r>
      <w:proofErr w:type="spellStart"/>
      <w:r w:rsidRPr="005E24DD">
        <w:t>jetë</w:t>
      </w:r>
      <w:proofErr w:type="spellEnd"/>
      <w:r w:rsidRPr="005E24DD">
        <w:t xml:space="preserve"> </w:t>
      </w:r>
      <w:proofErr w:type="spellStart"/>
      <w:r w:rsidRPr="005E24DD">
        <w:t>në</w:t>
      </w:r>
      <w:proofErr w:type="spellEnd"/>
      <w:r w:rsidRPr="005E24DD">
        <w:t xml:space="preserve"> </w:t>
      </w:r>
      <w:proofErr w:type="spellStart"/>
      <w:r w:rsidRPr="005E24DD">
        <w:t>aplikimin</w:t>
      </w:r>
      <w:proofErr w:type="spellEnd"/>
      <w:r w:rsidRPr="005E24DD">
        <w:t xml:space="preserve"> e </w:t>
      </w:r>
      <w:proofErr w:type="spellStart"/>
      <w:r w:rsidRPr="005E24DD">
        <w:t>teknologjive</w:t>
      </w:r>
      <w:proofErr w:type="spellEnd"/>
      <w:r w:rsidRPr="005E24DD">
        <w:t xml:space="preserve"> </w:t>
      </w:r>
      <w:proofErr w:type="spellStart"/>
      <w:r w:rsidRPr="005E24DD">
        <w:t>më</w:t>
      </w:r>
      <w:proofErr w:type="spellEnd"/>
      <w:r w:rsidRPr="005E24DD">
        <w:t xml:space="preserve"> </w:t>
      </w:r>
      <w:proofErr w:type="spellStart"/>
      <w:r w:rsidRPr="005E24DD">
        <w:t>efikase</w:t>
      </w:r>
      <w:proofErr w:type="spellEnd"/>
      <w:r w:rsidRPr="005E24DD">
        <w:t xml:space="preserve">, me </w:t>
      </w:r>
      <w:proofErr w:type="spellStart"/>
      <w:r w:rsidRPr="005E24DD">
        <w:t>emetime</w:t>
      </w:r>
      <w:proofErr w:type="spellEnd"/>
      <w:r w:rsidRPr="005E24DD">
        <w:t xml:space="preserve"> </w:t>
      </w:r>
      <w:proofErr w:type="spellStart"/>
      <w:r w:rsidRPr="005E24DD">
        <w:t>më</w:t>
      </w:r>
      <w:proofErr w:type="spellEnd"/>
      <w:r w:rsidRPr="005E24DD">
        <w:t xml:space="preserve"> </w:t>
      </w:r>
      <w:proofErr w:type="spellStart"/>
      <w:r w:rsidRPr="005E24DD">
        <w:t>të</w:t>
      </w:r>
      <w:proofErr w:type="spellEnd"/>
      <w:r w:rsidRPr="005E24DD">
        <w:t xml:space="preserve"> </w:t>
      </w:r>
      <w:proofErr w:type="spellStart"/>
      <w:r w:rsidRPr="005E24DD">
        <w:t>ulëta</w:t>
      </w:r>
      <w:proofErr w:type="spellEnd"/>
      <w:r w:rsidRPr="005E24DD">
        <w:t xml:space="preserve"> </w:t>
      </w:r>
      <w:proofErr w:type="spellStart"/>
      <w:r w:rsidRPr="005E24DD">
        <w:t>dhe</w:t>
      </w:r>
      <w:proofErr w:type="spellEnd"/>
      <w:r w:rsidRPr="005E24DD">
        <w:t xml:space="preserve"> me </w:t>
      </w:r>
      <w:proofErr w:type="spellStart"/>
      <w:r w:rsidRPr="005E24DD">
        <w:t>performancë</w:t>
      </w:r>
      <w:proofErr w:type="spellEnd"/>
      <w:r w:rsidRPr="005E24DD">
        <w:t xml:space="preserve"> </w:t>
      </w:r>
      <w:proofErr w:type="spellStart"/>
      <w:r w:rsidRPr="005E24DD">
        <w:t>më</w:t>
      </w:r>
      <w:proofErr w:type="spellEnd"/>
      <w:r w:rsidRPr="005E24DD">
        <w:t xml:space="preserve"> </w:t>
      </w:r>
      <w:proofErr w:type="spellStart"/>
      <w:r w:rsidRPr="005E24DD">
        <w:t>të</w:t>
      </w:r>
      <w:proofErr w:type="spellEnd"/>
      <w:r w:rsidRPr="005E24DD">
        <w:t xml:space="preserve"> </w:t>
      </w:r>
      <w:proofErr w:type="spellStart"/>
      <w:r w:rsidRPr="005E24DD">
        <w:t>mirë</w:t>
      </w:r>
      <w:proofErr w:type="spellEnd"/>
      <w:r w:rsidRPr="005E24DD">
        <w:t xml:space="preserve"> </w:t>
      </w:r>
      <w:proofErr w:type="spellStart"/>
      <w:r w:rsidRPr="005E24DD">
        <w:t>mjedisore</w:t>
      </w:r>
      <w:proofErr w:type="spellEnd"/>
      <w:r w:rsidRPr="005E24DD">
        <w:t xml:space="preserve">, duke </w:t>
      </w:r>
      <w:proofErr w:type="spellStart"/>
      <w:r w:rsidRPr="005E24DD">
        <w:t>mundësuar</w:t>
      </w:r>
      <w:proofErr w:type="spellEnd"/>
      <w:r w:rsidRPr="005E24DD">
        <w:t xml:space="preserve"> </w:t>
      </w:r>
      <w:proofErr w:type="spellStart"/>
      <w:r w:rsidRPr="005E24DD">
        <w:t>shfrytëzimin</w:t>
      </w:r>
      <w:proofErr w:type="spellEnd"/>
      <w:r w:rsidRPr="005E24DD">
        <w:t xml:space="preserve"> </w:t>
      </w:r>
      <w:proofErr w:type="spellStart"/>
      <w:r w:rsidRPr="005E24DD">
        <w:t>më</w:t>
      </w:r>
      <w:proofErr w:type="spellEnd"/>
      <w:r w:rsidRPr="005E24DD">
        <w:t xml:space="preserve"> </w:t>
      </w:r>
      <w:proofErr w:type="spellStart"/>
      <w:r w:rsidRPr="005E24DD">
        <w:t>të</w:t>
      </w:r>
      <w:proofErr w:type="spellEnd"/>
      <w:r w:rsidRPr="005E24DD">
        <w:t xml:space="preserve"> </w:t>
      </w:r>
      <w:proofErr w:type="spellStart"/>
      <w:r w:rsidRPr="005E24DD">
        <w:t>qëndrueshëm</w:t>
      </w:r>
      <w:proofErr w:type="spellEnd"/>
      <w:r w:rsidRPr="005E24DD">
        <w:t xml:space="preserve"> </w:t>
      </w:r>
      <w:proofErr w:type="spellStart"/>
      <w:r w:rsidRPr="005E24DD">
        <w:t>të</w:t>
      </w:r>
      <w:proofErr w:type="spellEnd"/>
      <w:r w:rsidRPr="005E24DD">
        <w:t xml:space="preserve"> </w:t>
      </w:r>
      <w:proofErr w:type="spellStart"/>
      <w:r w:rsidRPr="005E24DD">
        <w:t>resurseve</w:t>
      </w:r>
      <w:proofErr w:type="spellEnd"/>
      <w:r w:rsidRPr="005E24DD">
        <w:t xml:space="preserve"> </w:t>
      </w:r>
      <w:proofErr w:type="spellStart"/>
      <w:r w:rsidRPr="005E24DD">
        <w:t>vendore</w:t>
      </w:r>
      <w:proofErr w:type="spellEnd"/>
      <w:r w:rsidRPr="005E24DD">
        <w:t xml:space="preserve"> </w:t>
      </w:r>
      <w:proofErr w:type="spellStart"/>
      <w:r w:rsidRPr="005E24DD">
        <w:t>dhe</w:t>
      </w:r>
      <w:proofErr w:type="spellEnd"/>
      <w:r w:rsidRPr="005E24DD">
        <w:t xml:space="preserve"> </w:t>
      </w:r>
      <w:proofErr w:type="spellStart"/>
      <w:r w:rsidRPr="005E24DD">
        <w:t>reduktimin</w:t>
      </w:r>
      <w:proofErr w:type="spellEnd"/>
      <w:r w:rsidRPr="005E24DD">
        <w:t xml:space="preserve"> </w:t>
      </w:r>
      <w:proofErr w:type="spellStart"/>
      <w:r w:rsidRPr="005E24DD">
        <w:t>progresiv</w:t>
      </w:r>
      <w:proofErr w:type="spellEnd"/>
      <w:r w:rsidRPr="005E24DD">
        <w:t xml:space="preserve"> </w:t>
      </w:r>
      <w:proofErr w:type="spellStart"/>
      <w:r w:rsidRPr="005E24DD">
        <w:t>të</w:t>
      </w:r>
      <w:proofErr w:type="spellEnd"/>
      <w:r w:rsidRPr="005E24DD">
        <w:t xml:space="preserve"> </w:t>
      </w:r>
      <w:proofErr w:type="spellStart"/>
      <w:r w:rsidRPr="005E24DD">
        <w:t>ndikimit</w:t>
      </w:r>
      <w:proofErr w:type="spellEnd"/>
      <w:r w:rsidRPr="005E24DD">
        <w:t xml:space="preserve"> </w:t>
      </w:r>
      <w:proofErr w:type="spellStart"/>
      <w:r w:rsidRPr="005E24DD">
        <w:t>në</w:t>
      </w:r>
      <w:proofErr w:type="spellEnd"/>
      <w:r w:rsidRPr="005E24DD">
        <w:t xml:space="preserve"> </w:t>
      </w:r>
      <w:proofErr w:type="spellStart"/>
      <w:r w:rsidRPr="005E24DD">
        <w:t>mjedis</w:t>
      </w:r>
      <w:proofErr w:type="spellEnd"/>
      <w:r w:rsidRPr="005E24DD">
        <w:t xml:space="preserve">. </w:t>
      </w:r>
      <w:proofErr w:type="spellStart"/>
      <w:r w:rsidRPr="005E24DD">
        <w:t>Kjo</w:t>
      </w:r>
      <w:proofErr w:type="spellEnd"/>
      <w:r w:rsidRPr="005E24DD">
        <w:t xml:space="preserve"> </w:t>
      </w:r>
      <w:proofErr w:type="spellStart"/>
      <w:r w:rsidRPr="005E24DD">
        <w:t>qasje</w:t>
      </w:r>
      <w:proofErr w:type="spellEnd"/>
      <w:r w:rsidRPr="005E24DD">
        <w:t xml:space="preserve"> do </w:t>
      </w:r>
      <w:proofErr w:type="spellStart"/>
      <w:r w:rsidRPr="005E24DD">
        <w:t>të</w:t>
      </w:r>
      <w:proofErr w:type="spellEnd"/>
      <w:r w:rsidRPr="005E24DD">
        <w:t xml:space="preserve"> </w:t>
      </w:r>
      <w:proofErr w:type="spellStart"/>
      <w:r w:rsidRPr="005E24DD">
        <w:t>krijojë</w:t>
      </w:r>
      <w:proofErr w:type="spellEnd"/>
      <w:r w:rsidRPr="005E24DD">
        <w:t xml:space="preserve"> </w:t>
      </w:r>
      <w:proofErr w:type="spellStart"/>
      <w:r w:rsidRPr="005E24DD">
        <w:t>hapësirë</w:t>
      </w:r>
      <w:proofErr w:type="spellEnd"/>
      <w:r w:rsidRPr="005E24DD">
        <w:t xml:space="preserve"> </w:t>
      </w:r>
      <w:proofErr w:type="spellStart"/>
      <w:r w:rsidRPr="005E24DD">
        <w:t>për</w:t>
      </w:r>
      <w:proofErr w:type="spellEnd"/>
      <w:r w:rsidRPr="005E24DD">
        <w:t xml:space="preserve"> </w:t>
      </w:r>
      <w:proofErr w:type="spellStart"/>
      <w:r w:rsidRPr="005E24DD">
        <w:t>integrimin</w:t>
      </w:r>
      <w:proofErr w:type="spellEnd"/>
      <w:r w:rsidRPr="005E24DD">
        <w:t xml:space="preserve"> e </w:t>
      </w:r>
      <w:proofErr w:type="spellStart"/>
      <w:r w:rsidRPr="005E24DD">
        <w:t>zgjidhjeve</w:t>
      </w:r>
      <w:proofErr w:type="spellEnd"/>
      <w:r w:rsidRPr="005E24DD">
        <w:t xml:space="preserve"> </w:t>
      </w:r>
      <w:proofErr w:type="spellStart"/>
      <w:r w:rsidRPr="005E24DD">
        <w:t>të</w:t>
      </w:r>
      <w:proofErr w:type="spellEnd"/>
      <w:r w:rsidRPr="005E24DD">
        <w:t xml:space="preserve"> </w:t>
      </w:r>
      <w:proofErr w:type="spellStart"/>
      <w:r w:rsidRPr="005E24DD">
        <w:t>reja</w:t>
      </w:r>
      <w:proofErr w:type="spellEnd"/>
      <w:r w:rsidRPr="005E24DD">
        <w:t xml:space="preserve"> </w:t>
      </w:r>
      <w:proofErr w:type="spellStart"/>
      <w:r w:rsidRPr="005E24DD">
        <w:t>teknologjike</w:t>
      </w:r>
      <w:proofErr w:type="spellEnd"/>
      <w:r w:rsidRPr="005E24DD">
        <w:t xml:space="preserve"> </w:t>
      </w:r>
      <w:proofErr w:type="spellStart"/>
      <w:r w:rsidRPr="005E24DD">
        <w:t>që</w:t>
      </w:r>
      <w:proofErr w:type="spellEnd"/>
      <w:r w:rsidRPr="005E24DD">
        <w:t xml:space="preserve"> </w:t>
      </w:r>
      <w:proofErr w:type="spellStart"/>
      <w:r w:rsidRPr="005E24DD">
        <w:t>mbështesin</w:t>
      </w:r>
      <w:proofErr w:type="spellEnd"/>
      <w:r w:rsidRPr="005E24DD">
        <w:t xml:space="preserve"> </w:t>
      </w:r>
      <w:proofErr w:type="spellStart"/>
      <w:r w:rsidRPr="005E24DD">
        <w:t>dekarbonizimin</w:t>
      </w:r>
      <w:proofErr w:type="spellEnd"/>
      <w:r w:rsidRPr="005E24DD">
        <w:t xml:space="preserve">, </w:t>
      </w:r>
      <w:proofErr w:type="spellStart"/>
      <w:r w:rsidRPr="005E24DD">
        <w:t>fleksibilitetin</w:t>
      </w:r>
      <w:proofErr w:type="spellEnd"/>
      <w:r w:rsidRPr="005E24DD">
        <w:t xml:space="preserve"> e </w:t>
      </w:r>
      <w:proofErr w:type="spellStart"/>
      <w:r w:rsidRPr="005E24DD">
        <w:t>sistemit</w:t>
      </w:r>
      <w:proofErr w:type="spellEnd"/>
      <w:r w:rsidRPr="005E24DD">
        <w:t xml:space="preserve"> </w:t>
      </w:r>
      <w:proofErr w:type="spellStart"/>
      <w:r w:rsidRPr="005E24DD">
        <w:t>dhe</w:t>
      </w:r>
      <w:proofErr w:type="spellEnd"/>
      <w:r w:rsidRPr="005E24DD">
        <w:t xml:space="preserve"> </w:t>
      </w:r>
      <w:proofErr w:type="spellStart"/>
      <w:r w:rsidRPr="005E24DD">
        <w:t>sigurinë</w:t>
      </w:r>
      <w:proofErr w:type="spellEnd"/>
      <w:r w:rsidRPr="005E24DD">
        <w:t xml:space="preserve"> </w:t>
      </w:r>
      <w:proofErr w:type="spellStart"/>
      <w:r w:rsidRPr="005E24DD">
        <w:t>afatgjatë</w:t>
      </w:r>
      <w:proofErr w:type="spellEnd"/>
      <w:r w:rsidRPr="005E24DD">
        <w:t xml:space="preserve"> </w:t>
      </w:r>
      <w:proofErr w:type="spellStart"/>
      <w:r w:rsidRPr="005E24DD">
        <w:t>energjetike</w:t>
      </w:r>
      <w:proofErr w:type="spellEnd"/>
      <w:r w:rsidRPr="005E24DD">
        <w:t>.</w:t>
      </w:r>
    </w:p>
    <w:p w14:paraId="6F29D972" w14:textId="1AFE1307" w:rsidR="00A90CBB" w:rsidRDefault="00112C45">
      <w:pPr>
        <w:spacing w:after="150" w:line="278" w:lineRule="auto"/>
        <w:jc w:val="both"/>
      </w:pPr>
      <w:r>
        <w:t>TC “</w:t>
      </w:r>
      <w:proofErr w:type="spellStart"/>
      <w:r>
        <w:t>Kosova</w:t>
      </w:r>
      <w:proofErr w:type="spellEnd"/>
      <w:r>
        <w:t xml:space="preserve"> B” (</w:t>
      </w:r>
      <w:proofErr w:type="spellStart"/>
      <w:r>
        <w:t>njësitë</w:t>
      </w:r>
      <w:proofErr w:type="spellEnd"/>
      <w:r>
        <w:t xml:space="preserve"> B1 </w:t>
      </w:r>
      <w:proofErr w:type="spellStart"/>
      <w:r>
        <w:t>dhe</w:t>
      </w:r>
      <w:proofErr w:type="spellEnd"/>
      <w:r>
        <w:t xml:space="preserve"> B2) do </w:t>
      </w:r>
      <w:proofErr w:type="spellStart"/>
      <w:r>
        <w:t>të</w:t>
      </w:r>
      <w:proofErr w:type="spellEnd"/>
      <w:r>
        <w:t xml:space="preserve"> modernizohet për të përmbushur standardet e detyrueshme të Direktivës për Emetimet Industriale: parashihet instalimi i elektrofiltrave, reduktimi i emetimeve të oksideve të azotit (NOx) nën nivelin 200 mg/Nm³ dhe instalimi i pajisjeve për desulfurizimin e gazrave të tymit (FGD) për uljen e emetimeve të dioksidit të squfurit (SO₂) në nivelin 200 mg/Nm³. Modernizimi i turbinave zgjat jetëgjatësinë e dobishme të njësive për rreth 20 vjet, duke i mundësuar “Kosova B” të shërbejë si kapacitet bazë më i pastër gjatë gjithë fazës kalimtare.</w:t>
      </w:r>
    </w:p>
    <w:p w14:paraId="3387CAEC" w14:textId="77777777" w:rsidR="00A90CBB" w:rsidRDefault="00112C45">
      <w:pPr>
        <w:spacing w:after="150" w:line="278" w:lineRule="auto"/>
        <w:jc w:val="both"/>
      </w:pPr>
      <w:r>
        <w:t>Për TC “Kosova A”, qasja është dalje e fazuar: njësitë më të vjetra do të dalin nga prodhimi aktiv, ndërsa njësia më e re (A3) do të modernizohet dhe do të kalojë në regjim rezerve strategjike, e disponueshme vetëm gjatë sezonit me kërkesë të lartë për ngrohje ose në raste krize. Reduktimi i mëtejshëm i kapaciteteve të njësive të mbetura të “Kosova A” deri në pikën kur mbeten si rezervë strategjike do të bëhet pasi të sigurohet kapaciteti zëvendësues bazë dhe rezerva e mjaftueshme nga BRE-të dhe BESS, në mënyrë që siguria e furnizimit të mos rrezikohet në asnjë moment. Tabela e indikatorëve (Kapitulli 7) e lidh këtë sekuencë me caqe të matshme kohore.</w:t>
      </w:r>
    </w:p>
    <w:p w14:paraId="3387CAED" w14:textId="77777778" w:rsidR="00A90CBB" w:rsidRDefault="00112C45">
      <w:pPr>
        <w:spacing w:after="150" w:line="278" w:lineRule="auto"/>
        <w:jc w:val="both"/>
      </w:pPr>
      <w:r>
        <w:t>Hapat konkretë, afatet dhe investimet për këtë sekuencë detajohen në Strategjinë Afatgjate të Tranzicionit të Gjelbër dhe Dekarbonizimit të KEK-ut, e cila e operacionalizon në nivel korporate dekarbonizimin e parashtruar në këtë udhërrëfyes.</w:t>
      </w:r>
    </w:p>
    <w:p w14:paraId="7B8097C6" w14:textId="0A4CD8AF" w:rsidR="00A90CBB" w:rsidRDefault="00112C45" w:rsidP="0001698F">
      <w:pPr>
        <w:pStyle w:val="Heading4"/>
        <w:numPr>
          <w:ilvl w:val="0"/>
          <w:numId w:val="4"/>
        </w:numPr>
      </w:pPr>
      <w:r>
        <w:t xml:space="preserve"> Objektiv specifik: Zhvillimi i sistemeve të ngrohjes qendrore dhe integrimi i burimeve të pastra</w:t>
      </w:r>
    </w:p>
    <w:p w14:paraId="0F4B712E" w14:textId="77777777" w:rsidR="00A90CBB" w:rsidRDefault="00112C45">
      <w:pPr>
        <w:spacing w:after="150" w:line="278" w:lineRule="auto"/>
        <w:jc w:val="both"/>
      </w:pPr>
      <w:r>
        <w:t>Sektori i ngrohjes qendrore luan rol të rëndësishëm në uljen e kërkesës për energji elektrike, veçanërisht gjatë sezonit dimëror. Burimet kryesore për ngrohje janë biomasa (kryesisht dru zjarri) dhe energjia elektrike, ndërsa qymyri, gazi i lëngëzuar i naftës (LPG) dhe nafta përdoren në masë më të kufizuar. Aktualisht, sistemet e ngrohjes qendrore mbulojnë rreth 289 MWth të kërkesës së përgjithshme për ngrohje. Është realizuar studimi i fizibilitetit për zhvillimin e sistemeve të reja të ngrohjes në disa komuna, ku janë identifikuar nevoja për kapacitete të konsiderueshme termike dhe potencial për zgjerim të rrjeteve ekzistuese.</w:t>
      </w:r>
    </w:p>
    <w:p w14:paraId="5C41BAEA" w14:textId="2F36334E" w:rsidR="00A90CBB" w:rsidRDefault="00112C45">
      <w:pPr>
        <w:spacing w:after="150" w:line="278" w:lineRule="auto"/>
        <w:jc w:val="both"/>
      </w:pPr>
      <w:r>
        <w:t xml:space="preserve">Paralelisht janë ndërmarrë investime për përmirësimin e performancës së sistemeve ekzistuese. Termokos ka realizuar investime të rëndësishme në zgjerimin dhe rehabilitimin e rrjetit të ngrohjes, të cilat kanë </w:t>
      </w:r>
      <w:r>
        <w:lastRenderedPageBreak/>
        <w:t xml:space="preserve">kontribuar në rritjen e cilësisë së shërbimit për konsumatorët. Me qëllim të diversifikimit të </w:t>
      </w:r>
      <w:proofErr w:type="spellStart"/>
      <w:r>
        <w:t>burimeve</w:t>
      </w:r>
      <w:proofErr w:type="spellEnd"/>
      <w:r>
        <w:t xml:space="preserve">, po </w:t>
      </w:r>
      <w:proofErr w:type="spellStart"/>
      <w:r>
        <w:t>zhvillohet</w:t>
      </w:r>
      <w:proofErr w:type="spellEnd"/>
      <w:r>
        <w:t xml:space="preserve"> </w:t>
      </w:r>
      <w:proofErr w:type="spellStart"/>
      <w:r>
        <w:t>projekti</w:t>
      </w:r>
      <w:proofErr w:type="spellEnd"/>
      <w:r>
        <w:t xml:space="preserve">, </w:t>
      </w:r>
      <w:proofErr w:type="spellStart"/>
      <w:r>
        <w:t>i</w:t>
      </w:r>
      <w:proofErr w:type="spellEnd"/>
      <w:r>
        <w:t xml:space="preserve"> </w:t>
      </w:r>
      <w:proofErr w:type="spellStart"/>
      <w:r>
        <w:t>cili</w:t>
      </w:r>
      <w:proofErr w:type="spellEnd"/>
      <w:r>
        <w:t xml:space="preserve"> </w:t>
      </w:r>
      <w:proofErr w:type="spellStart"/>
      <w:r>
        <w:t>përfshin</w:t>
      </w:r>
      <w:proofErr w:type="spellEnd"/>
      <w:r>
        <w:t xml:space="preserve"> ndërtimin e një impianti termik diellor prej rreth 30 MW dhe integrimin e tij në sistemin ekzistues të ngrohjes qendrore të Prishtinës, së bashku me zgjerimin e rrjetit me kapacitet deri në 50 MWth; projekti pritet të lidhë deri në rreth 38.000 banorë të rinj me rrjetin e ngrohjes.</w:t>
      </w:r>
    </w:p>
    <w:p w14:paraId="60AC8E9A" w14:textId="77777777" w:rsidR="00A90CBB" w:rsidRDefault="00112C45">
      <w:pPr>
        <w:spacing w:after="150" w:line="278" w:lineRule="auto"/>
        <w:jc w:val="both"/>
      </w:pPr>
      <w:r>
        <w:t>Në këtë drejtim, synohet zgjerimi dhe modernizimi i infrastrukturës së ngrohjes qendrore përmes shfrytëzimit të burimeve të pastra dhe teknologjive me emetime të ulëta. Fokusi do të jetë në zgjerimin e sistemeve ekzistuese dhe në zhvillimin e sistemeve të reja në komuna, të bazuara në BRE.</w:t>
      </w:r>
    </w:p>
    <w:p w14:paraId="56E7A3DA" w14:textId="175E6A88" w:rsidR="00A90CBB" w:rsidRDefault="00112C45" w:rsidP="0001698F">
      <w:pPr>
        <w:pStyle w:val="Heading4"/>
        <w:numPr>
          <w:ilvl w:val="0"/>
          <w:numId w:val="4"/>
        </w:numPr>
      </w:pPr>
      <w:r>
        <w:t xml:space="preserve"> Objektiv specifik: Përmirësimi i efiçiencës së energjisë në ndërtesa</w:t>
      </w:r>
    </w:p>
    <w:p w14:paraId="0F85D058" w14:textId="77777777" w:rsidR="00A90CBB" w:rsidRPr="00503850" w:rsidRDefault="00112C45">
      <w:pPr>
        <w:spacing w:after="150" w:line="278" w:lineRule="auto"/>
        <w:jc w:val="both"/>
        <w:rPr>
          <w:lang w:val="de-DE"/>
        </w:rPr>
      </w:pPr>
      <w:r>
        <w:t xml:space="preserve">Rritja e efiçiencës së energjisë është hap kyç drejt një tranzicioni të drejtë energjetik, sikurse parashihet në Strategjinë e Energjisë dhe në këtë udhërrëfyes. Ajo kontribuon drejtpërdrejt në përmirësimin e sigurisë së furnizimit, uljen e kostove për konsumatorët dhe reduktimin e emetimeve të gazrave serrë e të ndotjes së ajrit. </w:t>
      </w:r>
      <w:r>
        <w:rPr>
          <w:lang w:val="de-DE"/>
        </w:rPr>
        <w:t>Zbatimi i masave të efiçiencës redukton konsumin në sektorin publik, privat dhe komercial.</w:t>
      </w:r>
    </w:p>
    <w:p w14:paraId="1B9673E6" w14:textId="081EA9DC" w:rsidR="00A90CBB" w:rsidRPr="00503850" w:rsidRDefault="00112C45">
      <w:pPr>
        <w:spacing w:after="150" w:line="278" w:lineRule="auto"/>
        <w:jc w:val="both"/>
        <w:rPr>
          <w:lang w:val="de-DE"/>
        </w:rPr>
      </w:pPr>
      <w:r>
        <w:rPr>
          <w:lang w:val="de-DE"/>
        </w:rPr>
        <w:t>Objektivi i përgjithshëm është kufizimi i konsumit final të energjisë në 1877 ktoe deri në vitin 2031, përmes rritjes së vazhdueshme të investimeve dhe projekteve në të gjithë sektorët e konsumit. Sektori i ndërtesave është prioritet kyç, pasi përbën mbi 40% të konsumit total të energjisë në vend. Rritja e efiçiencës do të arrihet përmes vendosjes dhe zbatimit të standardeve minimale të performancës energjetike, aplikimit të certifikatave të performancës energjetike për ndërtesat e reja dhe ato në rinovim, si dhe përmes skemave të dedikuara mbështetëse të menaxhuara nga FKEE.</w:t>
      </w:r>
    </w:p>
    <w:p w14:paraId="75E8ED4F" w14:textId="77777777" w:rsidR="00A90CBB" w:rsidRPr="00503850" w:rsidRDefault="00112C45">
      <w:pPr>
        <w:spacing w:after="150" w:line="278" w:lineRule="auto"/>
        <w:jc w:val="both"/>
        <w:rPr>
          <w:lang w:val="de-DE"/>
        </w:rPr>
      </w:pPr>
      <w:r>
        <w:rPr>
          <w:lang w:val="de-DE"/>
        </w:rPr>
        <w:t>Masat kryesore përfshijnë promovimin e ndërtesave me konsum energjie afër zeros, përdorimin e teknologjive me efiçiencë të lartë (si pompat termike dhe sistemet diellore termike), si dhe zbatimin e sistemit të certifikimit të performancës energjetike të ndërtesave.</w:t>
      </w:r>
    </w:p>
    <w:p w14:paraId="03E4D6BB" w14:textId="77777777" w:rsidR="00A90CBB" w:rsidRPr="00503850" w:rsidRDefault="00112C45">
      <w:pPr>
        <w:pStyle w:val="Heading3"/>
        <w:rPr>
          <w:lang w:val="de-DE"/>
        </w:rPr>
      </w:pPr>
      <w:bookmarkStart w:id="31" w:name="_Toc231392865"/>
      <w:r>
        <w:rPr>
          <w:lang w:val="de-DE"/>
        </w:rPr>
        <w:t>5.1.2 Tranzicioni i drejtë për punëtorët dhe komunitetet</w:t>
      </w:r>
      <w:bookmarkEnd w:id="31"/>
    </w:p>
    <w:p w14:paraId="7D0E6E1D" w14:textId="5CCB364C" w:rsidR="00A90CBB" w:rsidRPr="00503850" w:rsidRDefault="00112C45">
      <w:pPr>
        <w:spacing w:after="150" w:line="278" w:lineRule="auto"/>
        <w:jc w:val="both"/>
        <w:rPr>
          <w:lang w:val="de-DE"/>
        </w:rPr>
      </w:pPr>
      <w:r>
        <w:rPr>
          <w:lang w:val="de-DE"/>
        </w:rPr>
        <w:t>Objektivi i dytë synon të mbështesë punëtorët, familjet dhe komunitetet e prekura nga tranzicioni energjetik, veçanërisht në komunat e Obiliqit dhe Fushë Kosovës, ku përqendrimi i aktiviteteve të KEK-ut ka krijuar varësi të lartë ekonomike e të punësimit. KEK punëson rreth 4700 persona, pjesa më e madhe e të cilëve janë të lidhur drejtpërdrejt ose tërthorazi me zinxhirin e prodhimit nga linjiti. Çdo masë e tranzicionit duhet të nisë nga ky realitet konkret: dalja nga linjiti nuk mund të paraprijë krijimit të alternativave të qëndrueshme të punësimit.</w:t>
      </w:r>
    </w:p>
    <w:p w14:paraId="2DA358DB" w14:textId="3B6519EB" w:rsidR="00A90CBB" w:rsidRPr="00503850" w:rsidRDefault="00112C45">
      <w:pPr>
        <w:spacing w:after="150" w:line="278" w:lineRule="auto"/>
        <w:jc w:val="both"/>
        <w:rPr>
          <w:lang w:val="de-DE"/>
        </w:rPr>
      </w:pPr>
      <w:r>
        <w:rPr>
          <w:b/>
          <w:bCs/>
          <w:lang w:val="de-DE"/>
        </w:rPr>
        <w:t xml:space="preserve">Parimi udhëheqës është “punë së pari”: </w:t>
      </w:r>
      <w:r>
        <w:rPr>
          <w:lang w:val="de-DE"/>
        </w:rPr>
        <w:t>vendet e reja të punës dhe programet e rikualifikimit duhet të jenë funksionale para se kapacitetet me linjit të nxirren nga prodhimi. Për këtë qëllim, tranzicioni i drejtë për punëtorët mbështetet në një grup instrumentesh konkrete, të përmbledhura në Tabelën 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4360"/>
        <w:gridCol w:w="2300"/>
      </w:tblGrid>
      <w:tr w:rsidR="00A90CBB" w14:paraId="044734D1" w14:textId="77777777">
        <w:trPr>
          <w:tblHeader/>
        </w:trPr>
        <w:tc>
          <w:tcPr>
            <w:tcW w:w="27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6E9488DF" w14:textId="77777777" w:rsidR="00A90CBB" w:rsidRDefault="00112C45">
            <w:r>
              <w:rPr>
                <w:b/>
                <w:bCs/>
                <w:color w:val="FFFFFF"/>
                <w:sz w:val="19"/>
                <w:szCs w:val="19"/>
              </w:rPr>
              <w:t>Instrumenti</w:t>
            </w:r>
          </w:p>
        </w:tc>
        <w:tc>
          <w:tcPr>
            <w:tcW w:w="436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5353BF82" w14:textId="77777777" w:rsidR="00A90CBB" w:rsidRDefault="00112C45">
            <w:r>
              <w:rPr>
                <w:b/>
                <w:bCs/>
                <w:color w:val="FFFFFF"/>
                <w:sz w:val="19"/>
                <w:szCs w:val="19"/>
              </w:rPr>
              <w:t>Përshkrimi</w:t>
            </w:r>
          </w:p>
        </w:tc>
        <w:tc>
          <w:tcPr>
            <w:tcW w:w="23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4EE6B8AA" w14:textId="77777777" w:rsidR="00A90CBB" w:rsidRDefault="00112C45">
            <w:r>
              <w:rPr>
                <w:b/>
                <w:bCs/>
                <w:color w:val="FFFFFF"/>
                <w:sz w:val="19"/>
                <w:szCs w:val="19"/>
              </w:rPr>
              <w:t>Burimi i financimit</w:t>
            </w:r>
          </w:p>
        </w:tc>
      </w:tr>
      <w:tr w:rsidR="00A90CBB" w14:paraId="0F69B0C8" w14:textId="77777777">
        <w:tc>
          <w:tcPr>
            <w:tcW w:w="27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5B63D324" w14:textId="77777777" w:rsidR="00A90CBB" w:rsidRDefault="00112C45">
            <w:pPr>
              <w:spacing w:line="252" w:lineRule="auto"/>
            </w:pPr>
            <w:r>
              <w:rPr>
                <w:sz w:val="19"/>
                <w:szCs w:val="19"/>
              </w:rPr>
              <w:t>Rikualifikim dhe trajnim profesional</w:t>
            </w:r>
          </w:p>
        </w:tc>
        <w:tc>
          <w:tcPr>
            <w:tcW w:w="43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FA7ED30" w14:textId="77777777" w:rsidR="00A90CBB" w:rsidRDefault="00112C45">
            <w:pPr>
              <w:spacing w:line="252" w:lineRule="auto"/>
            </w:pPr>
            <w:r>
              <w:rPr>
                <w:sz w:val="19"/>
                <w:szCs w:val="19"/>
              </w:rPr>
              <w:t>Programe të synuara për kalimin drejt sektorëve të BRE-ve, efiçiencës, ngrohjes qendrore dhe shërbimeve të gjelbra; me caqe të matshme pjesëmarrjeje dhe punësimi pas trajnimit.</w:t>
            </w:r>
          </w:p>
        </w:tc>
        <w:tc>
          <w:tcPr>
            <w:tcW w:w="23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8430D81" w14:textId="77777777" w:rsidR="00A90CBB" w:rsidRDefault="00112C45">
            <w:pPr>
              <w:spacing w:line="252" w:lineRule="auto"/>
            </w:pPr>
            <w:r>
              <w:rPr>
                <w:sz w:val="19"/>
                <w:szCs w:val="19"/>
              </w:rPr>
              <w:t>Donatorë (GIZ, ILO, IPA) / FTD</w:t>
            </w:r>
          </w:p>
        </w:tc>
      </w:tr>
      <w:tr w:rsidR="00A90CBB" w14:paraId="07FB3B2E" w14:textId="77777777">
        <w:tc>
          <w:tcPr>
            <w:tcW w:w="27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4AFB4DB" w14:textId="77777777" w:rsidR="00A90CBB" w:rsidRPr="00503850" w:rsidRDefault="00112C45">
            <w:pPr>
              <w:spacing w:line="252" w:lineRule="auto"/>
              <w:rPr>
                <w:lang w:val="de-DE"/>
              </w:rPr>
            </w:pPr>
            <w:r>
              <w:rPr>
                <w:sz w:val="19"/>
                <w:szCs w:val="19"/>
                <w:lang w:val="de-DE"/>
              </w:rPr>
              <w:t>Punësim i drejtpërdrejtë në projektet e reja</w:t>
            </w:r>
          </w:p>
        </w:tc>
        <w:tc>
          <w:tcPr>
            <w:tcW w:w="4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3BA2B59" w14:textId="77777777" w:rsidR="00A90CBB" w:rsidRPr="00503850" w:rsidRDefault="00112C45">
            <w:pPr>
              <w:spacing w:line="252" w:lineRule="auto"/>
              <w:rPr>
                <w:lang w:val="de-DE"/>
              </w:rPr>
            </w:pPr>
            <w:r>
              <w:rPr>
                <w:sz w:val="19"/>
                <w:szCs w:val="19"/>
                <w:lang w:val="de-DE"/>
              </w:rPr>
              <w:t>Përparësi për fuqinë punëtore vendore në projektet e BRE-ve dhe rehabilitimit, sipas modelit të Parkut të Erës në Selac.</w:t>
            </w:r>
          </w:p>
        </w:tc>
        <w:tc>
          <w:tcPr>
            <w:tcW w:w="23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81DBD7D" w14:textId="77777777" w:rsidR="00A90CBB" w:rsidRDefault="00112C45">
            <w:pPr>
              <w:spacing w:line="252" w:lineRule="auto"/>
            </w:pPr>
            <w:r>
              <w:rPr>
                <w:sz w:val="19"/>
                <w:szCs w:val="19"/>
              </w:rPr>
              <w:t>Investitorë privatë / KEK</w:t>
            </w:r>
          </w:p>
        </w:tc>
      </w:tr>
      <w:tr w:rsidR="00A90CBB" w14:paraId="12BB62D2" w14:textId="77777777">
        <w:tc>
          <w:tcPr>
            <w:tcW w:w="27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4C1A1439" w14:textId="77777777" w:rsidR="00A90CBB" w:rsidRDefault="00112C45">
            <w:pPr>
              <w:spacing w:line="252" w:lineRule="auto"/>
            </w:pPr>
            <w:r>
              <w:rPr>
                <w:sz w:val="19"/>
                <w:szCs w:val="19"/>
              </w:rPr>
              <w:lastRenderedPageBreak/>
              <w:t>Diversifikim ekonomik i rajonit të Obiliqit</w:t>
            </w:r>
          </w:p>
        </w:tc>
        <w:tc>
          <w:tcPr>
            <w:tcW w:w="43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F86B79C" w14:textId="17835BDF" w:rsidR="00A90CBB" w:rsidRDefault="00112C45">
            <w:pPr>
              <w:spacing w:line="252" w:lineRule="auto"/>
            </w:pPr>
            <w:r>
              <w:rPr>
                <w:sz w:val="19"/>
                <w:szCs w:val="19"/>
              </w:rPr>
              <w:t>Zbatim i udhërrefyesit socio-ekonomik, përfshirë ripërdorimin e zonave të ish-minierave dhe deponive.</w:t>
            </w:r>
          </w:p>
        </w:tc>
        <w:tc>
          <w:tcPr>
            <w:tcW w:w="23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E3E9A8A" w14:textId="77777777" w:rsidR="00A90CBB" w:rsidRDefault="00112C45">
            <w:pPr>
              <w:spacing w:line="252" w:lineRule="auto"/>
            </w:pPr>
            <w:r>
              <w:rPr>
                <w:sz w:val="19"/>
                <w:szCs w:val="19"/>
              </w:rPr>
              <w:t>Donatorë / buxhet / investime private</w:t>
            </w:r>
          </w:p>
        </w:tc>
      </w:tr>
      <w:tr w:rsidR="00A90CBB" w14:paraId="6CF21CF6" w14:textId="77777777">
        <w:tc>
          <w:tcPr>
            <w:tcW w:w="27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9CADF17" w14:textId="77777777" w:rsidR="00A90CBB" w:rsidRDefault="00112C45">
            <w:pPr>
              <w:spacing w:line="252" w:lineRule="auto"/>
            </w:pPr>
            <w:r>
              <w:rPr>
                <w:sz w:val="19"/>
                <w:szCs w:val="19"/>
              </w:rPr>
              <w:t>Mbështetje për konsumatorët e cenueshëm</w:t>
            </w:r>
          </w:p>
        </w:tc>
        <w:tc>
          <w:tcPr>
            <w:tcW w:w="4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6DD562A" w14:textId="6408D21E" w:rsidR="00A90CBB" w:rsidRPr="00990D89" w:rsidRDefault="00112C45">
            <w:pPr>
              <w:spacing w:line="252" w:lineRule="auto"/>
            </w:pPr>
            <w:r>
              <w:rPr>
                <w:sz w:val="19"/>
                <w:szCs w:val="19"/>
              </w:rPr>
              <w:t>Masa kundër varfërisë energjetike.</w:t>
            </w:r>
          </w:p>
        </w:tc>
        <w:tc>
          <w:tcPr>
            <w:tcW w:w="23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43F56CF" w14:textId="4E942F86" w:rsidR="00A90CBB" w:rsidRPr="00994A06" w:rsidRDefault="007F6361">
            <w:pPr>
              <w:spacing w:line="252" w:lineRule="auto"/>
              <w:rPr>
                <w:sz w:val="18"/>
                <w:szCs w:val="18"/>
              </w:rPr>
            </w:pPr>
            <w:proofErr w:type="spellStart"/>
            <w:r w:rsidRPr="00994A06">
              <w:rPr>
                <w:sz w:val="18"/>
                <w:szCs w:val="18"/>
              </w:rPr>
              <w:t>Buxheti</w:t>
            </w:r>
            <w:proofErr w:type="spellEnd"/>
            <w:r w:rsidRPr="00994A06">
              <w:rPr>
                <w:sz w:val="18"/>
                <w:szCs w:val="18"/>
              </w:rPr>
              <w:t xml:space="preserve"> </w:t>
            </w:r>
            <w:proofErr w:type="spellStart"/>
            <w:r w:rsidR="00994A06">
              <w:rPr>
                <w:sz w:val="18"/>
                <w:szCs w:val="18"/>
              </w:rPr>
              <w:t>i</w:t>
            </w:r>
            <w:proofErr w:type="spellEnd"/>
            <w:r w:rsidRPr="00994A06">
              <w:rPr>
                <w:sz w:val="18"/>
                <w:szCs w:val="18"/>
              </w:rPr>
              <w:t xml:space="preserve"> </w:t>
            </w:r>
            <w:proofErr w:type="spellStart"/>
            <w:r w:rsidRPr="00994A06">
              <w:rPr>
                <w:sz w:val="18"/>
                <w:szCs w:val="18"/>
              </w:rPr>
              <w:t>shtetit</w:t>
            </w:r>
            <w:proofErr w:type="spellEnd"/>
          </w:p>
        </w:tc>
      </w:tr>
    </w:tbl>
    <w:p w14:paraId="1F4DFA70" w14:textId="0E82526A" w:rsidR="00A90CBB" w:rsidRPr="00503850" w:rsidRDefault="00112C45">
      <w:pPr>
        <w:spacing w:before="40" w:after="220"/>
        <w:rPr>
          <w:lang w:val="de-DE"/>
        </w:rPr>
      </w:pPr>
      <w:r>
        <w:rPr>
          <w:i/>
          <w:iCs/>
          <w:color w:val="595959"/>
          <w:sz w:val="18"/>
          <w:szCs w:val="18"/>
          <w:lang w:val="de-DE"/>
        </w:rPr>
        <w:t>Tabela 3. Instrumentet e tranzicionit të drejtë për punëtorët dhe komunitetet</w:t>
      </w:r>
    </w:p>
    <w:p w14:paraId="0D8D51EA" w14:textId="362EDC17" w:rsidR="00A90CBB" w:rsidRPr="00503850" w:rsidRDefault="00112C45">
      <w:pPr>
        <w:spacing w:after="150" w:line="278" w:lineRule="auto"/>
        <w:jc w:val="both"/>
        <w:rPr>
          <w:lang w:val="de-DE"/>
        </w:rPr>
      </w:pPr>
      <w:r>
        <w:rPr>
          <w:lang w:val="de-DE"/>
        </w:rPr>
        <w:t>Procesi do të zhvillohet në koordinim të ngushtë me transformimin dhe dekarbonizimin e sektorit, përfshirë hartimin dhe zbatimin e Strategjisë Afatgjatë të Tranzicionit të Gjelbër dhe Dekarbonizimit të KEK-ut. Duke pasur parasysh rolin qendror të KEK-ut, transformimi gradual i kësaj ndërmarrjeje është element kyç për tranzicionin në nivel kombëtar. Strategjia e KEK-ut do të përcaktojë rrugëtimin gradual të transformimit: diversifikimin e aktiviteteve, zhvillimin e kapaciteteve të reja nga BRE, identifikimin e mundësive të reja të biznesit dhe transformimin gradual të kapaciteteve ekzistuese me bazë linjiti, në mënyrë që të ruhet siguria e furnizimit.</w:t>
      </w:r>
    </w:p>
    <w:p w14:paraId="018C2C78" w14:textId="77777777" w:rsidR="00A90CBB" w:rsidRDefault="00112C45">
      <w:pPr>
        <w:spacing w:after="150" w:line="278" w:lineRule="auto"/>
        <w:jc w:val="both"/>
      </w:pPr>
      <w:r>
        <w:t>Një dimension i veçantë i tranzicionit të drejtë është barazia gjinore. Në përputhje me Strategjinë e Energjisë, synohet që deri në vitin 2031 të paktën 25% e të punësuarve në sektorin e energjisë të jenë gra, përmes programeve të dedikuara të arsimimit, trajnimit dhe punësimit, me mbështetje nga partnerë si UN Women. Po ashtu, vëmendje e veçantë do t’u kushtohet të rinjve dhe grupeve të margjinalizuara, për të siguruar që tranzicioni të mos riprodhojë pabarazi ekzistuese.</w:t>
      </w:r>
    </w:p>
    <w:p w14:paraId="79929C61" w14:textId="77777777" w:rsidR="00A90CBB" w:rsidRDefault="00112C45">
      <w:pPr>
        <w:pStyle w:val="Heading3"/>
      </w:pPr>
      <w:bookmarkStart w:id="32" w:name="_Toc231392866"/>
      <w:r>
        <w:t>5.1.3 Korniza qeverisëse dhe institucionale</w:t>
      </w:r>
      <w:bookmarkEnd w:id="32"/>
    </w:p>
    <w:p w14:paraId="08863C90" w14:textId="77777777" w:rsidR="00A90CBB" w:rsidRDefault="00112C45">
      <w:pPr>
        <w:spacing w:after="150" w:line="278" w:lineRule="auto"/>
        <w:jc w:val="both"/>
      </w:pPr>
      <w:r>
        <w:t>Zbatimi efektiv i tranzicionit të drejtë kërkon koordinim të fortë institucional, mekanizma të qartë të qeverisjes dhe bashkëpunim të vazhdueshëm ndërmjet institucioneve qendrore e lokale, sektorit privat, partnerëve zhvillimorë, sindikatave, shoqërisë civile dhe komuniteteve lokale.</w:t>
      </w:r>
    </w:p>
    <w:p w14:paraId="20CE20FA" w14:textId="77777777" w:rsidR="00A90CBB" w:rsidRDefault="00112C45">
      <w:pPr>
        <w:spacing w:after="150" w:line="278" w:lineRule="auto"/>
        <w:jc w:val="both"/>
      </w:pPr>
      <w:r>
        <w:t>Duke pasur parasysh natyrën ndërsektoriale të tranzicionit, kjo temë do të trajtohet në kuadër të mekanizmave institucionalë për ndryshime klimatike dhe tranzicion të gjelbër të përcaktuar me Ligjin për Ndryshimet Klimatike. Koordinimi strategjik dhe institucional do të zhvillohet përmes Këshillit Kombëtar për Ndryshime Klimatike, i krijuar sipas nenit 6 të Ligjit për Ndryshimet Klimatike, i cili shërben si organ koordinues për politikat klimatike në Republikën e Kosovës dhe do të jetë përgjegjës për mbikëqyrjen e zbatimit të këtij udhërrëfyesi.</w:t>
      </w:r>
    </w:p>
    <w:p w14:paraId="1ED3E74C" w14:textId="77777777" w:rsidR="00A90CBB" w:rsidRDefault="00112C45">
      <w:pPr>
        <w:spacing w:after="150" w:line="278" w:lineRule="auto"/>
        <w:jc w:val="both"/>
      </w:pPr>
      <w:r>
        <w:t>Këshilli do të mundësojë koordinimin ndërmjet institucioneve përgjegjëse për energji, ekonomi, punësim, mjedis, financa, zhvillim rajonal dhe politika sociale, në mënyrë që tranzicioni të zhvillohet në mënyrë të koordinuar, të planifikuar dhe gjithëpërfshirëse. Institucionet përgjegjëse do të sigurojnë përfshirjen aktive të komunave, sektorit privat, partnerëve ndërkombëtarë, sindikatave dhe organizatave të shoqërisë civile në planifikimin dhe zbatimin e tranzicionit, përmes konsultimeve të strukturuara e të dokumentuara.</w:t>
      </w:r>
    </w:p>
    <w:p w14:paraId="425D053B" w14:textId="77777777" w:rsidR="00A90CBB" w:rsidRDefault="00112C45">
      <w:r>
        <w:br w:type="page"/>
      </w:r>
    </w:p>
    <w:p w14:paraId="059E923C" w14:textId="77777777" w:rsidR="00A90CBB" w:rsidRDefault="00112C45">
      <w:pPr>
        <w:pStyle w:val="Heading1"/>
      </w:pPr>
      <w:bookmarkStart w:id="33" w:name="_Toc231392867"/>
      <w:r>
        <w:lastRenderedPageBreak/>
        <w:t>6. Korniza financiare dhe prioritetet për investime</w:t>
      </w:r>
      <w:bookmarkEnd w:id="33"/>
    </w:p>
    <w:p w14:paraId="2F5CCD8E" w14:textId="54612CAB" w:rsidR="00A90CBB" w:rsidRDefault="00112C45">
      <w:pPr>
        <w:spacing w:after="150" w:line="278" w:lineRule="auto"/>
        <w:jc w:val="both"/>
      </w:pPr>
      <w:r>
        <w:t>Tranzicioni i drejtë do të financohet përmes një kombinimi burimesh vendore dhe ndërkombëtare, buxhetit të shtetit, investimeve private, kredive dhe granteve nga institucionet financiare ndërkombëtare, të cilat do të menaxhohen në mënyrë të koordinuar dhe transparente. Strategjia e Energjisë 2022–2031 parasheh investime të përgjithshme prej rreth 1 miliard euro për sektorin, të financuara nga buxheti i shtetit, investimet private dhe donacionet ndërkombëtare; korniza financiare e këtij udhërrëfyesi ndërtohet mbi këtë bazë dhe e plotëson atë me dimensionin social të tranzicionit.</w:t>
      </w:r>
    </w:p>
    <w:p w14:paraId="16469E8D" w14:textId="012281F2" w:rsidR="00A90CBB" w:rsidRDefault="00112C45">
      <w:pPr>
        <w:spacing w:after="150" w:line="278" w:lineRule="auto"/>
        <w:jc w:val="both"/>
      </w:pPr>
      <w:r>
        <w:t>Përmes këtij mekanizmi synohet që financimi të realizohet në mënyrë të strukturuar dhe në përputhje me prioritetet kombëtare. Burimet financiare do të orientohen drejt masave që adresojnë ndikimet sociale dhe ekonomike, me qëllim që tranzicioni të jetë gjithëpërfshirës dhe i planifikuar. Çdo investim do të vlerësohet sipas ndikimit social, ekonomik dhe mjedisor.</w:t>
      </w:r>
    </w:p>
    <w:p w14:paraId="2E3D3228" w14:textId="77777777" w:rsidR="00A90CBB" w:rsidRDefault="00112C45">
      <w:pPr>
        <w:pStyle w:val="Heading2"/>
      </w:pPr>
      <w:bookmarkStart w:id="34" w:name="_Toc231392868"/>
      <w:r>
        <w:t>6.1 Parimet e financimit</w:t>
      </w:r>
      <w:bookmarkEnd w:id="34"/>
    </w:p>
    <w:p w14:paraId="7CBA0570" w14:textId="77777777" w:rsidR="00A90CBB" w:rsidRDefault="00112C45">
      <w:pPr>
        <w:spacing w:after="150" w:line="278" w:lineRule="auto"/>
        <w:jc w:val="both"/>
      </w:pPr>
      <w:r>
        <w:t>Të gjitha burimet e financimit duhet të menaxhohen sipas rregullave të qarta për përdorimin, kontrollin dhe raportimin e fondeve, të mbështetura nga mekanizma monitorimi që mundësojnë ndjekjen e progresit. Përparësi do t’u jepet projekteve që kontribuojnë drejtpërdrejt në:</w:t>
      </w:r>
    </w:p>
    <w:p w14:paraId="076FA2E3" w14:textId="77777777" w:rsidR="00A90CBB" w:rsidRDefault="00112C45">
      <w:pPr>
        <w:pStyle w:val="ListParagraph"/>
        <w:numPr>
          <w:ilvl w:val="0"/>
          <w:numId w:val="2"/>
        </w:numPr>
        <w:spacing w:after="80" w:line="270" w:lineRule="auto"/>
        <w:jc w:val="both"/>
      </w:pPr>
      <w:r>
        <w:t>zhvillimin e kapaciteteve të reja nga BRE dhe rritjen e fleksibilitetit të sistemit;</w:t>
      </w:r>
    </w:p>
    <w:p w14:paraId="60C8820E" w14:textId="77777777" w:rsidR="00A90CBB" w:rsidRDefault="00112C45">
      <w:pPr>
        <w:pStyle w:val="ListParagraph"/>
        <w:numPr>
          <w:ilvl w:val="0"/>
          <w:numId w:val="2"/>
        </w:numPr>
        <w:spacing w:after="80" w:line="270" w:lineRule="auto"/>
        <w:jc w:val="both"/>
      </w:pPr>
      <w:r>
        <w:t>krijimin e vendeve të reja të punës në nivel lokal dhe përmirësimin e kushteve mjedisore;</w:t>
      </w:r>
    </w:p>
    <w:p w14:paraId="073237A5" w14:textId="273BE2F5" w:rsidR="00A90CBB" w:rsidRPr="00503850" w:rsidRDefault="00112C45">
      <w:pPr>
        <w:pStyle w:val="ListParagraph"/>
        <w:numPr>
          <w:ilvl w:val="0"/>
          <w:numId w:val="2"/>
        </w:numPr>
        <w:spacing w:after="80" w:line="270" w:lineRule="auto"/>
        <w:jc w:val="both"/>
        <w:rPr>
          <w:lang w:val="de-DE"/>
        </w:rPr>
      </w:pPr>
      <w:r>
        <w:rPr>
          <w:lang w:val="de-DE"/>
        </w:rPr>
        <w:t>projektet zhvillimore në zonat e ish-minierave apo deponive të KEK-ut;</w:t>
      </w:r>
    </w:p>
    <w:p w14:paraId="2C8D5F47" w14:textId="77777777" w:rsidR="00A90CBB" w:rsidRPr="00503850" w:rsidRDefault="00112C45">
      <w:pPr>
        <w:pStyle w:val="ListParagraph"/>
        <w:numPr>
          <w:ilvl w:val="0"/>
          <w:numId w:val="2"/>
        </w:numPr>
        <w:spacing w:after="80" w:line="270" w:lineRule="auto"/>
        <w:jc w:val="both"/>
        <w:rPr>
          <w:lang w:val="de-DE"/>
        </w:rPr>
      </w:pPr>
      <w:r>
        <w:rPr>
          <w:lang w:val="de-DE"/>
        </w:rPr>
        <w:t>programet e trajnimit dhe rikualifikimit profesional për fuqinë punëtore të prekur;</w:t>
      </w:r>
    </w:p>
    <w:p w14:paraId="468CF252" w14:textId="77777777" w:rsidR="00A90CBB" w:rsidRPr="00503850" w:rsidRDefault="00112C45">
      <w:pPr>
        <w:pStyle w:val="ListParagraph"/>
        <w:numPr>
          <w:ilvl w:val="0"/>
          <w:numId w:val="2"/>
        </w:numPr>
        <w:spacing w:after="80" w:line="270" w:lineRule="auto"/>
        <w:jc w:val="both"/>
        <w:rPr>
          <w:lang w:val="de-DE"/>
        </w:rPr>
      </w:pPr>
      <w:r>
        <w:rPr>
          <w:lang w:val="de-DE"/>
        </w:rPr>
        <w:t>investimet në infrastrukturë komunale që përmirësojnë shërbimet publike dhe cilësinë e jetës.</w:t>
      </w:r>
    </w:p>
    <w:p w14:paraId="2839113A" w14:textId="77777777" w:rsidR="00A90CBB" w:rsidRPr="00503850" w:rsidRDefault="00112C45">
      <w:pPr>
        <w:pStyle w:val="Heading2"/>
        <w:rPr>
          <w:lang w:val="de-DE"/>
        </w:rPr>
      </w:pPr>
      <w:bookmarkStart w:id="35" w:name="_Toc231392869"/>
      <w:r>
        <w:rPr>
          <w:lang w:val="de-DE"/>
        </w:rPr>
        <w:t>6.2 Burimet dhe struktura indikative e financimit</w:t>
      </w:r>
      <w:bookmarkEnd w:id="35"/>
    </w:p>
    <w:p w14:paraId="3056A4F4" w14:textId="77777777" w:rsidR="00A90CBB" w:rsidRPr="00503850" w:rsidRDefault="00112C45">
      <w:pPr>
        <w:spacing w:after="150" w:line="278" w:lineRule="auto"/>
        <w:jc w:val="both"/>
        <w:rPr>
          <w:lang w:val="de-DE"/>
        </w:rPr>
      </w:pPr>
      <w:r>
        <w:rPr>
          <w:lang w:val="de-DE"/>
        </w:rPr>
        <w:t>Kosova do të vazhdojë të shfrytëzojë mbështetjen teknike dhe financiare nga institucionet financiare ndërkombëtare dhe partnerët zhvillimorë. Korniza kryesore e granteve është Korniza Investuese për Ballkanin Perëndimor (WBIF), përmes së cilës Kosova ka përfituar rreth 298,9 milionë euro grante në periudhën 2008–2025, që kanë mbështetur investime të vlerësuara në rreth 2 miliardë euro. WBIF-i kombinon grante të BE-së me kredi nga BEI, BERZH dhe KfW, dhe është pjesë e Planit Ekonomik dhe të Investimeve të BE-së për Ballkanin Perëndimor (rreth 9 miliardë euro grante, me synim mobilizimin e deri 30 miliardë eurove investime).</w:t>
      </w:r>
    </w:p>
    <w:p w14:paraId="0702F80A" w14:textId="428666DE" w:rsidR="00A90CBB" w:rsidRPr="008C5C7F" w:rsidRDefault="00112C45">
      <w:pPr>
        <w:spacing w:after="150" w:line="278" w:lineRule="auto"/>
        <w:jc w:val="both"/>
        <w:rPr>
          <w:lang w:val="de-DE"/>
        </w:rPr>
      </w:pPr>
      <w:r>
        <w:rPr>
          <w:lang w:val="de-DE"/>
        </w:rPr>
        <w:t xml:space="preserve">Projekti Solar4Kosova ofron një model konkret të strukturimit grant–kredi: për një central diellor prej 100 MW me kosto rreth 104 milionë euro, financimi përbëhet nga një grant prej 32 milionë euro (WBIF/BE), një kredi prej 33 milionë euro (BEI) dhe një kredi prej 29 milionë euro (KfW). Ky raport kostoje </w:t>
      </w:r>
      <w:proofErr w:type="spellStart"/>
      <w:r>
        <w:rPr>
          <w:lang w:val="de-DE"/>
        </w:rPr>
        <w:t>afërsisht</w:t>
      </w:r>
      <w:proofErr w:type="spellEnd"/>
      <w:r>
        <w:rPr>
          <w:lang w:val="de-DE"/>
        </w:rPr>
        <w:t xml:space="preserve"> 1,0–1,1 milionë euro për MW </w:t>
      </w:r>
      <w:proofErr w:type="spellStart"/>
      <w:r>
        <w:rPr>
          <w:lang w:val="de-DE"/>
        </w:rPr>
        <w:t>të</w:t>
      </w:r>
      <w:proofErr w:type="spellEnd"/>
      <w:r>
        <w:rPr>
          <w:lang w:val="de-DE"/>
        </w:rPr>
        <w:t xml:space="preserve"> </w:t>
      </w:r>
      <w:proofErr w:type="spellStart"/>
      <w:r>
        <w:rPr>
          <w:lang w:val="de-DE"/>
        </w:rPr>
        <w:t>instaluar</w:t>
      </w:r>
      <w:proofErr w:type="spellEnd"/>
      <w:r>
        <w:rPr>
          <w:lang w:val="de-DE"/>
        </w:rPr>
        <w:t xml:space="preserve"> </w:t>
      </w:r>
      <w:proofErr w:type="spellStart"/>
      <w:r w:rsidR="008C5C7F">
        <w:rPr>
          <w:lang w:val="de-DE"/>
        </w:rPr>
        <w:t>që</w:t>
      </w:r>
      <w:proofErr w:type="spellEnd"/>
      <w:r>
        <w:rPr>
          <w:lang w:val="de-DE"/>
        </w:rPr>
        <w:t xml:space="preserve"> </w:t>
      </w:r>
      <w:proofErr w:type="spellStart"/>
      <w:r>
        <w:rPr>
          <w:lang w:val="de-DE"/>
        </w:rPr>
        <w:t>shërben</w:t>
      </w:r>
      <w:proofErr w:type="spellEnd"/>
      <w:r>
        <w:rPr>
          <w:lang w:val="de-DE"/>
        </w:rPr>
        <w:t xml:space="preserve"> si </w:t>
      </w:r>
      <w:proofErr w:type="spellStart"/>
      <w:r>
        <w:rPr>
          <w:lang w:val="de-DE"/>
        </w:rPr>
        <w:t>pikë</w:t>
      </w:r>
      <w:proofErr w:type="spellEnd"/>
      <w:r>
        <w:rPr>
          <w:lang w:val="de-DE"/>
        </w:rPr>
        <w:t xml:space="preserve"> referimi për vlerësimin indikativ të kostos së zhvillimit të kapaciteteve të reja diellore. </w:t>
      </w:r>
      <w:proofErr w:type="spellStart"/>
      <w:r w:rsidRPr="008C5C7F">
        <w:rPr>
          <w:lang w:val="de-DE"/>
        </w:rPr>
        <w:t>Tabela</w:t>
      </w:r>
      <w:proofErr w:type="spellEnd"/>
      <w:r w:rsidRPr="008C5C7F">
        <w:rPr>
          <w:lang w:val="de-DE"/>
        </w:rPr>
        <w:t xml:space="preserve"> 4 </w:t>
      </w:r>
      <w:proofErr w:type="spellStart"/>
      <w:r w:rsidRPr="008C5C7F">
        <w:rPr>
          <w:lang w:val="de-DE"/>
        </w:rPr>
        <w:t>paraqet</w:t>
      </w:r>
      <w:proofErr w:type="spellEnd"/>
      <w:r w:rsidRPr="008C5C7F">
        <w:rPr>
          <w:lang w:val="de-DE"/>
        </w:rPr>
        <w:t xml:space="preserve"> </w:t>
      </w:r>
      <w:proofErr w:type="spellStart"/>
      <w:r w:rsidRPr="008C5C7F">
        <w:rPr>
          <w:lang w:val="de-DE"/>
        </w:rPr>
        <w:t>strukturën</w:t>
      </w:r>
      <w:proofErr w:type="spellEnd"/>
      <w:r w:rsidRPr="008C5C7F">
        <w:rPr>
          <w:lang w:val="de-DE"/>
        </w:rPr>
        <w:t xml:space="preserve"> indikative </w:t>
      </w:r>
      <w:proofErr w:type="spellStart"/>
      <w:r w:rsidRPr="008C5C7F">
        <w:rPr>
          <w:lang w:val="de-DE"/>
        </w:rPr>
        <w:t>të</w:t>
      </w:r>
      <w:proofErr w:type="spellEnd"/>
      <w:r w:rsidRPr="008C5C7F">
        <w:rPr>
          <w:lang w:val="de-DE"/>
        </w:rPr>
        <w:t xml:space="preserve"> </w:t>
      </w:r>
      <w:proofErr w:type="spellStart"/>
      <w:r w:rsidRPr="008C5C7F">
        <w:rPr>
          <w:lang w:val="de-DE"/>
        </w:rPr>
        <w:t>kostos</w:t>
      </w:r>
      <w:proofErr w:type="spellEnd"/>
      <w:r w:rsidRPr="008C5C7F">
        <w:rPr>
          <w:lang w:val="de-DE"/>
        </w:rPr>
        <w:t xml:space="preserve"> </w:t>
      </w:r>
      <w:proofErr w:type="spellStart"/>
      <w:r w:rsidRPr="008C5C7F">
        <w:rPr>
          <w:lang w:val="de-DE"/>
        </w:rPr>
        <w:t>dhe</w:t>
      </w:r>
      <w:proofErr w:type="spellEnd"/>
      <w:r w:rsidRPr="008C5C7F">
        <w:rPr>
          <w:lang w:val="de-DE"/>
        </w:rPr>
        <w:t xml:space="preserve"> </w:t>
      </w:r>
      <w:proofErr w:type="spellStart"/>
      <w:r w:rsidRPr="008C5C7F">
        <w:rPr>
          <w:lang w:val="de-DE"/>
        </w:rPr>
        <w:t>financimit</w:t>
      </w:r>
      <w:proofErr w:type="spellEnd"/>
      <w:r w:rsidRPr="008C5C7F">
        <w:rPr>
          <w:lang w:val="de-DE"/>
        </w:rPr>
        <w:t xml:space="preserve"> </w:t>
      </w:r>
      <w:proofErr w:type="spellStart"/>
      <w:r w:rsidRPr="008C5C7F">
        <w:rPr>
          <w:lang w:val="de-DE"/>
        </w:rPr>
        <w:t>sipas</w:t>
      </w:r>
      <w:proofErr w:type="spellEnd"/>
      <w:r w:rsidRPr="008C5C7F">
        <w:rPr>
          <w:lang w:val="de-DE"/>
        </w:rPr>
        <w:t xml:space="preserve"> </w:t>
      </w:r>
      <w:proofErr w:type="spellStart"/>
      <w:r w:rsidRPr="008C5C7F">
        <w:rPr>
          <w:lang w:val="de-DE"/>
        </w:rPr>
        <w:t>fushave</w:t>
      </w:r>
      <w:proofErr w:type="spellEnd"/>
      <w:r w:rsidRPr="008C5C7F">
        <w:rPr>
          <w:lang w:val="de-DE"/>
        </w:rPr>
        <w:t xml:space="preserve"> </w:t>
      </w:r>
      <w:proofErr w:type="spellStart"/>
      <w:r w:rsidRPr="008C5C7F">
        <w:rPr>
          <w:lang w:val="de-DE"/>
        </w:rPr>
        <w:t>kryesore</w:t>
      </w:r>
      <w:proofErr w:type="spellEnd"/>
      <w:r w:rsidRPr="008C5C7F">
        <w:rPr>
          <w:lang w:val="de-DE"/>
        </w:rPr>
        <w:t xml:space="preserve"> </w:t>
      </w:r>
      <w:proofErr w:type="spellStart"/>
      <w:r w:rsidRPr="008C5C7F">
        <w:rPr>
          <w:lang w:val="de-DE"/>
        </w:rPr>
        <w:t>të</w:t>
      </w:r>
      <w:proofErr w:type="spellEnd"/>
      <w:r w:rsidRPr="008C5C7F">
        <w:rPr>
          <w:lang w:val="de-DE"/>
        </w:rPr>
        <w:t xml:space="preserve"> </w:t>
      </w:r>
      <w:proofErr w:type="spellStart"/>
      <w:r w:rsidRPr="008C5C7F">
        <w:rPr>
          <w:lang w:val="de-DE"/>
        </w:rPr>
        <w:t>investimit</w:t>
      </w:r>
      <w:proofErr w:type="spellEnd"/>
      <w:r w:rsidRPr="008C5C7F">
        <w:rPr>
          <w:lang w:val="de-DE"/>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0"/>
        <w:gridCol w:w="2700"/>
        <w:gridCol w:w="3300"/>
      </w:tblGrid>
      <w:tr w:rsidR="00A90CBB" w14:paraId="69013461" w14:textId="77777777">
        <w:trPr>
          <w:tblHeader/>
        </w:trPr>
        <w:tc>
          <w:tcPr>
            <w:tcW w:w="336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17F2517B" w14:textId="77777777" w:rsidR="00A90CBB" w:rsidRDefault="00112C45">
            <w:proofErr w:type="spellStart"/>
            <w:r>
              <w:rPr>
                <w:b/>
                <w:bCs/>
                <w:color w:val="FFFFFF"/>
                <w:sz w:val="19"/>
                <w:szCs w:val="19"/>
              </w:rPr>
              <w:t>Fusha</w:t>
            </w:r>
            <w:proofErr w:type="spellEnd"/>
            <w:r>
              <w:rPr>
                <w:b/>
                <w:bCs/>
                <w:color w:val="FFFFFF"/>
                <w:sz w:val="19"/>
                <w:szCs w:val="19"/>
              </w:rPr>
              <w:t xml:space="preserve"> e </w:t>
            </w:r>
            <w:proofErr w:type="spellStart"/>
            <w:r>
              <w:rPr>
                <w:b/>
                <w:bCs/>
                <w:color w:val="FFFFFF"/>
                <w:sz w:val="19"/>
                <w:szCs w:val="19"/>
              </w:rPr>
              <w:t>investimit</w:t>
            </w:r>
            <w:proofErr w:type="spellEnd"/>
          </w:p>
        </w:tc>
        <w:tc>
          <w:tcPr>
            <w:tcW w:w="27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462C97DA" w14:textId="77777777" w:rsidR="00A90CBB" w:rsidRDefault="00112C45">
            <w:r>
              <w:rPr>
                <w:b/>
                <w:bCs/>
                <w:color w:val="FFFFFF"/>
                <w:sz w:val="19"/>
                <w:szCs w:val="19"/>
              </w:rPr>
              <w:t>Kosto indikative</w:t>
            </w:r>
          </w:p>
        </w:tc>
        <w:tc>
          <w:tcPr>
            <w:tcW w:w="33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37CA5A91" w14:textId="77777777" w:rsidR="00A90CBB" w:rsidRDefault="00112C45">
            <w:r>
              <w:rPr>
                <w:b/>
                <w:bCs/>
                <w:color w:val="FFFFFF"/>
                <w:sz w:val="19"/>
                <w:szCs w:val="19"/>
              </w:rPr>
              <w:t>Burimet kryesore të financimit</w:t>
            </w:r>
          </w:p>
        </w:tc>
      </w:tr>
      <w:tr w:rsidR="00A90CBB" w14:paraId="0C35450A" w14:textId="77777777">
        <w:tc>
          <w:tcPr>
            <w:tcW w:w="3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E4366EB" w14:textId="77777777" w:rsidR="00A90CBB" w:rsidRDefault="00112C45">
            <w:pPr>
              <w:spacing w:line="252" w:lineRule="auto"/>
            </w:pPr>
            <w:r>
              <w:rPr>
                <w:sz w:val="19"/>
                <w:szCs w:val="19"/>
              </w:rPr>
              <w:t>Kapacitete të reja nga BRE (≈ 1.320 MW: erë, diell, biomasë, prosumatorë)</w:t>
            </w:r>
          </w:p>
        </w:tc>
        <w:tc>
          <w:tcPr>
            <w:tcW w:w="27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AD044FA" w14:textId="77777777" w:rsidR="00A90CBB" w:rsidRDefault="00112C45">
            <w:pPr>
              <w:spacing w:line="252" w:lineRule="auto"/>
            </w:pPr>
            <w:r>
              <w:rPr>
                <w:sz w:val="19"/>
                <w:szCs w:val="19"/>
              </w:rPr>
              <w:t>≈ 1,0–1,5 mld € (vlerësim indikativ)</w:t>
            </w:r>
          </w:p>
        </w:tc>
        <w:tc>
          <w:tcPr>
            <w:tcW w:w="33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2F2EB30" w14:textId="18F9A135" w:rsidR="00A90CBB" w:rsidRDefault="00112C45">
            <w:pPr>
              <w:spacing w:line="252" w:lineRule="auto"/>
            </w:pPr>
            <w:r>
              <w:rPr>
                <w:sz w:val="19"/>
                <w:szCs w:val="19"/>
              </w:rPr>
              <w:t>Investime private dhe publike; kredi IFN; grante WBIF</w:t>
            </w:r>
          </w:p>
        </w:tc>
      </w:tr>
      <w:tr w:rsidR="00A90CBB" w14:paraId="4BD08559" w14:textId="77777777">
        <w:tc>
          <w:tcPr>
            <w:tcW w:w="33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2A657BD" w14:textId="77777777" w:rsidR="00A90CBB" w:rsidRDefault="00112C45">
            <w:pPr>
              <w:spacing w:line="252" w:lineRule="auto"/>
            </w:pPr>
            <w:r>
              <w:rPr>
                <w:sz w:val="19"/>
                <w:szCs w:val="19"/>
              </w:rPr>
              <w:lastRenderedPageBreak/>
              <w:t>Ruajtje e energjisë me bateri (BESS, ≈ 170 MW)</w:t>
            </w:r>
          </w:p>
        </w:tc>
        <w:tc>
          <w:tcPr>
            <w:tcW w:w="27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280D5F5" w14:textId="6B748014" w:rsidR="00A90CBB" w:rsidRPr="00503850" w:rsidRDefault="008A373A">
            <w:pPr>
              <w:spacing w:line="252" w:lineRule="auto"/>
              <w:rPr>
                <w:lang w:val="de-DE"/>
              </w:rPr>
            </w:pPr>
            <w:r>
              <w:rPr>
                <w:sz w:val="19"/>
                <w:szCs w:val="19"/>
                <w:lang w:val="de-DE"/>
              </w:rPr>
              <w:t xml:space="preserve">USD </w:t>
            </w:r>
            <w:r w:rsidRPr="008A373A">
              <w:rPr>
                <w:sz w:val="19"/>
                <w:szCs w:val="19"/>
                <w:lang w:val="de-DE"/>
              </w:rPr>
              <w:t xml:space="preserve">236.7 </w:t>
            </w:r>
            <w:proofErr w:type="spellStart"/>
            <w:r w:rsidRPr="008A373A">
              <w:rPr>
                <w:sz w:val="19"/>
                <w:szCs w:val="19"/>
                <w:lang w:val="de-DE"/>
              </w:rPr>
              <w:t>million</w:t>
            </w:r>
            <w:proofErr w:type="spellEnd"/>
          </w:p>
        </w:tc>
        <w:tc>
          <w:tcPr>
            <w:tcW w:w="33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539D1236" w14:textId="077485DF" w:rsidR="00A90CBB" w:rsidRDefault="008A373A">
            <w:pPr>
              <w:spacing w:line="252" w:lineRule="auto"/>
            </w:pPr>
            <w:r w:rsidRPr="008A373A">
              <w:rPr>
                <w:sz w:val="19"/>
                <w:szCs w:val="19"/>
              </w:rPr>
              <w:t>U.S. Government</w:t>
            </w:r>
            <w:r>
              <w:rPr>
                <w:sz w:val="19"/>
                <w:szCs w:val="19"/>
              </w:rPr>
              <w:t xml:space="preserve"> MCC / </w:t>
            </w:r>
            <w:proofErr w:type="spellStart"/>
            <w:r>
              <w:rPr>
                <w:sz w:val="19"/>
                <w:szCs w:val="19"/>
              </w:rPr>
              <w:t>Buxheti</w:t>
            </w:r>
            <w:proofErr w:type="spellEnd"/>
            <w:r>
              <w:rPr>
                <w:sz w:val="19"/>
                <w:szCs w:val="19"/>
              </w:rPr>
              <w:t xml:space="preserve"> </w:t>
            </w:r>
            <w:proofErr w:type="spellStart"/>
            <w:r>
              <w:rPr>
                <w:sz w:val="19"/>
                <w:szCs w:val="19"/>
              </w:rPr>
              <w:t>i</w:t>
            </w:r>
            <w:proofErr w:type="spellEnd"/>
            <w:r>
              <w:rPr>
                <w:sz w:val="19"/>
                <w:szCs w:val="19"/>
              </w:rPr>
              <w:t xml:space="preserve"> </w:t>
            </w:r>
            <w:proofErr w:type="spellStart"/>
            <w:r>
              <w:rPr>
                <w:sz w:val="19"/>
                <w:szCs w:val="19"/>
              </w:rPr>
              <w:t>shtetit</w:t>
            </w:r>
            <w:proofErr w:type="spellEnd"/>
          </w:p>
        </w:tc>
      </w:tr>
      <w:tr w:rsidR="00A90CBB" w14:paraId="734438EC" w14:textId="77777777">
        <w:tc>
          <w:tcPr>
            <w:tcW w:w="3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998781B" w14:textId="5E5B3D28" w:rsidR="00A90CBB" w:rsidRDefault="00112C45">
            <w:pPr>
              <w:spacing w:line="252" w:lineRule="auto"/>
            </w:pPr>
            <w:r>
              <w:rPr>
                <w:sz w:val="19"/>
                <w:szCs w:val="19"/>
              </w:rPr>
              <w:t>Modernizimi mjedisor i TC “Kosova B”, njësisë A3 dhe një njësie tjetër të TC Kosova A (FGD, elektrofiltra, NOx)</w:t>
            </w:r>
          </w:p>
        </w:tc>
        <w:tc>
          <w:tcPr>
            <w:tcW w:w="27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944764F" w14:textId="4DB576AF" w:rsidR="00A90CBB" w:rsidRDefault="008A373A">
            <w:pPr>
              <w:spacing w:line="252" w:lineRule="auto"/>
            </w:pPr>
            <w:r w:rsidRPr="008A373A">
              <w:rPr>
                <w:sz w:val="19"/>
                <w:szCs w:val="19"/>
              </w:rPr>
              <w:t>€</w:t>
            </w:r>
            <w:r>
              <w:rPr>
                <w:sz w:val="19"/>
                <w:szCs w:val="19"/>
              </w:rPr>
              <w:t xml:space="preserve"> </w:t>
            </w:r>
            <w:r w:rsidRPr="008A373A">
              <w:rPr>
                <w:sz w:val="19"/>
                <w:szCs w:val="19"/>
              </w:rPr>
              <w:t>247.3 million</w:t>
            </w:r>
          </w:p>
        </w:tc>
        <w:tc>
          <w:tcPr>
            <w:tcW w:w="33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27B67A7" w14:textId="77777777" w:rsidR="00A90CBB" w:rsidRDefault="00112C45">
            <w:pPr>
              <w:spacing w:line="252" w:lineRule="auto"/>
            </w:pPr>
            <w:r>
              <w:rPr>
                <w:sz w:val="19"/>
                <w:szCs w:val="19"/>
              </w:rPr>
              <w:t>KEK</w:t>
            </w:r>
          </w:p>
        </w:tc>
      </w:tr>
      <w:tr w:rsidR="00A90CBB" w:rsidRPr="008C5C7F" w14:paraId="2AE69E52" w14:textId="77777777">
        <w:tc>
          <w:tcPr>
            <w:tcW w:w="33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5FB25439" w14:textId="77777777" w:rsidR="00A90CBB" w:rsidRDefault="00112C45">
            <w:pPr>
              <w:spacing w:line="252" w:lineRule="auto"/>
              <w:rPr>
                <w:sz w:val="19"/>
                <w:szCs w:val="19"/>
              </w:rPr>
            </w:pPr>
            <w:r>
              <w:rPr>
                <w:sz w:val="19"/>
                <w:szCs w:val="19"/>
              </w:rPr>
              <w:t>Ngrohja qendrore në Prishtinë (50 MWth solare shtesë dhe zgjerimi I rrjetit)</w:t>
            </w:r>
          </w:p>
          <w:p w14:paraId="729DC907" w14:textId="77777777" w:rsidR="0031405A" w:rsidRDefault="0031405A">
            <w:pPr>
              <w:spacing w:line="252" w:lineRule="auto"/>
              <w:rPr>
                <w:sz w:val="18"/>
                <w:szCs w:val="18"/>
              </w:rPr>
            </w:pPr>
            <w:r>
              <w:rPr>
                <w:sz w:val="18"/>
                <w:szCs w:val="18"/>
              </w:rPr>
              <w:t>Sisteme të reja të ngrohjes qendrore në së paku dy qytete të reja</w:t>
            </w:r>
          </w:p>
          <w:p w14:paraId="1B48ABF9" w14:textId="04ACE94A" w:rsidR="0031405A" w:rsidRPr="0031405A" w:rsidRDefault="0031405A">
            <w:pPr>
              <w:spacing w:line="252" w:lineRule="auto"/>
              <w:rPr>
                <w:sz w:val="18"/>
                <w:szCs w:val="18"/>
              </w:rPr>
            </w:pPr>
            <w:r>
              <w:rPr>
                <w:sz w:val="18"/>
                <w:szCs w:val="18"/>
              </w:rPr>
              <w:t>Dyfishimi i kapaciteteve të ngrohjes nga kogjenerimi në KEK</w:t>
            </w:r>
          </w:p>
        </w:tc>
        <w:tc>
          <w:tcPr>
            <w:tcW w:w="27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4DFA3B0F" w14:textId="77777777" w:rsidR="00A90CBB" w:rsidRDefault="00112C45">
            <w:pPr>
              <w:spacing w:line="252" w:lineRule="auto"/>
            </w:pPr>
            <w:r>
              <w:rPr>
                <w:sz w:val="19"/>
                <w:szCs w:val="19"/>
              </w:rPr>
              <w:t>Pjesë e paketës WBIF</w:t>
            </w:r>
          </w:p>
        </w:tc>
        <w:tc>
          <w:tcPr>
            <w:tcW w:w="33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3B892DB" w14:textId="77777777" w:rsidR="00A90CBB" w:rsidRPr="00503850" w:rsidRDefault="00112C45">
            <w:pPr>
              <w:spacing w:line="252" w:lineRule="auto"/>
              <w:rPr>
                <w:lang w:val="de-DE"/>
              </w:rPr>
            </w:pPr>
            <w:r>
              <w:rPr>
                <w:sz w:val="19"/>
                <w:szCs w:val="19"/>
                <w:lang w:val="de-DE"/>
              </w:rPr>
              <w:t>Grante WBIF / kredi KfW–BEI / donatorë</w:t>
            </w:r>
          </w:p>
        </w:tc>
      </w:tr>
      <w:tr w:rsidR="00A90CBB" w14:paraId="6FEA3331" w14:textId="77777777">
        <w:tc>
          <w:tcPr>
            <w:tcW w:w="33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C54838E" w14:textId="77777777" w:rsidR="00A90CBB" w:rsidRPr="00503850" w:rsidRDefault="00112C45">
            <w:pPr>
              <w:spacing w:line="252" w:lineRule="auto"/>
              <w:rPr>
                <w:lang w:val="de-DE"/>
              </w:rPr>
            </w:pPr>
            <w:proofErr w:type="spellStart"/>
            <w:r>
              <w:rPr>
                <w:sz w:val="19"/>
                <w:szCs w:val="19"/>
                <w:lang w:val="de-DE"/>
              </w:rPr>
              <w:t>Efiçienca</w:t>
            </w:r>
            <w:proofErr w:type="spellEnd"/>
            <w:r>
              <w:rPr>
                <w:sz w:val="19"/>
                <w:szCs w:val="19"/>
                <w:lang w:val="de-DE"/>
              </w:rPr>
              <w:t xml:space="preserve"> e </w:t>
            </w:r>
            <w:proofErr w:type="spellStart"/>
            <w:r>
              <w:rPr>
                <w:sz w:val="19"/>
                <w:szCs w:val="19"/>
                <w:lang w:val="de-DE"/>
              </w:rPr>
              <w:t>energjisë</w:t>
            </w:r>
            <w:proofErr w:type="spellEnd"/>
            <w:r>
              <w:rPr>
                <w:sz w:val="19"/>
                <w:szCs w:val="19"/>
                <w:lang w:val="de-DE"/>
              </w:rPr>
              <w:t xml:space="preserve"> (</w:t>
            </w:r>
            <w:proofErr w:type="spellStart"/>
            <w:r>
              <w:rPr>
                <w:sz w:val="19"/>
                <w:szCs w:val="19"/>
                <w:lang w:val="de-DE"/>
              </w:rPr>
              <w:t>deri</w:t>
            </w:r>
            <w:proofErr w:type="spellEnd"/>
            <w:r>
              <w:rPr>
                <w:sz w:val="19"/>
                <w:szCs w:val="19"/>
                <w:lang w:val="de-DE"/>
              </w:rPr>
              <w:t xml:space="preserve"> 865,8 ktoe kursime)</w:t>
            </w:r>
          </w:p>
        </w:tc>
        <w:tc>
          <w:tcPr>
            <w:tcW w:w="27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147E1A4" w14:textId="77777777" w:rsidR="00A90CBB" w:rsidRDefault="00112C45">
            <w:pPr>
              <w:spacing w:line="252" w:lineRule="auto"/>
            </w:pPr>
            <w:r>
              <w:rPr>
                <w:sz w:val="19"/>
                <w:szCs w:val="19"/>
              </w:rPr>
              <w:t>Vlerësim indikativ</w:t>
            </w:r>
          </w:p>
        </w:tc>
        <w:tc>
          <w:tcPr>
            <w:tcW w:w="33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DA7F837" w14:textId="6547AACB" w:rsidR="00A90CBB" w:rsidRPr="007F6361" w:rsidRDefault="00112C45">
            <w:pPr>
              <w:spacing w:line="252" w:lineRule="auto"/>
            </w:pPr>
            <w:r>
              <w:rPr>
                <w:sz w:val="19"/>
                <w:szCs w:val="19"/>
              </w:rPr>
              <w:t>Donatorë / IPA / FKEE / Buxhet i shtetit</w:t>
            </w:r>
          </w:p>
        </w:tc>
      </w:tr>
      <w:tr w:rsidR="00A90CBB" w14:paraId="6DE4A1C5" w14:textId="77777777">
        <w:tc>
          <w:tcPr>
            <w:tcW w:w="33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6BAC29C" w14:textId="77777777" w:rsidR="00A90CBB" w:rsidRDefault="00112C45">
            <w:pPr>
              <w:spacing w:line="252" w:lineRule="auto"/>
            </w:pPr>
            <w:r>
              <w:rPr>
                <w:sz w:val="19"/>
                <w:szCs w:val="19"/>
              </w:rPr>
              <w:t>Tranzicioni i drejtë për punëtorët dhe komunitetet</w:t>
            </w:r>
          </w:p>
        </w:tc>
        <w:tc>
          <w:tcPr>
            <w:tcW w:w="27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45C88C0D" w14:textId="284D4C10" w:rsidR="00A90CBB" w:rsidRDefault="00112C45">
            <w:pPr>
              <w:spacing w:line="252" w:lineRule="auto"/>
            </w:pPr>
            <w:r>
              <w:rPr>
                <w:sz w:val="19"/>
                <w:szCs w:val="19"/>
              </w:rPr>
              <w:t xml:space="preserve">Vlerësim indikativ </w:t>
            </w:r>
          </w:p>
        </w:tc>
        <w:tc>
          <w:tcPr>
            <w:tcW w:w="33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9B19D19" w14:textId="62C6BE1A" w:rsidR="00A90CBB" w:rsidRDefault="007F6361">
            <w:pPr>
              <w:spacing w:line="252" w:lineRule="auto"/>
            </w:pPr>
            <w:r>
              <w:rPr>
                <w:sz w:val="19"/>
                <w:szCs w:val="19"/>
              </w:rPr>
              <w:t>Buxheti i shtetit/ donatorë</w:t>
            </w:r>
          </w:p>
        </w:tc>
      </w:tr>
    </w:tbl>
    <w:p w14:paraId="771EECA9" w14:textId="7D77E054" w:rsidR="00A90CBB" w:rsidRPr="00503850" w:rsidRDefault="00112C45">
      <w:pPr>
        <w:spacing w:before="40" w:after="220"/>
        <w:rPr>
          <w:lang w:val="de-DE"/>
        </w:rPr>
      </w:pPr>
      <w:r>
        <w:rPr>
          <w:i/>
          <w:iCs/>
          <w:color w:val="595959"/>
          <w:sz w:val="18"/>
          <w:szCs w:val="18"/>
          <w:lang w:val="de-DE"/>
        </w:rPr>
        <w:t>Tabela 4. Struktura indikative e kostos dhe e financimit sipas fushave të investimit</w:t>
      </w:r>
    </w:p>
    <w:p w14:paraId="786A1763" w14:textId="2C5457D2" w:rsidR="00A90CBB" w:rsidRPr="00503850" w:rsidRDefault="00112C45">
      <w:pPr>
        <w:spacing w:after="150" w:line="278" w:lineRule="auto"/>
        <w:jc w:val="both"/>
        <w:rPr>
          <w:lang w:val="de-DE"/>
        </w:rPr>
      </w:pPr>
      <w:r>
        <w:rPr>
          <w:b/>
          <w:bCs/>
          <w:i/>
          <w:iCs/>
          <w:lang w:val="de-DE"/>
        </w:rPr>
        <w:t xml:space="preserve">Shënim metodologjik. </w:t>
      </w:r>
      <w:r>
        <w:rPr>
          <w:i/>
          <w:iCs/>
          <w:lang w:val="de-DE"/>
        </w:rPr>
        <w:t>Vlerat e kostos janë vlerësime indikative, të ankoruara në kostot e Strategjisë së Energjisë dhe në kostot reale të projekteve referencë.</w:t>
      </w:r>
    </w:p>
    <w:p w14:paraId="191024E2" w14:textId="77777777" w:rsidR="00A90CBB" w:rsidRPr="00503850" w:rsidRDefault="00112C45">
      <w:pPr>
        <w:spacing w:after="150" w:line="278" w:lineRule="auto"/>
        <w:jc w:val="both"/>
        <w:rPr>
          <w:lang w:val="de-DE"/>
        </w:rPr>
      </w:pPr>
      <w:r>
        <w:rPr>
          <w:lang w:val="de-DE"/>
        </w:rPr>
        <w:t>Partnerët kryesorë përfshijnë Bankën Botërore, Bankën Evropiane për Rindërtim dhe Zhvillim (BERZH), BEI-n, KfW dhe GIZ, Komisionin Evropian (fondet IPA), agjencitë e Kombeve të Bashkuara (UNDP, UN Women, ILO), Agjencinë për Zhvillim të Luksemburgut, si dhe partnerë të tjerë zhvillimorë. Sektori privat pritet të luajë rol të rëndësishëm, veçanërisht në fushën e BRE-ve dhe teknologjive inovative, kryesisht përmes ankandeve konkurruese.</w:t>
      </w:r>
    </w:p>
    <w:p w14:paraId="1B63A594" w14:textId="77777777" w:rsidR="00A90CBB" w:rsidRPr="00503850" w:rsidRDefault="00112C45">
      <w:pPr>
        <w:rPr>
          <w:lang w:val="de-DE"/>
        </w:rPr>
      </w:pPr>
      <w:r>
        <w:rPr>
          <w:lang w:val="de-DE"/>
        </w:rPr>
        <w:br w:type="page"/>
      </w:r>
    </w:p>
    <w:p w14:paraId="58D3F070" w14:textId="77777777" w:rsidR="00A90CBB" w:rsidRPr="00503850" w:rsidRDefault="00112C45">
      <w:pPr>
        <w:pStyle w:val="Heading1"/>
        <w:rPr>
          <w:lang w:val="de-DE"/>
        </w:rPr>
      </w:pPr>
      <w:bookmarkStart w:id="36" w:name="_Toc231392870"/>
      <w:r>
        <w:rPr>
          <w:lang w:val="de-DE"/>
        </w:rPr>
        <w:lastRenderedPageBreak/>
        <w:t>7. Plani i zbatimit, korniza monitoruese dhe indikatorët kyç të performancës</w:t>
      </w:r>
      <w:bookmarkEnd w:id="36"/>
    </w:p>
    <w:p w14:paraId="55BBD213" w14:textId="13B67ADE" w:rsidR="00A90CBB" w:rsidRPr="00503850" w:rsidRDefault="00112C45">
      <w:pPr>
        <w:spacing w:after="150" w:line="278" w:lineRule="auto"/>
        <w:jc w:val="both"/>
        <w:rPr>
          <w:lang w:val="de-DE"/>
        </w:rPr>
      </w:pPr>
      <w:r>
        <w:rPr>
          <w:lang w:val="de-DE"/>
        </w:rPr>
        <w:t>Zbatimi i Udhërrëfyesit kërkon një organizim të qartë të periudhave kohore, përgjegjësive dhe mekanizmave të ndjekjes së progresit. Ky kapitull përcakton se si do të realizohen masat e parashikuara, si do të koordinohen institucionet dhe si do të sigurohet që rezultatet të jenë të matshme dhe të qëndrueshme në kohë. Qasja bazohet në një ndarje të qartë ndërmjet planifikimit strategjik dhe zbatimit praktik, duke siguruar që objektivat e përcaktuara në kapitujt paraprakë të përkthehen në veprime konkrete, të ndjekura përmes një sistemi të rregullt monitorimi dhe vlerësimi.</w:t>
      </w:r>
    </w:p>
    <w:p w14:paraId="2177177E" w14:textId="77777777" w:rsidR="00A90CBB" w:rsidRPr="00503850" w:rsidRDefault="00112C45">
      <w:pPr>
        <w:pStyle w:val="Heading2"/>
        <w:rPr>
          <w:lang w:val="de-DE"/>
        </w:rPr>
      </w:pPr>
      <w:bookmarkStart w:id="37" w:name="_Toc231392871"/>
      <w:r>
        <w:rPr>
          <w:lang w:val="de-DE"/>
        </w:rPr>
        <w:t>7.1 Fazat e zbatimit</w:t>
      </w:r>
      <w:bookmarkEnd w:id="37"/>
    </w:p>
    <w:p w14:paraId="70CD0886" w14:textId="77777777" w:rsidR="00A90CBB" w:rsidRPr="00503850" w:rsidRDefault="00112C45">
      <w:pPr>
        <w:spacing w:after="150" w:line="278" w:lineRule="auto"/>
        <w:jc w:val="both"/>
        <w:rPr>
          <w:lang w:val="de-DE"/>
        </w:rPr>
      </w:pPr>
      <w:r>
        <w:rPr>
          <w:lang w:val="de-DE"/>
        </w:rPr>
        <w:t>Tranzicioni do të zbatohet në tri faza të njëpasnjëshme, duke siguruar zbatim gradual dhe të qëndrueshëm. Faza e parë, afatshkurtër (2026–2028), do të krijojë bazën ligjore dhe institucionale. Faza e dytë, afatmesme (2029–2032), do të fokusohet në zbatimin e programeve dhe në shtrirjen e investimeve. Faza e tretë, afatgjatë (2033 e tutje), do të synojë forcimin e rezultateve dhe integrimin e plotë të tyre në politikat afatgjata. Secila fazë do të përcaktojë afate, përgjegjësi institucionale dhe rezultate të matshme. Procesi do të rishikohet sipas nevojës, në mënyrë që masat të përshtaten me sfidat e reja, prioritetet e vendit, angazhimet ndërkombëtare dhe zhvillimet në treg.</w:t>
      </w:r>
    </w:p>
    <w:p w14:paraId="04CCEF06" w14:textId="77777777" w:rsidR="00A90CBB" w:rsidRPr="00503850" w:rsidRDefault="00112C45">
      <w:pPr>
        <w:pStyle w:val="Heading3"/>
        <w:rPr>
          <w:lang w:val="de-DE"/>
        </w:rPr>
      </w:pPr>
      <w:bookmarkStart w:id="38" w:name="_Toc231392872"/>
      <w:r>
        <w:rPr>
          <w:lang w:val="de-DE"/>
        </w:rPr>
        <w:t>7.1.1 Faza afatshkurtër (2026–2028)</w:t>
      </w:r>
      <w:bookmarkEnd w:id="38"/>
    </w:p>
    <w:p w14:paraId="44FA73B3" w14:textId="77777777" w:rsidR="00A90CBB" w:rsidRPr="00503850" w:rsidRDefault="00112C45">
      <w:pPr>
        <w:spacing w:after="150" w:line="278" w:lineRule="auto"/>
        <w:jc w:val="both"/>
        <w:rPr>
          <w:lang w:val="de-DE"/>
        </w:rPr>
      </w:pPr>
      <w:r>
        <w:rPr>
          <w:lang w:val="de-DE"/>
        </w:rPr>
        <w:t>Në këtë fazë vendosen themelet për zbatimin e tranzicionit të drejtë. Fokusi kryesor është krijimi i një kornize funksionale që mundëson koordinim institucional, financim të qëndrueshëm dhe fillimin e aktiviteteve konkrete në terren.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A90CBB" w14:paraId="78720DF0" w14:textId="77777777">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57356E8C" w14:textId="77777777" w:rsidR="00A90CBB" w:rsidRDefault="00112C45">
            <w:r>
              <w:rPr>
                <w:b/>
                <w:bCs/>
                <w:color w:val="FFFFFF"/>
                <w:sz w:val="19"/>
                <w:szCs w:val="19"/>
              </w:rPr>
              <w:t>Fusha</w:t>
            </w:r>
          </w:p>
        </w:tc>
        <w:tc>
          <w:tcPr>
            <w:tcW w:w="676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37DEC681" w14:textId="77777777" w:rsidR="00A90CBB" w:rsidRDefault="00112C45">
            <w:r>
              <w:rPr>
                <w:b/>
                <w:bCs/>
                <w:color w:val="FFFFFF"/>
                <w:sz w:val="19"/>
                <w:szCs w:val="19"/>
              </w:rPr>
              <w:t>Veprimet kryesore</w:t>
            </w:r>
          </w:p>
        </w:tc>
      </w:tr>
      <w:tr w:rsidR="00A90CBB" w14:paraId="6579930A" w14:textId="77777777">
        <w:tc>
          <w:tcPr>
            <w:tcW w:w="26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A8DB08A" w14:textId="77777777" w:rsidR="00A90CBB" w:rsidRDefault="00112C45">
            <w:pPr>
              <w:spacing w:line="252" w:lineRule="auto"/>
            </w:pPr>
            <w:r>
              <w:rPr>
                <w:sz w:val="19"/>
                <w:szCs w:val="19"/>
              </w:rPr>
              <w:t>Qeverisja</w:t>
            </w:r>
          </w:p>
        </w:tc>
        <w:tc>
          <w:tcPr>
            <w:tcW w:w="67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8BA7DD1" w14:textId="489DD2E7" w:rsidR="00A90CBB" w:rsidRDefault="00112C45">
            <w:pPr>
              <w:spacing w:line="252" w:lineRule="auto"/>
            </w:pPr>
            <w:r>
              <w:rPr>
                <w:sz w:val="19"/>
                <w:szCs w:val="19"/>
              </w:rPr>
              <w:t>Zgjerimi i mandatit të Këshillit Kombëtar për Ndryshime Klimatike me përgjegjësi të reja në raport me Tranzicionin e Drejtë; hartimi i Strategjisë Afatgjatë të Tranzicionit të Gjelbër dhe Dekarbonizimit të KEK-ut; integrimi me NECP 2025–2030.</w:t>
            </w:r>
          </w:p>
        </w:tc>
      </w:tr>
      <w:tr w:rsidR="00A90CBB" w14:paraId="48888BD5" w14:textId="77777777">
        <w:tc>
          <w:tcPr>
            <w:tcW w:w="26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57E453A" w14:textId="77777777" w:rsidR="00A90CBB" w:rsidRDefault="00112C45">
            <w:pPr>
              <w:spacing w:line="252" w:lineRule="auto"/>
            </w:pPr>
            <w:r>
              <w:rPr>
                <w:sz w:val="19"/>
                <w:szCs w:val="19"/>
              </w:rPr>
              <w:t>Zhvillimi i kapaciteteve të reja</w:t>
            </w:r>
          </w:p>
        </w:tc>
        <w:tc>
          <w:tcPr>
            <w:tcW w:w="67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78329B9B" w14:textId="5ED693D0" w:rsidR="00A90CBB" w:rsidRDefault="00112C45">
            <w:pPr>
              <w:spacing w:line="252" w:lineRule="auto"/>
            </w:pPr>
            <w:r>
              <w:rPr>
                <w:sz w:val="19"/>
                <w:szCs w:val="19"/>
              </w:rPr>
              <w:t>Përgatitja dhe zbatimi i projekteve për BRE, BESS, ngrohje qendrore dhe renovim të ndërtesave.</w:t>
            </w:r>
          </w:p>
        </w:tc>
      </w:tr>
      <w:tr w:rsidR="00A90CBB" w14:paraId="4D7CF972" w14:textId="77777777">
        <w:tc>
          <w:tcPr>
            <w:tcW w:w="26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9695441" w14:textId="77777777" w:rsidR="00A90CBB" w:rsidRDefault="00112C45">
            <w:pPr>
              <w:spacing w:line="252" w:lineRule="auto"/>
            </w:pPr>
            <w:r>
              <w:rPr>
                <w:sz w:val="19"/>
                <w:szCs w:val="19"/>
              </w:rPr>
              <w:t>Mbrojtja sociale</w:t>
            </w:r>
          </w:p>
        </w:tc>
        <w:tc>
          <w:tcPr>
            <w:tcW w:w="67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8D20E58" w14:textId="48D20F19" w:rsidR="00A90CBB" w:rsidRDefault="00A53D7B">
            <w:pPr>
              <w:spacing w:line="252" w:lineRule="auto"/>
            </w:pPr>
            <w:r>
              <w:rPr>
                <w:sz w:val="19"/>
                <w:szCs w:val="19"/>
              </w:rPr>
              <w:t>Dokumentimi i fuqisë punëtore të prekur dhe ndikimi i tranzicionit tek ta; krijimi i regjistrit të konsumatorëve të cenueshëm dhe mbështetja e tyre me masa mbështetëse sipas legjislacionit në fuqi.</w:t>
            </w:r>
          </w:p>
        </w:tc>
      </w:tr>
    </w:tbl>
    <w:p w14:paraId="4E7A5C16" w14:textId="386BCA6B" w:rsidR="00A90CBB" w:rsidRDefault="00112C45">
      <w:pPr>
        <w:spacing w:before="40" w:after="220"/>
      </w:pPr>
      <w:r>
        <w:rPr>
          <w:i/>
          <w:iCs/>
          <w:color w:val="595959"/>
          <w:sz w:val="18"/>
          <w:szCs w:val="18"/>
        </w:rPr>
        <w:t>Tabela 5. Veprimet kryesore në fazën afatshkurtër</w:t>
      </w:r>
    </w:p>
    <w:p w14:paraId="472B9162" w14:textId="62CF4667" w:rsidR="00A90CBB" w:rsidRDefault="00112C45">
      <w:pPr>
        <w:spacing w:after="150" w:line="278" w:lineRule="auto"/>
        <w:jc w:val="both"/>
      </w:pPr>
      <w:r>
        <w:t>Në përfundim të kësaj faze, pritet që Kosova të ketë një strukturë funksionale të menaxhimit të tranzicionit, një kornizë të qartë ligjore e financiare, si dhe projektet e para të gatshme për zbatim.</w:t>
      </w:r>
    </w:p>
    <w:p w14:paraId="6D752AD3" w14:textId="77777777" w:rsidR="00A90CBB" w:rsidRDefault="00112C45">
      <w:pPr>
        <w:pStyle w:val="Heading3"/>
      </w:pPr>
      <w:bookmarkStart w:id="39" w:name="_Toc231392873"/>
      <w:r>
        <w:t>7.1.2 Faza afatmesme (2029–2032)</w:t>
      </w:r>
      <w:bookmarkEnd w:id="39"/>
    </w:p>
    <w:p w14:paraId="42F8D2C5" w14:textId="77777777" w:rsidR="00A90CBB" w:rsidRDefault="00112C45">
      <w:pPr>
        <w:spacing w:after="150" w:line="278" w:lineRule="auto"/>
        <w:jc w:val="both"/>
      </w:pPr>
      <w:r>
        <w:t>Kjo fazë është periudha kryesore e zbatimit, ku fokusi zhvendoset nga përgatitja në realizimin konkret të investimeve dhe masave. Gjatë kësaj periudhe do të zhvillohen kapacitetet e reja të BRE-ve, do të zbatohen projektet e ruajtjes së energjisë dhe do të zgjerohet infrastruktura e ngrohjes qendrore. Një element i rëndësishëm është adresimi i ndikimeve sociale përmes masave për punësim, rikualifikim dhe zhvillim ekonomik lokal, veçanërisht në zonat e prekura.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6460"/>
      </w:tblGrid>
      <w:tr w:rsidR="00A90CBB" w14:paraId="2F713BA6" w14:textId="77777777">
        <w:trPr>
          <w:tblHeader/>
        </w:trPr>
        <w:tc>
          <w:tcPr>
            <w:tcW w:w="29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5EBA9B9E" w14:textId="77777777" w:rsidR="00A90CBB" w:rsidRDefault="00112C45">
            <w:r>
              <w:rPr>
                <w:b/>
                <w:bCs/>
                <w:color w:val="FFFFFF"/>
                <w:sz w:val="19"/>
                <w:szCs w:val="19"/>
              </w:rPr>
              <w:lastRenderedPageBreak/>
              <w:t>Projektet</w:t>
            </w:r>
          </w:p>
        </w:tc>
        <w:tc>
          <w:tcPr>
            <w:tcW w:w="646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37F0E440" w14:textId="77777777" w:rsidR="00A90CBB" w:rsidRDefault="00112C45">
            <w:r>
              <w:rPr>
                <w:b/>
                <w:bCs/>
                <w:color w:val="FFFFFF"/>
                <w:sz w:val="19"/>
                <w:szCs w:val="19"/>
              </w:rPr>
              <w:t>Veprimet kryesore</w:t>
            </w:r>
          </w:p>
        </w:tc>
      </w:tr>
      <w:tr w:rsidR="00A90CBB" w14:paraId="27C31381" w14:textId="77777777">
        <w:tc>
          <w:tcPr>
            <w:tcW w:w="2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60A2553" w14:textId="77777777" w:rsidR="00A90CBB" w:rsidRDefault="00112C45">
            <w:pPr>
              <w:spacing w:line="252" w:lineRule="auto"/>
            </w:pPr>
            <w:r>
              <w:rPr>
                <w:sz w:val="19"/>
                <w:szCs w:val="19"/>
              </w:rPr>
              <w:t>BRE</w:t>
            </w:r>
          </w:p>
        </w:tc>
        <w:tc>
          <w:tcPr>
            <w:tcW w:w="6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E46A8B5" w14:textId="77777777" w:rsidR="00A90CBB" w:rsidRDefault="00112C45">
            <w:pPr>
              <w:spacing w:line="252" w:lineRule="auto"/>
            </w:pPr>
            <w:r>
              <w:rPr>
                <w:sz w:val="19"/>
                <w:szCs w:val="19"/>
              </w:rPr>
              <w:t>Ndërtimi i kapaciteteve të reja nga burimet e ripërtëritshme.</w:t>
            </w:r>
          </w:p>
        </w:tc>
      </w:tr>
      <w:tr w:rsidR="00A90CBB" w14:paraId="7AC1E407" w14:textId="77777777">
        <w:tc>
          <w:tcPr>
            <w:tcW w:w="2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1CFF6FC" w14:textId="77777777" w:rsidR="00A90CBB" w:rsidRDefault="00112C45">
            <w:pPr>
              <w:spacing w:line="252" w:lineRule="auto"/>
            </w:pPr>
            <w:r>
              <w:rPr>
                <w:sz w:val="19"/>
                <w:szCs w:val="19"/>
              </w:rPr>
              <w:t>Ruajtja e energjisë</w:t>
            </w:r>
          </w:p>
        </w:tc>
        <w:tc>
          <w:tcPr>
            <w:tcW w:w="6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242E117" w14:textId="77777777" w:rsidR="00A90CBB" w:rsidRDefault="00112C45">
            <w:pPr>
              <w:spacing w:line="252" w:lineRule="auto"/>
            </w:pPr>
            <w:r>
              <w:rPr>
                <w:sz w:val="19"/>
                <w:szCs w:val="19"/>
              </w:rPr>
              <w:t>Zbatimi i projekteve të BESS.</w:t>
            </w:r>
          </w:p>
        </w:tc>
      </w:tr>
      <w:tr w:rsidR="00A90CBB" w14:paraId="19F4F163" w14:textId="77777777">
        <w:tc>
          <w:tcPr>
            <w:tcW w:w="2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7B55EBFB" w14:textId="77777777" w:rsidR="00A90CBB" w:rsidRDefault="00112C45">
            <w:pPr>
              <w:spacing w:line="252" w:lineRule="auto"/>
            </w:pPr>
            <w:r>
              <w:rPr>
                <w:sz w:val="19"/>
                <w:szCs w:val="19"/>
              </w:rPr>
              <w:t>Renovimi i ndërtesave</w:t>
            </w:r>
          </w:p>
        </w:tc>
        <w:tc>
          <w:tcPr>
            <w:tcW w:w="6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A4AFDBC" w14:textId="4DB6E35E" w:rsidR="009959C7" w:rsidRPr="009959C7" w:rsidRDefault="00112C45">
            <w:pPr>
              <w:spacing w:line="252" w:lineRule="auto"/>
              <w:rPr>
                <w:sz w:val="19"/>
                <w:szCs w:val="19"/>
              </w:rPr>
            </w:pPr>
            <w:r>
              <w:rPr>
                <w:sz w:val="19"/>
                <w:szCs w:val="19"/>
              </w:rPr>
              <w:t>Zbatimi i projekteve të renovimit të ndërtesave publike dhe renovimi i ndërtesave në sektorin rezidencial.</w:t>
            </w:r>
          </w:p>
        </w:tc>
      </w:tr>
      <w:tr w:rsidR="00A90CBB" w14:paraId="5393A55E" w14:textId="77777777">
        <w:tc>
          <w:tcPr>
            <w:tcW w:w="2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4DD1F81" w14:textId="77777777" w:rsidR="00A90CBB" w:rsidRDefault="00112C45">
            <w:pPr>
              <w:spacing w:line="252" w:lineRule="auto"/>
            </w:pPr>
            <w:r>
              <w:rPr>
                <w:sz w:val="19"/>
                <w:szCs w:val="19"/>
              </w:rPr>
              <w:t>Sistemet e ngrohjes qendrore</w:t>
            </w:r>
          </w:p>
        </w:tc>
        <w:tc>
          <w:tcPr>
            <w:tcW w:w="64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20E8F14" w14:textId="77777777" w:rsidR="00A90CBB" w:rsidRDefault="00112C45">
            <w:pPr>
              <w:spacing w:line="252" w:lineRule="auto"/>
            </w:pPr>
            <w:r>
              <w:rPr>
                <w:sz w:val="19"/>
                <w:szCs w:val="19"/>
              </w:rPr>
              <w:t>Zbatimi i projekteve të ngrohjes qendrore.</w:t>
            </w:r>
          </w:p>
        </w:tc>
      </w:tr>
      <w:tr w:rsidR="00A90CBB" w14:paraId="44A8574C" w14:textId="77777777">
        <w:tc>
          <w:tcPr>
            <w:tcW w:w="2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23BDC57" w14:textId="77777777" w:rsidR="00A90CBB" w:rsidRDefault="00112C45">
            <w:pPr>
              <w:spacing w:line="252" w:lineRule="auto"/>
            </w:pPr>
            <w:r>
              <w:rPr>
                <w:sz w:val="19"/>
                <w:szCs w:val="19"/>
              </w:rPr>
              <w:t>Masa sociale dhe punësimi</w:t>
            </w:r>
          </w:p>
        </w:tc>
        <w:tc>
          <w:tcPr>
            <w:tcW w:w="64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D80E39A" w14:textId="71FC9C34" w:rsidR="00A90CBB" w:rsidRDefault="00112C45">
            <w:pPr>
              <w:spacing w:line="252" w:lineRule="auto"/>
            </w:pPr>
            <w:r>
              <w:rPr>
                <w:sz w:val="19"/>
                <w:szCs w:val="19"/>
              </w:rPr>
              <w:t>Dokumentimi i fuqisë punëtore të prekur dhe përgatitja e programeve për trajnim e rikualifikim, me qëllim ruajtjen dhe krijimin e mundësive të reja të punësimit.</w:t>
            </w:r>
          </w:p>
        </w:tc>
      </w:tr>
    </w:tbl>
    <w:p w14:paraId="0929DBF9" w14:textId="42EA6836" w:rsidR="00A90CBB" w:rsidRDefault="00112C45">
      <w:pPr>
        <w:spacing w:before="40" w:after="220"/>
      </w:pPr>
      <w:r>
        <w:rPr>
          <w:i/>
          <w:iCs/>
          <w:color w:val="595959"/>
          <w:sz w:val="18"/>
          <w:szCs w:val="18"/>
        </w:rPr>
        <w:t>Tabela 6. Veprimet kryesore në fazën afatmesme</w:t>
      </w:r>
    </w:p>
    <w:p w14:paraId="25E89F5F" w14:textId="77777777" w:rsidR="00A90CBB" w:rsidRDefault="00112C45">
      <w:pPr>
        <w:spacing w:after="150" w:line="278" w:lineRule="auto"/>
        <w:jc w:val="both"/>
      </w:pPr>
      <w:r>
        <w:t>Në përfundim të kësaj faze, pritet rritje e ndjeshme e kapaciteteve energjetike, zhvillim ekonomik lokal dhe përmirësim i dukshëm i kushteve mjedisore.</w:t>
      </w:r>
    </w:p>
    <w:p w14:paraId="6836D707" w14:textId="77777777" w:rsidR="00A90CBB" w:rsidRDefault="00112C45">
      <w:pPr>
        <w:pStyle w:val="Heading3"/>
      </w:pPr>
      <w:bookmarkStart w:id="40" w:name="_Toc231392874"/>
      <w:r>
        <w:t>7.1.3 Faza afatgjatë (2033 e tutje)</w:t>
      </w:r>
      <w:bookmarkEnd w:id="40"/>
    </w:p>
    <w:p w14:paraId="1AE40761" w14:textId="77777777" w:rsidR="00A90CBB" w:rsidRDefault="00112C45">
      <w:pPr>
        <w:spacing w:after="150" w:line="278" w:lineRule="auto"/>
        <w:jc w:val="both"/>
      </w:pPr>
      <w:r>
        <w:t>Faza afatgjatë fokusohet në konsolidimin e rezultateve dhe në funksionimin e qëndrueshëm të sistemit energjetik. Sistemi do të karakterizohet nga pjesëmarrje e lartë e BRE-ve, kapacitete të modernizuara dhe mekanizma të avancuar të operimit dhe menaxhimit.</w:t>
      </w:r>
    </w:p>
    <w:p w14:paraId="38FBD3EE" w14:textId="77777777" w:rsidR="00A90CBB" w:rsidRDefault="00112C45">
      <w:pPr>
        <w:spacing w:after="150" w:line="278" w:lineRule="auto"/>
        <w:jc w:val="both"/>
      </w:pPr>
      <w:r>
        <w:t>Kapacitetet e TC “Kosova B” do të vazhdojnë të operojnë si kapacitete bazë të sistemit, të modernizuara dhe të përshtatura me standardet mjedisore në fuqi, duke garantuar stabilitet dhe siguri të furnizimit. Ndërkohë, kapacitetet e TC “Kosova A” do të ndalen gradualisht nga prodhimi aktiv pas sigurimit të kapaciteteve zëvendësuese dhe do të transformohen në rezerva strategjike, të aktivizuara vetëm në periudhat e dimrit, për nevoja ngrohjeje përmes kogjenerimit dhe në raste krizash energjetike, në linjë me angazhimin për heqjen graduale të qymyrit deri në vitin 2050.</w:t>
      </w:r>
    </w:p>
    <w:p w14:paraId="2FFE1413" w14:textId="77777777" w:rsidR="00A90CBB" w:rsidRDefault="00112C45">
      <w:pPr>
        <w:spacing w:after="150" w:line="278" w:lineRule="auto"/>
        <w:jc w:val="both"/>
      </w:pPr>
      <w:r>
        <w:t>Paralelisht, do të vazhdojë zhvillimi i kapaciteteve të reja nga BRE, integrimi i BESS, zgjerimi i ngrohjes qendrore dhe investimet në efiçiencë. Bazuar në ndërhyrjet e planifikuara, pritet të arrihen rezultatet në vijim:</w:t>
      </w:r>
    </w:p>
    <w:p w14:paraId="4154E2BC" w14:textId="7E0FA08F" w:rsidR="00A90CBB" w:rsidRDefault="002E3FF1">
      <w:pPr>
        <w:pStyle w:val="ListParagraph"/>
        <w:numPr>
          <w:ilvl w:val="0"/>
          <w:numId w:val="2"/>
        </w:numPr>
        <w:spacing w:after="80" w:line="270" w:lineRule="auto"/>
        <w:jc w:val="both"/>
      </w:pPr>
      <w:r>
        <w:t>reduktimi gradual i prodhimit në njësitë e TC “Kosova A” ,për të mbetur si rezervë strategjike;</w:t>
      </w:r>
    </w:p>
    <w:p w14:paraId="708B2B39" w14:textId="77777777" w:rsidR="00A90CBB" w:rsidRDefault="00112C45">
      <w:pPr>
        <w:pStyle w:val="ListParagraph"/>
        <w:numPr>
          <w:ilvl w:val="0"/>
          <w:numId w:val="2"/>
        </w:numPr>
        <w:spacing w:after="80" w:line="270" w:lineRule="auto"/>
        <w:jc w:val="both"/>
      </w:pPr>
      <w:r>
        <w:t>zhvillimi i mëtejshëm i projekteve të BRE-ve dhe i sistemeve të ruajtjes së energjisë;</w:t>
      </w:r>
    </w:p>
    <w:p w14:paraId="26061D40" w14:textId="77777777" w:rsidR="00A90CBB" w:rsidRDefault="00112C45">
      <w:pPr>
        <w:pStyle w:val="ListParagraph"/>
        <w:numPr>
          <w:ilvl w:val="0"/>
          <w:numId w:val="2"/>
        </w:numPr>
        <w:spacing w:after="80" w:line="270" w:lineRule="auto"/>
        <w:jc w:val="both"/>
      </w:pPr>
      <w:r>
        <w:t>zgjerimi i ngrohjes qendrore në komunat e mbetura, për të reduktuar kërkesën për energji elektrike gjatë dimrit;</w:t>
      </w:r>
    </w:p>
    <w:p w14:paraId="539CD72C" w14:textId="77777777" w:rsidR="00A90CBB" w:rsidRDefault="00112C45">
      <w:pPr>
        <w:pStyle w:val="ListParagraph"/>
        <w:numPr>
          <w:ilvl w:val="0"/>
          <w:numId w:val="2"/>
        </w:numPr>
        <w:spacing w:after="80" w:line="270" w:lineRule="auto"/>
        <w:jc w:val="both"/>
      </w:pPr>
      <w:r>
        <w:t>përfshirja sociale dhe barazia, me synim uljen e varfërisë dhe papunësisë në komunat e prekura;</w:t>
      </w:r>
    </w:p>
    <w:p w14:paraId="42F7924B" w14:textId="77777777" w:rsidR="00A90CBB" w:rsidRDefault="00112C45">
      <w:pPr>
        <w:pStyle w:val="ListParagraph"/>
        <w:numPr>
          <w:ilvl w:val="0"/>
          <w:numId w:val="2"/>
        </w:numPr>
        <w:spacing w:after="80" w:line="270" w:lineRule="auto"/>
        <w:jc w:val="both"/>
      </w:pPr>
      <w:r>
        <w:t>integrimi i barazisë gjinore dhe përfshirja e grupeve të margjinalizuara e të rinjve në tregun e punës;</w:t>
      </w:r>
    </w:p>
    <w:p w14:paraId="2EB422E3" w14:textId="77777777" w:rsidR="00A90CBB" w:rsidRDefault="00112C45">
      <w:pPr>
        <w:pStyle w:val="ListParagraph"/>
        <w:numPr>
          <w:ilvl w:val="0"/>
          <w:numId w:val="2"/>
        </w:numPr>
        <w:spacing w:after="80" w:line="270" w:lineRule="auto"/>
        <w:jc w:val="both"/>
      </w:pPr>
      <w:r>
        <w:t>zhvillimi i një fuqie punëtore të kualifikuar përmes reformave në arsim profesional, trajnim dhe rikualifikim;</w:t>
      </w:r>
    </w:p>
    <w:p w14:paraId="4FAB178F" w14:textId="77777777" w:rsidR="00A90CBB" w:rsidRDefault="00112C45">
      <w:pPr>
        <w:pStyle w:val="ListParagraph"/>
        <w:numPr>
          <w:ilvl w:val="0"/>
          <w:numId w:val="2"/>
        </w:numPr>
        <w:spacing w:after="80" w:line="270" w:lineRule="auto"/>
        <w:jc w:val="both"/>
      </w:pPr>
      <w:r>
        <w:t>zbatimi i instrumenteve financiare gjithëpërfshirëse për biznese, punëtorë dhe komunitete të prekura;</w:t>
      </w:r>
    </w:p>
    <w:p w14:paraId="71B3B285" w14:textId="77777777" w:rsidR="00A90CBB" w:rsidRDefault="00112C45">
      <w:pPr>
        <w:pStyle w:val="ListParagraph"/>
        <w:numPr>
          <w:ilvl w:val="0"/>
          <w:numId w:val="2"/>
        </w:numPr>
        <w:spacing w:after="80" w:line="270" w:lineRule="auto"/>
        <w:jc w:val="both"/>
      </w:pPr>
      <w:r>
        <w:t>përmirësimi i ndjeshëm i gjendjes mjedisore përmes rehabilitimit të zonave të ish-minierave dhe deponive.</w:t>
      </w:r>
    </w:p>
    <w:p w14:paraId="17875C84" w14:textId="44CCC9C4" w:rsidR="00A90CBB" w:rsidRDefault="00112C45" w:rsidP="00507F3F">
      <w:pPr>
        <w:pStyle w:val="Heading2"/>
      </w:pPr>
      <w:r>
        <w:br w:type="page"/>
      </w:r>
      <w:bookmarkStart w:id="41" w:name="_Toc231392875"/>
      <w:r>
        <w:lastRenderedPageBreak/>
        <w:t>7.2 Indikatorët e performancës</w:t>
      </w:r>
      <w:bookmarkEnd w:id="41"/>
    </w:p>
    <w:p w14:paraId="3EF50420" w14:textId="77777777" w:rsidR="00A90CBB" w:rsidRDefault="00112C45">
      <w:pPr>
        <w:spacing w:after="150" w:line="278" w:lineRule="auto"/>
        <w:jc w:val="both"/>
      </w:pPr>
      <w:r>
        <w:t>Për të vlerësuar progresin e zbatimit do të përdoret një grup i kufizuar indikatorësh strategjikë që pasqyrojnë rezultatet kryesore të tranzicionit të drejtë. Këta indikatorë do të monitorohen në baza vjetore dhe lidhen drejtpërdrejt me objektivat strategjike të Kapitullit 5 dhe masat e zbatimit të këtij kapitulli. Vlerat fillestare i referohen vitit 2026 ose të dhënave më të fundit të disponueshme.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10"/>
        <w:gridCol w:w="1000"/>
        <w:gridCol w:w="1900"/>
        <w:gridCol w:w="1750"/>
      </w:tblGrid>
      <w:tr w:rsidR="00A90CBB" w14:paraId="55F87D38" w14:textId="77777777">
        <w:trPr>
          <w:tblHeader/>
        </w:trPr>
        <w:tc>
          <w:tcPr>
            <w:tcW w:w="471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58AC271A" w14:textId="77777777" w:rsidR="00A90CBB" w:rsidRDefault="00112C45">
            <w:r>
              <w:rPr>
                <w:b/>
                <w:bCs/>
                <w:color w:val="FFFFFF"/>
                <w:sz w:val="19"/>
                <w:szCs w:val="19"/>
              </w:rPr>
              <w:t>Indikatori</w:t>
            </w:r>
          </w:p>
        </w:tc>
        <w:tc>
          <w:tcPr>
            <w:tcW w:w="10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5F64E45D" w14:textId="77777777" w:rsidR="00A90CBB" w:rsidRDefault="00112C45">
            <w:r>
              <w:rPr>
                <w:b/>
                <w:bCs/>
                <w:color w:val="FFFFFF"/>
                <w:sz w:val="19"/>
                <w:szCs w:val="19"/>
              </w:rPr>
              <w:t>Njësia</w:t>
            </w:r>
          </w:p>
        </w:tc>
        <w:tc>
          <w:tcPr>
            <w:tcW w:w="19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3C99AE69" w14:textId="77777777" w:rsidR="00A90CBB" w:rsidRDefault="00112C45">
            <w:r>
              <w:rPr>
                <w:b/>
                <w:bCs/>
                <w:color w:val="FFFFFF"/>
                <w:sz w:val="19"/>
                <w:szCs w:val="19"/>
              </w:rPr>
              <w:t>Pika fillestare (2026)</w:t>
            </w:r>
          </w:p>
        </w:tc>
        <w:tc>
          <w:tcPr>
            <w:tcW w:w="175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6EC4B7D3" w14:textId="77777777" w:rsidR="00A90CBB" w:rsidRDefault="00112C45">
            <w:r>
              <w:rPr>
                <w:b/>
                <w:bCs/>
                <w:color w:val="FFFFFF"/>
                <w:sz w:val="19"/>
                <w:szCs w:val="19"/>
              </w:rPr>
              <w:t>Caku (2032)</w:t>
            </w:r>
          </w:p>
        </w:tc>
      </w:tr>
      <w:tr w:rsidR="00A90CBB" w14:paraId="73FF01E9" w14:textId="77777777">
        <w:tc>
          <w:tcPr>
            <w:tcW w:w="471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8E8B0D9" w14:textId="77777777" w:rsidR="00A90CBB" w:rsidRDefault="00112C45">
            <w:pPr>
              <w:spacing w:line="252" w:lineRule="auto"/>
            </w:pPr>
            <w:r>
              <w:rPr>
                <w:sz w:val="19"/>
                <w:szCs w:val="19"/>
              </w:rPr>
              <w:t>Kapacitetet nga BRE</w:t>
            </w:r>
          </w:p>
        </w:tc>
        <w:tc>
          <w:tcPr>
            <w:tcW w:w="1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1D55710" w14:textId="77777777" w:rsidR="00A90CBB" w:rsidRDefault="00112C45">
            <w:pPr>
              <w:spacing w:line="252" w:lineRule="auto"/>
              <w:jc w:val="center"/>
            </w:pPr>
            <w:r>
              <w:rPr>
                <w:sz w:val="19"/>
                <w:szCs w:val="19"/>
              </w:rPr>
              <w:t>MW</w:t>
            </w:r>
          </w:p>
        </w:tc>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079DFAD" w14:textId="77777777" w:rsidR="00A90CBB" w:rsidRDefault="00112C45">
            <w:pPr>
              <w:spacing w:line="252" w:lineRule="auto"/>
              <w:jc w:val="center"/>
            </w:pPr>
            <w:r>
              <w:rPr>
                <w:sz w:val="19"/>
                <w:szCs w:val="19"/>
              </w:rPr>
              <w:t>370</w:t>
            </w:r>
          </w:p>
        </w:tc>
        <w:tc>
          <w:tcPr>
            <w:tcW w:w="17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E86A1AC" w14:textId="77777777" w:rsidR="00A90CBB" w:rsidRDefault="00112C45">
            <w:pPr>
              <w:spacing w:line="252" w:lineRule="auto"/>
              <w:jc w:val="center"/>
            </w:pPr>
            <w:r>
              <w:rPr>
                <w:sz w:val="19"/>
                <w:szCs w:val="19"/>
              </w:rPr>
              <w:t>1.200</w:t>
            </w:r>
          </w:p>
        </w:tc>
      </w:tr>
      <w:tr w:rsidR="00A90CBB" w14:paraId="4D6C7312" w14:textId="77777777">
        <w:tc>
          <w:tcPr>
            <w:tcW w:w="471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8F92BFA" w14:textId="77777777" w:rsidR="00A90CBB" w:rsidRDefault="00112C45">
            <w:pPr>
              <w:spacing w:line="252" w:lineRule="auto"/>
            </w:pPr>
            <w:r>
              <w:rPr>
                <w:sz w:val="19"/>
                <w:szCs w:val="19"/>
              </w:rPr>
              <w:t>Ruajtja e energjisë me bateri</w:t>
            </w:r>
          </w:p>
        </w:tc>
        <w:tc>
          <w:tcPr>
            <w:tcW w:w="10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A18D1B1" w14:textId="77777777" w:rsidR="00A90CBB" w:rsidRDefault="00112C45">
            <w:pPr>
              <w:spacing w:line="252" w:lineRule="auto"/>
              <w:jc w:val="center"/>
            </w:pPr>
            <w:r>
              <w:rPr>
                <w:sz w:val="19"/>
                <w:szCs w:val="19"/>
              </w:rPr>
              <w:t>MW</w:t>
            </w:r>
          </w:p>
        </w:tc>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5312BCD" w14:textId="77777777" w:rsidR="00A90CBB" w:rsidRDefault="00112C45">
            <w:pPr>
              <w:spacing w:line="252" w:lineRule="auto"/>
              <w:jc w:val="center"/>
            </w:pPr>
            <w:r>
              <w:rPr>
                <w:sz w:val="19"/>
                <w:szCs w:val="19"/>
              </w:rPr>
              <w:t>0</w:t>
            </w:r>
          </w:p>
        </w:tc>
        <w:tc>
          <w:tcPr>
            <w:tcW w:w="17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A6A094D" w14:textId="77777777" w:rsidR="00A90CBB" w:rsidRDefault="00112C45">
            <w:pPr>
              <w:spacing w:line="252" w:lineRule="auto"/>
              <w:jc w:val="center"/>
            </w:pPr>
            <w:r>
              <w:rPr>
                <w:sz w:val="19"/>
                <w:szCs w:val="19"/>
              </w:rPr>
              <w:t>170</w:t>
            </w:r>
          </w:p>
        </w:tc>
      </w:tr>
      <w:tr w:rsidR="00A90CBB" w14:paraId="6FDE329A" w14:textId="77777777">
        <w:tc>
          <w:tcPr>
            <w:tcW w:w="471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48765F6" w14:textId="77777777" w:rsidR="00A90CBB" w:rsidRPr="00503850" w:rsidRDefault="00112C45">
            <w:pPr>
              <w:spacing w:line="252" w:lineRule="auto"/>
              <w:rPr>
                <w:lang w:val="de-DE"/>
              </w:rPr>
            </w:pPr>
            <w:r>
              <w:rPr>
                <w:sz w:val="19"/>
                <w:szCs w:val="19"/>
                <w:lang w:val="de-DE"/>
              </w:rPr>
              <w:t>Pjesëmarrja e BRE-ve në prodhimin e energjisë elektrike</w:t>
            </w:r>
          </w:p>
        </w:tc>
        <w:tc>
          <w:tcPr>
            <w:tcW w:w="1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95F61D6" w14:textId="77777777" w:rsidR="00A90CBB" w:rsidRDefault="00112C45">
            <w:pPr>
              <w:spacing w:line="252" w:lineRule="auto"/>
              <w:jc w:val="center"/>
            </w:pPr>
            <w:r>
              <w:rPr>
                <w:sz w:val="19"/>
                <w:szCs w:val="19"/>
              </w:rPr>
              <w:t>%</w:t>
            </w:r>
          </w:p>
        </w:tc>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B3935EC" w14:textId="77777777" w:rsidR="00A90CBB" w:rsidRDefault="00112C45">
            <w:pPr>
              <w:spacing w:line="252" w:lineRule="auto"/>
              <w:jc w:val="center"/>
            </w:pPr>
            <w:r>
              <w:rPr>
                <w:sz w:val="19"/>
                <w:szCs w:val="19"/>
              </w:rPr>
              <w:t>8</w:t>
            </w:r>
          </w:p>
        </w:tc>
        <w:tc>
          <w:tcPr>
            <w:tcW w:w="17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CD656C8" w14:textId="77777777" w:rsidR="00A90CBB" w:rsidRDefault="00112C45">
            <w:pPr>
              <w:spacing w:line="252" w:lineRule="auto"/>
              <w:jc w:val="center"/>
            </w:pPr>
            <w:r>
              <w:rPr>
                <w:sz w:val="19"/>
                <w:szCs w:val="19"/>
              </w:rPr>
              <w:t>35</w:t>
            </w:r>
          </w:p>
        </w:tc>
      </w:tr>
      <w:tr w:rsidR="00A90CBB" w14:paraId="69BBA16B" w14:textId="77777777">
        <w:tc>
          <w:tcPr>
            <w:tcW w:w="471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A482306" w14:textId="77777777" w:rsidR="00A90CBB" w:rsidRDefault="00112C45">
            <w:pPr>
              <w:spacing w:line="252" w:lineRule="auto"/>
            </w:pPr>
            <w:r>
              <w:rPr>
                <w:sz w:val="19"/>
                <w:szCs w:val="19"/>
              </w:rPr>
              <w:t>Gratë në fuqinë punëtore të sektorit të energjisë</w:t>
            </w:r>
          </w:p>
        </w:tc>
        <w:tc>
          <w:tcPr>
            <w:tcW w:w="10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C74785D" w14:textId="77777777" w:rsidR="00A90CBB" w:rsidRDefault="00112C45">
            <w:pPr>
              <w:spacing w:line="252" w:lineRule="auto"/>
              <w:jc w:val="center"/>
            </w:pPr>
            <w:r>
              <w:rPr>
                <w:sz w:val="19"/>
                <w:szCs w:val="19"/>
              </w:rPr>
              <w:t>%</w:t>
            </w:r>
          </w:p>
        </w:tc>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B3A8A2A" w14:textId="77777777" w:rsidR="00A90CBB" w:rsidRDefault="00112C45">
            <w:pPr>
              <w:spacing w:line="252" w:lineRule="auto"/>
              <w:jc w:val="center"/>
            </w:pPr>
            <w:r>
              <w:rPr>
                <w:sz w:val="19"/>
                <w:szCs w:val="19"/>
              </w:rPr>
              <w:t>&lt; 20</w:t>
            </w:r>
          </w:p>
        </w:tc>
        <w:tc>
          <w:tcPr>
            <w:tcW w:w="17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FD322D5" w14:textId="77777777" w:rsidR="00A90CBB" w:rsidRDefault="00112C45">
            <w:pPr>
              <w:spacing w:line="252" w:lineRule="auto"/>
              <w:jc w:val="center"/>
            </w:pPr>
            <w:r>
              <w:rPr>
                <w:sz w:val="19"/>
                <w:szCs w:val="19"/>
              </w:rPr>
              <w:t>25 (deri 2031)</w:t>
            </w:r>
          </w:p>
        </w:tc>
      </w:tr>
      <w:tr w:rsidR="00A90CBB" w14:paraId="74F61CFF" w14:textId="77777777">
        <w:tc>
          <w:tcPr>
            <w:tcW w:w="471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E2C84F3" w14:textId="289E445C" w:rsidR="00A90CBB" w:rsidRDefault="00112C45">
            <w:pPr>
              <w:spacing w:line="252" w:lineRule="auto"/>
            </w:pPr>
            <w:r>
              <w:rPr>
                <w:sz w:val="19"/>
                <w:szCs w:val="19"/>
              </w:rPr>
              <w:t xml:space="preserve">Zgjerimi i ngrohjes qendrore në Prishtinë </w:t>
            </w:r>
          </w:p>
        </w:tc>
        <w:tc>
          <w:tcPr>
            <w:tcW w:w="1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CF53A83" w14:textId="77777777" w:rsidR="00A90CBB" w:rsidRDefault="00112C45">
            <w:pPr>
              <w:spacing w:line="252" w:lineRule="auto"/>
              <w:jc w:val="center"/>
            </w:pPr>
            <w:r>
              <w:rPr>
                <w:sz w:val="19"/>
                <w:szCs w:val="19"/>
              </w:rPr>
              <w:t>MWth</w:t>
            </w:r>
          </w:p>
        </w:tc>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6D2A46F" w14:textId="77777777" w:rsidR="00A90CBB" w:rsidRDefault="00112C45">
            <w:pPr>
              <w:spacing w:line="252" w:lineRule="auto"/>
              <w:jc w:val="center"/>
            </w:pPr>
            <w:r>
              <w:rPr>
                <w:sz w:val="19"/>
                <w:szCs w:val="19"/>
              </w:rPr>
              <w:t>–</w:t>
            </w:r>
          </w:p>
        </w:tc>
        <w:tc>
          <w:tcPr>
            <w:tcW w:w="17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747D2D6C" w14:textId="77777777" w:rsidR="00A90CBB" w:rsidRDefault="00112C45">
            <w:pPr>
              <w:spacing w:line="252" w:lineRule="auto"/>
              <w:jc w:val="center"/>
              <w:rPr>
                <w:sz w:val="19"/>
                <w:szCs w:val="19"/>
              </w:rPr>
            </w:pPr>
            <w:r>
              <w:rPr>
                <w:sz w:val="19"/>
                <w:szCs w:val="19"/>
              </w:rPr>
              <w:t xml:space="preserve">50 solar </w:t>
            </w:r>
          </w:p>
          <w:p w14:paraId="29FAFEEE" w14:textId="14AA0AEB" w:rsidR="005448CA" w:rsidRPr="005448CA" w:rsidRDefault="005448CA">
            <w:pPr>
              <w:spacing w:line="252" w:lineRule="auto"/>
              <w:jc w:val="center"/>
              <w:rPr>
                <w:sz w:val="19"/>
                <w:szCs w:val="19"/>
              </w:rPr>
            </w:pPr>
            <w:r>
              <w:rPr>
                <w:sz w:val="19"/>
                <w:szCs w:val="19"/>
              </w:rPr>
              <w:t>140 nga kogjenerimi</w:t>
            </w:r>
          </w:p>
        </w:tc>
      </w:tr>
      <w:tr w:rsidR="00A90CBB" w14:paraId="7BB6E956" w14:textId="77777777">
        <w:tc>
          <w:tcPr>
            <w:tcW w:w="471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0C34DC9" w14:textId="77777777" w:rsidR="00A90CBB" w:rsidRDefault="00112C45">
            <w:pPr>
              <w:spacing w:line="252" w:lineRule="auto"/>
            </w:pPr>
            <w:r>
              <w:rPr>
                <w:sz w:val="19"/>
                <w:szCs w:val="19"/>
              </w:rPr>
              <w:t>Ngrohje qendrore nga BRE</w:t>
            </w:r>
          </w:p>
        </w:tc>
        <w:tc>
          <w:tcPr>
            <w:tcW w:w="10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F8BE81D" w14:textId="77777777" w:rsidR="00A90CBB" w:rsidRDefault="00112C45">
            <w:pPr>
              <w:spacing w:line="252" w:lineRule="auto"/>
              <w:jc w:val="center"/>
            </w:pPr>
            <w:r>
              <w:rPr>
                <w:sz w:val="19"/>
                <w:szCs w:val="19"/>
              </w:rPr>
              <w:t>–</w:t>
            </w:r>
          </w:p>
        </w:tc>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554A768" w14:textId="21ACA699" w:rsidR="00A90CBB" w:rsidRDefault="002E3FF1">
            <w:pPr>
              <w:spacing w:line="252" w:lineRule="auto"/>
              <w:jc w:val="center"/>
            </w:pPr>
            <w:r>
              <w:rPr>
                <w:sz w:val="19"/>
                <w:szCs w:val="19"/>
              </w:rPr>
              <w:t>Studim i fizibilitetit i përfunduar</w:t>
            </w:r>
          </w:p>
        </w:tc>
        <w:tc>
          <w:tcPr>
            <w:tcW w:w="17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BA718D3" w14:textId="102A06A7" w:rsidR="00A90CBB" w:rsidRPr="0001698F" w:rsidRDefault="002E3FF1">
            <w:pPr>
              <w:spacing w:line="252" w:lineRule="auto"/>
              <w:jc w:val="center"/>
              <w:rPr>
                <w:sz w:val="19"/>
                <w:szCs w:val="19"/>
              </w:rPr>
            </w:pPr>
            <w:r>
              <w:rPr>
                <w:sz w:val="19"/>
                <w:szCs w:val="19"/>
              </w:rPr>
              <w:t>Zbatimi i projekteve në dy komuna</w:t>
            </w:r>
          </w:p>
        </w:tc>
      </w:tr>
      <w:tr w:rsidR="00A90CBB" w14:paraId="7A2A1F45" w14:textId="77777777">
        <w:tc>
          <w:tcPr>
            <w:tcW w:w="471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32273D7" w14:textId="77777777" w:rsidR="00A90CBB" w:rsidRDefault="00112C45">
            <w:pPr>
              <w:spacing w:line="252" w:lineRule="auto"/>
            </w:pPr>
            <w:r>
              <w:rPr>
                <w:sz w:val="19"/>
                <w:szCs w:val="19"/>
              </w:rPr>
              <w:t>Reduktimi i emetimeve</w:t>
            </w:r>
          </w:p>
        </w:tc>
        <w:tc>
          <w:tcPr>
            <w:tcW w:w="10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BC2D2A6" w14:textId="77777777" w:rsidR="00A90CBB" w:rsidRDefault="00112C45">
            <w:pPr>
              <w:spacing w:line="252" w:lineRule="auto"/>
              <w:jc w:val="center"/>
            </w:pPr>
            <w:r>
              <w:rPr>
                <w:sz w:val="19"/>
                <w:szCs w:val="19"/>
              </w:rPr>
              <w:t>Mt CO₂</w:t>
            </w:r>
          </w:p>
        </w:tc>
        <w:tc>
          <w:tcPr>
            <w:tcW w:w="1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C181874" w14:textId="77777777" w:rsidR="00A90CBB" w:rsidRDefault="00112C45">
            <w:pPr>
              <w:spacing w:line="252" w:lineRule="auto"/>
              <w:jc w:val="center"/>
            </w:pPr>
            <w:r>
              <w:rPr>
                <w:sz w:val="19"/>
                <w:szCs w:val="19"/>
              </w:rPr>
              <w:t>≈ 7</w:t>
            </w:r>
          </w:p>
        </w:tc>
        <w:tc>
          <w:tcPr>
            <w:tcW w:w="17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36ECE12" w14:textId="77777777" w:rsidR="00A90CBB" w:rsidRDefault="00112C45">
            <w:pPr>
              <w:spacing w:line="252" w:lineRule="auto"/>
              <w:jc w:val="center"/>
            </w:pPr>
            <w:r>
              <w:rPr>
                <w:sz w:val="19"/>
                <w:szCs w:val="19"/>
              </w:rPr>
              <w:t>≤ 4</w:t>
            </w:r>
          </w:p>
        </w:tc>
      </w:tr>
      <w:tr w:rsidR="00A90CBB" w14:paraId="5452C794" w14:textId="77777777">
        <w:tc>
          <w:tcPr>
            <w:tcW w:w="471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CFE90E7" w14:textId="77777777" w:rsidR="00A90CBB" w:rsidRDefault="00112C45">
            <w:pPr>
              <w:spacing w:line="252" w:lineRule="auto"/>
            </w:pPr>
            <w:r>
              <w:rPr>
                <w:sz w:val="19"/>
                <w:szCs w:val="19"/>
              </w:rPr>
              <w:t>Kursime kumulative të energjisë (ndërtesa publike, rezidenciale, komerciale)</w:t>
            </w:r>
          </w:p>
        </w:tc>
        <w:tc>
          <w:tcPr>
            <w:tcW w:w="10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D09CAE8" w14:textId="77777777" w:rsidR="00A90CBB" w:rsidRDefault="00112C45">
            <w:pPr>
              <w:spacing w:line="252" w:lineRule="auto"/>
              <w:jc w:val="center"/>
            </w:pPr>
            <w:r>
              <w:rPr>
                <w:sz w:val="19"/>
                <w:szCs w:val="19"/>
              </w:rPr>
              <w:t>ktoe</w:t>
            </w:r>
          </w:p>
        </w:tc>
        <w:tc>
          <w:tcPr>
            <w:tcW w:w="1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4BB9E9B7" w14:textId="77777777" w:rsidR="00A90CBB" w:rsidRDefault="00112C45">
            <w:pPr>
              <w:spacing w:line="252" w:lineRule="auto"/>
              <w:jc w:val="center"/>
            </w:pPr>
            <w:r>
              <w:rPr>
                <w:sz w:val="19"/>
                <w:szCs w:val="19"/>
              </w:rPr>
              <w:t>26,64</w:t>
            </w:r>
          </w:p>
        </w:tc>
        <w:tc>
          <w:tcPr>
            <w:tcW w:w="17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647FD9A" w14:textId="77777777" w:rsidR="00A90CBB" w:rsidRDefault="00112C45">
            <w:pPr>
              <w:spacing w:line="252" w:lineRule="auto"/>
              <w:jc w:val="center"/>
            </w:pPr>
            <w:r>
              <w:rPr>
                <w:sz w:val="19"/>
                <w:szCs w:val="19"/>
              </w:rPr>
              <w:t>279,72</w:t>
            </w:r>
          </w:p>
        </w:tc>
      </w:tr>
    </w:tbl>
    <w:p w14:paraId="06BF55AF" w14:textId="655F4D9C" w:rsidR="00A90CBB" w:rsidRDefault="00112C45">
      <w:pPr>
        <w:spacing w:before="40" w:after="220"/>
      </w:pPr>
      <w:r>
        <w:rPr>
          <w:i/>
          <w:iCs/>
          <w:color w:val="595959"/>
          <w:sz w:val="18"/>
          <w:szCs w:val="18"/>
        </w:rPr>
        <w:t>Tabela 7. Indikatorët kyç të performancës (KPI), me pikë fillestare dhe caqe</w:t>
      </w:r>
    </w:p>
    <w:p w14:paraId="7546C7AE" w14:textId="77777777" w:rsidR="00A90CBB" w:rsidRDefault="00112C45">
      <w:pPr>
        <w:pStyle w:val="Heading2"/>
      </w:pPr>
      <w:bookmarkStart w:id="42" w:name="_Toc231392876"/>
      <w:r>
        <w:t>7.3 Menaxhimi i rrezikut</w:t>
      </w:r>
      <w:bookmarkEnd w:id="42"/>
    </w:p>
    <w:p w14:paraId="37674563" w14:textId="77777777" w:rsidR="00A90CBB" w:rsidRDefault="00112C45">
      <w:pPr>
        <w:spacing w:after="150" w:line="278" w:lineRule="auto"/>
        <w:jc w:val="both"/>
      </w:pPr>
      <w:r>
        <w:t>Rreziqet kryesore janë vlerësuar sipas gjasave dhe ndikimit dhe i janë caktuar një institucioni përgjegjës (pronar i rrezikut), për të mundësuar prioritizimin dhe ndjekjen e tyre.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100"/>
        <w:gridCol w:w="1100"/>
        <w:gridCol w:w="1660"/>
        <w:gridCol w:w="2900"/>
      </w:tblGrid>
      <w:tr w:rsidR="00A90CBB" w14:paraId="4A06EFEA" w14:textId="77777777">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0FDDC574" w14:textId="77777777" w:rsidR="00A90CBB" w:rsidRDefault="00112C45">
            <w:r>
              <w:rPr>
                <w:b/>
                <w:bCs/>
                <w:color w:val="FFFFFF"/>
                <w:sz w:val="19"/>
                <w:szCs w:val="19"/>
              </w:rPr>
              <w:t>Rreziku</w:t>
            </w:r>
          </w:p>
        </w:tc>
        <w:tc>
          <w:tcPr>
            <w:tcW w:w="11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49ECA87D" w14:textId="77777777" w:rsidR="00A90CBB" w:rsidRDefault="00112C45">
            <w:r>
              <w:rPr>
                <w:b/>
                <w:bCs/>
                <w:color w:val="FFFFFF"/>
                <w:sz w:val="19"/>
                <w:szCs w:val="19"/>
              </w:rPr>
              <w:t>Gjasat</w:t>
            </w:r>
          </w:p>
        </w:tc>
        <w:tc>
          <w:tcPr>
            <w:tcW w:w="11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1708A9D7" w14:textId="77777777" w:rsidR="00A90CBB" w:rsidRDefault="00112C45">
            <w:r>
              <w:rPr>
                <w:b/>
                <w:bCs/>
                <w:color w:val="FFFFFF"/>
                <w:sz w:val="19"/>
                <w:szCs w:val="19"/>
              </w:rPr>
              <w:t>Ndikimi</w:t>
            </w:r>
          </w:p>
        </w:tc>
        <w:tc>
          <w:tcPr>
            <w:tcW w:w="166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42685C32" w14:textId="7CEB847D" w:rsidR="00A90CBB" w:rsidRDefault="0001698F">
            <w:r>
              <w:rPr>
                <w:b/>
                <w:bCs/>
                <w:color w:val="FFFFFF"/>
                <w:sz w:val="19"/>
                <w:szCs w:val="19"/>
              </w:rPr>
              <w:t>Bartës i rrezikut</w:t>
            </w:r>
          </w:p>
        </w:tc>
        <w:tc>
          <w:tcPr>
            <w:tcW w:w="29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38A5C1C2" w14:textId="77777777" w:rsidR="00A90CBB" w:rsidRDefault="00112C45">
            <w:r>
              <w:rPr>
                <w:b/>
                <w:bCs/>
                <w:color w:val="FFFFFF"/>
                <w:sz w:val="19"/>
                <w:szCs w:val="19"/>
              </w:rPr>
              <w:t>Masat zbutëse</w:t>
            </w:r>
          </w:p>
        </w:tc>
      </w:tr>
      <w:tr w:rsidR="00A90CBB" w14:paraId="04AF4CCC" w14:textId="77777777">
        <w:tc>
          <w:tcPr>
            <w:tcW w:w="26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72EC5F1" w14:textId="77777777" w:rsidR="00A90CBB" w:rsidRDefault="00112C45">
            <w:pPr>
              <w:spacing w:line="252" w:lineRule="auto"/>
            </w:pPr>
            <w:r>
              <w:rPr>
                <w:sz w:val="19"/>
                <w:szCs w:val="19"/>
              </w:rPr>
              <w:t>Ndarje të pamjaftueshme buxhetore ose vonesë në financim nga donatorët</w:t>
            </w:r>
          </w:p>
        </w:tc>
        <w:tc>
          <w:tcPr>
            <w:tcW w:w="11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86C718A" w14:textId="77777777" w:rsidR="00A90CBB" w:rsidRDefault="00112C45">
            <w:pPr>
              <w:spacing w:line="252" w:lineRule="auto"/>
              <w:jc w:val="center"/>
            </w:pPr>
            <w:r>
              <w:rPr>
                <w:sz w:val="19"/>
                <w:szCs w:val="19"/>
              </w:rPr>
              <w:t>I lartë</w:t>
            </w:r>
          </w:p>
        </w:tc>
        <w:tc>
          <w:tcPr>
            <w:tcW w:w="11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34C7D71" w14:textId="77777777" w:rsidR="00A90CBB" w:rsidRDefault="00112C45">
            <w:pPr>
              <w:spacing w:line="252" w:lineRule="auto"/>
              <w:jc w:val="center"/>
            </w:pPr>
            <w:r>
              <w:rPr>
                <w:sz w:val="19"/>
                <w:szCs w:val="19"/>
              </w:rPr>
              <w:t>I lartë</w:t>
            </w:r>
          </w:p>
        </w:tc>
        <w:tc>
          <w:tcPr>
            <w:tcW w:w="16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8754EBE" w14:textId="77777777" w:rsidR="00A90CBB" w:rsidRDefault="00112C45">
            <w:pPr>
              <w:spacing w:line="252" w:lineRule="auto"/>
            </w:pPr>
            <w:r>
              <w:rPr>
                <w:sz w:val="19"/>
                <w:szCs w:val="19"/>
              </w:rPr>
              <w:t>Ministria e Financave / ME</w:t>
            </w:r>
          </w:p>
        </w:tc>
        <w:tc>
          <w:tcPr>
            <w:tcW w:w="2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75A77B6" w14:textId="77777777" w:rsidR="00A90CBB" w:rsidRDefault="00112C45">
            <w:pPr>
              <w:spacing w:line="252" w:lineRule="auto"/>
            </w:pPr>
            <w:r>
              <w:rPr>
                <w:sz w:val="19"/>
                <w:szCs w:val="19"/>
              </w:rPr>
              <w:t>Planifikim i hershëm i nevojave, mobilizim i fondeve nga partnerët dhe mekanizma rezervë për projektet prioritare.</w:t>
            </w:r>
          </w:p>
        </w:tc>
      </w:tr>
      <w:tr w:rsidR="00A90CBB" w14:paraId="39D11D0E" w14:textId="77777777">
        <w:tc>
          <w:tcPr>
            <w:tcW w:w="26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5421F31E" w14:textId="77777777" w:rsidR="00A90CBB" w:rsidRDefault="00112C45">
            <w:pPr>
              <w:spacing w:line="252" w:lineRule="auto"/>
            </w:pPr>
            <w:r>
              <w:rPr>
                <w:sz w:val="19"/>
                <w:szCs w:val="19"/>
              </w:rPr>
              <w:t>Rrezikimi i sigurisë së furnizimit gjatë daljes nga linjiti</w:t>
            </w:r>
          </w:p>
        </w:tc>
        <w:tc>
          <w:tcPr>
            <w:tcW w:w="11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578AAE7" w14:textId="77777777" w:rsidR="00A90CBB" w:rsidRDefault="00112C45">
            <w:pPr>
              <w:spacing w:line="252" w:lineRule="auto"/>
              <w:jc w:val="center"/>
            </w:pPr>
            <w:r>
              <w:rPr>
                <w:sz w:val="19"/>
                <w:szCs w:val="19"/>
              </w:rPr>
              <w:t>Mesatar</w:t>
            </w:r>
          </w:p>
        </w:tc>
        <w:tc>
          <w:tcPr>
            <w:tcW w:w="11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141340F" w14:textId="77777777" w:rsidR="00A90CBB" w:rsidRDefault="00112C45">
            <w:pPr>
              <w:spacing w:line="252" w:lineRule="auto"/>
              <w:jc w:val="center"/>
            </w:pPr>
            <w:r>
              <w:rPr>
                <w:sz w:val="19"/>
                <w:szCs w:val="19"/>
              </w:rPr>
              <w:t>I lartë</w:t>
            </w:r>
          </w:p>
        </w:tc>
        <w:tc>
          <w:tcPr>
            <w:tcW w:w="16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D7722FA" w14:textId="77777777" w:rsidR="00A90CBB" w:rsidRDefault="00112C45">
            <w:pPr>
              <w:spacing w:line="252" w:lineRule="auto"/>
            </w:pPr>
            <w:r>
              <w:rPr>
                <w:sz w:val="19"/>
                <w:szCs w:val="19"/>
              </w:rPr>
              <w:t>ME / KEK / KOSTT</w:t>
            </w:r>
          </w:p>
        </w:tc>
        <w:tc>
          <w:tcPr>
            <w:tcW w:w="2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E85B082" w14:textId="77777777" w:rsidR="00A90CBB" w:rsidRDefault="00112C45">
            <w:pPr>
              <w:spacing w:line="252" w:lineRule="auto"/>
            </w:pPr>
            <w:r>
              <w:rPr>
                <w:sz w:val="19"/>
                <w:szCs w:val="19"/>
              </w:rPr>
              <w:t>Sekuenca “punët dhe kapaciteti zëvendësues së pari”; mbajtja e njësive si rezervë strategjike derisa BRE+BESS të jenë të mjaftueshme.</w:t>
            </w:r>
          </w:p>
        </w:tc>
      </w:tr>
      <w:tr w:rsidR="00A90CBB" w14:paraId="09ECC46E" w14:textId="77777777">
        <w:tc>
          <w:tcPr>
            <w:tcW w:w="26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65473E9" w14:textId="77777777" w:rsidR="00A90CBB" w:rsidRDefault="00112C45">
            <w:pPr>
              <w:spacing w:line="252" w:lineRule="auto"/>
            </w:pPr>
            <w:r>
              <w:rPr>
                <w:sz w:val="19"/>
                <w:szCs w:val="19"/>
              </w:rPr>
              <w:t>Koordinim i pamjaftueshëm dhe paqartësi në përgjegjësi</w:t>
            </w:r>
          </w:p>
        </w:tc>
        <w:tc>
          <w:tcPr>
            <w:tcW w:w="11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0EF729C" w14:textId="77777777" w:rsidR="00A90CBB" w:rsidRDefault="00112C45">
            <w:pPr>
              <w:spacing w:line="252" w:lineRule="auto"/>
              <w:jc w:val="center"/>
            </w:pPr>
            <w:r>
              <w:rPr>
                <w:sz w:val="19"/>
                <w:szCs w:val="19"/>
              </w:rPr>
              <w:t>Mesatar</w:t>
            </w:r>
          </w:p>
        </w:tc>
        <w:tc>
          <w:tcPr>
            <w:tcW w:w="11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D0C90A8" w14:textId="77777777" w:rsidR="00A90CBB" w:rsidRDefault="00112C45">
            <w:pPr>
              <w:spacing w:line="252" w:lineRule="auto"/>
              <w:jc w:val="center"/>
            </w:pPr>
            <w:r>
              <w:rPr>
                <w:sz w:val="19"/>
                <w:szCs w:val="19"/>
              </w:rPr>
              <w:t>Mesatar</w:t>
            </w:r>
          </w:p>
        </w:tc>
        <w:tc>
          <w:tcPr>
            <w:tcW w:w="16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76164988" w14:textId="77777777" w:rsidR="00A90CBB" w:rsidRPr="00503850" w:rsidRDefault="00112C45">
            <w:pPr>
              <w:spacing w:line="252" w:lineRule="auto"/>
              <w:rPr>
                <w:lang w:val="de-DE"/>
              </w:rPr>
            </w:pPr>
            <w:r>
              <w:rPr>
                <w:sz w:val="19"/>
                <w:szCs w:val="19"/>
                <w:lang w:val="de-DE"/>
              </w:rPr>
              <w:t>Këshilli Kombëtar për Ndryshime Klimatike</w:t>
            </w:r>
          </w:p>
        </w:tc>
        <w:tc>
          <w:tcPr>
            <w:tcW w:w="2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00FD1B4" w14:textId="77777777" w:rsidR="00A90CBB" w:rsidRDefault="00112C45">
            <w:pPr>
              <w:spacing w:line="252" w:lineRule="auto"/>
            </w:pPr>
            <w:r>
              <w:rPr>
                <w:sz w:val="19"/>
                <w:szCs w:val="19"/>
              </w:rPr>
              <w:t>Forcimi i mekanizmave koordinues, përcaktimi i roleve dhe procedura standarde për zbatim e monitorim.</w:t>
            </w:r>
          </w:p>
        </w:tc>
      </w:tr>
      <w:tr w:rsidR="00A90CBB" w:rsidRPr="008C5C7F" w14:paraId="4F55A687" w14:textId="77777777">
        <w:tc>
          <w:tcPr>
            <w:tcW w:w="26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5B3861DD" w14:textId="77777777" w:rsidR="00A90CBB" w:rsidRDefault="00112C45">
            <w:pPr>
              <w:spacing w:line="252" w:lineRule="auto"/>
            </w:pPr>
            <w:r>
              <w:rPr>
                <w:sz w:val="19"/>
                <w:szCs w:val="19"/>
              </w:rPr>
              <w:t>Mungesë përfshirjeje dhe mbështetjeje e komuniteteve e punëtorëve</w:t>
            </w:r>
          </w:p>
        </w:tc>
        <w:tc>
          <w:tcPr>
            <w:tcW w:w="11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D0F3414" w14:textId="77777777" w:rsidR="00A90CBB" w:rsidRDefault="00112C45">
            <w:pPr>
              <w:spacing w:line="252" w:lineRule="auto"/>
              <w:jc w:val="center"/>
            </w:pPr>
            <w:r>
              <w:rPr>
                <w:sz w:val="19"/>
                <w:szCs w:val="19"/>
              </w:rPr>
              <w:t>Mesatar</w:t>
            </w:r>
          </w:p>
        </w:tc>
        <w:tc>
          <w:tcPr>
            <w:tcW w:w="11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B4DA01B" w14:textId="77777777" w:rsidR="00A90CBB" w:rsidRDefault="00112C45">
            <w:pPr>
              <w:spacing w:line="252" w:lineRule="auto"/>
              <w:jc w:val="center"/>
            </w:pPr>
            <w:r>
              <w:rPr>
                <w:sz w:val="19"/>
                <w:szCs w:val="19"/>
              </w:rPr>
              <w:t>I lartë</w:t>
            </w:r>
          </w:p>
        </w:tc>
        <w:tc>
          <w:tcPr>
            <w:tcW w:w="16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C041888" w14:textId="0FF83E54" w:rsidR="00A90CBB" w:rsidRDefault="00112C45">
            <w:pPr>
              <w:spacing w:line="252" w:lineRule="auto"/>
            </w:pPr>
            <w:r>
              <w:rPr>
                <w:sz w:val="19"/>
                <w:szCs w:val="19"/>
              </w:rPr>
              <w:t>ME / MF / MPFVLÇ</w:t>
            </w:r>
          </w:p>
        </w:tc>
        <w:tc>
          <w:tcPr>
            <w:tcW w:w="2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42DE276" w14:textId="77777777" w:rsidR="00A90CBB" w:rsidRPr="00503850" w:rsidRDefault="00112C45">
            <w:pPr>
              <w:spacing w:line="252" w:lineRule="auto"/>
              <w:rPr>
                <w:lang w:val="de-DE"/>
              </w:rPr>
            </w:pPr>
            <w:r>
              <w:rPr>
                <w:sz w:val="19"/>
                <w:szCs w:val="19"/>
                <w:lang w:val="de-DE"/>
              </w:rPr>
              <w:t>Konsultime të hershme me palët e prekura, skema kompensimi dhe komunikim i hapur e transparent.</w:t>
            </w:r>
          </w:p>
        </w:tc>
      </w:tr>
      <w:tr w:rsidR="00A90CBB" w14:paraId="488E43CC" w14:textId="77777777">
        <w:tc>
          <w:tcPr>
            <w:tcW w:w="26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3E264D5" w14:textId="77777777" w:rsidR="00A90CBB" w:rsidRPr="00503850" w:rsidRDefault="00112C45">
            <w:pPr>
              <w:spacing w:line="252" w:lineRule="auto"/>
              <w:rPr>
                <w:lang w:val="de-DE"/>
              </w:rPr>
            </w:pPr>
            <w:proofErr w:type="spellStart"/>
            <w:r>
              <w:rPr>
                <w:sz w:val="19"/>
                <w:szCs w:val="19"/>
                <w:lang w:val="de-DE"/>
              </w:rPr>
              <w:lastRenderedPageBreak/>
              <w:t>Vonesa</w:t>
            </w:r>
            <w:proofErr w:type="spellEnd"/>
            <w:r>
              <w:rPr>
                <w:sz w:val="19"/>
                <w:szCs w:val="19"/>
                <w:lang w:val="de-DE"/>
              </w:rPr>
              <w:t xml:space="preserve"> </w:t>
            </w:r>
            <w:proofErr w:type="spellStart"/>
            <w:r>
              <w:rPr>
                <w:sz w:val="19"/>
                <w:szCs w:val="19"/>
                <w:lang w:val="de-DE"/>
              </w:rPr>
              <w:t>në</w:t>
            </w:r>
            <w:proofErr w:type="spellEnd"/>
            <w:r>
              <w:rPr>
                <w:sz w:val="19"/>
                <w:szCs w:val="19"/>
                <w:lang w:val="de-DE"/>
              </w:rPr>
              <w:t xml:space="preserve"> </w:t>
            </w:r>
            <w:proofErr w:type="spellStart"/>
            <w:r>
              <w:rPr>
                <w:sz w:val="19"/>
                <w:szCs w:val="19"/>
                <w:lang w:val="de-DE"/>
              </w:rPr>
              <w:t>realizimin</w:t>
            </w:r>
            <w:proofErr w:type="spellEnd"/>
            <w:r>
              <w:rPr>
                <w:sz w:val="19"/>
                <w:szCs w:val="19"/>
                <w:lang w:val="de-DE"/>
              </w:rPr>
              <w:t xml:space="preserve"> e </w:t>
            </w:r>
            <w:proofErr w:type="spellStart"/>
            <w:r>
              <w:rPr>
                <w:sz w:val="19"/>
                <w:szCs w:val="19"/>
                <w:lang w:val="de-DE"/>
              </w:rPr>
              <w:t>projekteve</w:t>
            </w:r>
            <w:proofErr w:type="spellEnd"/>
            <w:r>
              <w:rPr>
                <w:sz w:val="19"/>
                <w:szCs w:val="19"/>
                <w:lang w:val="de-DE"/>
              </w:rPr>
              <w:t xml:space="preserve"> </w:t>
            </w:r>
            <w:proofErr w:type="spellStart"/>
            <w:r>
              <w:rPr>
                <w:sz w:val="19"/>
                <w:szCs w:val="19"/>
                <w:lang w:val="de-DE"/>
              </w:rPr>
              <w:t>të</w:t>
            </w:r>
            <w:proofErr w:type="spellEnd"/>
            <w:r>
              <w:rPr>
                <w:sz w:val="19"/>
                <w:szCs w:val="19"/>
                <w:lang w:val="de-DE"/>
              </w:rPr>
              <w:t xml:space="preserve"> BRE-</w:t>
            </w:r>
            <w:proofErr w:type="spellStart"/>
            <w:r>
              <w:rPr>
                <w:sz w:val="19"/>
                <w:szCs w:val="19"/>
                <w:lang w:val="de-DE"/>
              </w:rPr>
              <w:t>ve</w:t>
            </w:r>
            <w:proofErr w:type="spellEnd"/>
          </w:p>
        </w:tc>
        <w:tc>
          <w:tcPr>
            <w:tcW w:w="11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F430669" w14:textId="77777777" w:rsidR="00A90CBB" w:rsidRDefault="00112C45">
            <w:pPr>
              <w:spacing w:line="252" w:lineRule="auto"/>
              <w:jc w:val="center"/>
            </w:pPr>
            <w:r>
              <w:rPr>
                <w:sz w:val="19"/>
                <w:szCs w:val="19"/>
              </w:rPr>
              <w:t>Mesatar</w:t>
            </w:r>
          </w:p>
        </w:tc>
        <w:tc>
          <w:tcPr>
            <w:tcW w:w="11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959CB7B" w14:textId="77777777" w:rsidR="00A90CBB" w:rsidRDefault="00112C45">
            <w:pPr>
              <w:spacing w:line="252" w:lineRule="auto"/>
              <w:jc w:val="center"/>
            </w:pPr>
            <w:r>
              <w:rPr>
                <w:sz w:val="19"/>
                <w:szCs w:val="19"/>
              </w:rPr>
              <w:t>Mesatar</w:t>
            </w:r>
          </w:p>
        </w:tc>
        <w:tc>
          <w:tcPr>
            <w:tcW w:w="16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4DFDF49" w14:textId="77777777" w:rsidR="00A90CBB" w:rsidRDefault="00112C45">
            <w:pPr>
              <w:spacing w:line="252" w:lineRule="auto"/>
            </w:pPr>
            <w:r>
              <w:rPr>
                <w:sz w:val="19"/>
                <w:szCs w:val="19"/>
              </w:rPr>
              <w:t>ME / KOSTT</w:t>
            </w:r>
          </w:p>
        </w:tc>
        <w:tc>
          <w:tcPr>
            <w:tcW w:w="29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B85D6CD" w14:textId="77777777" w:rsidR="00A90CBB" w:rsidRDefault="00112C45">
            <w:pPr>
              <w:spacing w:line="252" w:lineRule="auto"/>
            </w:pPr>
            <w:r>
              <w:rPr>
                <w:sz w:val="19"/>
                <w:szCs w:val="19"/>
              </w:rPr>
              <w:t>Thjeshtëzim i procedurave të lejeve, planifikim e monitorim i rregullt dhe përcaktim i qartë i përgjegjësive.</w:t>
            </w:r>
          </w:p>
        </w:tc>
      </w:tr>
      <w:tr w:rsidR="00A90CBB" w14:paraId="12008657" w14:textId="77777777">
        <w:tc>
          <w:tcPr>
            <w:tcW w:w="26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14CBD456" w14:textId="77777777" w:rsidR="00A90CBB" w:rsidRDefault="00112C45">
            <w:pPr>
              <w:spacing w:line="252" w:lineRule="auto"/>
            </w:pPr>
            <w:r>
              <w:rPr>
                <w:sz w:val="19"/>
                <w:szCs w:val="19"/>
              </w:rPr>
              <w:t>Rehabilitim i pamjaftueshëm i zonave të prekura nga aktivitetet minerare</w:t>
            </w:r>
          </w:p>
        </w:tc>
        <w:tc>
          <w:tcPr>
            <w:tcW w:w="11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A9D97F1" w14:textId="77777777" w:rsidR="00A90CBB" w:rsidRDefault="00112C45">
            <w:pPr>
              <w:spacing w:line="252" w:lineRule="auto"/>
              <w:jc w:val="center"/>
            </w:pPr>
            <w:r>
              <w:rPr>
                <w:sz w:val="19"/>
                <w:szCs w:val="19"/>
              </w:rPr>
              <w:t>I ulët–Mesatar</w:t>
            </w:r>
          </w:p>
        </w:tc>
        <w:tc>
          <w:tcPr>
            <w:tcW w:w="11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ADAFB4D" w14:textId="77777777" w:rsidR="00A90CBB" w:rsidRDefault="00112C45">
            <w:pPr>
              <w:spacing w:line="252" w:lineRule="auto"/>
              <w:jc w:val="center"/>
            </w:pPr>
            <w:r>
              <w:rPr>
                <w:sz w:val="19"/>
                <w:szCs w:val="19"/>
              </w:rPr>
              <w:t>Mesatar</w:t>
            </w:r>
          </w:p>
        </w:tc>
        <w:tc>
          <w:tcPr>
            <w:tcW w:w="16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DE79162" w14:textId="4F088E29" w:rsidR="00A90CBB" w:rsidRDefault="00112C45">
            <w:pPr>
              <w:spacing w:line="252" w:lineRule="auto"/>
            </w:pPr>
            <w:r>
              <w:rPr>
                <w:sz w:val="19"/>
                <w:szCs w:val="19"/>
              </w:rPr>
              <w:t>MMPH / KEK</w:t>
            </w:r>
          </w:p>
        </w:tc>
        <w:tc>
          <w:tcPr>
            <w:tcW w:w="29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7C169B1" w14:textId="77777777" w:rsidR="00A90CBB" w:rsidRDefault="00112C45">
            <w:pPr>
              <w:spacing w:line="252" w:lineRule="auto"/>
            </w:pPr>
            <w:r>
              <w:rPr>
                <w:sz w:val="19"/>
                <w:szCs w:val="19"/>
              </w:rPr>
              <w:t>Auditime për përputhshmëri mjedisore dhe verifikim i pavarur për projektet përkatëse.</w:t>
            </w:r>
          </w:p>
        </w:tc>
      </w:tr>
    </w:tbl>
    <w:p w14:paraId="392E85AE" w14:textId="0F41AB8F" w:rsidR="00A90CBB" w:rsidRDefault="00112C45">
      <w:pPr>
        <w:spacing w:before="40" w:after="220"/>
      </w:pPr>
      <w:r>
        <w:rPr>
          <w:i/>
          <w:iCs/>
          <w:color w:val="595959"/>
          <w:sz w:val="18"/>
          <w:szCs w:val="18"/>
        </w:rPr>
        <w:t>Tabela 8. Regjistri i rreziqeve, me probabilitet, ndikim, pronar dhe masa zbutëse</w:t>
      </w:r>
    </w:p>
    <w:p w14:paraId="39A4F88C" w14:textId="47A145B9" w:rsidR="00A90CBB" w:rsidRDefault="00112C45" w:rsidP="00507F3F">
      <w:pPr>
        <w:pStyle w:val="Heading2"/>
      </w:pPr>
      <w:bookmarkStart w:id="43" w:name="_Toc231392877"/>
      <w:r>
        <w:t>7.4 Masat kryesore të zbatimit</w:t>
      </w:r>
      <w:bookmarkEnd w:id="43"/>
    </w:p>
    <w:p w14:paraId="08DFF2FF" w14:textId="77777777" w:rsidR="00A90CBB" w:rsidRDefault="00112C45">
      <w:pPr>
        <w:spacing w:after="150" w:line="278" w:lineRule="auto"/>
        <w:jc w:val="both"/>
      </w:pPr>
      <w:r>
        <w:t>Për të siguruar që objektivat strategjike të përkthehen në veprime të zbatueshme, tabela në vijim përmbledh masat kryesore të tranzicionit të drejtë, duke përcaktuar institucionet përgjegjëse, afatet kohore, burimet e financimit dhe caqet.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2050"/>
        <w:gridCol w:w="1250"/>
        <w:gridCol w:w="1860"/>
        <w:gridCol w:w="1500"/>
      </w:tblGrid>
      <w:tr w:rsidR="00A90CBB" w14:paraId="79D0A2B2" w14:textId="77777777">
        <w:trPr>
          <w:tblHeader/>
        </w:trPr>
        <w:tc>
          <w:tcPr>
            <w:tcW w:w="27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1279D5D7" w14:textId="77777777" w:rsidR="00A90CBB" w:rsidRDefault="00112C45">
            <w:r>
              <w:rPr>
                <w:b/>
                <w:bCs/>
                <w:color w:val="FFFFFF"/>
                <w:sz w:val="19"/>
                <w:szCs w:val="19"/>
              </w:rPr>
              <w:t>Masa</w:t>
            </w:r>
          </w:p>
        </w:tc>
        <w:tc>
          <w:tcPr>
            <w:tcW w:w="205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670D4B3B" w14:textId="77777777" w:rsidR="00A90CBB" w:rsidRDefault="00112C45">
            <w:r>
              <w:rPr>
                <w:b/>
                <w:bCs/>
                <w:color w:val="FFFFFF"/>
                <w:sz w:val="19"/>
                <w:szCs w:val="19"/>
              </w:rPr>
              <w:t>Institucioni përgjegjës</w:t>
            </w:r>
          </w:p>
        </w:tc>
        <w:tc>
          <w:tcPr>
            <w:tcW w:w="125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040C0422" w14:textId="77777777" w:rsidR="00A90CBB" w:rsidRDefault="00112C45">
            <w:r>
              <w:rPr>
                <w:b/>
                <w:bCs/>
                <w:color w:val="FFFFFF"/>
                <w:sz w:val="19"/>
                <w:szCs w:val="19"/>
              </w:rPr>
              <w:t>Afati kohor</w:t>
            </w:r>
          </w:p>
        </w:tc>
        <w:tc>
          <w:tcPr>
            <w:tcW w:w="186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5C073CD4" w14:textId="77777777" w:rsidR="00A90CBB" w:rsidRDefault="00112C45">
            <w:r>
              <w:rPr>
                <w:b/>
                <w:bCs/>
                <w:color w:val="FFFFFF"/>
                <w:sz w:val="19"/>
                <w:szCs w:val="19"/>
              </w:rPr>
              <w:t>Burimi i financimit</w:t>
            </w:r>
          </w:p>
        </w:tc>
        <w:tc>
          <w:tcPr>
            <w:tcW w:w="1500" w:type="dxa"/>
            <w:tcBorders>
              <w:top w:val="single" w:sz="2" w:space="0" w:color="BFBFBF"/>
              <w:left w:val="single" w:sz="2" w:space="0" w:color="BFBFBF"/>
              <w:bottom w:val="single" w:sz="2" w:space="0" w:color="BFBFBF"/>
              <w:right w:val="single" w:sz="2" w:space="0" w:color="BFBFBF"/>
            </w:tcBorders>
            <w:shd w:val="clear" w:color="auto" w:fill="1F3864"/>
            <w:tcMar>
              <w:top w:w="70" w:type="dxa"/>
              <w:left w:w="110" w:type="dxa"/>
              <w:bottom w:w="70" w:type="dxa"/>
              <w:right w:w="110" w:type="dxa"/>
            </w:tcMar>
            <w:vAlign w:val="center"/>
          </w:tcPr>
          <w:p w14:paraId="1CB57EDD" w14:textId="77777777" w:rsidR="00A90CBB" w:rsidRDefault="00112C45">
            <w:r>
              <w:rPr>
                <w:b/>
                <w:bCs/>
                <w:color w:val="FFFFFF"/>
                <w:sz w:val="19"/>
                <w:szCs w:val="19"/>
              </w:rPr>
              <w:t>Caqet</w:t>
            </w:r>
          </w:p>
        </w:tc>
      </w:tr>
      <w:tr w:rsidR="00A90CBB" w14:paraId="7AA4E0D6" w14:textId="77777777">
        <w:tc>
          <w:tcPr>
            <w:tcW w:w="27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3FE92A1" w14:textId="77777777" w:rsidR="00A90CBB" w:rsidRDefault="00112C45">
            <w:pPr>
              <w:spacing w:line="252" w:lineRule="auto"/>
            </w:pPr>
            <w:r>
              <w:rPr>
                <w:sz w:val="19"/>
                <w:szCs w:val="19"/>
              </w:rPr>
              <w:t>Zhvillimi i kapaciteteve të reja nga BRE</w:t>
            </w:r>
          </w:p>
        </w:tc>
        <w:tc>
          <w:tcPr>
            <w:tcW w:w="20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84C1004" w14:textId="77777777" w:rsidR="00A90CBB" w:rsidRDefault="00112C45">
            <w:pPr>
              <w:spacing w:line="252" w:lineRule="auto"/>
            </w:pPr>
            <w:r>
              <w:rPr>
                <w:sz w:val="19"/>
                <w:szCs w:val="19"/>
              </w:rPr>
              <w:t>Ministria e Ekonomisë</w:t>
            </w:r>
          </w:p>
        </w:tc>
        <w:tc>
          <w:tcPr>
            <w:tcW w:w="12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90F4803" w14:textId="77777777" w:rsidR="00A90CBB" w:rsidRDefault="00112C45">
            <w:pPr>
              <w:spacing w:line="252" w:lineRule="auto"/>
            </w:pPr>
            <w:r>
              <w:rPr>
                <w:sz w:val="19"/>
                <w:szCs w:val="19"/>
              </w:rPr>
              <w:t>2026 e tutje</w:t>
            </w:r>
          </w:p>
        </w:tc>
        <w:tc>
          <w:tcPr>
            <w:tcW w:w="18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A4A7DC5" w14:textId="77777777" w:rsidR="00A90CBB" w:rsidRDefault="00112C45">
            <w:pPr>
              <w:spacing w:line="252" w:lineRule="auto"/>
            </w:pPr>
            <w:r>
              <w:rPr>
                <w:sz w:val="19"/>
                <w:szCs w:val="19"/>
              </w:rPr>
              <w:t>Investime private / IFN / grante WBIF</w:t>
            </w:r>
          </w:p>
        </w:tc>
        <w:tc>
          <w:tcPr>
            <w:tcW w:w="15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6C7D0DF" w14:textId="77777777" w:rsidR="00A90CBB" w:rsidRDefault="00112C45">
            <w:pPr>
              <w:spacing w:line="252" w:lineRule="auto"/>
            </w:pPr>
            <w:r>
              <w:rPr>
                <w:sz w:val="19"/>
                <w:szCs w:val="19"/>
              </w:rPr>
              <w:t>2.650 MW të instaluara</w:t>
            </w:r>
          </w:p>
        </w:tc>
      </w:tr>
      <w:tr w:rsidR="00A90CBB" w14:paraId="4D170A3F" w14:textId="77777777">
        <w:tc>
          <w:tcPr>
            <w:tcW w:w="27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2526C2D" w14:textId="77777777" w:rsidR="00A90CBB" w:rsidRDefault="00112C45">
            <w:pPr>
              <w:spacing w:line="252" w:lineRule="auto"/>
            </w:pPr>
            <w:r>
              <w:rPr>
                <w:sz w:val="19"/>
                <w:szCs w:val="19"/>
              </w:rPr>
              <w:t>Instalimi i kapaciteteve për ruajtje të energjisë (BESS)</w:t>
            </w:r>
          </w:p>
        </w:tc>
        <w:tc>
          <w:tcPr>
            <w:tcW w:w="20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4F0CCC8B" w14:textId="77777777" w:rsidR="00A90CBB" w:rsidRDefault="00112C45">
            <w:pPr>
              <w:spacing w:line="252" w:lineRule="auto"/>
            </w:pPr>
            <w:r>
              <w:rPr>
                <w:sz w:val="19"/>
                <w:szCs w:val="19"/>
              </w:rPr>
              <w:t>Ministria e Ekonomisë</w:t>
            </w:r>
          </w:p>
        </w:tc>
        <w:tc>
          <w:tcPr>
            <w:tcW w:w="12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90FD44D" w14:textId="77777777" w:rsidR="00A90CBB" w:rsidRDefault="00112C45">
            <w:pPr>
              <w:spacing w:line="252" w:lineRule="auto"/>
            </w:pPr>
            <w:r>
              <w:rPr>
                <w:sz w:val="19"/>
                <w:szCs w:val="19"/>
              </w:rPr>
              <w:t>2026–2032</w:t>
            </w:r>
          </w:p>
        </w:tc>
        <w:tc>
          <w:tcPr>
            <w:tcW w:w="18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F5065B7" w14:textId="77777777" w:rsidR="00A90CBB" w:rsidRDefault="00112C45">
            <w:pPr>
              <w:spacing w:line="252" w:lineRule="auto"/>
            </w:pPr>
            <w:r>
              <w:rPr>
                <w:sz w:val="19"/>
                <w:szCs w:val="19"/>
              </w:rPr>
              <w:t>Investime private / IFN / buxhet</w:t>
            </w:r>
          </w:p>
        </w:tc>
        <w:tc>
          <w:tcPr>
            <w:tcW w:w="15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A5AEBDB" w14:textId="77777777" w:rsidR="00A90CBB" w:rsidRDefault="00112C45">
            <w:pPr>
              <w:spacing w:line="252" w:lineRule="auto"/>
            </w:pPr>
            <w:r>
              <w:rPr>
                <w:sz w:val="19"/>
                <w:szCs w:val="19"/>
              </w:rPr>
              <w:t>170 MW</w:t>
            </w:r>
          </w:p>
        </w:tc>
      </w:tr>
      <w:tr w:rsidR="00A90CBB" w14:paraId="245A6BE6" w14:textId="77777777">
        <w:tc>
          <w:tcPr>
            <w:tcW w:w="27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7F0FCFD" w14:textId="1077F166" w:rsidR="00A90CBB" w:rsidRDefault="00112C45">
            <w:pPr>
              <w:spacing w:line="252" w:lineRule="auto"/>
            </w:pPr>
            <w:r>
              <w:rPr>
                <w:sz w:val="19"/>
                <w:szCs w:val="19"/>
              </w:rPr>
              <w:t>Rehabilitimi dhe modernizimi mjedisor i TC “Kosova B”, njësisë A3 dhe një njësie të TC “Kosova A”</w:t>
            </w:r>
          </w:p>
        </w:tc>
        <w:tc>
          <w:tcPr>
            <w:tcW w:w="20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326312E" w14:textId="77777777" w:rsidR="00A90CBB" w:rsidRDefault="00112C45">
            <w:pPr>
              <w:spacing w:line="252" w:lineRule="auto"/>
            </w:pPr>
            <w:r>
              <w:rPr>
                <w:sz w:val="19"/>
                <w:szCs w:val="19"/>
              </w:rPr>
              <w:t>KEK</w:t>
            </w:r>
          </w:p>
        </w:tc>
        <w:tc>
          <w:tcPr>
            <w:tcW w:w="12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2B397F30" w14:textId="77777777" w:rsidR="00A90CBB" w:rsidRDefault="00112C45">
            <w:pPr>
              <w:spacing w:line="252" w:lineRule="auto"/>
            </w:pPr>
            <w:r>
              <w:rPr>
                <w:sz w:val="19"/>
                <w:szCs w:val="19"/>
              </w:rPr>
              <w:t>2026–2032</w:t>
            </w:r>
          </w:p>
        </w:tc>
        <w:tc>
          <w:tcPr>
            <w:tcW w:w="18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7D1273B" w14:textId="77777777" w:rsidR="00A90CBB" w:rsidRDefault="00112C45">
            <w:pPr>
              <w:spacing w:line="252" w:lineRule="auto"/>
            </w:pPr>
            <w:r>
              <w:rPr>
                <w:sz w:val="19"/>
                <w:szCs w:val="19"/>
              </w:rPr>
              <w:t>KEK</w:t>
            </w:r>
          </w:p>
        </w:tc>
        <w:tc>
          <w:tcPr>
            <w:tcW w:w="15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DDAF7A0" w14:textId="77777777" w:rsidR="00A90CBB" w:rsidRDefault="00112C45">
            <w:pPr>
              <w:spacing w:line="252" w:lineRule="auto"/>
            </w:pPr>
            <w:r>
              <w:rPr>
                <w:sz w:val="19"/>
                <w:szCs w:val="19"/>
              </w:rPr>
              <w:t>Përmbushje e standardeve IED; NOx dhe SO₂ në 200 mg/Nm³</w:t>
            </w:r>
          </w:p>
        </w:tc>
      </w:tr>
      <w:tr w:rsidR="00A90CBB" w14:paraId="65376614" w14:textId="77777777">
        <w:tc>
          <w:tcPr>
            <w:tcW w:w="27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BEA27ED" w14:textId="574A744D" w:rsidR="00A90CBB" w:rsidRDefault="005448CA">
            <w:pPr>
              <w:spacing w:line="252" w:lineRule="auto"/>
            </w:pPr>
            <w:r>
              <w:rPr>
                <w:sz w:val="19"/>
                <w:szCs w:val="19"/>
              </w:rPr>
              <w:t>Reduktimi gradual i prodhimit në njësitë e TC “Kosova A”, për të mbetur si rezervë strategjike</w:t>
            </w:r>
          </w:p>
        </w:tc>
        <w:tc>
          <w:tcPr>
            <w:tcW w:w="20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10A92FB" w14:textId="77777777" w:rsidR="00A90CBB" w:rsidRDefault="00112C45">
            <w:pPr>
              <w:spacing w:line="252" w:lineRule="auto"/>
            </w:pPr>
            <w:r>
              <w:rPr>
                <w:sz w:val="19"/>
                <w:szCs w:val="19"/>
              </w:rPr>
              <w:t>ME / KEK / KOSTT</w:t>
            </w:r>
          </w:p>
        </w:tc>
        <w:tc>
          <w:tcPr>
            <w:tcW w:w="12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DB55F88" w14:textId="77777777" w:rsidR="00A90CBB" w:rsidRDefault="00112C45">
            <w:pPr>
              <w:spacing w:line="252" w:lineRule="auto"/>
            </w:pPr>
            <w:r>
              <w:rPr>
                <w:sz w:val="19"/>
                <w:szCs w:val="19"/>
              </w:rPr>
              <w:t>2028 e tutje</w:t>
            </w:r>
          </w:p>
        </w:tc>
        <w:tc>
          <w:tcPr>
            <w:tcW w:w="18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21EAEAA" w14:textId="77777777" w:rsidR="00A90CBB" w:rsidRDefault="00112C45">
            <w:pPr>
              <w:spacing w:line="252" w:lineRule="auto"/>
            </w:pPr>
            <w:r>
              <w:rPr>
                <w:sz w:val="19"/>
                <w:szCs w:val="19"/>
              </w:rPr>
              <w:t>Buxhet / KEK</w:t>
            </w:r>
          </w:p>
        </w:tc>
        <w:tc>
          <w:tcPr>
            <w:tcW w:w="15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E1F6376" w14:textId="55351A18" w:rsidR="00A90CBB" w:rsidRDefault="00112C45">
            <w:pPr>
              <w:spacing w:line="252" w:lineRule="auto"/>
            </w:pPr>
            <w:r>
              <w:rPr>
                <w:sz w:val="19"/>
                <w:szCs w:val="19"/>
              </w:rPr>
              <w:t>Kalim në rezervë strategjike</w:t>
            </w:r>
          </w:p>
        </w:tc>
      </w:tr>
      <w:tr w:rsidR="00A90CBB" w14:paraId="4D51F318" w14:textId="77777777">
        <w:tc>
          <w:tcPr>
            <w:tcW w:w="27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195400A8" w14:textId="77777777" w:rsidR="00A90CBB" w:rsidRDefault="00112C45">
            <w:pPr>
              <w:spacing w:line="252" w:lineRule="auto"/>
            </w:pPr>
            <w:r>
              <w:rPr>
                <w:sz w:val="19"/>
                <w:szCs w:val="19"/>
              </w:rPr>
              <w:t>Zgjerimi dhe modernizimi i ngrohjes qendrore</w:t>
            </w:r>
          </w:p>
        </w:tc>
        <w:tc>
          <w:tcPr>
            <w:tcW w:w="20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46A9FC61" w14:textId="77777777" w:rsidR="00A90CBB" w:rsidRDefault="00112C45">
            <w:pPr>
              <w:spacing w:line="252" w:lineRule="auto"/>
            </w:pPr>
            <w:r>
              <w:rPr>
                <w:sz w:val="19"/>
                <w:szCs w:val="19"/>
              </w:rPr>
              <w:t>Komunat / Ministria e Ekonomisë</w:t>
            </w:r>
          </w:p>
        </w:tc>
        <w:tc>
          <w:tcPr>
            <w:tcW w:w="12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243FCCB" w14:textId="77777777" w:rsidR="00A90CBB" w:rsidRDefault="00112C45">
            <w:pPr>
              <w:spacing w:line="252" w:lineRule="auto"/>
            </w:pPr>
            <w:r>
              <w:rPr>
                <w:sz w:val="19"/>
                <w:szCs w:val="19"/>
              </w:rPr>
              <w:t>2026 e tutje</w:t>
            </w:r>
          </w:p>
        </w:tc>
        <w:tc>
          <w:tcPr>
            <w:tcW w:w="18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545AC46" w14:textId="77777777" w:rsidR="00A90CBB" w:rsidRPr="00503850" w:rsidRDefault="00112C45">
            <w:pPr>
              <w:spacing w:line="252" w:lineRule="auto"/>
              <w:rPr>
                <w:lang w:val="de-DE"/>
              </w:rPr>
            </w:pPr>
            <w:r>
              <w:rPr>
                <w:sz w:val="19"/>
                <w:szCs w:val="19"/>
                <w:lang w:val="de-DE"/>
              </w:rPr>
              <w:t>Grante WBIF / KfW–BEI / donatorë</w:t>
            </w:r>
          </w:p>
        </w:tc>
        <w:tc>
          <w:tcPr>
            <w:tcW w:w="15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CEEB992" w14:textId="77777777" w:rsidR="00A90CBB" w:rsidRDefault="00112C45">
            <w:pPr>
              <w:spacing w:line="252" w:lineRule="auto"/>
            </w:pPr>
            <w:r>
              <w:rPr>
                <w:sz w:val="19"/>
                <w:szCs w:val="19"/>
              </w:rPr>
              <w:t>4–9 komuna</w:t>
            </w:r>
          </w:p>
        </w:tc>
      </w:tr>
      <w:tr w:rsidR="00A90CBB" w14:paraId="3ED71361" w14:textId="77777777">
        <w:tc>
          <w:tcPr>
            <w:tcW w:w="27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5BE7C8D7" w14:textId="77777777" w:rsidR="00A90CBB" w:rsidRPr="00503850" w:rsidRDefault="00112C45">
            <w:pPr>
              <w:spacing w:line="252" w:lineRule="auto"/>
              <w:rPr>
                <w:lang w:val="de-DE"/>
              </w:rPr>
            </w:pPr>
            <w:r>
              <w:rPr>
                <w:sz w:val="19"/>
                <w:szCs w:val="19"/>
                <w:lang w:val="de-DE"/>
              </w:rPr>
              <w:t>Përmirësimi i efiçiencës së energjisë (ndërtesa, sektor publik e privat)</w:t>
            </w:r>
          </w:p>
        </w:tc>
        <w:tc>
          <w:tcPr>
            <w:tcW w:w="20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6610DA3D" w14:textId="77777777" w:rsidR="00A90CBB" w:rsidRDefault="00112C45">
            <w:pPr>
              <w:spacing w:line="252" w:lineRule="auto"/>
            </w:pPr>
            <w:r>
              <w:rPr>
                <w:sz w:val="19"/>
                <w:szCs w:val="19"/>
              </w:rPr>
              <w:t>Ministria e Ekonomisë / FKEE</w:t>
            </w:r>
          </w:p>
        </w:tc>
        <w:tc>
          <w:tcPr>
            <w:tcW w:w="12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2F9132D9" w14:textId="77777777" w:rsidR="00A90CBB" w:rsidRDefault="00112C45">
            <w:pPr>
              <w:spacing w:line="252" w:lineRule="auto"/>
            </w:pPr>
            <w:r>
              <w:rPr>
                <w:sz w:val="19"/>
                <w:szCs w:val="19"/>
              </w:rPr>
              <w:t>2026 e tutje</w:t>
            </w:r>
          </w:p>
        </w:tc>
        <w:tc>
          <w:tcPr>
            <w:tcW w:w="18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70587CC1" w14:textId="77777777" w:rsidR="00A90CBB" w:rsidRDefault="00112C45">
            <w:pPr>
              <w:spacing w:line="252" w:lineRule="auto"/>
            </w:pPr>
            <w:r>
              <w:rPr>
                <w:sz w:val="19"/>
                <w:szCs w:val="19"/>
              </w:rPr>
              <w:t>Donatorë / IPA / FKEE</w:t>
            </w:r>
          </w:p>
        </w:tc>
        <w:tc>
          <w:tcPr>
            <w:tcW w:w="15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DB6F4B9" w14:textId="77777777" w:rsidR="00A90CBB" w:rsidRDefault="00112C45">
            <w:pPr>
              <w:spacing w:line="252" w:lineRule="auto"/>
            </w:pPr>
            <w:r>
              <w:rPr>
                <w:sz w:val="19"/>
                <w:szCs w:val="19"/>
              </w:rPr>
              <w:t>865,8 ktoe të kursyera</w:t>
            </w:r>
          </w:p>
        </w:tc>
      </w:tr>
      <w:tr w:rsidR="00A90CBB" w:rsidRPr="008C5C7F" w14:paraId="7A37ED47" w14:textId="77777777">
        <w:tc>
          <w:tcPr>
            <w:tcW w:w="27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C0F5697" w14:textId="77777777" w:rsidR="00A90CBB" w:rsidRDefault="00112C45">
            <w:pPr>
              <w:spacing w:line="252" w:lineRule="auto"/>
            </w:pPr>
            <w:r>
              <w:rPr>
                <w:sz w:val="19"/>
                <w:szCs w:val="19"/>
              </w:rPr>
              <w:t>Tranzicioni i drejtë për punëtorët (rikualifikim, skema dalëse, diversifikim)</w:t>
            </w:r>
          </w:p>
        </w:tc>
        <w:tc>
          <w:tcPr>
            <w:tcW w:w="20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5379BD57" w14:textId="78E65803" w:rsidR="00A90CBB" w:rsidRDefault="00112C45">
            <w:pPr>
              <w:spacing w:line="252" w:lineRule="auto"/>
            </w:pPr>
            <w:r>
              <w:rPr>
                <w:sz w:val="19"/>
                <w:szCs w:val="19"/>
              </w:rPr>
              <w:t>ME / MF / MPFVLÇ / KEK</w:t>
            </w:r>
          </w:p>
        </w:tc>
        <w:tc>
          <w:tcPr>
            <w:tcW w:w="125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00618E52" w14:textId="77777777" w:rsidR="00A90CBB" w:rsidRDefault="00112C45">
            <w:pPr>
              <w:spacing w:line="252" w:lineRule="auto"/>
            </w:pPr>
            <w:r>
              <w:rPr>
                <w:sz w:val="19"/>
                <w:szCs w:val="19"/>
              </w:rPr>
              <w:t>2026 e tutje</w:t>
            </w:r>
          </w:p>
        </w:tc>
        <w:tc>
          <w:tcPr>
            <w:tcW w:w="186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399D9FDA" w14:textId="209592FD" w:rsidR="00A90CBB" w:rsidRDefault="00112C45">
            <w:pPr>
              <w:spacing w:line="252" w:lineRule="auto"/>
            </w:pPr>
            <w:r>
              <w:rPr>
                <w:sz w:val="19"/>
                <w:szCs w:val="19"/>
              </w:rPr>
              <w:t xml:space="preserve"> Donatorë</w:t>
            </w:r>
          </w:p>
        </w:tc>
        <w:tc>
          <w:tcPr>
            <w:tcW w:w="1500" w:type="dxa"/>
            <w:tcBorders>
              <w:top w:val="single" w:sz="2" w:space="0" w:color="BFBFBF"/>
              <w:left w:val="single" w:sz="2" w:space="0" w:color="BFBFBF"/>
              <w:bottom w:val="single" w:sz="2" w:space="0" w:color="BFBFBF"/>
              <w:right w:val="single" w:sz="2" w:space="0" w:color="BFBFBF"/>
            </w:tcBorders>
            <w:tcMar>
              <w:top w:w="70" w:type="dxa"/>
              <w:left w:w="110" w:type="dxa"/>
              <w:bottom w:w="70" w:type="dxa"/>
              <w:right w:w="110" w:type="dxa"/>
            </w:tcMar>
            <w:vAlign w:val="center"/>
          </w:tcPr>
          <w:p w14:paraId="6F0A53A6" w14:textId="77777777" w:rsidR="00A90CBB" w:rsidRPr="00503850" w:rsidRDefault="00112C45">
            <w:pPr>
              <w:spacing w:line="252" w:lineRule="auto"/>
              <w:rPr>
                <w:lang w:val="de-DE"/>
              </w:rPr>
            </w:pPr>
            <w:r>
              <w:rPr>
                <w:sz w:val="19"/>
                <w:szCs w:val="19"/>
                <w:lang w:val="de-DE"/>
              </w:rPr>
              <w:t>Punësim para reduktimit të kapaciteteve; 25% gra në sektor</w:t>
            </w:r>
          </w:p>
        </w:tc>
      </w:tr>
      <w:tr w:rsidR="00A90CBB" w14:paraId="2897C828" w14:textId="77777777">
        <w:tc>
          <w:tcPr>
            <w:tcW w:w="27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4E96C53D" w14:textId="77777777" w:rsidR="00A90CBB" w:rsidRDefault="00112C45">
            <w:pPr>
              <w:spacing w:line="252" w:lineRule="auto"/>
            </w:pPr>
            <w:proofErr w:type="spellStart"/>
            <w:r>
              <w:rPr>
                <w:sz w:val="19"/>
                <w:szCs w:val="19"/>
              </w:rPr>
              <w:t>Monitorimi</w:t>
            </w:r>
            <w:proofErr w:type="spellEnd"/>
            <w:r>
              <w:rPr>
                <w:sz w:val="19"/>
                <w:szCs w:val="19"/>
              </w:rPr>
              <w:t xml:space="preserve"> </w:t>
            </w:r>
            <w:proofErr w:type="spellStart"/>
            <w:r>
              <w:rPr>
                <w:sz w:val="19"/>
                <w:szCs w:val="19"/>
              </w:rPr>
              <w:t>dhe</w:t>
            </w:r>
            <w:proofErr w:type="spellEnd"/>
            <w:r>
              <w:rPr>
                <w:sz w:val="19"/>
                <w:szCs w:val="19"/>
              </w:rPr>
              <w:t xml:space="preserve"> </w:t>
            </w:r>
            <w:proofErr w:type="spellStart"/>
            <w:r>
              <w:rPr>
                <w:sz w:val="19"/>
                <w:szCs w:val="19"/>
              </w:rPr>
              <w:t>raportimi</w:t>
            </w:r>
            <w:proofErr w:type="spellEnd"/>
            <w:r>
              <w:rPr>
                <w:sz w:val="19"/>
                <w:szCs w:val="19"/>
              </w:rPr>
              <w:t xml:space="preserve"> </w:t>
            </w:r>
            <w:proofErr w:type="spellStart"/>
            <w:r>
              <w:rPr>
                <w:sz w:val="19"/>
                <w:szCs w:val="19"/>
              </w:rPr>
              <w:t>i</w:t>
            </w:r>
            <w:proofErr w:type="spellEnd"/>
            <w:r>
              <w:rPr>
                <w:sz w:val="19"/>
                <w:szCs w:val="19"/>
              </w:rPr>
              <w:t xml:space="preserve"> </w:t>
            </w:r>
            <w:proofErr w:type="spellStart"/>
            <w:r>
              <w:rPr>
                <w:sz w:val="19"/>
                <w:szCs w:val="19"/>
              </w:rPr>
              <w:t>progresit</w:t>
            </w:r>
            <w:proofErr w:type="spellEnd"/>
          </w:p>
        </w:tc>
        <w:tc>
          <w:tcPr>
            <w:tcW w:w="20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09198629" w14:textId="77777777" w:rsidR="00A90CBB" w:rsidRPr="00503850" w:rsidRDefault="00112C45">
            <w:pPr>
              <w:spacing w:line="252" w:lineRule="auto"/>
              <w:rPr>
                <w:lang w:val="de-DE"/>
              </w:rPr>
            </w:pPr>
            <w:r>
              <w:rPr>
                <w:sz w:val="19"/>
                <w:szCs w:val="19"/>
                <w:lang w:val="de-DE"/>
              </w:rPr>
              <w:t>Këshilli Kombëtar për Ndryshime Klimatike</w:t>
            </w:r>
          </w:p>
        </w:tc>
        <w:tc>
          <w:tcPr>
            <w:tcW w:w="125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33C93EF" w14:textId="77777777" w:rsidR="00A90CBB" w:rsidRDefault="00112C45">
            <w:pPr>
              <w:spacing w:line="252" w:lineRule="auto"/>
            </w:pPr>
            <w:r>
              <w:rPr>
                <w:sz w:val="19"/>
                <w:szCs w:val="19"/>
              </w:rPr>
              <w:t>2026 e tutje</w:t>
            </w:r>
          </w:p>
        </w:tc>
        <w:tc>
          <w:tcPr>
            <w:tcW w:w="186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360404C7" w14:textId="77777777" w:rsidR="00A90CBB" w:rsidRDefault="00112C45">
            <w:pPr>
              <w:spacing w:line="252" w:lineRule="auto"/>
            </w:pPr>
            <w:r>
              <w:rPr>
                <w:sz w:val="19"/>
                <w:szCs w:val="19"/>
              </w:rPr>
              <w:t>Buxheti i shtetit</w:t>
            </w:r>
          </w:p>
        </w:tc>
        <w:tc>
          <w:tcPr>
            <w:tcW w:w="1500" w:type="dxa"/>
            <w:tcBorders>
              <w:top w:val="single" w:sz="2" w:space="0" w:color="BFBFBF"/>
              <w:left w:val="single" w:sz="2" w:space="0" w:color="BFBFBF"/>
              <w:bottom w:val="single" w:sz="2" w:space="0" w:color="BFBFBF"/>
              <w:right w:val="single" w:sz="2" w:space="0" w:color="BFBFBF"/>
            </w:tcBorders>
            <w:shd w:val="clear" w:color="auto" w:fill="EEF3FA"/>
            <w:tcMar>
              <w:top w:w="70" w:type="dxa"/>
              <w:left w:w="110" w:type="dxa"/>
              <w:bottom w:w="70" w:type="dxa"/>
              <w:right w:w="110" w:type="dxa"/>
            </w:tcMar>
            <w:vAlign w:val="center"/>
          </w:tcPr>
          <w:p w14:paraId="53380EAC" w14:textId="77777777" w:rsidR="00A90CBB" w:rsidRDefault="00112C45">
            <w:pPr>
              <w:spacing w:line="252" w:lineRule="auto"/>
            </w:pPr>
            <w:r>
              <w:rPr>
                <w:sz w:val="19"/>
                <w:szCs w:val="19"/>
              </w:rPr>
              <w:t>Raporte vjetore; progres ndaj objektivave</w:t>
            </w:r>
          </w:p>
        </w:tc>
      </w:tr>
    </w:tbl>
    <w:p w14:paraId="61E6810B" w14:textId="78F5F840" w:rsidR="00A90CBB" w:rsidRPr="00503850" w:rsidRDefault="00112C45">
      <w:pPr>
        <w:spacing w:before="40" w:after="220"/>
        <w:rPr>
          <w:lang w:val="de-DE"/>
        </w:rPr>
      </w:pPr>
      <w:r>
        <w:rPr>
          <w:i/>
          <w:iCs/>
          <w:color w:val="595959"/>
          <w:sz w:val="18"/>
          <w:szCs w:val="18"/>
          <w:lang w:val="de-DE"/>
        </w:rPr>
        <w:t>Tabela 9. Masat kryesore të tranzicionit të drejtë</w:t>
      </w:r>
    </w:p>
    <w:p w14:paraId="62F16D05" w14:textId="77777777" w:rsidR="00A90CBB" w:rsidRDefault="00112C45">
      <w:pPr>
        <w:pStyle w:val="Heading2"/>
      </w:pPr>
      <w:bookmarkStart w:id="44" w:name="_Toc231392878"/>
      <w:r>
        <w:t>7.5 Përmirësimi i vazhdueshëm i politikave dhe i zbatimit</w:t>
      </w:r>
      <w:bookmarkEnd w:id="44"/>
    </w:p>
    <w:p w14:paraId="62F0337A" w14:textId="697B1A52" w:rsidR="00A90CBB" w:rsidRDefault="00112C45">
      <w:pPr>
        <w:spacing w:after="150" w:line="278" w:lineRule="auto"/>
        <w:jc w:val="both"/>
      </w:pPr>
      <w:r>
        <w:t xml:space="preserve">Zbatimi i këtij udhërrëfyesi do të jetë një proces dinamik. Bazuar në rezultatet e monitorimit dhe në ndryshimet në treg, institucionet do të kenë mundësi të rishikojnë dhe përmirësojnë masat, në mënyrë që </w:t>
      </w:r>
      <w:r>
        <w:lastRenderedPageBreak/>
        <w:t>tranzicioni të mbetet i qëndrueshëm dhe i përshtatur me nevojat reale të vendit. Çdo rishikim do të reflektohet në raportimin periodik ndaj NECP-së dhe Komunitetit të Energjisë.</w:t>
      </w:r>
    </w:p>
    <w:p w14:paraId="62F0337B" w14:textId="697B1A53" w:rsidR="00A90CBB" w:rsidRDefault="00112C45">
      <w:pPr>
        <w:spacing w:after="150" w:line="278" w:lineRule="auto"/>
        <w:jc w:val="both"/>
      </w:pPr>
      <w:r>
        <w:t>Përmirësimi i vazhdueshëm i politikave mbështetet edhe nga dokumente plotësuese në nivel sektorial e korporativ. Në veçanti, Strategjia Afatgjate e Tranzicionit të Gjelbër dhe Dekarbonizimit të KEK-ut e plotëson këtë udhërrëfyes, duke përcaktuar masat konkrete, afatet dhe investimet për transformimin e kapaciteteve gjeneruese të KEK-ut. Ndërsa udhërrëfyesi përcakton kornizën kombëtare të tranzicionit të drejtë, strategjia e KEK-ut e operacionalizon atë në nivel korporate. Të dy dokumentet do të rishikohen në mënyrë të koordinuar, duke siguruar koherencë midis objektivave kombëtare dhe planifikimit operativ.</w:t>
      </w:r>
    </w:p>
    <w:p w14:paraId="33F3C748" w14:textId="77777777" w:rsidR="00A90CBB" w:rsidRDefault="00112C45">
      <w:r>
        <w:br w:type="page"/>
      </w:r>
    </w:p>
    <w:p w14:paraId="2A30E794" w14:textId="77777777" w:rsidR="00A90CBB" w:rsidRDefault="00112C45">
      <w:pPr>
        <w:pStyle w:val="Heading1"/>
      </w:pPr>
      <w:bookmarkStart w:id="45" w:name="_Toc231392879"/>
      <w:r>
        <w:lastRenderedPageBreak/>
        <w:t>Referencat</w:t>
      </w:r>
      <w:bookmarkEnd w:id="45"/>
    </w:p>
    <w:p w14:paraId="3130EB1D" w14:textId="77777777" w:rsidR="00A90CBB" w:rsidRDefault="00112C45">
      <w:pPr>
        <w:spacing w:after="150" w:line="278" w:lineRule="auto"/>
        <w:jc w:val="both"/>
      </w:pPr>
      <w:r>
        <w:t>Burimet e mëposhtme përbëjnë bazën ligjore, strategjike dhe të të dhënave të këtij udhërrëfyesi.</w:t>
      </w:r>
    </w:p>
    <w:p w14:paraId="3CB882EA" w14:textId="77777777" w:rsidR="00A90CBB" w:rsidRDefault="00112C45">
      <w:pPr>
        <w:spacing w:after="120" w:line="264" w:lineRule="auto"/>
        <w:ind w:left="420" w:hanging="420"/>
        <w:jc w:val="both"/>
      </w:pPr>
      <w:r>
        <w:rPr>
          <w:b/>
          <w:bCs/>
          <w:color w:val="1F3864"/>
          <w:sz w:val="21"/>
          <w:szCs w:val="21"/>
        </w:rPr>
        <w:t xml:space="preserve">[1]  </w:t>
      </w:r>
      <w:r>
        <w:t xml:space="preserve">Ministria e Ekonomisë, </w:t>
      </w:r>
      <w:r>
        <w:rPr>
          <w:i/>
          <w:iCs/>
        </w:rPr>
        <w:t>Strategjia e Energjisë e Republikës së Kosovës 2022–2031</w:t>
      </w:r>
      <w:r>
        <w:t xml:space="preserve"> (miratuar nga Kuvendi i Kosovës më 8 mars 2023). Prishtinë. </w:t>
      </w:r>
      <w:r>
        <w:rPr>
          <w:color w:val="2E5496"/>
          <w:sz w:val="19"/>
          <w:szCs w:val="19"/>
        </w:rPr>
        <w:t>https://me.rks-gov.net/en/energy-2/</w:t>
      </w:r>
    </w:p>
    <w:p w14:paraId="0D831A83" w14:textId="77777777" w:rsidR="00A90CBB" w:rsidRDefault="00112C45">
      <w:pPr>
        <w:spacing w:after="120" w:line="264" w:lineRule="auto"/>
        <w:ind w:left="420" w:hanging="420"/>
        <w:jc w:val="both"/>
      </w:pPr>
      <w:r>
        <w:rPr>
          <w:b/>
          <w:bCs/>
          <w:color w:val="1F3864"/>
          <w:sz w:val="21"/>
          <w:szCs w:val="21"/>
        </w:rPr>
        <w:t xml:space="preserve">[2]  </w:t>
      </w:r>
      <w:r>
        <w:rPr>
          <w:i/>
          <w:iCs/>
        </w:rPr>
        <w:t>Deklarata e Sofjes për Agjendën e Gjelbër për Ballkanin Perëndimor</w:t>
      </w:r>
      <w:r>
        <w:t xml:space="preserve"> (Sofia Declaration on the Green Agenda for the Western Balkans). Samiti i Sofjes, 2020.</w:t>
      </w:r>
    </w:p>
    <w:p w14:paraId="799CBC59" w14:textId="77777777" w:rsidR="00A90CBB" w:rsidRDefault="00112C45">
      <w:pPr>
        <w:spacing w:after="120" w:line="264" w:lineRule="auto"/>
        <w:ind w:left="420" w:hanging="420"/>
        <w:jc w:val="both"/>
      </w:pPr>
      <w:r>
        <w:rPr>
          <w:b/>
          <w:bCs/>
          <w:color w:val="1F3864"/>
          <w:sz w:val="21"/>
          <w:szCs w:val="21"/>
        </w:rPr>
        <w:t xml:space="preserve">[3]  </w:t>
      </w:r>
      <w:r>
        <w:rPr>
          <w:i/>
          <w:iCs/>
        </w:rPr>
        <w:t>Plani Kombëtar për Energji dhe Klimë (NECP) 2025–2030</w:t>
      </w:r>
      <w:r>
        <w:t>, dhe komentet e Sekretariatit të Komunitetit të Energjisë.</w:t>
      </w:r>
    </w:p>
    <w:p w14:paraId="0CF29B58" w14:textId="77777777" w:rsidR="00A90CBB" w:rsidRDefault="00112C45">
      <w:pPr>
        <w:spacing w:after="120" w:line="264" w:lineRule="auto"/>
        <w:ind w:left="420" w:hanging="420"/>
        <w:jc w:val="both"/>
      </w:pPr>
      <w:r>
        <w:rPr>
          <w:b/>
          <w:bCs/>
          <w:color w:val="1F3864"/>
          <w:sz w:val="21"/>
          <w:szCs w:val="21"/>
        </w:rPr>
        <w:t xml:space="preserve">[4]  </w:t>
      </w:r>
      <w:r>
        <w:rPr>
          <w:i/>
          <w:iCs/>
        </w:rPr>
        <w:t>Traktati i Komunitetit të Energjisë</w:t>
      </w:r>
      <w:r>
        <w:t xml:space="preserve"> dhe vendimet përkatëse të Këshillit Ministror për objektivat e BRE-ve dhe reduktimin e gazrave serrë; Plani Kombëtar për Reduktimin e Emetimeve (NERP).</w:t>
      </w:r>
    </w:p>
    <w:p w14:paraId="523E3FEE" w14:textId="77777777" w:rsidR="00A90CBB" w:rsidRDefault="00112C45">
      <w:pPr>
        <w:spacing w:after="120" w:line="264" w:lineRule="auto"/>
        <w:ind w:left="420" w:hanging="420"/>
        <w:jc w:val="both"/>
      </w:pPr>
      <w:r>
        <w:rPr>
          <w:b/>
          <w:bCs/>
          <w:color w:val="1F3864"/>
          <w:sz w:val="21"/>
          <w:szCs w:val="21"/>
        </w:rPr>
        <w:t xml:space="preserve">[5]  </w:t>
      </w:r>
      <w:r>
        <w:t xml:space="preserve">Korporata Energjetike e Kosovës (KEK sh.a.), </w:t>
      </w:r>
      <w:r>
        <w:rPr>
          <w:i/>
          <w:iCs/>
        </w:rPr>
        <w:t>Profili i KEK-ut</w:t>
      </w:r>
      <w:r>
        <w:t xml:space="preserve">. </w:t>
      </w:r>
      <w:r>
        <w:rPr>
          <w:color w:val="2E5496"/>
          <w:sz w:val="19"/>
          <w:szCs w:val="19"/>
        </w:rPr>
        <w:t>http://kek-energy.com/kek/profili-i-kek-ut/</w:t>
      </w:r>
    </w:p>
    <w:p w14:paraId="392779CF" w14:textId="77777777" w:rsidR="00A90CBB" w:rsidRDefault="00112C45">
      <w:pPr>
        <w:spacing w:after="120" w:line="264" w:lineRule="auto"/>
        <w:ind w:left="420" w:hanging="420"/>
        <w:jc w:val="both"/>
      </w:pPr>
      <w:r>
        <w:rPr>
          <w:b/>
          <w:bCs/>
          <w:color w:val="1F3864"/>
          <w:sz w:val="21"/>
          <w:szCs w:val="21"/>
        </w:rPr>
        <w:t xml:space="preserve">[6]  </w:t>
      </w:r>
      <w:r>
        <w:t xml:space="preserve">Zyra e Rregullatorit për Energji (ZRRE), </w:t>
      </w:r>
      <w:r>
        <w:rPr>
          <w:i/>
          <w:iCs/>
        </w:rPr>
        <w:t>Vendime për ankandet e kapaciteteve diellore dhe tarifat</w:t>
      </w:r>
      <w:r>
        <w:t xml:space="preserve"> (ankandi i parë diellor, 2024; Kramovik, Rahovec; 48,88 €/MWh).</w:t>
      </w:r>
    </w:p>
    <w:p w14:paraId="3A78C6B4" w14:textId="77777777" w:rsidR="00A90CBB" w:rsidRDefault="00112C45">
      <w:pPr>
        <w:spacing w:after="120" w:line="264" w:lineRule="auto"/>
        <w:ind w:left="420" w:hanging="420"/>
        <w:jc w:val="both"/>
      </w:pPr>
      <w:r>
        <w:rPr>
          <w:b/>
          <w:bCs/>
          <w:color w:val="1F3864"/>
          <w:sz w:val="21"/>
          <w:szCs w:val="21"/>
        </w:rPr>
        <w:t xml:space="preserve">[7]  </w:t>
      </w:r>
      <w:r>
        <w:t xml:space="preserve">Western Balkans Investment Framework (WBIF) dhe Banka Evropiane e Investimeve (BEI), </w:t>
      </w:r>
      <w:r>
        <w:rPr>
          <w:i/>
          <w:iCs/>
        </w:rPr>
        <w:t>Solar4Kosovo – Photovoltaic Plant</w:t>
      </w:r>
      <w:r>
        <w:t xml:space="preserve"> (kosto rreth 104 mln €; grant WBIF 32 mln €, kredi BEI 33 mln €, kredi KfW 29 mln €). </w:t>
      </w:r>
      <w:r>
        <w:rPr>
          <w:color w:val="2E5496"/>
          <w:sz w:val="19"/>
          <w:szCs w:val="19"/>
        </w:rPr>
        <w:t>https://www.wbif.eu/beneficiaries/kosovo</w:t>
      </w:r>
    </w:p>
    <w:p w14:paraId="466BAC53" w14:textId="77777777" w:rsidR="00A90CBB" w:rsidRDefault="00112C45">
      <w:pPr>
        <w:spacing w:after="120" w:line="264" w:lineRule="auto"/>
        <w:ind w:left="420" w:hanging="420"/>
        <w:jc w:val="both"/>
      </w:pPr>
      <w:r>
        <w:rPr>
          <w:b/>
          <w:bCs/>
          <w:color w:val="1F3864"/>
          <w:sz w:val="21"/>
          <w:szCs w:val="21"/>
        </w:rPr>
        <w:t xml:space="preserve">[8]  </w:t>
      </w:r>
      <w:r>
        <w:t xml:space="preserve">GIZ, </w:t>
      </w:r>
      <w:r>
        <w:rPr>
          <w:i/>
          <w:iCs/>
        </w:rPr>
        <w:t>Analizë socio-ekonomike dhe udhërrëfyes i tranzicionit të drejtë për rajonin e Obiliqit (Kastriot)</w:t>
      </w:r>
      <w:r>
        <w:t>.</w:t>
      </w:r>
    </w:p>
    <w:p w14:paraId="2BBECA30" w14:textId="77777777" w:rsidR="00A90CBB" w:rsidRDefault="00112C45">
      <w:pPr>
        <w:spacing w:after="120" w:line="264" w:lineRule="auto"/>
        <w:ind w:left="420" w:hanging="420"/>
        <w:jc w:val="both"/>
      </w:pPr>
      <w:r>
        <w:rPr>
          <w:b/>
          <w:bCs/>
          <w:color w:val="1F3864"/>
          <w:sz w:val="21"/>
          <w:szCs w:val="21"/>
        </w:rPr>
        <w:t xml:space="preserve">[9]  </w:t>
      </w:r>
      <w:r>
        <w:t xml:space="preserve">Komuniteti i Energjisë / Korniza e financimit (IPF 10), </w:t>
      </w:r>
      <w:r>
        <w:rPr>
          <w:i/>
          <w:iCs/>
        </w:rPr>
        <w:t>Kosovo, District Heating Systems: Feasibility Study, ESIA</w:t>
      </w:r>
      <w:r>
        <w:t>; studim fizibiliteti për sistemet e ngrohjes qendrore në Kosovë.</w:t>
      </w:r>
    </w:p>
    <w:p w14:paraId="515F6BB4" w14:textId="77777777" w:rsidR="00A90CBB" w:rsidRDefault="00112C45">
      <w:pPr>
        <w:spacing w:after="120" w:line="264" w:lineRule="auto"/>
        <w:ind w:left="420" w:hanging="420"/>
        <w:jc w:val="both"/>
      </w:pPr>
      <w:r>
        <w:rPr>
          <w:b/>
          <w:bCs/>
          <w:color w:val="1F3864"/>
          <w:sz w:val="21"/>
          <w:szCs w:val="21"/>
        </w:rPr>
        <w:t xml:space="preserve">[10]  </w:t>
      </w:r>
      <w:r>
        <w:t xml:space="preserve">German Economic Team (GET), </w:t>
      </w:r>
      <w:r>
        <w:rPr>
          <w:i/>
          <w:iCs/>
        </w:rPr>
        <w:t>Modelime për arritjen e cakut të BRE-ve mbi 35% në konsumin final të energjisë; Kosovo’s new energy policy agenda</w:t>
      </w:r>
      <w:r>
        <w:t>.</w:t>
      </w:r>
    </w:p>
    <w:p w14:paraId="54B3B12E" w14:textId="77777777" w:rsidR="00A90CBB" w:rsidRDefault="00112C45">
      <w:pPr>
        <w:pBdr>
          <w:top w:val="single" w:sz="4" w:space="6" w:color="595959"/>
        </w:pBdr>
        <w:spacing w:before="240" w:after="60"/>
        <w:jc w:val="both"/>
      </w:pPr>
      <w:r>
        <w:rPr>
          <w:b/>
          <w:bCs/>
          <w:color w:val="595959"/>
          <w:sz w:val="19"/>
          <w:szCs w:val="19"/>
        </w:rPr>
        <w:t xml:space="preserve">Shënim: </w:t>
      </w:r>
      <w:r>
        <w:rPr>
          <w:i/>
          <w:iCs/>
          <w:color w:val="595959"/>
          <w:sz w:val="19"/>
          <w:szCs w:val="19"/>
        </w:rPr>
        <w:t>shifrat kryesore në tabela referojnë vitin dhe burimin përkatës; vlerësimet e kostos në Tabelën 4 janë indikative dhe do të konfirmohen në plane veprimi të kostuara.</w:t>
      </w:r>
    </w:p>
    <w:sectPr w:rsidR="00A90CBB">
      <w:headerReference w:type="default"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37051" w14:textId="77777777" w:rsidR="001A4AA3" w:rsidRDefault="001A4AA3">
      <w:r>
        <w:separator/>
      </w:r>
    </w:p>
  </w:endnote>
  <w:endnote w:type="continuationSeparator" w:id="0">
    <w:p w14:paraId="0133BA0C" w14:textId="77777777" w:rsidR="001A4AA3" w:rsidRDefault="001A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5470" w14:textId="77777777" w:rsidR="00A90CBB" w:rsidRPr="00503850" w:rsidRDefault="00112C45">
    <w:pPr>
      <w:pBdr>
        <w:top w:val="single" w:sz="4" w:space="4" w:color="BFBFBF"/>
      </w:pBdr>
      <w:jc w:val="center"/>
      <w:rPr>
        <w:lang w:val="de-DE"/>
      </w:rPr>
    </w:pPr>
    <w:proofErr w:type="spellStart"/>
    <w:r w:rsidRPr="00503850">
      <w:rPr>
        <w:color w:val="595959"/>
        <w:sz w:val="16"/>
        <w:szCs w:val="16"/>
        <w:lang w:val="de-DE"/>
      </w:rPr>
      <w:t>Qeveria</w:t>
    </w:r>
    <w:proofErr w:type="spellEnd"/>
    <w:r w:rsidRPr="00503850">
      <w:rPr>
        <w:color w:val="595959"/>
        <w:sz w:val="16"/>
        <w:szCs w:val="16"/>
        <w:lang w:val="de-DE"/>
      </w:rPr>
      <w:t xml:space="preserve"> e </w:t>
    </w:r>
    <w:proofErr w:type="spellStart"/>
    <w:r w:rsidRPr="00503850">
      <w:rPr>
        <w:color w:val="595959"/>
        <w:sz w:val="16"/>
        <w:szCs w:val="16"/>
        <w:lang w:val="de-DE"/>
      </w:rPr>
      <w:t>Republikës</w:t>
    </w:r>
    <w:proofErr w:type="spellEnd"/>
    <w:r w:rsidRPr="00503850">
      <w:rPr>
        <w:color w:val="595959"/>
        <w:sz w:val="16"/>
        <w:szCs w:val="16"/>
        <w:lang w:val="de-DE"/>
      </w:rPr>
      <w:t xml:space="preserve"> </w:t>
    </w:r>
    <w:proofErr w:type="spellStart"/>
    <w:r w:rsidRPr="00503850">
      <w:rPr>
        <w:color w:val="595959"/>
        <w:sz w:val="16"/>
        <w:szCs w:val="16"/>
        <w:lang w:val="de-DE"/>
      </w:rPr>
      <w:t>së</w:t>
    </w:r>
    <w:proofErr w:type="spellEnd"/>
    <w:r w:rsidRPr="00503850">
      <w:rPr>
        <w:color w:val="595959"/>
        <w:sz w:val="16"/>
        <w:szCs w:val="16"/>
        <w:lang w:val="de-DE"/>
      </w:rPr>
      <w:t xml:space="preserve"> </w:t>
    </w:r>
    <w:proofErr w:type="spellStart"/>
    <w:proofErr w:type="gramStart"/>
    <w:r w:rsidRPr="00503850">
      <w:rPr>
        <w:color w:val="595959"/>
        <w:sz w:val="16"/>
        <w:szCs w:val="16"/>
        <w:lang w:val="de-DE"/>
      </w:rPr>
      <w:t>Kosovës</w:t>
    </w:r>
    <w:proofErr w:type="spellEnd"/>
    <w:r w:rsidRPr="00503850">
      <w:rPr>
        <w:color w:val="595959"/>
        <w:sz w:val="16"/>
        <w:szCs w:val="16"/>
        <w:lang w:val="de-DE"/>
      </w:rPr>
      <w:t xml:space="preserve">  ·</w:t>
    </w:r>
    <w:proofErr w:type="gramEnd"/>
    <w:r w:rsidRPr="00503850">
      <w:rPr>
        <w:color w:val="595959"/>
        <w:sz w:val="16"/>
        <w:szCs w:val="16"/>
        <w:lang w:val="de-DE"/>
      </w:rPr>
      <w:t xml:space="preserve">  </w:t>
    </w:r>
    <w:proofErr w:type="spellStart"/>
    <w:r w:rsidRPr="00503850">
      <w:rPr>
        <w:color w:val="595959"/>
        <w:sz w:val="16"/>
        <w:szCs w:val="16"/>
        <w:lang w:val="de-DE"/>
      </w:rPr>
      <w:t>maj</w:t>
    </w:r>
    <w:proofErr w:type="spellEnd"/>
    <w:r w:rsidRPr="00503850">
      <w:rPr>
        <w:color w:val="595959"/>
        <w:sz w:val="16"/>
        <w:szCs w:val="16"/>
        <w:lang w:val="de-DE"/>
      </w:rPr>
      <w:t xml:space="preserve"> 2026  ·  </w:t>
    </w:r>
    <w:proofErr w:type="spellStart"/>
    <w:r w:rsidRPr="00503850">
      <w:rPr>
        <w:color w:val="595959"/>
        <w:sz w:val="16"/>
        <w:szCs w:val="16"/>
        <w:lang w:val="de-DE"/>
      </w:rPr>
      <w:t>Faqe</w:t>
    </w:r>
    <w:proofErr w:type="spellEnd"/>
    <w:r w:rsidRPr="00503850">
      <w:rPr>
        <w:color w:val="595959"/>
        <w:sz w:val="16"/>
        <w:szCs w:val="16"/>
        <w:lang w:val="de-DE"/>
      </w:rPr>
      <w:t xml:space="preserve"> </w:t>
    </w:r>
    <w:r>
      <w:rPr>
        <w:color w:val="595959"/>
        <w:sz w:val="16"/>
        <w:szCs w:val="16"/>
      </w:rPr>
      <w:fldChar w:fldCharType="begin"/>
    </w:r>
    <w:r w:rsidRPr="00503850">
      <w:rPr>
        <w:color w:val="595959"/>
        <w:sz w:val="16"/>
        <w:szCs w:val="16"/>
        <w:lang w:val="de-DE"/>
      </w:rPr>
      <w:instrText>PAGE</w:instrText>
    </w:r>
    <w:r>
      <w:rPr>
        <w:color w:val="595959"/>
        <w:sz w:val="16"/>
        <w:szCs w:val="16"/>
      </w:rPr>
      <w:fldChar w:fldCharType="separate"/>
    </w:r>
    <w:r w:rsidR="00B622EE" w:rsidRPr="00503850">
      <w:rPr>
        <w:noProof/>
        <w:color w:val="595959"/>
        <w:sz w:val="16"/>
        <w:szCs w:val="16"/>
        <w:lang w:val="de-DE"/>
      </w:rPr>
      <w:t>1</w:t>
    </w:r>
    <w:r>
      <w:rPr>
        <w:color w:val="595959"/>
        <w:sz w:val="16"/>
        <w:szCs w:val="16"/>
      </w:rPr>
      <w:fldChar w:fldCharType="end"/>
    </w:r>
    <w:r w:rsidRPr="00503850">
      <w:rPr>
        <w:color w:val="595959"/>
        <w:sz w:val="16"/>
        <w:szCs w:val="16"/>
        <w:lang w:val="de-DE"/>
      </w:rPr>
      <w:t xml:space="preserve"> </w:t>
    </w:r>
    <w:proofErr w:type="spellStart"/>
    <w:r w:rsidRPr="00503850">
      <w:rPr>
        <w:color w:val="595959"/>
        <w:sz w:val="16"/>
        <w:szCs w:val="16"/>
        <w:lang w:val="de-DE"/>
      </w:rPr>
      <w:t>nga</w:t>
    </w:r>
    <w:proofErr w:type="spellEnd"/>
    <w:r w:rsidRPr="00503850">
      <w:rPr>
        <w:color w:val="595959"/>
        <w:sz w:val="16"/>
        <w:szCs w:val="16"/>
        <w:lang w:val="de-DE"/>
      </w:rPr>
      <w:t xml:space="preserve"> </w:t>
    </w:r>
    <w:r>
      <w:rPr>
        <w:color w:val="595959"/>
        <w:sz w:val="16"/>
        <w:szCs w:val="16"/>
      </w:rPr>
      <w:fldChar w:fldCharType="begin"/>
    </w:r>
    <w:r w:rsidRPr="00503850">
      <w:rPr>
        <w:color w:val="595959"/>
        <w:sz w:val="16"/>
        <w:szCs w:val="16"/>
        <w:lang w:val="de-DE"/>
      </w:rPr>
      <w:instrText>NUMPAGES</w:instrText>
    </w:r>
    <w:r>
      <w:rPr>
        <w:color w:val="595959"/>
        <w:sz w:val="16"/>
        <w:szCs w:val="16"/>
      </w:rPr>
      <w:fldChar w:fldCharType="separate"/>
    </w:r>
    <w:r w:rsidR="00B622EE" w:rsidRPr="00503850">
      <w:rPr>
        <w:noProof/>
        <w:color w:val="595959"/>
        <w:sz w:val="16"/>
        <w:szCs w:val="16"/>
        <w:lang w:val="de-DE"/>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D6201" w14:textId="77777777" w:rsidR="001A4AA3" w:rsidRDefault="001A4AA3">
      <w:r>
        <w:separator/>
      </w:r>
    </w:p>
  </w:footnote>
  <w:footnote w:type="continuationSeparator" w:id="0">
    <w:p w14:paraId="053DD4EB" w14:textId="77777777" w:rsidR="001A4AA3" w:rsidRDefault="001A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334D4" w14:textId="77777777" w:rsidR="00A90CBB" w:rsidRDefault="00112C45">
    <w:pPr>
      <w:pBdr>
        <w:bottom w:val="single" w:sz="4" w:space="4" w:color="BFBFBF"/>
      </w:pBdr>
      <w:jc w:val="right"/>
    </w:pPr>
    <w:proofErr w:type="spellStart"/>
    <w:r>
      <w:rPr>
        <w:i/>
        <w:iCs/>
        <w:color w:val="595959"/>
        <w:sz w:val="16"/>
        <w:szCs w:val="16"/>
      </w:rPr>
      <w:t>Udhërrëfyesi</w:t>
    </w:r>
    <w:proofErr w:type="spellEnd"/>
    <w:r>
      <w:rPr>
        <w:i/>
        <w:iCs/>
        <w:color w:val="595959"/>
        <w:sz w:val="16"/>
        <w:szCs w:val="16"/>
      </w:rPr>
      <w:t xml:space="preserve"> </w:t>
    </w:r>
    <w:proofErr w:type="spellStart"/>
    <w:r>
      <w:rPr>
        <w:i/>
        <w:iCs/>
        <w:color w:val="595959"/>
        <w:sz w:val="16"/>
        <w:szCs w:val="16"/>
      </w:rPr>
      <w:t>për</w:t>
    </w:r>
    <w:proofErr w:type="spellEnd"/>
    <w:r>
      <w:rPr>
        <w:i/>
        <w:iCs/>
        <w:color w:val="595959"/>
        <w:sz w:val="16"/>
        <w:szCs w:val="16"/>
      </w:rPr>
      <w:t xml:space="preserve"> </w:t>
    </w:r>
    <w:proofErr w:type="spellStart"/>
    <w:r>
      <w:rPr>
        <w:i/>
        <w:iCs/>
        <w:color w:val="595959"/>
        <w:sz w:val="16"/>
        <w:szCs w:val="16"/>
      </w:rPr>
      <w:t>Tranzicion</w:t>
    </w:r>
    <w:proofErr w:type="spellEnd"/>
    <w:r>
      <w:rPr>
        <w:i/>
        <w:iCs/>
        <w:color w:val="595959"/>
        <w:sz w:val="16"/>
        <w:szCs w:val="16"/>
      </w:rPr>
      <w:t xml:space="preserve"> </w:t>
    </w:r>
    <w:proofErr w:type="spellStart"/>
    <w:r>
      <w:rPr>
        <w:i/>
        <w:iCs/>
        <w:color w:val="595959"/>
        <w:sz w:val="16"/>
        <w:szCs w:val="16"/>
      </w:rPr>
      <w:t>të</w:t>
    </w:r>
    <w:proofErr w:type="spellEnd"/>
    <w:r>
      <w:rPr>
        <w:i/>
        <w:iCs/>
        <w:color w:val="595959"/>
        <w:sz w:val="16"/>
        <w:szCs w:val="16"/>
      </w:rPr>
      <w:t xml:space="preserve"> </w:t>
    </w:r>
    <w:proofErr w:type="spellStart"/>
    <w:r>
      <w:rPr>
        <w:i/>
        <w:iCs/>
        <w:color w:val="595959"/>
        <w:sz w:val="16"/>
        <w:szCs w:val="16"/>
      </w:rPr>
      <w:t>Drejtë</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74B0"/>
    <w:multiLevelType w:val="hybridMultilevel"/>
    <w:tmpl w:val="B4B4DE66"/>
    <w:lvl w:ilvl="0" w:tplc="B3381A30">
      <w:start w:val="1"/>
      <w:numFmt w:val="bullet"/>
      <w:lvlText w:val="•"/>
      <w:lvlJc w:val="left"/>
      <w:pPr>
        <w:ind w:left="720" w:hanging="360"/>
      </w:pPr>
      <w:rPr>
        <w:color w:val="2E5496"/>
      </w:rPr>
    </w:lvl>
    <w:lvl w:ilvl="1" w:tplc="280224EA">
      <w:numFmt w:val="decimal"/>
      <w:lvlText w:val=""/>
      <w:lvlJc w:val="left"/>
    </w:lvl>
    <w:lvl w:ilvl="2" w:tplc="81C616D8">
      <w:numFmt w:val="decimal"/>
      <w:lvlText w:val=""/>
      <w:lvlJc w:val="left"/>
    </w:lvl>
    <w:lvl w:ilvl="3" w:tplc="D0D4ECEA">
      <w:numFmt w:val="decimal"/>
      <w:lvlText w:val=""/>
      <w:lvlJc w:val="left"/>
    </w:lvl>
    <w:lvl w:ilvl="4" w:tplc="8F94C59A">
      <w:numFmt w:val="decimal"/>
      <w:lvlText w:val=""/>
      <w:lvlJc w:val="left"/>
    </w:lvl>
    <w:lvl w:ilvl="5" w:tplc="42B0CB64">
      <w:numFmt w:val="decimal"/>
      <w:lvlText w:val=""/>
      <w:lvlJc w:val="left"/>
    </w:lvl>
    <w:lvl w:ilvl="6" w:tplc="6C14BB92">
      <w:numFmt w:val="decimal"/>
      <w:lvlText w:val=""/>
      <w:lvlJc w:val="left"/>
    </w:lvl>
    <w:lvl w:ilvl="7" w:tplc="861A3B24">
      <w:numFmt w:val="decimal"/>
      <w:lvlText w:val=""/>
      <w:lvlJc w:val="left"/>
    </w:lvl>
    <w:lvl w:ilvl="8" w:tplc="4BC8C724">
      <w:numFmt w:val="decimal"/>
      <w:lvlText w:val=""/>
      <w:lvlJc w:val="left"/>
    </w:lvl>
  </w:abstractNum>
  <w:abstractNum w:abstractNumId="1" w15:restartNumberingAfterBreak="0">
    <w:nsid w:val="31862D6C"/>
    <w:multiLevelType w:val="hybridMultilevel"/>
    <w:tmpl w:val="4C7A36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B17AB1"/>
    <w:multiLevelType w:val="hybridMultilevel"/>
    <w:tmpl w:val="65E45BC4"/>
    <w:lvl w:ilvl="0" w:tplc="C0ECBA6C">
      <w:start w:val="1"/>
      <w:numFmt w:val="bullet"/>
      <w:lvlText w:val="●"/>
      <w:lvlJc w:val="left"/>
      <w:pPr>
        <w:ind w:left="720" w:hanging="360"/>
      </w:pPr>
    </w:lvl>
    <w:lvl w:ilvl="1" w:tplc="5F9C5136">
      <w:start w:val="1"/>
      <w:numFmt w:val="bullet"/>
      <w:lvlText w:val="○"/>
      <w:lvlJc w:val="left"/>
      <w:pPr>
        <w:ind w:left="1440" w:hanging="360"/>
      </w:pPr>
    </w:lvl>
    <w:lvl w:ilvl="2" w:tplc="EB244F64">
      <w:start w:val="1"/>
      <w:numFmt w:val="bullet"/>
      <w:lvlText w:val="■"/>
      <w:lvlJc w:val="left"/>
      <w:pPr>
        <w:ind w:left="2160" w:hanging="360"/>
      </w:pPr>
    </w:lvl>
    <w:lvl w:ilvl="3" w:tplc="26CA8018">
      <w:start w:val="1"/>
      <w:numFmt w:val="bullet"/>
      <w:lvlText w:val="●"/>
      <w:lvlJc w:val="left"/>
      <w:pPr>
        <w:ind w:left="2880" w:hanging="360"/>
      </w:pPr>
    </w:lvl>
    <w:lvl w:ilvl="4" w:tplc="AB74FFDE">
      <w:start w:val="1"/>
      <w:numFmt w:val="bullet"/>
      <w:lvlText w:val="○"/>
      <w:lvlJc w:val="left"/>
      <w:pPr>
        <w:ind w:left="3600" w:hanging="360"/>
      </w:pPr>
    </w:lvl>
    <w:lvl w:ilvl="5" w:tplc="7256BB8A">
      <w:start w:val="1"/>
      <w:numFmt w:val="bullet"/>
      <w:lvlText w:val="■"/>
      <w:lvlJc w:val="left"/>
      <w:pPr>
        <w:ind w:left="4320" w:hanging="360"/>
      </w:pPr>
    </w:lvl>
    <w:lvl w:ilvl="6" w:tplc="1FC63C90">
      <w:start w:val="1"/>
      <w:numFmt w:val="bullet"/>
      <w:lvlText w:val="●"/>
      <w:lvlJc w:val="left"/>
      <w:pPr>
        <w:ind w:left="5040" w:hanging="360"/>
      </w:pPr>
    </w:lvl>
    <w:lvl w:ilvl="7" w:tplc="C6ECD434">
      <w:start w:val="1"/>
      <w:numFmt w:val="bullet"/>
      <w:lvlText w:val="●"/>
      <w:lvlJc w:val="left"/>
      <w:pPr>
        <w:ind w:left="5760" w:hanging="360"/>
      </w:pPr>
    </w:lvl>
    <w:lvl w:ilvl="8" w:tplc="4C56F5BA">
      <w:start w:val="1"/>
      <w:numFmt w:val="bullet"/>
      <w:lvlText w:val="●"/>
      <w:lvlJc w:val="left"/>
      <w:pPr>
        <w:ind w:left="6480" w:hanging="360"/>
      </w:pPr>
    </w:lvl>
  </w:abstractNum>
  <w:abstractNum w:abstractNumId="3" w15:restartNumberingAfterBreak="0">
    <w:nsid w:val="477B6BC5"/>
    <w:multiLevelType w:val="hybridMultilevel"/>
    <w:tmpl w:val="FCD8B302"/>
    <w:lvl w:ilvl="0" w:tplc="C8F63EF0">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6590574">
    <w:abstractNumId w:val="2"/>
    <w:lvlOverride w:ilvl="0">
      <w:startOverride w:val="1"/>
    </w:lvlOverride>
  </w:num>
  <w:num w:numId="2" w16cid:durableId="2146894181">
    <w:abstractNumId w:val="0"/>
    <w:lvlOverride w:ilvl="0">
      <w:startOverride w:val="1"/>
    </w:lvlOverride>
  </w:num>
  <w:num w:numId="3" w16cid:durableId="281346516">
    <w:abstractNumId w:val="3"/>
  </w:num>
  <w:num w:numId="4" w16cid:durableId="423460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CBB"/>
    <w:rsid w:val="0001698F"/>
    <w:rsid w:val="00093F92"/>
    <w:rsid w:val="00112C45"/>
    <w:rsid w:val="0012200F"/>
    <w:rsid w:val="001A4AA3"/>
    <w:rsid w:val="001A7C4B"/>
    <w:rsid w:val="001D2A02"/>
    <w:rsid w:val="00241EDE"/>
    <w:rsid w:val="002E2ACB"/>
    <w:rsid w:val="002E3FF1"/>
    <w:rsid w:val="00313E9B"/>
    <w:rsid w:val="0031405A"/>
    <w:rsid w:val="003321E1"/>
    <w:rsid w:val="0036684A"/>
    <w:rsid w:val="00460930"/>
    <w:rsid w:val="004D488F"/>
    <w:rsid w:val="00503850"/>
    <w:rsid w:val="00507F3F"/>
    <w:rsid w:val="00514E84"/>
    <w:rsid w:val="005448CA"/>
    <w:rsid w:val="005628DC"/>
    <w:rsid w:val="005A0EAE"/>
    <w:rsid w:val="005E24DD"/>
    <w:rsid w:val="00667680"/>
    <w:rsid w:val="006A5193"/>
    <w:rsid w:val="006D0756"/>
    <w:rsid w:val="00733B57"/>
    <w:rsid w:val="00787902"/>
    <w:rsid w:val="007B7FC4"/>
    <w:rsid w:val="007C4710"/>
    <w:rsid w:val="007F2C75"/>
    <w:rsid w:val="007F6361"/>
    <w:rsid w:val="008A373A"/>
    <w:rsid w:val="008C5C7F"/>
    <w:rsid w:val="00990D89"/>
    <w:rsid w:val="00994A06"/>
    <w:rsid w:val="009959C7"/>
    <w:rsid w:val="009C7B76"/>
    <w:rsid w:val="00A53D7B"/>
    <w:rsid w:val="00A72BE1"/>
    <w:rsid w:val="00A90CBB"/>
    <w:rsid w:val="00AC5E56"/>
    <w:rsid w:val="00B063B7"/>
    <w:rsid w:val="00B10CDC"/>
    <w:rsid w:val="00B47F2D"/>
    <w:rsid w:val="00B622EE"/>
    <w:rsid w:val="00C40306"/>
    <w:rsid w:val="00CE4A50"/>
    <w:rsid w:val="00D3668B"/>
    <w:rsid w:val="00DC7408"/>
    <w:rsid w:val="00E95989"/>
    <w:rsid w:val="00EA13D6"/>
    <w:rsid w:val="00EC0A02"/>
    <w:rsid w:val="00EF244E"/>
    <w:rsid w:val="00F53DDD"/>
    <w:rsid w:val="00F9545D"/>
    <w:rsid w:val="00F955EC"/>
    <w:rsid w:val="00F95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B364"/>
  <w15:docId w15:val="{E886D8F8-7572-8844-A8AF-8D097BC5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pBdr>
        <w:bottom w:val="single" w:sz="6" w:space="4" w:color="1F3864"/>
      </w:pBdr>
      <w:spacing w:before="320" w:after="140"/>
      <w:outlineLvl w:val="0"/>
    </w:pPr>
    <w:rPr>
      <w:b/>
      <w:bCs/>
      <w:color w:val="1F3864"/>
      <w:sz w:val="30"/>
      <w:szCs w:val="30"/>
    </w:rPr>
  </w:style>
  <w:style w:type="paragraph" w:styleId="Heading2">
    <w:name w:val="heading 2"/>
    <w:uiPriority w:val="9"/>
    <w:unhideWhenUsed/>
    <w:qFormat/>
    <w:pPr>
      <w:keepNext/>
      <w:spacing w:before="240" w:after="100"/>
      <w:outlineLvl w:val="1"/>
    </w:pPr>
    <w:rPr>
      <w:b/>
      <w:bCs/>
      <w:color w:val="2E5496"/>
      <w:sz w:val="25"/>
      <w:szCs w:val="25"/>
    </w:rPr>
  </w:style>
  <w:style w:type="paragraph" w:styleId="Heading3">
    <w:name w:val="heading 3"/>
    <w:uiPriority w:val="9"/>
    <w:unhideWhenUsed/>
    <w:qFormat/>
    <w:pPr>
      <w:keepNext/>
      <w:spacing w:before="180" w:after="80"/>
      <w:outlineLvl w:val="2"/>
    </w:pPr>
    <w:rPr>
      <w:b/>
      <w:bCs/>
      <w:color w:val="33475B"/>
      <w:sz w:val="23"/>
      <w:szCs w:val="23"/>
    </w:rPr>
  </w:style>
  <w:style w:type="paragraph" w:styleId="Heading4">
    <w:name w:val="heading 4"/>
    <w:uiPriority w:val="9"/>
    <w:unhideWhenUsed/>
    <w:qFormat/>
    <w:pPr>
      <w:keepNext/>
      <w:spacing w:before="140" w:after="60"/>
      <w:outlineLvl w:val="3"/>
    </w:pPr>
    <w:rPr>
      <w:b/>
      <w:bCs/>
      <w:i/>
      <w:iCs/>
      <w:color w:val="33475B"/>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321E1"/>
    <w:pPr>
      <w:tabs>
        <w:tab w:val="center" w:pos="4680"/>
        <w:tab w:val="right" w:pos="9360"/>
      </w:tabs>
    </w:pPr>
  </w:style>
  <w:style w:type="character" w:customStyle="1" w:styleId="HeaderChar">
    <w:name w:val="Header Char"/>
    <w:basedOn w:val="DefaultParagraphFont"/>
    <w:link w:val="Header"/>
    <w:uiPriority w:val="99"/>
    <w:rsid w:val="003321E1"/>
  </w:style>
  <w:style w:type="paragraph" w:styleId="Footer">
    <w:name w:val="footer"/>
    <w:basedOn w:val="Normal"/>
    <w:link w:val="FooterChar"/>
    <w:uiPriority w:val="99"/>
    <w:unhideWhenUsed/>
    <w:rsid w:val="003321E1"/>
    <w:pPr>
      <w:tabs>
        <w:tab w:val="center" w:pos="4680"/>
        <w:tab w:val="right" w:pos="9360"/>
      </w:tabs>
    </w:pPr>
  </w:style>
  <w:style w:type="character" w:customStyle="1" w:styleId="FooterChar">
    <w:name w:val="Footer Char"/>
    <w:basedOn w:val="DefaultParagraphFont"/>
    <w:link w:val="Footer"/>
    <w:uiPriority w:val="99"/>
    <w:rsid w:val="003321E1"/>
  </w:style>
  <w:style w:type="paragraph" w:styleId="TOCHeading">
    <w:name w:val="TOC Heading"/>
    <w:basedOn w:val="Heading1"/>
    <w:next w:val="Normal"/>
    <w:uiPriority w:val="39"/>
    <w:unhideWhenUsed/>
    <w:qFormat/>
    <w:rsid w:val="00990D89"/>
    <w:pPr>
      <w:keepLines/>
      <w:pBdr>
        <w:bottom w:val="none" w:sz="0" w:space="0" w:color="auto"/>
      </w:pBdr>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990D89"/>
    <w:pPr>
      <w:spacing w:after="100"/>
    </w:pPr>
  </w:style>
  <w:style w:type="paragraph" w:styleId="TOC2">
    <w:name w:val="toc 2"/>
    <w:basedOn w:val="Normal"/>
    <w:next w:val="Normal"/>
    <w:autoRedefine/>
    <w:uiPriority w:val="39"/>
    <w:unhideWhenUsed/>
    <w:rsid w:val="00990D89"/>
    <w:pPr>
      <w:spacing w:after="100"/>
      <w:ind w:left="220"/>
    </w:pPr>
  </w:style>
  <w:style w:type="paragraph" w:styleId="TOC3">
    <w:name w:val="toc 3"/>
    <w:basedOn w:val="Normal"/>
    <w:next w:val="Normal"/>
    <w:autoRedefine/>
    <w:uiPriority w:val="39"/>
    <w:unhideWhenUsed/>
    <w:rsid w:val="00990D89"/>
    <w:pPr>
      <w:spacing w:after="100"/>
      <w:ind w:left="440"/>
    </w:pPr>
  </w:style>
  <w:style w:type="character" w:styleId="CommentReference">
    <w:name w:val="annotation reference"/>
    <w:basedOn w:val="DefaultParagraphFont"/>
    <w:uiPriority w:val="99"/>
    <w:semiHidden/>
    <w:unhideWhenUsed/>
    <w:rsid w:val="00D3668B"/>
    <w:rPr>
      <w:sz w:val="16"/>
      <w:szCs w:val="16"/>
    </w:rPr>
  </w:style>
  <w:style w:type="paragraph" w:styleId="CommentText">
    <w:name w:val="annotation text"/>
    <w:basedOn w:val="Normal"/>
    <w:link w:val="CommentTextChar"/>
    <w:uiPriority w:val="99"/>
    <w:unhideWhenUsed/>
    <w:rsid w:val="00D3668B"/>
    <w:rPr>
      <w:sz w:val="20"/>
      <w:szCs w:val="20"/>
    </w:rPr>
  </w:style>
  <w:style w:type="character" w:customStyle="1" w:styleId="CommentTextChar">
    <w:name w:val="Comment Text Char"/>
    <w:basedOn w:val="DefaultParagraphFont"/>
    <w:link w:val="CommentText"/>
    <w:uiPriority w:val="99"/>
    <w:rsid w:val="00D3668B"/>
    <w:rPr>
      <w:sz w:val="20"/>
      <w:szCs w:val="20"/>
    </w:rPr>
  </w:style>
  <w:style w:type="paragraph" w:styleId="CommentSubject">
    <w:name w:val="annotation subject"/>
    <w:basedOn w:val="CommentText"/>
    <w:next w:val="CommentText"/>
    <w:link w:val="CommentSubjectChar"/>
    <w:uiPriority w:val="99"/>
    <w:semiHidden/>
    <w:unhideWhenUsed/>
    <w:rsid w:val="00D3668B"/>
    <w:rPr>
      <w:b/>
      <w:bCs/>
    </w:rPr>
  </w:style>
  <w:style w:type="character" w:customStyle="1" w:styleId="CommentSubjectChar">
    <w:name w:val="Comment Subject Char"/>
    <w:basedOn w:val="CommentTextChar"/>
    <w:link w:val="CommentSubject"/>
    <w:uiPriority w:val="99"/>
    <w:semiHidden/>
    <w:rsid w:val="00D366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088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panose="020206030504050203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imes New Roman" panose="020206030504050203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7FA6F-CC0A-45B5-A409-95C31B40F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9472</Words>
  <Characters>53996</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Udhërrëfyesi për Tranzicion të Drejtë</vt:lpstr>
    </vt:vector>
  </TitlesOfParts>
  <Company/>
  <LinksUpToDate>false</LinksUpToDate>
  <CharactersWithSpaces>63342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Udhërrëfyesi për Tranzicion të Drejtë</dc:title>
  <dc:creator>Qeveria e Republikës së Kosovës</dc:creator>
  <dc:description>Just Transition Roadmap – Dokument strategjik kombëtar</dc:description>
  <cp:lastModifiedBy>Microsoft Office User</cp:lastModifiedBy>
  <cp:revision>2</cp:revision>
  <cp:lastPrinted>2026-06-03T13:31:00Z</cp:lastPrinted>
  <dcterms:created xsi:type="dcterms:W3CDTF">2026-06-08T19:41:00Z</dcterms:created>
  <dcterms:modified xsi:type="dcterms:W3CDTF">2026-06-08T19:41:00Z</dcterms:modified>
</cp:coreProperties>
</file>